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endnotes.xml" ContentType="application/vnd.openxmlformats-officedocument.wordprocessingml.endnotes+xml"/>
  <Override PartName="/word/header7.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stylesWithEffects.xml" ContentType="application/vnd.ms-word.stylesWithEffect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8E9" w:rsidP="00042867" w:rsidRDefault="001B78E9">
      <w:pPr>
        <w:jc w:val="center"/>
      </w:pPr>
    </w:p>
    <w:p w:rsidR="00466D3D" w:rsidP="00042867" w:rsidRDefault="00466D3D">
      <w:pPr>
        <w:jc w:val="center"/>
      </w:pPr>
    </w:p>
    <w:p w:rsidR="00466D3D" w:rsidP="00042867" w:rsidRDefault="00466D3D">
      <w:pPr>
        <w:jc w:val="center"/>
      </w:pPr>
    </w:p>
    <w:p w:rsidR="00466D3D" w:rsidP="00042867" w:rsidRDefault="00466D3D">
      <w:pPr>
        <w:jc w:val="center"/>
      </w:pPr>
    </w:p>
    <w:p w:rsidR="00466D3D" w:rsidP="00042867" w:rsidRDefault="00466D3D">
      <w:pPr>
        <w:jc w:val="center"/>
      </w:pPr>
    </w:p>
    <w:p w:rsidRPr="00E213BA" w:rsidR="00466D3D" w:rsidP="00042867" w:rsidRDefault="00466D3D">
      <w:pPr>
        <w:jc w:val="center"/>
      </w:pPr>
    </w:p>
    <w:p w:rsidRPr="00E213BA" w:rsidR="00F71A6A" w:rsidP="00042867" w:rsidRDefault="00E813AF">
      <w:pPr>
        <w:jc w:val="center"/>
      </w:pPr>
      <w:r w:rsidRPr="00E213BA">
        <w:t>GRAND CHAMBER</w:t>
      </w:r>
    </w:p>
    <w:p w:rsidR="00F71A6A" w:rsidP="00042867" w:rsidRDefault="00F71A6A">
      <w:pPr>
        <w:jc w:val="center"/>
      </w:pPr>
    </w:p>
    <w:p w:rsidR="00466D3D" w:rsidP="00042867" w:rsidRDefault="00466D3D">
      <w:pPr>
        <w:jc w:val="center"/>
      </w:pPr>
    </w:p>
    <w:p w:rsidRPr="00E213BA" w:rsidR="00466D3D" w:rsidP="00042867" w:rsidRDefault="00466D3D">
      <w:pPr>
        <w:jc w:val="center"/>
      </w:pPr>
    </w:p>
    <w:p w:rsidRPr="00E213BA" w:rsidR="00F71A6A" w:rsidP="00042867" w:rsidRDefault="00F71A6A">
      <w:pPr>
        <w:jc w:val="center"/>
        <w:rPr>
          <w:b/>
        </w:rPr>
      </w:pPr>
      <w:bookmarkStart w:name="To" w:id="0"/>
      <w:r w:rsidRPr="00E213BA">
        <w:rPr>
          <w:b/>
        </w:rPr>
        <w:t xml:space="preserve">CASE OF </w:t>
      </w:r>
      <w:bookmarkEnd w:id="0"/>
      <w:r w:rsidRPr="00E213BA" w:rsidR="00E813AF">
        <w:rPr>
          <w:b/>
        </w:rPr>
        <w:t>VUČKOVIĆ AND OTHERS v. SERBIA</w:t>
      </w:r>
    </w:p>
    <w:p w:rsidRPr="00E213BA" w:rsidR="00F71A6A" w:rsidP="00042867" w:rsidRDefault="00F71A6A">
      <w:pPr>
        <w:jc w:val="center"/>
      </w:pPr>
    </w:p>
    <w:p w:rsidRPr="00E213BA" w:rsidR="00F71A6A" w:rsidP="00042867" w:rsidRDefault="00F71A6A">
      <w:pPr>
        <w:jc w:val="center"/>
        <w:rPr>
          <w:i/>
        </w:rPr>
      </w:pPr>
      <w:r w:rsidRPr="00E213BA">
        <w:rPr>
          <w:i/>
        </w:rPr>
        <w:t>(</w:t>
      </w:r>
      <w:r w:rsidRPr="00E213BA" w:rsidR="00E813AF">
        <w:rPr>
          <w:i/>
        </w:rPr>
        <w:t xml:space="preserve">Applications nos. </w:t>
      </w:r>
      <w:r w:rsidRPr="00E213BA" w:rsidR="0090316E">
        <w:rPr>
          <w:i/>
        </w:rPr>
        <w:t>17153/11, 17157/11, 17160/11, 17163/11, 17168/11, 17173/11, 17178/11, 17181/11, 17182/11, 17186/11, 17343/11, 17344/11, 17362/11, 17364/11, 17367/11, 17370/11, 17372/11, 17377/11, 17380/11, 17382/11, 17386/11, 17421/11, 17424/11, 17428/11, 17431/11, 17435/11, 17438/11, 17439/11, 17440/11 and 17443/11</w:t>
      </w:r>
      <w:r w:rsidRPr="00E213BA">
        <w:rPr>
          <w:i/>
        </w:rPr>
        <w:t>)</w:t>
      </w:r>
    </w:p>
    <w:p w:rsidRPr="00E213BA" w:rsidR="00F71A6A" w:rsidP="00042867" w:rsidRDefault="00F71A6A">
      <w:pPr>
        <w:jc w:val="center"/>
      </w:pPr>
    </w:p>
    <w:p w:rsidRPr="00E213BA" w:rsidR="00FC0E32" w:rsidP="00042867" w:rsidRDefault="00FC0E32">
      <w:pPr>
        <w:jc w:val="center"/>
      </w:pPr>
    </w:p>
    <w:p w:rsidR="00466D3D" w:rsidP="00042867" w:rsidRDefault="00466D3D">
      <w:pPr>
        <w:jc w:val="center"/>
        <w:rPr>
          <w:szCs w:val="24"/>
          <w:u w:val="single"/>
        </w:rPr>
      </w:pPr>
    </w:p>
    <w:p w:rsidR="00466D3D" w:rsidP="00042867" w:rsidRDefault="00466D3D">
      <w:pPr>
        <w:jc w:val="center"/>
        <w:rPr>
          <w:szCs w:val="24"/>
          <w:u w:val="single"/>
        </w:rPr>
      </w:pPr>
    </w:p>
    <w:p w:rsidR="00466D3D" w:rsidP="00042867" w:rsidRDefault="00466D3D">
      <w:pPr>
        <w:jc w:val="center"/>
        <w:rPr>
          <w:szCs w:val="24"/>
          <w:u w:val="single"/>
        </w:rPr>
      </w:pPr>
    </w:p>
    <w:p w:rsidRPr="00231C3D" w:rsidR="00D73611" w:rsidP="00042867" w:rsidRDefault="00466D3D">
      <w:pPr>
        <w:jc w:val="center"/>
        <w:rPr>
          <w:szCs w:val="24"/>
        </w:rPr>
      </w:pPr>
      <w:r w:rsidRPr="00231C3D">
        <w:rPr>
          <w:szCs w:val="24"/>
        </w:rPr>
        <w:t>JUDGMENT</w:t>
      </w:r>
    </w:p>
    <w:p w:rsidR="00466D3D" w:rsidP="00231C3D" w:rsidRDefault="00466D3D">
      <w:pPr>
        <w:pStyle w:val="ECHRPara"/>
        <w:ind w:firstLine="0"/>
        <w:jc w:val="center"/>
        <w:rPr>
          <w:lang w:val="en-GB"/>
        </w:rPr>
      </w:pPr>
    </w:p>
    <w:p w:rsidR="00466D3D" w:rsidP="00231C3D" w:rsidRDefault="00F25A85">
      <w:pPr>
        <w:pStyle w:val="ECHRPara"/>
        <w:ind w:firstLine="0"/>
        <w:jc w:val="center"/>
        <w:rPr>
          <w:lang w:val="en-GB"/>
        </w:rPr>
      </w:pPr>
      <w:r>
        <w:rPr>
          <w:lang w:val="en-GB"/>
        </w:rPr>
        <w:t>(preliminary objection)</w:t>
      </w:r>
      <w:bookmarkStart w:name="_GoBack" w:id="1"/>
      <w:bookmarkEnd w:id="1"/>
    </w:p>
    <w:p w:rsidR="00466D3D" w:rsidP="00231C3D" w:rsidRDefault="00466D3D">
      <w:pPr>
        <w:pStyle w:val="ECHRPara"/>
        <w:ind w:firstLine="0"/>
        <w:jc w:val="center"/>
        <w:rPr>
          <w:lang w:val="en-GB"/>
        </w:rPr>
      </w:pPr>
    </w:p>
    <w:p w:rsidR="00466D3D" w:rsidP="00231C3D" w:rsidRDefault="00466D3D">
      <w:pPr>
        <w:pStyle w:val="ECHRPara"/>
        <w:ind w:firstLine="0"/>
        <w:jc w:val="center"/>
        <w:rPr>
          <w:lang w:val="en-GB"/>
        </w:rPr>
      </w:pPr>
    </w:p>
    <w:p w:rsidR="00466D3D" w:rsidP="00231C3D" w:rsidRDefault="00466D3D">
      <w:pPr>
        <w:pStyle w:val="ECHRPara"/>
        <w:ind w:firstLine="0"/>
        <w:jc w:val="center"/>
        <w:rPr>
          <w:lang w:val="en-GB"/>
        </w:rPr>
      </w:pPr>
      <w:r>
        <w:rPr>
          <w:lang w:val="en-GB"/>
        </w:rPr>
        <w:t>STRASBOURG</w:t>
      </w:r>
    </w:p>
    <w:p w:rsidR="00466D3D" w:rsidP="00231C3D" w:rsidRDefault="00466D3D">
      <w:pPr>
        <w:pStyle w:val="ECHRPara"/>
        <w:ind w:firstLine="0"/>
        <w:jc w:val="center"/>
        <w:rPr>
          <w:lang w:val="en-GB"/>
        </w:rPr>
      </w:pPr>
    </w:p>
    <w:p w:rsidR="00466D3D" w:rsidP="00231C3D" w:rsidRDefault="00065AA6">
      <w:pPr>
        <w:pStyle w:val="ECHRPara"/>
        <w:ind w:firstLine="0"/>
        <w:jc w:val="center"/>
        <w:rPr>
          <w:lang w:val="en-GB"/>
        </w:rPr>
      </w:pPr>
      <w:r>
        <w:rPr>
          <w:lang w:val="en-GB"/>
        </w:rPr>
        <w:t>25 March</w:t>
      </w:r>
      <w:r w:rsidR="00466D3D">
        <w:rPr>
          <w:lang w:val="en-GB"/>
        </w:rPr>
        <w:t xml:space="preserve"> 2014</w:t>
      </w:r>
    </w:p>
    <w:p w:rsidR="00466D3D" w:rsidP="00231C3D" w:rsidRDefault="00466D3D">
      <w:pPr>
        <w:pStyle w:val="ECHRPara"/>
        <w:ind w:firstLine="0"/>
        <w:jc w:val="center"/>
        <w:rPr>
          <w:lang w:val="en-GB"/>
        </w:rPr>
      </w:pPr>
    </w:p>
    <w:p w:rsidR="00466D3D" w:rsidP="00466D3D" w:rsidRDefault="00466D3D">
      <w:pPr>
        <w:pStyle w:val="ECHRPara"/>
        <w:jc w:val="center"/>
        <w:rPr>
          <w:lang w:val="en-GB"/>
        </w:rPr>
      </w:pPr>
    </w:p>
    <w:p w:rsidR="00466D3D" w:rsidP="00466D3D" w:rsidRDefault="00466D3D">
      <w:pPr>
        <w:pStyle w:val="ECHRPara"/>
        <w:ind w:firstLine="0"/>
        <w:rPr>
          <w:i/>
          <w:lang w:val="en-GB"/>
        </w:rPr>
      </w:pPr>
      <w:r>
        <w:rPr>
          <w:i/>
          <w:lang w:val="en-GB"/>
        </w:rPr>
        <w:t>This judgment is final but may be subject to editorial revision.</w:t>
      </w:r>
    </w:p>
    <w:p w:rsidRPr="00466D3D" w:rsidR="009B593C" w:rsidP="00466D3D" w:rsidRDefault="009B593C">
      <w:pPr>
        <w:pStyle w:val="ECHRPara"/>
        <w:ind w:firstLine="0"/>
        <w:rPr>
          <w:lang w:val="en-GB"/>
        </w:rPr>
        <w:sectPr w:rsidRPr="00466D3D" w:rsidR="009B593C" w:rsidSect="00466D3D">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E213BA" w:rsidR="0022762A" w:rsidP="0022762A" w:rsidRDefault="0022762A">
      <w:pPr>
        <w:pStyle w:val="JuCase"/>
        <w:rPr>
          <w:b w:val="0"/>
          <w:bCs/>
          <w:lang w:val="en-GB"/>
        </w:rPr>
      </w:pPr>
      <w:r w:rsidRPr="00E213BA">
        <w:rPr>
          <w:lang w:val="en-GB"/>
        </w:rPr>
        <w:lastRenderedPageBreak/>
        <w:t xml:space="preserve">In the case of </w:t>
      </w:r>
      <w:proofErr w:type="spellStart"/>
      <w:r w:rsidRPr="00E213BA">
        <w:rPr>
          <w:lang w:val="en-GB"/>
        </w:rPr>
        <w:t>Vučković</w:t>
      </w:r>
      <w:proofErr w:type="spellEnd"/>
      <w:r w:rsidRPr="00E213BA">
        <w:rPr>
          <w:lang w:val="en-GB"/>
        </w:rPr>
        <w:t xml:space="preserve"> and Others v. Serbia,</w:t>
      </w:r>
    </w:p>
    <w:p w:rsidRPr="00E213BA" w:rsidR="0022762A" w:rsidP="0022762A" w:rsidRDefault="0022762A">
      <w:pPr>
        <w:ind w:firstLine="284"/>
        <w:rPr>
          <w:bCs/>
          <w:szCs w:val="24"/>
        </w:rPr>
      </w:pPr>
      <w:r w:rsidRPr="00E213BA">
        <w:rPr>
          <w:bCs/>
          <w:szCs w:val="24"/>
        </w:rPr>
        <w:t>The European Court of Human Rights, sitting as a Grand Chamber composed of:</w:t>
      </w:r>
    </w:p>
    <w:p w:rsidRPr="00E213BA" w:rsidR="0095164A" w:rsidP="00366287" w:rsidRDefault="0022762A">
      <w:pPr>
        <w:tabs>
          <w:tab w:val="left" w:pos="567"/>
          <w:tab w:val="left" w:pos="1134"/>
        </w:tabs>
        <w:jc w:val="left"/>
      </w:pPr>
      <w:r w:rsidRPr="00E213BA">
        <w:tab/>
        <w:t xml:space="preserve">Dean </w:t>
      </w:r>
      <w:proofErr w:type="spellStart"/>
      <w:r w:rsidRPr="00E213BA">
        <w:t>Spielmann</w:t>
      </w:r>
      <w:proofErr w:type="spellEnd"/>
      <w:r w:rsidRPr="00E213BA">
        <w:t>,</w:t>
      </w:r>
      <w:r w:rsidRPr="00E213BA">
        <w:rPr>
          <w:i/>
        </w:rPr>
        <w:t xml:space="preserve"> President,</w:t>
      </w:r>
      <w:r w:rsidRPr="00E213BA">
        <w:rPr>
          <w:i/>
        </w:rPr>
        <w:br/>
      </w:r>
      <w:r w:rsidRPr="00E213BA">
        <w:tab/>
      </w:r>
      <w:proofErr w:type="spellStart"/>
      <w:r w:rsidRPr="00E213BA">
        <w:t>Josep</w:t>
      </w:r>
      <w:proofErr w:type="spellEnd"/>
      <w:r w:rsidRPr="00E213BA">
        <w:t xml:space="preserve"> </w:t>
      </w:r>
      <w:proofErr w:type="spellStart"/>
      <w:r w:rsidRPr="00E213BA">
        <w:t>Casadevall</w:t>
      </w:r>
      <w:proofErr w:type="spellEnd"/>
      <w:r w:rsidRPr="00E213BA">
        <w:t>,</w:t>
      </w:r>
      <w:r w:rsidRPr="00E213BA">
        <w:rPr>
          <w:i/>
        </w:rPr>
        <w:br/>
      </w:r>
      <w:r w:rsidRPr="00E213BA">
        <w:tab/>
      </w:r>
      <w:proofErr w:type="spellStart"/>
      <w:r w:rsidRPr="00E213BA">
        <w:t>Ineta</w:t>
      </w:r>
      <w:proofErr w:type="spellEnd"/>
      <w:r w:rsidRPr="00E213BA">
        <w:t xml:space="preserve"> </w:t>
      </w:r>
      <w:proofErr w:type="spellStart"/>
      <w:r w:rsidRPr="00E213BA">
        <w:t>Ziemele</w:t>
      </w:r>
      <w:proofErr w:type="spellEnd"/>
      <w:r w:rsidRPr="00E213BA">
        <w:t>,</w:t>
      </w:r>
      <w:r w:rsidRPr="00E213BA">
        <w:rPr>
          <w:i/>
        </w:rPr>
        <w:br/>
      </w:r>
      <w:r w:rsidRPr="00E213BA">
        <w:tab/>
        <w:t xml:space="preserve">Mark </w:t>
      </w:r>
      <w:proofErr w:type="spellStart"/>
      <w:r w:rsidRPr="00E213BA">
        <w:t>Villiger</w:t>
      </w:r>
      <w:proofErr w:type="spellEnd"/>
      <w:r w:rsidRPr="00E213BA">
        <w:t>,</w:t>
      </w:r>
    </w:p>
    <w:p w:rsidRPr="00E213BA" w:rsidR="0095164A" w:rsidP="00366287" w:rsidRDefault="0022762A">
      <w:pPr>
        <w:tabs>
          <w:tab w:val="left" w:pos="567"/>
          <w:tab w:val="left" w:pos="1134"/>
        </w:tabs>
        <w:jc w:val="left"/>
      </w:pPr>
      <w:r w:rsidRPr="00E213BA">
        <w:tab/>
      </w:r>
      <w:proofErr w:type="spellStart"/>
      <w:r w:rsidRPr="00E213BA">
        <w:t>Alvina</w:t>
      </w:r>
      <w:proofErr w:type="spellEnd"/>
      <w:r w:rsidRPr="00E213BA">
        <w:t xml:space="preserve"> </w:t>
      </w:r>
      <w:proofErr w:type="spellStart"/>
      <w:r w:rsidRPr="00E213BA">
        <w:t>Gyulumyan</w:t>
      </w:r>
      <w:proofErr w:type="spellEnd"/>
      <w:r w:rsidRPr="00E213BA">
        <w:t>,</w:t>
      </w:r>
      <w:r w:rsidRPr="00E213BA">
        <w:rPr>
          <w:i/>
        </w:rPr>
        <w:br/>
      </w:r>
      <w:r w:rsidRPr="00E213BA">
        <w:tab/>
      </w:r>
      <w:proofErr w:type="spellStart"/>
      <w:r w:rsidRPr="00E213BA">
        <w:t>Khanlar</w:t>
      </w:r>
      <w:proofErr w:type="spellEnd"/>
      <w:r w:rsidRPr="00E213BA">
        <w:t xml:space="preserve"> </w:t>
      </w:r>
      <w:proofErr w:type="spellStart"/>
      <w:r w:rsidRPr="00E213BA">
        <w:t>Hajiyev</w:t>
      </w:r>
      <w:proofErr w:type="spellEnd"/>
      <w:r w:rsidRPr="00E213BA">
        <w:t>,</w:t>
      </w:r>
      <w:r w:rsidRPr="00E213BA">
        <w:rPr>
          <w:i/>
        </w:rPr>
        <w:br/>
      </w:r>
      <w:r w:rsidRPr="00E213BA">
        <w:tab/>
        <w:t xml:space="preserve">David </w:t>
      </w:r>
      <w:proofErr w:type="spellStart"/>
      <w:r w:rsidRPr="00E213BA">
        <w:t>Thór</w:t>
      </w:r>
      <w:proofErr w:type="spellEnd"/>
      <w:r w:rsidRPr="00E213BA">
        <w:t xml:space="preserve"> </w:t>
      </w:r>
      <w:proofErr w:type="spellStart"/>
      <w:r w:rsidRPr="00E213BA">
        <w:t>Björgvinsson</w:t>
      </w:r>
      <w:proofErr w:type="spellEnd"/>
      <w:r w:rsidRPr="00E213BA" w:rsidR="0095164A">
        <w:t>,</w:t>
      </w:r>
    </w:p>
    <w:p w:rsidRPr="00E213BA" w:rsidR="0095164A" w:rsidP="00366287" w:rsidRDefault="0095164A">
      <w:pPr>
        <w:tabs>
          <w:tab w:val="left" w:pos="567"/>
          <w:tab w:val="left" w:pos="1134"/>
        </w:tabs>
        <w:jc w:val="left"/>
      </w:pPr>
      <w:r w:rsidRPr="00E213BA">
        <w:tab/>
      </w:r>
      <w:proofErr w:type="spellStart"/>
      <w:r w:rsidRPr="00E213BA">
        <w:t>Ján</w:t>
      </w:r>
      <w:proofErr w:type="spellEnd"/>
      <w:r w:rsidRPr="00E213BA">
        <w:t xml:space="preserve"> </w:t>
      </w:r>
      <w:proofErr w:type="spellStart"/>
      <w:r w:rsidRPr="00E213BA">
        <w:t>Šikuta</w:t>
      </w:r>
      <w:proofErr w:type="spellEnd"/>
      <w:r w:rsidRPr="00E213BA" w:rsidR="0022762A">
        <w:t>,</w:t>
      </w:r>
    </w:p>
    <w:p w:rsidRPr="00E213BA" w:rsidR="0022762A" w:rsidP="00366287" w:rsidRDefault="0022762A">
      <w:pPr>
        <w:tabs>
          <w:tab w:val="left" w:pos="567"/>
          <w:tab w:val="left" w:pos="1134"/>
        </w:tabs>
        <w:jc w:val="left"/>
      </w:pPr>
      <w:r w:rsidRPr="00E213BA">
        <w:tab/>
      </w:r>
      <w:proofErr w:type="spellStart"/>
      <w:r w:rsidRPr="00E213BA">
        <w:t>Dragoljub</w:t>
      </w:r>
      <w:proofErr w:type="spellEnd"/>
      <w:r w:rsidRPr="00E213BA">
        <w:t xml:space="preserve"> </w:t>
      </w:r>
      <w:proofErr w:type="spellStart"/>
      <w:r w:rsidRPr="00E213BA">
        <w:t>Popović</w:t>
      </w:r>
      <w:proofErr w:type="spellEnd"/>
      <w:r w:rsidRPr="00E213BA">
        <w:t>,</w:t>
      </w:r>
      <w:r w:rsidRPr="00E213BA">
        <w:rPr>
          <w:i/>
        </w:rPr>
        <w:br/>
      </w:r>
      <w:r w:rsidRPr="00E213BA">
        <w:tab/>
      </w:r>
      <w:proofErr w:type="spellStart"/>
      <w:r w:rsidRPr="00E213BA">
        <w:t>Päivi</w:t>
      </w:r>
      <w:proofErr w:type="spellEnd"/>
      <w:r w:rsidRPr="00E213BA">
        <w:t xml:space="preserve"> </w:t>
      </w:r>
      <w:proofErr w:type="spellStart"/>
      <w:r w:rsidRPr="00E213BA">
        <w:t>Hirvelä</w:t>
      </w:r>
      <w:proofErr w:type="spellEnd"/>
      <w:r w:rsidRPr="00E213BA">
        <w:t>,</w:t>
      </w:r>
      <w:r w:rsidRPr="00E213BA">
        <w:rPr>
          <w:i/>
        </w:rPr>
        <w:br/>
      </w:r>
      <w:r w:rsidRPr="00E213BA">
        <w:tab/>
        <w:t xml:space="preserve">Nona </w:t>
      </w:r>
      <w:proofErr w:type="spellStart"/>
      <w:r w:rsidRPr="00E213BA">
        <w:t>Tsotsoria</w:t>
      </w:r>
      <w:proofErr w:type="spellEnd"/>
      <w:r w:rsidRPr="00E213BA">
        <w:t>,</w:t>
      </w:r>
      <w:r w:rsidRPr="00E213BA">
        <w:rPr>
          <w:i/>
        </w:rPr>
        <w:br/>
      </w:r>
      <w:r w:rsidRPr="00E213BA">
        <w:tab/>
        <w:t xml:space="preserve">Kristina </w:t>
      </w:r>
      <w:proofErr w:type="spellStart"/>
      <w:r w:rsidRPr="00E213BA">
        <w:t>Pardalos</w:t>
      </w:r>
      <w:proofErr w:type="spellEnd"/>
      <w:r w:rsidRPr="00E213BA">
        <w:t>,</w:t>
      </w:r>
      <w:r w:rsidRPr="00E213BA">
        <w:rPr>
          <w:i/>
        </w:rPr>
        <w:br/>
      </w:r>
      <w:r w:rsidRPr="00E213BA">
        <w:tab/>
      </w:r>
      <w:proofErr w:type="spellStart"/>
      <w:r w:rsidRPr="00E213BA">
        <w:t>Ganna</w:t>
      </w:r>
      <w:proofErr w:type="spellEnd"/>
      <w:r w:rsidRPr="00E213BA">
        <w:t xml:space="preserve"> </w:t>
      </w:r>
      <w:proofErr w:type="spellStart"/>
      <w:r w:rsidRPr="00E213BA">
        <w:t>Yudkivska</w:t>
      </w:r>
      <w:proofErr w:type="spellEnd"/>
      <w:r w:rsidRPr="00E213BA">
        <w:t>,</w:t>
      </w:r>
      <w:r w:rsidRPr="00E213BA">
        <w:rPr>
          <w:i/>
        </w:rPr>
        <w:br/>
      </w:r>
      <w:r w:rsidR="00857B6A">
        <w:tab/>
        <w:t>Vincent A. D</w:t>
      </w:r>
      <w:r w:rsidRPr="00E213BA">
        <w:t>e Gaetano,</w:t>
      </w:r>
      <w:r w:rsidRPr="00E213BA">
        <w:rPr>
          <w:i/>
        </w:rPr>
        <w:br/>
      </w:r>
      <w:r w:rsidRPr="00E213BA">
        <w:tab/>
        <w:t>Helen Keller,</w:t>
      </w:r>
      <w:r w:rsidRPr="00E213BA">
        <w:rPr>
          <w:i/>
        </w:rPr>
        <w:br/>
      </w:r>
      <w:r w:rsidRPr="00E213BA">
        <w:tab/>
      </w:r>
      <w:proofErr w:type="spellStart"/>
      <w:r w:rsidRPr="00E213BA">
        <w:t>Aleš</w:t>
      </w:r>
      <w:proofErr w:type="spellEnd"/>
      <w:r w:rsidRPr="00E213BA">
        <w:t xml:space="preserve"> </w:t>
      </w:r>
      <w:proofErr w:type="spellStart"/>
      <w:r w:rsidRPr="00E213BA">
        <w:t>Pejchal</w:t>
      </w:r>
      <w:proofErr w:type="spellEnd"/>
      <w:r w:rsidRPr="00E213BA">
        <w:t>,</w:t>
      </w:r>
      <w:r w:rsidRPr="00E213BA">
        <w:rPr>
          <w:i/>
        </w:rPr>
        <w:br/>
      </w:r>
      <w:r w:rsidRPr="00E213BA">
        <w:tab/>
      </w:r>
      <w:proofErr w:type="spellStart"/>
      <w:r w:rsidRPr="00E213BA">
        <w:t>Ksenija</w:t>
      </w:r>
      <w:proofErr w:type="spellEnd"/>
      <w:r w:rsidRPr="00E213BA">
        <w:t xml:space="preserve"> </w:t>
      </w:r>
      <w:proofErr w:type="spellStart"/>
      <w:r w:rsidRPr="00E213BA">
        <w:t>Turković</w:t>
      </w:r>
      <w:proofErr w:type="spellEnd"/>
      <w:r w:rsidRPr="00E213BA">
        <w:t>,</w:t>
      </w:r>
      <w:r w:rsidRPr="00E213BA">
        <w:rPr>
          <w:i/>
        </w:rPr>
        <w:t xml:space="preserve"> judges,</w:t>
      </w:r>
      <w:r w:rsidRPr="00E213BA">
        <w:rPr>
          <w:i/>
        </w:rPr>
        <w:br/>
      </w:r>
      <w:r w:rsidRPr="00E213BA">
        <w:t>and Michael O</w:t>
      </w:r>
      <w:r w:rsidR="001F25A4">
        <w:t>’</w:t>
      </w:r>
      <w:r w:rsidRPr="00E213BA">
        <w:t xml:space="preserve">Boyle, </w:t>
      </w:r>
      <w:r w:rsidRPr="00E213BA">
        <w:rPr>
          <w:i/>
        </w:rPr>
        <w:t xml:space="preserve">Deputy </w:t>
      </w:r>
      <w:r w:rsidRPr="00E213BA">
        <w:rPr>
          <w:i/>
          <w:iCs/>
        </w:rPr>
        <w:t>Registrar</w:t>
      </w:r>
      <w:r w:rsidRPr="00E213BA">
        <w:rPr>
          <w:i/>
        </w:rPr>
        <w:t>,</w:t>
      </w:r>
    </w:p>
    <w:p w:rsidRPr="00E213BA" w:rsidR="0022762A" w:rsidP="0022762A" w:rsidRDefault="0022762A">
      <w:pPr>
        <w:ind w:firstLine="284"/>
      </w:pPr>
      <w:r w:rsidRPr="00E213BA">
        <w:t xml:space="preserve">Having deliberated in </w:t>
      </w:r>
      <w:r w:rsidRPr="00E213BA" w:rsidR="00681377">
        <w:t>p</w:t>
      </w:r>
      <w:r w:rsidRPr="00E213BA">
        <w:t xml:space="preserve">rivate on 15 May 2013 and </w:t>
      </w:r>
      <w:r w:rsidRPr="00E213BA" w:rsidR="00DB22D9">
        <w:t>29 January 2014</w:t>
      </w:r>
      <w:r w:rsidRPr="00E213BA">
        <w:t>,</w:t>
      </w:r>
    </w:p>
    <w:p w:rsidRPr="00E213BA" w:rsidR="0022762A" w:rsidP="0022762A" w:rsidRDefault="0022762A">
      <w:pPr>
        <w:ind w:firstLine="284"/>
      </w:pPr>
      <w:r w:rsidRPr="00E213BA">
        <w:t>Delivers the following judgment, which was adopted on the last</w:t>
      </w:r>
      <w:r w:rsidR="005060EA">
        <w:noBreakHyphen/>
      </w:r>
      <w:r w:rsidRPr="00E213BA">
        <w:t>mentioned date:</w:t>
      </w:r>
    </w:p>
    <w:p w:rsidRPr="00E213BA" w:rsidR="0022762A" w:rsidP="00027241" w:rsidRDefault="0022762A">
      <w:pPr>
        <w:pStyle w:val="ECHRTitle1"/>
      </w:pPr>
      <w:r w:rsidRPr="00E213BA">
        <w:t>PROCEDURE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w:t>
      </w:r>
      <w:r w:rsidRPr="00E213BA">
        <w:rPr>
          <w:lang w:val="en-GB"/>
        </w:rPr>
        <w:fldChar w:fldCharType="end"/>
      </w:r>
      <w:r w:rsidRPr="00E213BA">
        <w:rPr>
          <w:lang w:val="en-GB"/>
        </w:rPr>
        <w:t xml:space="preserve">.  The case originated in thirty separate applications against Serbia lodged with the Court under Article 34 of the Convention for the Protection of Human Rights and Fundamental Freedoms (“the Convention”) on 14 February 2011. The applicants </w:t>
      </w:r>
      <w:r w:rsidRPr="00E213BA" w:rsidR="00803BA2">
        <w:rPr>
          <w:lang w:val="en-GB"/>
        </w:rPr>
        <w:t xml:space="preserve">are </w:t>
      </w:r>
      <w:r w:rsidRPr="00E213BA">
        <w:rPr>
          <w:lang w:val="en-GB"/>
        </w:rPr>
        <w:t>all Serbian nationals, and their further personal details are set out in the Annex to this judgment.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w:t>
      </w:r>
      <w:r w:rsidRPr="00E213BA">
        <w:rPr>
          <w:lang w:val="en-GB"/>
        </w:rPr>
        <w:fldChar w:fldCharType="end"/>
      </w:r>
      <w:r w:rsidRPr="00E213BA">
        <w:rPr>
          <w:lang w:val="en-GB"/>
        </w:rPr>
        <w:t>.  The applicants were represe</w:t>
      </w:r>
      <w:r w:rsidR="00E9275B">
        <w:rPr>
          <w:lang w:val="en-GB"/>
        </w:rPr>
        <w:t xml:space="preserve">nted by Mr S. </w:t>
      </w:r>
      <w:proofErr w:type="spellStart"/>
      <w:r w:rsidR="00E9275B">
        <w:rPr>
          <w:lang w:val="en-GB"/>
        </w:rPr>
        <w:t>Aleksić</w:t>
      </w:r>
      <w:proofErr w:type="spellEnd"/>
      <w:r w:rsidR="00E9275B">
        <w:rPr>
          <w:lang w:val="en-GB"/>
        </w:rPr>
        <w:t xml:space="preserve"> and Ms </w:t>
      </w:r>
      <w:r w:rsidR="00065AA6">
        <w:rPr>
          <w:lang w:val="en-GB"/>
        </w:rPr>
        <w:t>B. </w:t>
      </w:r>
      <w:proofErr w:type="spellStart"/>
      <w:r w:rsidRPr="00E213BA">
        <w:rPr>
          <w:lang w:val="en-GB"/>
        </w:rPr>
        <w:t>Isailović</w:t>
      </w:r>
      <w:proofErr w:type="spellEnd"/>
      <w:r w:rsidRPr="00E213BA">
        <w:rPr>
          <w:lang w:val="en-GB"/>
        </w:rPr>
        <w:t xml:space="preserve">, lawyers practising in </w:t>
      </w:r>
      <w:proofErr w:type="spellStart"/>
      <w:r w:rsidRPr="00E213BA">
        <w:rPr>
          <w:lang w:val="en-GB"/>
        </w:rPr>
        <w:t>Niš</w:t>
      </w:r>
      <w:proofErr w:type="spellEnd"/>
      <w:r w:rsidRPr="00E213BA">
        <w:rPr>
          <w:lang w:val="en-GB"/>
        </w:rPr>
        <w:t xml:space="preserve"> and Paris, respectively.</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w:t>
      </w:r>
      <w:r w:rsidRPr="00E213BA">
        <w:rPr>
          <w:lang w:val="en-GB"/>
        </w:rPr>
        <w:fldChar w:fldCharType="end"/>
      </w:r>
      <w:r w:rsidRPr="00E213BA">
        <w:rPr>
          <w:lang w:val="en-GB"/>
        </w:rPr>
        <w:t xml:space="preserve">.  The </w:t>
      </w:r>
      <w:bookmarkStart w:name="File3" w:id="2"/>
      <w:r w:rsidRPr="00E213BA">
        <w:rPr>
          <w:lang w:val="en-GB"/>
        </w:rPr>
        <w:t>Serbia</w:t>
      </w:r>
      <w:bookmarkEnd w:id="2"/>
      <w:r w:rsidRPr="00E213BA">
        <w:rPr>
          <w:lang w:val="en-GB"/>
        </w:rPr>
        <w:t xml:space="preserve">n Government (“the Government”) were represented by their Agent and Assistant Minister for Justice and Public Administration, Mr S. </w:t>
      </w:r>
      <w:proofErr w:type="spellStart"/>
      <w:r w:rsidRPr="00E213BA">
        <w:rPr>
          <w:lang w:val="en-GB"/>
        </w:rPr>
        <w:t>Carić</w:t>
      </w:r>
      <w:proofErr w:type="spellEnd"/>
      <w:r w:rsidRPr="00E213BA">
        <w:rPr>
          <w:lang w:val="en-GB"/>
        </w:rPr>
        <w: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w:t>
      </w:r>
      <w:r w:rsidRPr="00E213BA">
        <w:rPr>
          <w:lang w:val="en-GB"/>
        </w:rPr>
        <w:fldChar w:fldCharType="end"/>
      </w:r>
      <w:r w:rsidRPr="00E213BA">
        <w:rPr>
          <w:lang w:val="en-GB"/>
        </w:rPr>
        <w:t xml:space="preserve">.  The applicants, relying on Articles 6 and 14 of the Convention, complained about discrimination and inconsistent domestic case-law as regards the payment of </w:t>
      </w:r>
      <w:r w:rsidRPr="00E213BA">
        <w:rPr>
          <w:i/>
          <w:lang w:val="en-GB"/>
        </w:rPr>
        <w:t>per diems</w:t>
      </w:r>
      <w:r w:rsidRPr="00E213BA">
        <w:rPr>
          <w:lang w:val="en-GB"/>
        </w:rPr>
        <w:t xml:space="preserve"> granted to all reservists who had served in the Yugoslav Army between March and June 1999.</w:t>
      </w:r>
    </w:p>
    <w:p w:rsidRPr="00E213BA" w:rsidR="0022762A" w:rsidP="00420A26" w:rsidRDefault="0022762A">
      <w:pPr>
        <w:pStyle w:val="ECHRPara"/>
        <w:rPr>
          <w:lang w:val="en-GB"/>
        </w:rPr>
      </w:pPr>
      <w:r w:rsidRPr="00E213BA">
        <w:rPr>
          <w:lang w:val="en-GB"/>
        </w:rPr>
        <w:lastRenderedPageBreak/>
        <w:fldChar w:fldCharType="begin"/>
      </w:r>
      <w:r w:rsidRPr="00E213BA">
        <w:rPr>
          <w:lang w:val="en-GB"/>
        </w:rPr>
        <w:instrText xml:space="preserve"> SEQ level0 \*arabic </w:instrText>
      </w:r>
      <w:r w:rsidRPr="00E213BA">
        <w:rPr>
          <w:lang w:val="en-GB"/>
        </w:rPr>
        <w:fldChar w:fldCharType="separate"/>
      </w:r>
      <w:r w:rsidR="002B6D2B">
        <w:rPr>
          <w:noProof/>
          <w:lang w:val="en-GB"/>
        </w:rPr>
        <w:t>5</w:t>
      </w:r>
      <w:r w:rsidRPr="00E213BA">
        <w:rPr>
          <w:lang w:val="en-GB"/>
        </w:rPr>
        <w:fldChar w:fldCharType="end"/>
      </w:r>
      <w:r w:rsidRPr="00E213BA">
        <w:rPr>
          <w:lang w:val="en-GB"/>
        </w:rPr>
        <w:t>.  The applications were allocated to the Court</w:t>
      </w:r>
      <w:r w:rsidR="001F25A4">
        <w:rPr>
          <w:lang w:val="en-GB"/>
        </w:rPr>
        <w:t>’</w:t>
      </w:r>
      <w:r w:rsidR="003516F4">
        <w:rPr>
          <w:lang w:val="en-GB"/>
        </w:rPr>
        <w:t>s Second Section (Rule </w:t>
      </w:r>
      <w:r w:rsidRPr="00E213BA">
        <w:rPr>
          <w:lang w:val="en-GB"/>
        </w:rPr>
        <w:t>52 § 1 of the Rules of Court).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w:t>
      </w:r>
      <w:r w:rsidRPr="00E213BA">
        <w:rPr>
          <w:lang w:val="en-GB"/>
        </w:rPr>
        <w:fldChar w:fldCharType="end"/>
      </w:r>
      <w:r w:rsidRPr="00E213BA">
        <w:rPr>
          <w:lang w:val="en-GB"/>
        </w:rPr>
        <w:t>.  On 24 August 2011 the President of the Second Section decided to give notice to the Government of the applicants</w:t>
      </w:r>
      <w:r w:rsidR="001F25A4">
        <w:rPr>
          <w:lang w:val="en-GB"/>
        </w:rPr>
        <w:t>’</w:t>
      </w:r>
      <w:r w:rsidRPr="00E213BA">
        <w:rPr>
          <w:lang w:val="en-GB"/>
        </w:rPr>
        <w:t xml:space="preserve"> complaints under Articles</w:t>
      </w:r>
      <w:r w:rsidR="00C807DE">
        <w:rPr>
          <w:lang w:val="en-GB"/>
        </w:rPr>
        <w:t> </w:t>
      </w:r>
      <w:r w:rsidRPr="00E213BA">
        <w:rPr>
          <w:lang w:val="en-GB"/>
        </w:rPr>
        <w:t>6 and 14 of the Convention</w:t>
      </w:r>
      <w:r w:rsidRPr="00E213BA" w:rsidR="00EA792C">
        <w:rPr>
          <w:lang w:val="en-GB"/>
        </w:rPr>
        <w:t xml:space="preserve"> –</w:t>
      </w:r>
      <w:r w:rsidRPr="00E213BA">
        <w:rPr>
          <w:lang w:val="en-GB"/>
        </w:rPr>
        <w:t xml:space="preserve"> the latter taken in conjunction with Article 1 of Protocol No. 1</w:t>
      </w:r>
      <w:r w:rsidRPr="00E213BA" w:rsidR="00EA792C">
        <w:rPr>
          <w:lang w:val="en-GB"/>
        </w:rPr>
        <w:t xml:space="preserve"> –</w:t>
      </w:r>
      <w:r w:rsidRPr="00E213BA">
        <w:rPr>
          <w:lang w:val="en-GB"/>
        </w:rPr>
        <w:t xml:space="preserve"> </w:t>
      </w:r>
      <w:r w:rsidRPr="00E213BA" w:rsidR="00EA792C">
        <w:rPr>
          <w:lang w:val="en-GB"/>
        </w:rPr>
        <w:t>and under</w:t>
      </w:r>
      <w:r w:rsidRPr="00E213BA">
        <w:rPr>
          <w:lang w:val="en-GB"/>
        </w:rPr>
        <w:t xml:space="preserve"> Article 1 of Protocol No. 12. It was also decided that the Court would rule on the admissibility and merits of the applications at the same time (Article 29 § 1).</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w:t>
      </w:r>
      <w:r w:rsidRPr="00E213BA">
        <w:rPr>
          <w:lang w:val="en-GB"/>
        </w:rPr>
        <w:fldChar w:fldCharType="end"/>
      </w:r>
      <w:r w:rsidRPr="00E213BA">
        <w:rPr>
          <w:lang w:val="en-GB"/>
        </w:rPr>
        <w:t xml:space="preserve">.  On 28 August 2012 a Chamber of the Second Section composed of the following judges: Françoise </w:t>
      </w:r>
      <w:proofErr w:type="spellStart"/>
      <w:r w:rsidRPr="00E213BA">
        <w:rPr>
          <w:lang w:val="en-GB"/>
        </w:rPr>
        <w:t>Tulkens</w:t>
      </w:r>
      <w:proofErr w:type="spellEnd"/>
      <w:r w:rsidRPr="00E213BA">
        <w:rPr>
          <w:lang w:val="en-GB"/>
        </w:rPr>
        <w:t xml:space="preserve">, </w:t>
      </w:r>
      <w:proofErr w:type="spellStart"/>
      <w:r w:rsidRPr="00E213BA">
        <w:rPr>
          <w:lang w:val="en-GB"/>
        </w:rPr>
        <w:t>Danutė</w:t>
      </w:r>
      <w:proofErr w:type="spellEnd"/>
      <w:r w:rsidRPr="00E213BA">
        <w:rPr>
          <w:lang w:val="en-GB"/>
        </w:rPr>
        <w:t xml:space="preserve"> </w:t>
      </w:r>
      <w:proofErr w:type="spellStart"/>
      <w:r w:rsidRPr="00E213BA">
        <w:rPr>
          <w:lang w:val="en-GB"/>
        </w:rPr>
        <w:t>Jočienė</w:t>
      </w:r>
      <w:proofErr w:type="spellEnd"/>
      <w:r w:rsidRPr="00E213BA">
        <w:rPr>
          <w:lang w:val="en-GB"/>
        </w:rPr>
        <w:t xml:space="preserve">, </w:t>
      </w:r>
      <w:proofErr w:type="spellStart"/>
      <w:r w:rsidRPr="00E213BA">
        <w:rPr>
          <w:lang w:val="en-GB"/>
        </w:rPr>
        <w:t>Dragoljub</w:t>
      </w:r>
      <w:proofErr w:type="spellEnd"/>
      <w:r w:rsidRPr="00E213BA">
        <w:rPr>
          <w:lang w:val="en-GB"/>
        </w:rPr>
        <w:t xml:space="preserve"> </w:t>
      </w:r>
      <w:proofErr w:type="spellStart"/>
      <w:r w:rsidRPr="00E213BA">
        <w:rPr>
          <w:lang w:val="en-GB"/>
        </w:rPr>
        <w:t>Popović</w:t>
      </w:r>
      <w:proofErr w:type="spellEnd"/>
      <w:r w:rsidRPr="00E213BA">
        <w:rPr>
          <w:lang w:val="en-GB"/>
        </w:rPr>
        <w:t xml:space="preserve">, Isabelle </w:t>
      </w:r>
      <w:proofErr w:type="spellStart"/>
      <w:r w:rsidRPr="00E213BA">
        <w:rPr>
          <w:lang w:val="en-GB"/>
        </w:rPr>
        <w:t>Berro-Lefèvre</w:t>
      </w:r>
      <w:proofErr w:type="spellEnd"/>
      <w:r w:rsidRPr="00E213BA">
        <w:rPr>
          <w:lang w:val="en-GB"/>
        </w:rPr>
        <w:t xml:space="preserve">, </w:t>
      </w:r>
      <w:proofErr w:type="spellStart"/>
      <w:r w:rsidRPr="00E213BA">
        <w:rPr>
          <w:lang w:val="en-GB"/>
        </w:rPr>
        <w:t>András</w:t>
      </w:r>
      <w:proofErr w:type="spellEnd"/>
      <w:r w:rsidRPr="00E213BA">
        <w:rPr>
          <w:lang w:val="en-GB"/>
        </w:rPr>
        <w:t xml:space="preserve"> </w:t>
      </w:r>
      <w:proofErr w:type="spellStart"/>
      <w:r w:rsidRPr="00E213BA">
        <w:rPr>
          <w:lang w:val="en-GB"/>
        </w:rPr>
        <w:t>Sajó</w:t>
      </w:r>
      <w:proofErr w:type="spellEnd"/>
      <w:r w:rsidRPr="00E213BA">
        <w:rPr>
          <w:lang w:val="en-GB"/>
        </w:rPr>
        <w:t xml:space="preserve">, </w:t>
      </w:r>
      <w:proofErr w:type="spellStart"/>
      <w:r w:rsidRPr="00E213BA">
        <w:rPr>
          <w:lang w:val="en-GB"/>
        </w:rPr>
        <w:t>Işıl</w:t>
      </w:r>
      <w:proofErr w:type="spellEnd"/>
      <w:r w:rsidRPr="00E213BA">
        <w:rPr>
          <w:lang w:val="en-GB"/>
        </w:rPr>
        <w:t xml:space="preserve"> </w:t>
      </w:r>
      <w:proofErr w:type="spellStart"/>
      <w:r w:rsidRPr="00E213BA">
        <w:rPr>
          <w:lang w:val="en-GB"/>
        </w:rPr>
        <w:t>Karakaş</w:t>
      </w:r>
      <w:proofErr w:type="spellEnd"/>
      <w:r w:rsidRPr="00E213BA">
        <w:rPr>
          <w:lang w:val="en-GB"/>
        </w:rPr>
        <w:t xml:space="preserve"> and Guido Raimondi, and also of Françoise </w:t>
      </w:r>
      <w:proofErr w:type="spellStart"/>
      <w:r w:rsidRPr="00E213BA">
        <w:rPr>
          <w:lang w:val="en-GB"/>
        </w:rPr>
        <w:t>Elens-Passos</w:t>
      </w:r>
      <w:proofErr w:type="spellEnd"/>
      <w:r w:rsidRPr="00E213BA">
        <w:rPr>
          <w:lang w:val="en-GB"/>
        </w:rPr>
        <w:t>, Deputy Section Registrar, unanimously decided to join the applications. It declared, by a majority, the discrimination complaints under Article 14 of the Convention read in conjunction with Article 1 of Protocol No. 1, as well as those under Article</w:t>
      </w:r>
      <w:r w:rsidR="00C807DE">
        <w:rPr>
          <w:lang w:val="en-GB"/>
        </w:rPr>
        <w:t> </w:t>
      </w:r>
      <w:r w:rsidRPr="00E213BA">
        <w:rPr>
          <w:lang w:val="en-GB"/>
        </w:rPr>
        <w:t>1 of Protocol No. 12, admissible. The remaining complaints</w:t>
      </w:r>
      <w:r w:rsidRPr="00E213BA" w:rsidR="00173CED">
        <w:rPr>
          <w:lang w:val="en-GB"/>
        </w:rPr>
        <w:t>,</w:t>
      </w:r>
      <w:r w:rsidRPr="00E213BA">
        <w:rPr>
          <w:lang w:val="en-GB"/>
        </w:rPr>
        <w:t xml:space="preserve"> under Article 6 of the Convention, concerning the divergent national case-law, were unanimously declared inadmissible. The Chamber further found, by six votes to one, a violation of Article 14 read in conjunction with Article 1 of Protocol No. 1, unanimously held that Article 1 of Protocol No. 12 need not be examined separately, and unanimously dismissed the applicants</w:t>
      </w:r>
      <w:r w:rsidR="001F25A4">
        <w:rPr>
          <w:lang w:val="en-GB"/>
        </w:rPr>
        <w:t>’</w:t>
      </w:r>
      <w:r w:rsidRPr="00E213BA">
        <w:rPr>
          <w:lang w:val="en-GB"/>
        </w:rPr>
        <w:t xml:space="preserve"> just satisfaction claims as belated. Under Article 46, however, it decided, by six votes to one, to order that, within six months of the date on which the judgment </w:t>
      </w:r>
      <w:r w:rsidRPr="00E213BA" w:rsidR="00EE05BD">
        <w:rPr>
          <w:lang w:val="en-GB"/>
        </w:rPr>
        <w:t xml:space="preserve">became </w:t>
      </w:r>
      <w:r w:rsidRPr="00E213BA">
        <w:rPr>
          <w:lang w:val="en-GB"/>
        </w:rPr>
        <w:t xml:space="preserve">final, the Government must take all appropriate measures to secure non-discriminatory payment of the </w:t>
      </w:r>
      <w:r w:rsidRPr="00E213BA">
        <w:rPr>
          <w:i/>
          <w:lang w:val="en-GB"/>
        </w:rPr>
        <w:t>per diems</w:t>
      </w:r>
      <w:r w:rsidRPr="00E213BA">
        <w:rPr>
          <w:lang w:val="en-GB"/>
        </w:rPr>
        <w:t xml:space="preserve"> in question to all those entitled. </w:t>
      </w:r>
      <w:r w:rsidRPr="00E213BA" w:rsidR="00AB7BA8">
        <w:rPr>
          <w:lang w:val="en-GB"/>
        </w:rPr>
        <w:t xml:space="preserve">Lastly, the Chamber </w:t>
      </w:r>
      <w:r w:rsidRPr="00E213BA">
        <w:rPr>
          <w:lang w:val="en-GB"/>
        </w:rPr>
        <w:t xml:space="preserve">decided by a majority to adjourn, for six months starting from the said date, all similar applications already pending before the Court. The partly concurring and partly dissenting opinion of </w:t>
      </w:r>
      <w:r w:rsidRPr="00E213BA" w:rsidR="00EF344A">
        <w:rPr>
          <w:lang w:val="en-GB"/>
        </w:rPr>
        <w:t>J</w:t>
      </w:r>
      <w:r w:rsidRPr="00E213BA">
        <w:rPr>
          <w:lang w:val="en-GB"/>
        </w:rPr>
        <w:t xml:space="preserve">udge </w:t>
      </w:r>
      <w:proofErr w:type="spellStart"/>
      <w:r w:rsidRPr="00E213BA">
        <w:rPr>
          <w:lang w:val="en-GB"/>
        </w:rPr>
        <w:t>Sajó</w:t>
      </w:r>
      <w:proofErr w:type="spellEnd"/>
      <w:r w:rsidRPr="00E213BA">
        <w:rPr>
          <w:lang w:val="en-GB"/>
        </w:rPr>
        <w:t xml:space="preserve"> was annexed to the judgment.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w:t>
      </w:r>
      <w:r w:rsidRPr="00E213BA">
        <w:rPr>
          <w:lang w:val="en-GB"/>
        </w:rPr>
        <w:fldChar w:fldCharType="end"/>
      </w:r>
      <w:r w:rsidRPr="00E213BA">
        <w:rPr>
          <w:lang w:val="en-GB"/>
        </w:rPr>
        <w:t>.  On 26 November 2012 the Government asked for the case to be referred to the Grand Chamber by virtue of Article 43 of the Convention and Rule 73. On 11 February 2013 a panel of the Grand Chamber granted that request.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9</w:t>
      </w:r>
      <w:r w:rsidRPr="00E213BA">
        <w:rPr>
          <w:lang w:val="en-GB"/>
        </w:rPr>
        <w:fldChar w:fldCharType="end"/>
      </w:r>
      <w:r w:rsidRPr="00E213BA">
        <w:rPr>
          <w:lang w:val="en-GB"/>
        </w:rPr>
        <w:t>.  The composition of the Grand Chamber was determined according to the provisions of Article 26 §§ 4 and 5 of the Convention and Rule 24.</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10</w:t>
      </w:r>
      <w:r w:rsidRPr="00E213BA">
        <w:rPr>
          <w:lang w:val="en-GB"/>
        </w:rPr>
        <w:fldChar w:fldCharType="end"/>
      </w:r>
      <w:r w:rsidRPr="00E213BA">
        <w:rPr>
          <w:lang w:val="en-GB"/>
        </w:rPr>
        <w:t>.  The applicants and the Government each filed written observations.</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11</w:t>
      </w:r>
      <w:r w:rsidRPr="00E213BA">
        <w:rPr>
          <w:lang w:val="en-GB"/>
        </w:rPr>
        <w:fldChar w:fldCharType="end"/>
      </w:r>
      <w:r w:rsidRPr="00E213BA">
        <w:rPr>
          <w:lang w:val="en-GB"/>
        </w:rPr>
        <w:t>.  A hearing took place in public in the Human Rights Building, Strasbourg, on 15 May 2013 (Rule 59 § 3).</w:t>
      </w:r>
    </w:p>
    <w:p w:rsidRPr="00E213BA" w:rsidR="0022762A" w:rsidP="00027241" w:rsidRDefault="0022762A">
      <w:pPr>
        <w:pStyle w:val="ECHRPara"/>
      </w:pPr>
      <w:r w:rsidRPr="00E213BA">
        <w:t>There appeared before the Court:</w:t>
      </w:r>
    </w:p>
    <w:p w:rsidRPr="00E213BA" w:rsidR="0022762A" w:rsidP="002C5081" w:rsidRDefault="0022762A">
      <w:pPr>
        <w:pStyle w:val="JuCourt"/>
        <w:keepNext/>
        <w:keepLines/>
      </w:pPr>
      <w:r w:rsidRPr="00E213BA">
        <w:lastRenderedPageBreak/>
        <w:t>(a)  </w:t>
      </w:r>
      <w:r w:rsidRPr="00E213BA">
        <w:rPr>
          <w:i/>
        </w:rPr>
        <w:t>for the Government,</w:t>
      </w:r>
      <w:r w:rsidRPr="00E213BA">
        <w:rPr>
          <w:i/>
        </w:rPr>
        <w:tab/>
      </w:r>
      <w:r w:rsidRPr="00E213BA">
        <w:rPr>
          <w:i/>
        </w:rPr>
        <w:br/>
      </w:r>
      <w:proofErr w:type="spellStart"/>
      <w:r w:rsidRPr="00E213BA">
        <w:t>Mr</w:t>
      </w:r>
      <w:proofErr w:type="spellEnd"/>
      <w:r w:rsidRPr="00E213BA">
        <w:tab/>
        <w:t xml:space="preserve">S. </w:t>
      </w:r>
      <w:proofErr w:type="spellStart"/>
      <w:r w:rsidRPr="00E213BA">
        <w:rPr>
          <w:smallCaps/>
        </w:rPr>
        <w:t>Carić</w:t>
      </w:r>
      <w:proofErr w:type="spellEnd"/>
      <w:r w:rsidRPr="00E213BA">
        <w:t>, Assistant</w:t>
      </w:r>
      <w:r w:rsidR="00C807DE">
        <w:t xml:space="preserve"> </w:t>
      </w:r>
      <w:r w:rsidRPr="00E213BA">
        <w:t>Min</w:t>
      </w:r>
      <w:r w:rsidR="005060EA">
        <w:t>i</w:t>
      </w:r>
      <w:r w:rsidRPr="00E213BA">
        <w:t>ster</w:t>
      </w:r>
      <w:r w:rsidR="00C807DE">
        <w:t xml:space="preserve"> </w:t>
      </w:r>
      <w:r w:rsidRPr="00E213BA">
        <w:t>for Justice</w:t>
      </w:r>
      <w:r w:rsidR="002C5081">
        <w:t xml:space="preserve"> </w:t>
      </w:r>
      <w:r w:rsidRPr="00E213BA">
        <w:t xml:space="preserve">and </w:t>
      </w:r>
      <w:r w:rsidR="005060EA">
        <w:br/>
      </w:r>
      <w:r w:rsidR="005060EA">
        <w:tab/>
      </w:r>
      <w:r w:rsidR="005060EA">
        <w:tab/>
      </w:r>
      <w:r w:rsidRPr="00E213BA">
        <w:t>Public Administration,</w:t>
      </w:r>
      <w:r w:rsidR="001753CB">
        <w:t xml:space="preserve"> </w:t>
      </w:r>
      <w:r w:rsidR="002C5081">
        <w:tab/>
      </w:r>
      <w:r w:rsidRPr="00E213BA">
        <w:rPr>
          <w:i/>
        </w:rPr>
        <w:t xml:space="preserve">Agent, </w:t>
      </w:r>
      <w:r w:rsidRPr="00E213BA">
        <w:rPr>
          <w:i/>
        </w:rPr>
        <w:br/>
      </w:r>
      <w:proofErr w:type="spellStart"/>
      <w:r w:rsidRPr="002C5081">
        <w:rPr>
          <w:rStyle w:val="JuNames"/>
        </w:rPr>
        <w:t>Ms</w:t>
      </w:r>
      <w:proofErr w:type="spellEnd"/>
      <w:r w:rsidRPr="002C5081">
        <w:rPr>
          <w:rStyle w:val="JuNames"/>
        </w:rPr>
        <w:tab/>
        <w:t xml:space="preserve">V. </w:t>
      </w:r>
      <w:proofErr w:type="spellStart"/>
      <w:r w:rsidRPr="002C5081">
        <w:rPr>
          <w:rStyle w:val="JuNames"/>
        </w:rPr>
        <w:t>Rodić</w:t>
      </w:r>
      <w:proofErr w:type="spellEnd"/>
      <w:r w:rsidRPr="002C5081">
        <w:rPr>
          <w:rStyle w:val="JuNames"/>
        </w:rPr>
        <w:t>,</w:t>
      </w:r>
      <w:r w:rsidRPr="00E213BA">
        <w:t xml:space="preserve"> Agent</w:t>
      </w:r>
      <w:r w:rsidR="001F25A4">
        <w:t>’</w:t>
      </w:r>
      <w:r w:rsidRPr="00E213BA">
        <w:t>s Office,</w:t>
      </w:r>
      <w:r w:rsidRPr="00E213BA">
        <w:tab/>
      </w:r>
      <w:r w:rsidRPr="00E213BA">
        <w:br/>
      </w:r>
      <w:proofErr w:type="spellStart"/>
      <w:r w:rsidRPr="002C5081">
        <w:rPr>
          <w:rStyle w:val="JuNames"/>
        </w:rPr>
        <w:t>Mr</w:t>
      </w:r>
      <w:proofErr w:type="spellEnd"/>
      <w:r w:rsidRPr="002C5081">
        <w:rPr>
          <w:rStyle w:val="JuNames"/>
        </w:rPr>
        <w:tab/>
        <w:t xml:space="preserve">N. </w:t>
      </w:r>
      <w:proofErr w:type="spellStart"/>
      <w:r w:rsidRPr="002C5081">
        <w:rPr>
          <w:rStyle w:val="JuNames"/>
        </w:rPr>
        <w:t>Petković</w:t>
      </w:r>
      <w:proofErr w:type="spellEnd"/>
      <w:r w:rsidRPr="002C5081">
        <w:t>, Agent</w:t>
      </w:r>
      <w:r w:rsidR="001F25A4">
        <w:t>’</w:t>
      </w:r>
      <w:r w:rsidRPr="002C5081">
        <w:t>s Office,</w:t>
      </w:r>
      <w:r w:rsidRPr="00E213BA">
        <w:br/>
      </w:r>
      <w:proofErr w:type="spellStart"/>
      <w:r w:rsidRPr="002C5081">
        <w:rPr>
          <w:rStyle w:val="JuNames"/>
        </w:rPr>
        <w:t>Mr</w:t>
      </w:r>
      <w:proofErr w:type="spellEnd"/>
      <w:r w:rsidRPr="002C5081">
        <w:rPr>
          <w:rStyle w:val="JuNames"/>
        </w:rPr>
        <w:tab/>
        <w:t xml:space="preserve">R. </w:t>
      </w:r>
      <w:proofErr w:type="spellStart"/>
      <w:r w:rsidRPr="002C5081">
        <w:rPr>
          <w:rStyle w:val="JuNames"/>
        </w:rPr>
        <w:t>Arsenijević</w:t>
      </w:r>
      <w:proofErr w:type="spellEnd"/>
      <w:r w:rsidRPr="002C5081">
        <w:t xml:space="preserve">, Ministry of </w:t>
      </w:r>
      <w:proofErr w:type="spellStart"/>
      <w:r w:rsidRPr="002C5081">
        <w:t>Defence</w:t>
      </w:r>
      <w:proofErr w:type="spellEnd"/>
      <w:r w:rsidRPr="00E213BA">
        <w:t>,</w:t>
      </w:r>
      <w:r w:rsidRPr="00E213BA">
        <w:tab/>
      </w:r>
      <w:r w:rsidRPr="00E213BA">
        <w:br/>
      </w:r>
      <w:proofErr w:type="spellStart"/>
      <w:r w:rsidRPr="002C5081">
        <w:rPr>
          <w:rStyle w:val="JuNames"/>
        </w:rPr>
        <w:t>Mr</w:t>
      </w:r>
      <w:proofErr w:type="spellEnd"/>
      <w:r w:rsidRPr="002C5081">
        <w:rPr>
          <w:rStyle w:val="JuNames"/>
        </w:rPr>
        <w:tab/>
        <w:t xml:space="preserve">S. </w:t>
      </w:r>
      <w:proofErr w:type="spellStart"/>
      <w:r w:rsidRPr="002C5081">
        <w:rPr>
          <w:rStyle w:val="JuNames"/>
        </w:rPr>
        <w:t>Vuksanović</w:t>
      </w:r>
      <w:proofErr w:type="spellEnd"/>
      <w:r w:rsidRPr="00E213BA">
        <w:t xml:space="preserve">, Ministry of </w:t>
      </w:r>
      <w:proofErr w:type="spellStart"/>
      <w:r w:rsidRPr="00E213BA">
        <w:t>Defence</w:t>
      </w:r>
      <w:proofErr w:type="spellEnd"/>
      <w:r w:rsidRPr="00E213BA">
        <w:t xml:space="preserve">, </w:t>
      </w:r>
      <w:r w:rsidRPr="00E213BA">
        <w:br/>
      </w:r>
      <w:proofErr w:type="spellStart"/>
      <w:r w:rsidRPr="002C5081">
        <w:rPr>
          <w:rStyle w:val="JuNames"/>
        </w:rPr>
        <w:t>Ms</w:t>
      </w:r>
      <w:proofErr w:type="spellEnd"/>
      <w:r w:rsidRPr="002C5081">
        <w:rPr>
          <w:rStyle w:val="JuNames"/>
        </w:rPr>
        <w:tab/>
        <w:t xml:space="preserve">S. </w:t>
      </w:r>
      <w:proofErr w:type="spellStart"/>
      <w:r w:rsidRPr="002C5081">
        <w:rPr>
          <w:rStyle w:val="JuNames"/>
        </w:rPr>
        <w:t>Đurđević</w:t>
      </w:r>
      <w:proofErr w:type="spellEnd"/>
      <w:r w:rsidRPr="00E213BA">
        <w:t>,</w:t>
      </w:r>
      <w:r w:rsidR="002C5081">
        <w:tab/>
      </w:r>
      <w:r w:rsidRPr="00E213BA">
        <w:rPr>
          <w:i/>
        </w:rPr>
        <w:t>Advisers;</w:t>
      </w:r>
    </w:p>
    <w:p w:rsidRPr="00E213BA" w:rsidR="0022762A" w:rsidP="00366287" w:rsidRDefault="0022762A">
      <w:pPr>
        <w:keepLines/>
        <w:tabs>
          <w:tab w:val="left" w:pos="907"/>
          <w:tab w:val="left" w:pos="1701"/>
          <w:tab w:val="right" w:pos="7371"/>
        </w:tabs>
        <w:spacing w:before="240"/>
        <w:ind w:left="397" w:hanging="397"/>
        <w:jc w:val="left"/>
      </w:pPr>
      <w:r w:rsidRPr="00E213BA">
        <w:t>(b)  </w:t>
      </w:r>
      <w:proofErr w:type="gramStart"/>
      <w:r w:rsidRPr="00E213BA">
        <w:rPr>
          <w:i/>
        </w:rPr>
        <w:t>for</w:t>
      </w:r>
      <w:proofErr w:type="gramEnd"/>
      <w:r w:rsidRPr="00E213BA">
        <w:rPr>
          <w:i/>
        </w:rPr>
        <w:t xml:space="preserve"> the applicants</w:t>
      </w:r>
      <w:r w:rsidRPr="00E213BA">
        <w:br/>
      </w:r>
      <w:proofErr w:type="spellStart"/>
      <w:r w:rsidRPr="002C5081">
        <w:rPr>
          <w:rStyle w:val="JuNames"/>
        </w:rPr>
        <w:t>Mr</w:t>
      </w:r>
      <w:proofErr w:type="spellEnd"/>
      <w:r w:rsidRPr="002C5081">
        <w:rPr>
          <w:rStyle w:val="JuNames"/>
        </w:rPr>
        <w:tab/>
        <w:t xml:space="preserve">S. </w:t>
      </w:r>
      <w:proofErr w:type="spellStart"/>
      <w:r w:rsidRPr="002C5081">
        <w:rPr>
          <w:rStyle w:val="JuNames"/>
        </w:rPr>
        <w:t>Aleksić</w:t>
      </w:r>
      <w:proofErr w:type="spellEnd"/>
      <w:r w:rsidRPr="00E213BA">
        <w:t xml:space="preserve">, </w:t>
      </w:r>
      <w:r w:rsidRPr="00E213BA">
        <w:br/>
      </w:r>
      <w:proofErr w:type="spellStart"/>
      <w:r w:rsidRPr="002C5081">
        <w:rPr>
          <w:rStyle w:val="JuNames"/>
        </w:rPr>
        <w:t>Ms</w:t>
      </w:r>
      <w:proofErr w:type="spellEnd"/>
      <w:r w:rsidRPr="002C5081">
        <w:rPr>
          <w:rStyle w:val="JuNames"/>
        </w:rPr>
        <w:tab/>
        <w:t xml:space="preserve">B. </w:t>
      </w:r>
      <w:proofErr w:type="spellStart"/>
      <w:r w:rsidRPr="002C5081">
        <w:rPr>
          <w:rStyle w:val="JuNames"/>
        </w:rPr>
        <w:t>Isailović</w:t>
      </w:r>
      <w:proofErr w:type="spellEnd"/>
      <w:r w:rsidRPr="00E213BA">
        <w:t>,</w:t>
      </w:r>
      <w:r w:rsidR="002C5081">
        <w:tab/>
      </w:r>
      <w:r w:rsidRPr="00E213BA">
        <w:rPr>
          <w:i/>
        </w:rPr>
        <w:t>Counsel,</w:t>
      </w:r>
      <w:r w:rsidRPr="00E213BA">
        <w:rPr>
          <w:i/>
        </w:rPr>
        <w:br/>
      </w:r>
      <w:proofErr w:type="spellStart"/>
      <w:r w:rsidRPr="002C5081">
        <w:rPr>
          <w:rStyle w:val="JuNames"/>
        </w:rPr>
        <w:t>Ms</w:t>
      </w:r>
      <w:proofErr w:type="spellEnd"/>
      <w:r w:rsidRPr="002C5081">
        <w:rPr>
          <w:rStyle w:val="JuNames"/>
        </w:rPr>
        <w:tab/>
        <w:t xml:space="preserve">M. </w:t>
      </w:r>
      <w:proofErr w:type="spellStart"/>
      <w:r w:rsidRPr="002C5081">
        <w:rPr>
          <w:rStyle w:val="JuNames"/>
        </w:rPr>
        <w:t>Lazarević</w:t>
      </w:r>
      <w:proofErr w:type="spellEnd"/>
      <w:r w:rsidRPr="00E213BA">
        <w:t>,</w:t>
      </w:r>
      <w:r w:rsidR="002C5081">
        <w:tab/>
      </w:r>
      <w:r w:rsidRPr="00E213BA">
        <w:rPr>
          <w:i/>
        </w:rPr>
        <w:t>Adviser.</w:t>
      </w:r>
    </w:p>
    <w:p w:rsidRPr="00E213BA" w:rsidR="0022762A" w:rsidP="00366287" w:rsidRDefault="0022762A">
      <w:pPr>
        <w:ind w:firstLine="284"/>
        <w:jc w:val="left"/>
      </w:pPr>
    </w:p>
    <w:p w:rsidRPr="00E213BA" w:rsidR="0022762A" w:rsidP="00420A26" w:rsidRDefault="0022762A">
      <w:pPr>
        <w:pStyle w:val="ECHRPara"/>
        <w:rPr>
          <w:lang w:val="en-GB"/>
        </w:rPr>
      </w:pPr>
      <w:r w:rsidRPr="00E213BA">
        <w:rPr>
          <w:lang w:val="en-GB"/>
        </w:rPr>
        <w:t xml:space="preserve">The Grand Chamber heard addresses by </w:t>
      </w:r>
      <w:r w:rsidR="00EA208C">
        <w:rPr>
          <w:lang w:val="en-GB"/>
        </w:rPr>
        <w:t xml:space="preserve">Mr </w:t>
      </w:r>
      <w:proofErr w:type="spellStart"/>
      <w:r w:rsidR="00EA208C">
        <w:rPr>
          <w:lang w:val="en-GB"/>
        </w:rPr>
        <w:t>Aleksić</w:t>
      </w:r>
      <w:proofErr w:type="spellEnd"/>
      <w:r w:rsidR="00EA208C">
        <w:rPr>
          <w:lang w:val="en-GB"/>
        </w:rPr>
        <w:t xml:space="preserve">, Ms </w:t>
      </w:r>
      <w:proofErr w:type="spellStart"/>
      <w:r w:rsidR="00EA208C">
        <w:rPr>
          <w:lang w:val="en-GB"/>
        </w:rPr>
        <w:t>Isailović</w:t>
      </w:r>
      <w:proofErr w:type="spellEnd"/>
      <w:r w:rsidR="00EA208C">
        <w:rPr>
          <w:lang w:val="en-GB"/>
        </w:rPr>
        <w:t xml:space="preserve"> and Mr </w:t>
      </w:r>
      <w:proofErr w:type="spellStart"/>
      <w:r w:rsidRPr="00E213BA">
        <w:rPr>
          <w:lang w:val="en-GB"/>
        </w:rPr>
        <w:t>Carić</w:t>
      </w:r>
      <w:proofErr w:type="spellEnd"/>
      <w:r w:rsidRPr="00E213BA">
        <w:rPr>
          <w:lang w:val="en-GB"/>
        </w:rPr>
        <w:t xml:space="preserve">, as well as the answers given by Ms </w:t>
      </w:r>
      <w:proofErr w:type="spellStart"/>
      <w:r w:rsidRPr="00E213BA">
        <w:rPr>
          <w:lang w:val="en-GB"/>
        </w:rPr>
        <w:t>Isailović</w:t>
      </w:r>
      <w:proofErr w:type="spellEnd"/>
      <w:r w:rsidRPr="00E213BA">
        <w:rPr>
          <w:lang w:val="en-GB"/>
        </w:rPr>
        <w:t xml:space="preserve"> and Mr </w:t>
      </w:r>
      <w:proofErr w:type="spellStart"/>
      <w:r w:rsidRPr="00E213BA">
        <w:rPr>
          <w:lang w:val="en-GB"/>
        </w:rPr>
        <w:t>Carić</w:t>
      </w:r>
      <w:proofErr w:type="spellEnd"/>
      <w:r w:rsidRPr="00E213BA">
        <w:rPr>
          <w:lang w:val="en-GB"/>
        </w:rPr>
        <w:t xml:space="preserve"> to questions put by the judges.</w:t>
      </w:r>
    </w:p>
    <w:p w:rsidRPr="00E213BA" w:rsidR="0022762A" w:rsidP="00420A26" w:rsidRDefault="0022762A">
      <w:pPr>
        <w:pStyle w:val="ECHRPara"/>
        <w:rPr>
          <w:lang w:val="en-GB"/>
        </w:rPr>
      </w:pPr>
      <w:r w:rsidRPr="00E213BA">
        <w:rPr>
          <w:lang w:val="en-GB"/>
        </w:rPr>
        <w:t xml:space="preserve">Additional documents were submitted by the applicants on the day of the hearing, and the President authorised the parties to submit their written comments in </w:t>
      </w:r>
      <w:r w:rsidRPr="00E213BA" w:rsidR="001E2B3A">
        <w:rPr>
          <w:lang w:val="en-GB"/>
        </w:rPr>
        <w:t>respect thereof</w:t>
      </w:r>
      <w:r w:rsidRPr="00E213BA">
        <w:rPr>
          <w:lang w:val="en-GB"/>
        </w:rPr>
        <w:t xml:space="preserve">. </w:t>
      </w:r>
      <w:r w:rsidRPr="00E213BA" w:rsidR="001E2B3A">
        <w:rPr>
          <w:lang w:val="en-GB"/>
        </w:rPr>
        <w:t>W</w:t>
      </w:r>
      <w:r w:rsidRPr="00E213BA">
        <w:rPr>
          <w:lang w:val="en-GB"/>
        </w:rPr>
        <w:t xml:space="preserve">ritten comments were </w:t>
      </w:r>
      <w:r w:rsidRPr="00E213BA" w:rsidR="001E2B3A">
        <w:rPr>
          <w:lang w:val="en-GB"/>
        </w:rPr>
        <w:t xml:space="preserve">submitted </w:t>
      </w:r>
      <w:r w:rsidRPr="00E213BA">
        <w:rPr>
          <w:lang w:val="en-GB"/>
        </w:rPr>
        <w:t>by the Government and the applicants on 17 June 2013 and 25 June 2013, respectively.</w:t>
      </w:r>
    </w:p>
    <w:p w:rsidRPr="00E213BA" w:rsidR="0022762A" w:rsidP="00027241" w:rsidRDefault="0022762A">
      <w:pPr>
        <w:pStyle w:val="ECHRTitle1"/>
      </w:pPr>
      <w:r w:rsidRPr="00E213BA">
        <w:t>THE FACTS</w:t>
      </w:r>
    </w:p>
    <w:p w:rsidRPr="00E213BA" w:rsidR="0022762A" w:rsidP="00027241" w:rsidRDefault="0022762A">
      <w:pPr>
        <w:pStyle w:val="ECHRHeading1"/>
      </w:pPr>
      <w:r w:rsidRPr="00E213BA">
        <w:t>I.  THE CIRCUMSTANCES OF THE CASE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12</w:t>
      </w:r>
      <w:r w:rsidRPr="00E213BA">
        <w:rPr>
          <w:lang w:val="en-GB"/>
        </w:rPr>
        <w:fldChar w:fldCharType="end"/>
      </w:r>
      <w:r w:rsidRPr="00E213BA">
        <w:rPr>
          <w:lang w:val="en-GB"/>
        </w:rPr>
        <w:t>.  The facts of the case, as submitted by the parties, may be summarised as follows.</w:t>
      </w:r>
    </w:p>
    <w:p w:rsidRPr="00E213BA" w:rsidR="0022762A" w:rsidP="00420A26" w:rsidRDefault="0022762A">
      <w:pPr>
        <w:pStyle w:val="ECHRHeading2"/>
      </w:pPr>
      <w:r w:rsidRPr="00E213BA">
        <w:t>A.  The context and the proceedings brought by the applicants</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13</w:t>
      </w:r>
      <w:r w:rsidRPr="00E213BA">
        <w:rPr>
          <w:lang w:val="en-GB"/>
        </w:rPr>
        <w:fldChar w:fldCharType="end"/>
      </w:r>
      <w:r w:rsidRPr="00E213BA">
        <w:rPr>
          <w:lang w:val="en-GB"/>
        </w:rPr>
        <w:t>.  The applicants were all reservists who had been drafted by the Yugoslav Army in connection with the North Atlantic Treaty Organisation</w:t>
      </w:r>
      <w:r w:rsidR="001F25A4">
        <w:rPr>
          <w:lang w:val="en-GB"/>
        </w:rPr>
        <w:t>’</w:t>
      </w:r>
      <w:r w:rsidRPr="00E213BA">
        <w:rPr>
          <w:lang w:val="en-GB"/>
        </w:rPr>
        <w:t xml:space="preserve">s intervention in </w:t>
      </w:r>
      <w:bookmarkStart w:name="File4" w:id="3"/>
      <w:r w:rsidRPr="00E213BA">
        <w:rPr>
          <w:lang w:val="en-GB"/>
        </w:rPr>
        <w:t>Serbia</w:t>
      </w:r>
      <w:bookmarkEnd w:id="3"/>
      <w:r w:rsidRPr="00E213BA">
        <w:rPr>
          <w:lang w:val="en-GB"/>
        </w:rPr>
        <w:t xml:space="preserve">. They remained in military service between March and June 1999, and were thus entitled to a certain </w:t>
      </w:r>
      <w:r w:rsidRPr="00E213BA">
        <w:rPr>
          <w:i/>
          <w:lang w:val="en-GB"/>
        </w:rPr>
        <w:t>per diem</w:t>
      </w:r>
      <w:r w:rsidRPr="00E213BA">
        <w:rPr>
          <w:lang w:val="en-GB"/>
        </w:rPr>
        <w:t xml:space="preserve"> under the Rules on Travel and Other Expenses in the Yugoslav Army (see paragraph 4</w:t>
      </w:r>
      <w:r w:rsidRPr="00E213BA" w:rsidR="007F5AD8">
        <w:rPr>
          <w:lang w:val="en-GB"/>
        </w:rPr>
        <w:t>4</w:t>
      </w:r>
      <w:r w:rsidRPr="00E213BA">
        <w:rPr>
          <w:lang w:val="en-GB"/>
        </w:rPr>
        <w:t xml:space="preserve"> below) and by virtue of two separate decisions </w:t>
      </w:r>
      <w:r w:rsidRPr="00E213BA" w:rsidR="0031728B">
        <w:rPr>
          <w:lang w:val="en-GB"/>
        </w:rPr>
        <w:t>(nos. 03</w:t>
      </w:r>
      <w:r w:rsidR="006958D4">
        <w:rPr>
          <w:lang w:val="en-GB"/>
        </w:rPr>
        <w:t>⁄</w:t>
      </w:r>
      <w:r w:rsidRPr="00E213BA" w:rsidR="0031728B">
        <w:rPr>
          <w:lang w:val="en-GB"/>
        </w:rPr>
        <w:t>825-2 and 06</w:t>
      </w:r>
      <w:r w:rsidR="006958D4">
        <w:rPr>
          <w:lang w:val="en-GB"/>
        </w:rPr>
        <w:t>⁄</w:t>
      </w:r>
      <w:r w:rsidRPr="00E213BA" w:rsidR="0031728B">
        <w:rPr>
          <w:lang w:val="en-GB"/>
        </w:rPr>
        <w:t xml:space="preserve">691-1) </w:t>
      </w:r>
      <w:r w:rsidRPr="00E213BA">
        <w:rPr>
          <w:lang w:val="en-GB"/>
        </w:rPr>
        <w:t>adopted by its Chief of Staff on 1 and 3 April 1999 respectively.</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14</w:t>
      </w:r>
      <w:r w:rsidRPr="00E213BA">
        <w:rPr>
          <w:lang w:val="en-GB"/>
        </w:rPr>
        <w:fldChar w:fldCharType="end"/>
      </w:r>
      <w:r w:rsidRPr="00E213BA">
        <w:rPr>
          <w:lang w:val="en-GB"/>
        </w:rPr>
        <w:t>.  However, following the demobilisation the Government allegedly refused to honour their obligation to the reservists, including the applicants.</w:t>
      </w:r>
    </w:p>
    <w:p w:rsidRPr="00E213BA" w:rsidR="0022762A" w:rsidP="00420A26" w:rsidRDefault="0022762A">
      <w:pPr>
        <w:pStyle w:val="ECHRPara"/>
        <w:rPr>
          <w:lang w:val="en-GB"/>
        </w:rPr>
      </w:pPr>
      <w:r w:rsidRPr="00E213BA">
        <w:rPr>
          <w:lang w:val="en-GB"/>
        </w:rPr>
        <w:lastRenderedPageBreak/>
        <w:fldChar w:fldCharType="begin"/>
      </w:r>
      <w:r w:rsidRPr="00E213BA">
        <w:rPr>
          <w:lang w:val="en-GB"/>
        </w:rPr>
        <w:instrText xml:space="preserve"> SEQ level0 \*arabic </w:instrText>
      </w:r>
      <w:r w:rsidRPr="00E213BA">
        <w:rPr>
          <w:lang w:val="en-GB"/>
        </w:rPr>
        <w:fldChar w:fldCharType="separate"/>
      </w:r>
      <w:r w:rsidR="002B6D2B">
        <w:rPr>
          <w:noProof/>
          <w:lang w:val="en-GB"/>
        </w:rPr>
        <w:t>15</w:t>
      </w:r>
      <w:r w:rsidRPr="00E213BA">
        <w:rPr>
          <w:lang w:val="en-GB"/>
        </w:rPr>
        <w:fldChar w:fldCharType="end"/>
      </w:r>
      <w:r w:rsidRPr="00E213BA">
        <w:rPr>
          <w:lang w:val="en-GB"/>
        </w:rPr>
        <w:t xml:space="preserve">.  The reservists subsequently organised a series of public protests, some of which ended in open confrontation with the police. Ultimately, following protracted negotiations, on 11 January 2008 the Government reached an agreement with some of the reservists (“the Agreement”), in particular those residing in the municipalities of </w:t>
      </w:r>
      <w:proofErr w:type="spellStart"/>
      <w:r w:rsidRPr="00E213BA">
        <w:rPr>
          <w:lang w:val="en-GB"/>
        </w:rPr>
        <w:t>Kuršumlija</w:t>
      </w:r>
      <w:proofErr w:type="spellEnd"/>
      <w:r w:rsidRPr="00E213BA">
        <w:rPr>
          <w:lang w:val="en-GB"/>
        </w:rPr>
        <w:t xml:space="preserve">, </w:t>
      </w:r>
      <w:proofErr w:type="spellStart"/>
      <w:r w:rsidRPr="00E213BA">
        <w:rPr>
          <w:lang w:val="en-GB"/>
        </w:rPr>
        <w:t>Lebane</w:t>
      </w:r>
      <w:proofErr w:type="spellEnd"/>
      <w:r w:rsidRPr="00E213BA">
        <w:rPr>
          <w:lang w:val="en-GB"/>
        </w:rPr>
        <w:t xml:space="preserve">, </w:t>
      </w:r>
      <w:proofErr w:type="spellStart"/>
      <w:r w:rsidRPr="00E213BA">
        <w:rPr>
          <w:lang w:val="en-GB"/>
        </w:rPr>
        <w:t>Bojnik</w:t>
      </w:r>
      <w:proofErr w:type="spellEnd"/>
      <w:r w:rsidRPr="00E213BA">
        <w:rPr>
          <w:lang w:val="en-GB"/>
        </w:rPr>
        <w:t xml:space="preserve">, </w:t>
      </w:r>
      <w:proofErr w:type="spellStart"/>
      <w:proofErr w:type="gramStart"/>
      <w:r w:rsidRPr="00E213BA">
        <w:rPr>
          <w:lang w:val="en-GB"/>
        </w:rPr>
        <w:t>Žitorađa</w:t>
      </w:r>
      <w:proofErr w:type="spellEnd"/>
      <w:proofErr w:type="gramEnd"/>
      <w:r w:rsidRPr="00E213BA">
        <w:rPr>
          <w:lang w:val="en-GB"/>
        </w:rPr>
        <w:t xml:space="preserve">, </w:t>
      </w:r>
      <w:proofErr w:type="spellStart"/>
      <w:r w:rsidRPr="00E213BA">
        <w:rPr>
          <w:lang w:val="en-GB"/>
        </w:rPr>
        <w:t>Doljevac</w:t>
      </w:r>
      <w:proofErr w:type="spellEnd"/>
      <w:r w:rsidRPr="00E213BA">
        <w:rPr>
          <w:lang w:val="en-GB"/>
        </w:rPr>
        <w:t xml:space="preserve">, </w:t>
      </w:r>
      <w:proofErr w:type="spellStart"/>
      <w:r w:rsidRPr="00E213BA">
        <w:rPr>
          <w:lang w:val="en-GB"/>
        </w:rPr>
        <w:t>Prokuplje</w:t>
      </w:r>
      <w:proofErr w:type="spellEnd"/>
      <w:r w:rsidRPr="00E213BA">
        <w:rPr>
          <w:lang w:val="en-GB"/>
        </w:rPr>
        <w:t xml:space="preserve"> and </w:t>
      </w:r>
      <w:proofErr w:type="spellStart"/>
      <w:r w:rsidRPr="00E213BA">
        <w:rPr>
          <w:lang w:val="en-GB"/>
        </w:rPr>
        <w:t>Blace</w:t>
      </w:r>
      <w:proofErr w:type="spellEnd"/>
      <w:r w:rsidRPr="00E213BA">
        <w:rPr>
          <w:lang w:val="en-GB"/>
        </w:rPr>
        <w:t>, whereby the</w:t>
      </w:r>
      <w:r w:rsidRPr="00E213BA" w:rsidR="00A13D14">
        <w:rPr>
          <w:lang w:val="en-GB"/>
        </w:rPr>
        <w:t>se</w:t>
      </w:r>
      <w:r w:rsidRPr="00E213BA">
        <w:rPr>
          <w:lang w:val="en-GB"/>
        </w:rPr>
        <w:t xml:space="preserve"> </w:t>
      </w:r>
      <w:r w:rsidRPr="00E213BA" w:rsidR="00A13D14">
        <w:rPr>
          <w:lang w:val="en-GB"/>
        </w:rPr>
        <w:t>reservists</w:t>
      </w:r>
      <w:r w:rsidRPr="00E213BA">
        <w:rPr>
          <w:lang w:val="en-GB"/>
        </w:rPr>
        <w:t xml:space="preserve"> were guaranteed payment in six monthly instalments. This payment was to be effected through their respective municipalities, aggregate sums having been specified per municipality. The said municipalities were apparently chosen because of their “underdeveloped” status, implying the reservists</w:t>
      </w:r>
      <w:r w:rsidR="001F25A4">
        <w:rPr>
          <w:lang w:val="en-GB"/>
        </w:rPr>
        <w:t>’</w:t>
      </w:r>
      <w:r w:rsidRPr="00E213BA">
        <w:rPr>
          <w:lang w:val="en-GB"/>
        </w:rPr>
        <w:t xml:space="preserve"> indigence. For their part, the reservists in question </w:t>
      </w:r>
      <w:r w:rsidRPr="00E213BA" w:rsidR="00350A5B">
        <w:rPr>
          <w:lang w:val="en-GB"/>
        </w:rPr>
        <w:t xml:space="preserve">agreed </w:t>
      </w:r>
      <w:r w:rsidRPr="00E213BA">
        <w:rPr>
          <w:lang w:val="en-GB"/>
        </w:rPr>
        <w:t>to renounce all their outstanding claims based on their military service in 1999 which were still pending before the civil courts, as well as any other claim in this connection. It was, lastly, stipulated that the criteria for the distribution of the “financial aid” in question should be set out by a Commission consisting of local government representatives and the representatives of the reservists themselves.</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16</w:t>
      </w:r>
      <w:r w:rsidRPr="00E213BA">
        <w:rPr>
          <w:lang w:val="en-GB"/>
        </w:rPr>
        <w:fldChar w:fldCharType="end"/>
      </w:r>
      <w:r w:rsidRPr="00E213BA">
        <w:rPr>
          <w:lang w:val="en-GB"/>
        </w:rPr>
        <w:t>.  The applicants, like all other reservists without a registered residence in one of the seven municipalities in question, could not benefit from the Agreement.</w:t>
      </w:r>
    </w:p>
    <w:p w:rsidRPr="00E213BA" w:rsidR="0022762A" w:rsidP="00420A26" w:rsidRDefault="0022762A">
      <w:pPr>
        <w:pStyle w:val="ECHRHeading3"/>
      </w:pPr>
      <w:r w:rsidRPr="00E213BA">
        <w:t>1.  Civil Proceedings</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17</w:t>
      </w:r>
      <w:r w:rsidRPr="00E213BA">
        <w:rPr>
          <w:lang w:val="en-GB"/>
        </w:rPr>
        <w:fldChar w:fldCharType="end"/>
      </w:r>
      <w:r w:rsidRPr="00E213BA">
        <w:rPr>
          <w:lang w:val="en-GB"/>
        </w:rPr>
        <w:t xml:space="preserve">.  On 26 March 2009 the applicants therefore filed a civil claim against the respondent State based on the regulations </w:t>
      </w:r>
      <w:r w:rsidRPr="00E213BA" w:rsidR="00A249BD">
        <w:rPr>
          <w:lang w:val="en-GB"/>
        </w:rPr>
        <w:t xml:space="preserve">referred to </w:t>
      </w:r>
      <w:r w:rsidRPr="00E213BA" w:rsidR="00DF21CD">
        <w:rPr>
          <w:lang w:val="en-GB"/>
        </w:rPr>
        <w:t xml:space="preserve">in </w:t>
      </w:r>
      <w:r w:rsidRPr="00E213BA">
        <w:rPr>
          <w:lang w:val="en-GB"/>
        </w:rPr>
        <w:t xml:space="preserve">paragraph 13 above. In their submissions, they pointed </w:t>
      </w:r>
      <w:r w:rsidRPr="00E213BA">
        <w:rPr>
          <w:i/>
          <w:lang w:val="en-GB"/>
        </w:rPr>
        <w:t>inter alia</w:t>
      </w:r>
      <w:r w:rsidRPr="00E213BA">
        <w:rPr>
          <w:lang w:val="en-GB"/>
        </w:rPr>
        <w:t xml:space="preserve"> to the discrimination resulting from the Agreement. By way of redress (</w:t>
      </w:r>
      <w:proofErr w:type="spellStart"/>
      <w:r w:rsidRPr="00E213BA">
        <w:rPr>
          <w:i/>
          <w:lang w:val="en-GB"/>
        </w:rPr>
        <w:t>tužbeni</w:t>
      </w:r>
      <w:proofErr w:type="spellEnd"/>
      <w:r w:rsidRPr="00E213BA">
        <w:rPr>
          <w:i/>
          <w:lang w:val="en-GB"/>
        </w:rPr>
        <w:t xml:space="preserve"> </w:t>
      </w:r>
      <w:proofErr w:type="spellStart"/>
      <w:r w:rsidRPr="00E213BA">
        <w:rPr>
          <w:i/>
          <w:lang w:val="en-GB"/>
        </w:rPr>
        <w:t>zahtev</w:t>
      </w:r>
      <w:proofErr w:type="spellEnd"/>
      <w:r w:rsidRPr="00E213BA">
        <w:rPr>
          <w:lang w:val="en-GB"/>
        </w:rPr>
        <w:t xml:space="preserve">), the applicants requested the payment of specific sums on account of the </w:t>
      </w:r>
      <w:r w:rsidRPr="00E213BA">
        <w:rPr>
          <w:i/>
          <w:lang w:val="en-GB"/>
        </w:rPr>
        <w:t>per diems</w:t>
      </w:r>
      <w:r w:rsidRPr="00E213BA">
        <w:rPr>
          <w:lang w:val="en-GB"/>
        </w:rPr>
        <w:t xml:space="preserve"> in question, as well as certain other benefits, without relying on any anti-discrimination provision</w:t>
      </w:r>
      <w:r w:rsidRPr="00E213BA" w:rsidR="00D2174C">
        <w:rPr>
          <w:lang w:val="en-GB"/>
        </w:rPr>
        <w:t xml:space="preserve"> –</w:t>
      </w:r>
      <w:r w:rsidRPr="00E213BA">
        <w:rPr>
          <w:lang w:val="en-GB"/>
        </w:rPr>
        <w:t xml:space="preserve"> domestic or international</w:t>
      </w:r>
      <w:r w:rsidRPr="00E213BA" w:rsidR="00D2174C">
        <w:rPr>
          <w:lang w:val="en-GB"/>
        </w:rPr>
        <w:t xml:space="preserve"> –</w:t>
      </w:r>
      <w:r w:rsidRPr="00E213BA">
        <w:rPr>
          <w:lang w:val="en-GB"/>
        </w:rPr>
        <w:t xml:space="preserve"> or otherwise referring to the </w:t>
      </w:r>
      <w:r w:rsidRPr="00E213BA" w:rsidR="00D2174C">
        <w:rPr>
          <w:lang w:val="en-GB"/>
        </w:rPr>
        <w:t xml:space="preserve">issue of </w:t>
      </w:r>
      <w:r w:rsidRPr="00E213BA">
        <w:rPr>
          <w:lang w:val="en-GB"/>
        </w:rPr>
        <w:t>discrimination.</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18</w:t>
      </w:r>
      <w:r w:rsidRPr="00E213BA">
        <w:rPr>
          <w:lang w:val="en-GB"/>
        </w:rPr>
        <w:fldChar w:fldCharType="end"/>
      </w:r>
      <w:r w:rsidRPr="00E213BA">
        <w:rPr>
          <w:lang w:val="en-GB"/>
        </w:rPr>
        <w:t xml:space="preserve">.  On 8 July 2010 the </w:t>
      </w:r>
      <w:proofErr w:type="spellStart"/>
      <w:r w:rsidRPr="00E213BA" w:rsidR="00F56B66">
        <w:rPr>
          <w:lang w:val="en-GB"/>
        </w:rPr>
        <w:t>Niš</w:t>
      </w:r>
      <w:proofErr w:type="spellEnd"/>
      <w:r w:rsidRPr="00E213BA" w:rsidR="00F56B66">
        <w:rPr>
          <w:lang w:val="en-GB"/>
        </w:rPr>
        <w:t xml:space="preserve"> </w:t>
      </w:r>
      <w:r w:rsidRPr="00E213BA">
        <w:rPr>
          <w:lang w:val="en-GB"/>
        </w:rPr>
        <w:t>Court of First Instance (</w:t>
      </w:r>
      <w:proofErr w:type="spellStart"/>
      <w:r w:rsidRPr="00E213BA">
        <w:rPr>
          <w:i/>
          <w:lang w:val="en-GB"/>
        </w:rPr>
        <w:t>Osnovni</w:t>
      </w:r>
      <w:proofErr w:type="spellEnd"/>
      <w:r w:rsidRPr="00E213BA">
        <w:rPr>
          <w:i/>
          <w:lang w:val="en-GB"/>
        </w:rPr>
        <w:t xml:space="preserve"> </w:t>
      </w:r>
      <w:proofErr w:type="spellStart"/>
      <w:r w:rsidRPr="00E213BA">
        <w:rPr>
          <w:i/>
          <w:lang w:val="en-GB"/>
        </w:rPr>
        <w:t>sud</w:t>
      </w:r>
      <w:proofErr w:type="spellEnd"/>
      <w:r w:rsidRPr="00E213BA">
        <w:rPr>
          <w:lang w:val="en-GB"/>
        </w:rPr>
        <w:t>) ruled against the applicants. In so doing, it acknowledged that their claim had a valid legal basis but noted, as pointed out by the respondent, that the applicable prescription period had been three years as of their demobilisation, in accordance with section 376 § 1 of the Obligations Act (see paragraph 4</w:t>
      </w:r>
      <w:r w:rsidRPr="00E213BA" w:rsidR="007F5AD8">
        <w:rPr>
          <w:lang w:val="en-GB"/>
        </w:rPr>
        <w:t>9</w:t>
      </w:r>
      <w:r w:rsidRPr="00E213BA">
        <w:rPr>
          <w:lang w:val="en-GB"/>
        </w:rPr>
        <w:t xml:space="preserve"> below). The applicants</w:t>
      </w:r>
      <w:r w:rsidR="001F25A4">
        <w:rPr>
          <w:lang w:val="en-GB"/>
        </w:rPr>
        <w:t>’</w:t>
      </w:r>
      <w:r w:rsidRPr="00E213BA">
        <w:rPr>
          <w:lang w:val="en-GB"/>
        </w:rPr>
        <w:t xml:space="preserve"> claim had thus been filed out of time.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19</w:t>
      </w:r>
      <w:r w:rsidRPr="00E213BA">
        <w:rPr>
          <w:lang w:val="en-GB"/>
        </w:rPr>
        <w:fldChar w:fldCharType="end"/>
      </w:r>
      <w:r w:rsidRPr="00E213BA">
        <w:rPr>
          <w:lang w:val="en-GB"/>
        </w:rPr>
        <w:t>.  </w:t>
      </w:r>
      <w:r w:rsidRPr="00E213BA" w:rsidR="00D2174C">
        <w:rPr>
          <w:lang w:val="en-GB"/>
        </w:rPr>
        <w:t>O</w:t>
      </w:r>
      <w:r w:rsidRPr="00E213BA">
        <w:rPr>
          <w:lang w:val="en-GB"/>
        </w:rPr>
        <w:t xml:space="preserve">n 2 August 2010 the applicants lodged an appeal against </w:t>
      </w:r>
      <w:r w:rsidRPr="00E213BA" w:rsidR="00D2174C">
        <w:rPr>
          <w:lang w:val="en-GB"/>
        </w:rPr>
        <w:t>that judgment</w:t>
      </w:r>
      <w:r w:rsidRPr="00E213BA" w:rsidR="00B74C35">
        <w:rPr>
          <w:lang w:val="en-GB"/>
        </w:rPr>
        <w:t xml:space="preserve">, complaining </w:t>
      </w:r>
      <w:r w:rsidRPr="00E213BA">
        <w:rPr>
          <w:lang w:val="en-GB"/>
        </w:rPr>
        <w:t xml:space="preserve">about various procedural violations allegedly committed at first instance, the failure of the court in question to properly establish all of the relevant facts, and the erroneous application of the applicable prescription periods. The applicants also referred to the Agreement, in </w:t>
      </w:r>
      <w:r w:rsidRPr="00E213BA" w:rsidR="00B74C35">
        <w:rPr>
          <w:lang w:val="en-GB"/>
        </w:rPr>
        <w:t>so far as</w:t>
      </w:r>
      <w:r w:rsidRPr="00E213BA">
        <w:rPr>
          <w:lang w:val="en-GB"/>
        </w:rPr>
        <w:t xml:space="preserve"> other reservists </w:t>
      </w:r>
      <w:r w:rsidRPr="00E213BA" w:rsidR="00B74C35">
        <w:rPr>
          <w:lang w:val="en-GB"/>
        </w:rPr>
        <w:t xml:space="preserve">had </w:t>
      </w:r>
      <w:r w:rsidRPr="00E213BA">
        <w:rPr>
          <w:lang w:val="en-GB"/>
        </w:rPr>
        <w:t xml:space="preserve">thus resolved their problem </w:t>
      </w:r>
      <w:r w:rsidRPr="00E213BA">
        <w:rPr>
          <w:lang w:val="en-GB"/>
        </w:rPr>
        <w:lastRenderedPageBreak/>
        <w:t xml:space="preserve">without litigation, </w:t>
      </w:r>
      <w:r w:rsidRPr="00E213BA" w:rsidR="00B3598B">
        <w:rPr>
          <w:lang w:val="en-GB"/>
        </w:rPr>
        <w:t>but they did not rely</w:t>
      </w:r>
      <w:r w:rsidRPr="00E213BA">
        <w:rPr>
          <w:lang w:val="en-GB"/>
        </w:rPr>
        <w:t xml:space="preserve"> on any anti-discrimination provision, domestic or international.</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20</w:t>
      </w:r>
      <w:r w:rsidRPr="00E213BA">
        <w:rPr>
          <w:lang w:val="en-GB"/>
        </w:rPr>
        <w:fldChar w:fldCharType="end"/>
      </w:r>
      <w:r w:rsidRPr="00E213BA">
        <w:rPr>
          <w:lang w:val="en-GB"/>
        </w:rPr>
        <w:t xml:space="preserve">.  On 16 November 2010 the </w:t>
      </w:r>
      <w:proofErr w:type="spellStart"/>
      <w:r w:rsidRPr="00E213BA" w:rsidR="00F56B66">
        <w:rPr>
          <w:lang w:val="en-GB"/>
        </w:rPr>
        <w:t>Niš</w:t>
      </w:r>
      <w:proofErr w:type="spellEnd"/>
      <w:r w:rsidRPr="00E213BA" w:rsidR="00F56B66">
        <w:rPr>
          <w:lang w:val="en-GB"/>
        </w:rPr>
        <w:t xml:space="preserve"> </w:t>
      </w:r>
      <w:r w:rsidRPr="00E213BA">
        <w:rPr>
          <w:lang w:val="en-GB"/>
        </w:rPr>
        <w:t xml:space="preserve">Court </w:t>
      </w:r>
      <w:r w:rsidRPr="00E213BA" w:rsidR="00F56B66">
        <w:rPr>
          <w:lang w:val="en-GB"/>
        </w:rPr>
        <w:t xml:space="preserve">of Appeal </w:t>
      </w:r>
      <w:r w:rsidRPr="00E213BA">
        <w:rPr>
          <w:lang w:val="en-GB"/>
        </w:rPr>
        <w:t>(</w:t>
      </w:r>
      <w:proofErr w:type="spellStart"/>
      <w:r w:rsidRPr="00E213BA">
        <w:rPr>
          <w:i/>
          <w:lang w:val="en-GB"/>
        </w:rPr>
        <w:t>Apelacioni</w:t>
      </w:r>
      <w:proofErr w:type="spellEnd"/>
      <w:r w:rsidRPr="00E213BA">
        <w:rPr>
          <w:i/>
          <w:lang w:val="en-GB"/>
        </w:rPr>
        <w:t xml:space="preserve"> </w:t>
      </w:r>
      <w:proofErr w:type="spellStart"/>
      <w:r w:rsidRPr="00E213BA">
        <w:rPr>
          <w:i/>
          <w:lang w:val="en-GB"/>
        </w:rPr>
        <w:t>sud</w:t>
      </w:r>
      <w:proofErr w:type="spellEnd"/>
      <w:r w:rsidRPr="00E213BA">
        <w:rPr>
          <w:lang w:val="en-GB"/>
        </w:rPr>
        <w:t xml:space="preserve">) upheld the impugned judgment on appeal, and it thereby became final. In its reasoning the court stated, </w:t>
      </w:r>
      <w:r w:rsidRPr="00E213BA">
        <w:rPr>
          <w:i/>
          <w:lang w:val="en-GB"/>
        </w:rPr>
        <w:t>inter alia</w:t>
      </w:r>
      <w:r w:rsidRPr="00E213BA">
        <w:rPr>
          <w:lang w:val="en-GB"/>
        </w:rPr>
        <w:t xml:space="preserve">, that the </w:t>
      </w:r>
      <w:r w:rsidRPr="00E213BA">
        <w:rPr>
          <w:i/>
          <w:lang w:val="en-GB"/>
        </w:rPr>
        <w:t>per diems</w:t>
      </w:r>
      <w:r w:rsidRPr="00E213BA">
        <w:rPr>
          <w:lang w:val="en-GB"/>
        </w:rPr>
        <w:t xml:space="preserve"> had indeed “only been partly paid” by the Ministry of Defence (</w:t>
      </w:r>
      <w:proofErr w:type="spellStart"/>
      <w:r w:rsidRPr="00E213BA">
        <w:rPr>
          <w:i/>
          <w:lang w:val="en-GB"/>
        </w:rPr>
        <w:t>Ministarstvo</w:t>
      </w:r>
      <w:proofErr w:type="spellEnd"/>
      <w:r w:rsidRPr="00E213BA">
        <w:rPr>
          <w:i/>
          <w:lang w:val="en-GB"/>
        </w:rPr>
        <w:t xml:space="preserve"> </w:t>
      </w:r>
      <w:proofErr w:type="spellStart"/>
      <w:r w:rsidRPr="00E213BA">
        <w:rPr>
          <w:i/>
          <w:lang w:val="en-GB"/>
        </w:rPr>
        <w:t>odbrane</w:t>
      </w:r>
      <w:proofErr w:type="spellEnd"/>
      <w:r w:rsidRPr="00E213BA">
        <w:rPr>
          <w:lang w:val="en-GB"/>
        </w:rPr>
        <w:t>) but that both the three-year and the five-year prescription periods provided for in section 376 §§ 1 and 2 of the Obligations Act had already elapsed before the applicants had filed their civil claim (see paragraph 4</w:t>
      </w:r>
      <w:r w:rsidRPr="00E213BA" w:rsidR="007F5AD8">
        <w:rPr>
          <w:lang w:val="en-GB"/>
        </w:rPr>
        <w:t>9</w:t>
      </w:r>
      <w:r w:rsidRPr="00E213BA">
        <w:rPr>
          <w:lang w:val="en-GB"/>
        </w:rPr>
        <w:t xml:space="preserve"> below). The Court </w:t>
      </w:r>
      <w:r w:rsidRPr="00E213BA" w:rsidR="00F56B66">
        <w:rPr>
          <w:lang w:val="en-GB"/>
        </w:rPr>
        <w:t xml:space="preserve">of Appeal </w:t>
      </w:r>
      <w:r w:rsidRPr="00E213BA">
        <w:rPr>
          <w:lang w:val="en-GB"/>
        </w:rPr>
        <w:t xml:space="preserve">considered the Agreement as </w:t>
      </w:r>
      <w:r w:rsidRPr="00E213BA" w:rsidR="00233BE0">
        <w:rPr>
          <w:lang w:val="en-GB"/>
        </w:rPr>
        <w:t>having</w:t>
      </w:r>
      <w:r w:rsidRPr="00E213BA">
        <w:rPr>
          <w:lang w:val="en-GB"/>
        </w:rPr>
        <w:t xml:space="preserve"> no bearing on the matter since the applicants had sought payment of the sums owed to them on a different legal basis.</w:t>
      </w:r>
    </w:p>
    <w:p w:rsidRPr="00E213BA" w:rsidR="0022762A" w:rsidP="00420A26" w:rsidRDefault="0022762A">
      <w:pPr>
        <w:pStyle w:val="ECHRHeading3"/>
      </w:pPr>
      <w:r w:rsidRPr="00E213BA">
        <w:t>2.  Constitutional appeal</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21</w:t>
      </w:r>
      <w:r w:rsidRPr="00E213BA">
        <w:rPr>
          <w:lang w:val="en-GB"/>
        </w:rPr>
        <w:fldChar w:fldCharType="end"/>
      </w:r>
      <w:r w:rsidRPr="00E213BA">
        <w:rPr>
          <w:lang w:val="en-GB"/>
        </w:rPr>
        <w:t>.  Having been served with the Court</w:t>
      </w:r>
      <w:r w:rsidRPr="00E213BA" w:rsidR="008759DF">
        <w:rPr>
          <w:lang w:val="en-GB"/>
        </w:rPr>
        <w:t xml:space="preserve"> of Appeal</w:t>
      </w:r>
      <w:r w:rsidR="001F25A4">
        <w:rPr>
          <w:lang w:val="en-GB"/>
        </w:rPr>
        <w:t>’</w:t>
      </w:r>
      <w:r w:rsidRPr="00E213BA">
        <w:rPr>
          <w:lang w:val="en-GB"/>
        </w:rPr>
        <w:t>s decision, on 21 January 2011 the applicants lodged a further appeal (</w:t>
      </w:r>
      <w:proofErr w:type="spellStart"/>
      <w:r w:rsidRPr="00E213BA">
        <w:rPr>
          <w:i/>
          <w:lang w:val="en-GB"/>
        </w:rPr>
        <w:t>ustavna</w:t>
      </w:r>
      <w:proofErr w:type="spellEnd"/>
      <w:r w:rsidRPr="00E213BA">
        <w:rPr>
          <w:i/>
          <w:lang w:val="en-GB"/>
        </w:rPr>
        <w:t xml:space="preserve"> </w:t>
      </w:r>
      <w:proofErr w:type="spellStart"/>
      <w:r w:rsidRPr="00E213BA">
        <w:rPr>
          <w:i/>
          <w:lang w:val="en-GB"/>
        </w:rPr>
        <w:t>žalba</w:t>
      </w:r>
      <w:proofErr w:type="spellEnd"/>
      <w:r w:rsidRPr="00E213BA">
        <w:rPr>
          <w:lang w:val="en-GB"/>
        </w:rPr>
        <w:t>) with the Constitutional Court (</w:t>
      </w:r>
      <w:proofErr w:type="spellStart"/>
      <w:r w:rsidRPr="00E213BA">
        <w:rPr>
          <w:i/>
          <w:lang w:val="en-GB"/>
        </w:rPr>
        <w:t>Ustavni</w:t>
      </w:r>
      <w:proofErr w:type="spellEnd"/>
      <w:r w:rsidRPr="00E213BA">
        <w:rPr>
          <w:i/>
          <w:lang w:val="en-GB"/>
        </w:rPr>
        <w:t xml:space="preserve"> </w:t>
      </w:r>
      <w:proofErr w:type="spellStart"/>
      <w:r w:rsidRPr="00E213BA">
        <w:rPr>
          <w:i/>
          <w:lang w:val="en-GB"/>
        </w:rPr>
        <w:t>sud</w:t>
      </w:r>
      <w:proofErr w:type="spellEnd"/>
      <w:r w:rsidRPr="00E213BA">
        <w:rPr>
          <w:lang w:val="en-GB"/>
        </w:rPr>
        <w:t xml:space="preserve">). Relying on Articles 32 and 36 of the Constitution (see paragraph 32 below) and Article 6 of the Convention, they complained about the fairness of the civil proceedings and the erroneous application of the relevant domestic law, including the provisions concerning prescription. The applicants also maintained that the impugned judgment of the </w:t>
      </w:r>
      <w:proofErr w:type="spellStart"/>
      <w:r w:rsidRPr="00E213BA" w:rsidR="008759DF">
        <w:rPr>
          <w:lang w:val="en-GB"/>
        </w:rPr>
        <w:t>Niš</w:t>
      </w:r>
      <w:proofErr w:type="spellEnd"/>
      <w:r w:rsidRPr="00E213BA" w:rsidR="008759DF">
        <w:rPr>
          <w:lang w:val="en-GB"/>
        </w:rPr>
        <w:t xml:space="preserve"> </w:t>
      </w:r>
      <w:r w:rsidRPr="00E213BA">
        <w:rPr>
          <w:lang w:val="en-GB"/>
        </w:rPr>
        <w:t xml:space="preserve">Court </w:t>
      </w:r>
      <w:r w:rsidRPr="00E213BA" w:rsidR="00050F86">
        <w:rPr>
          <w:lang w:val="en-GB"/>
        </w:rPr>
        <w:t xml:space="preserve">of Appeal </w:t>
      </w:r>
      <w:r w:rsidRPr="00E213BA">
        <w:rPr>
          <w:lang w:val="en-GB"/>
        </w:rPr>
        <w:t xml:space="preserve">was inconsistent with numerous judgments adopted by other appellate courts in </w:t>
      </w:r>
      <w:bookmarkStart w:name="File5" w:id="4"/>
      <w:r w:rsidRPr="00E213BA">
        <w:rPr>
          <w:lang w:val="en-GB"/>
        </w:rPr>
        <w:t>Serbia</w:t>
      </w:r>
      <w:bookmarkEnd w:id="4"/>
      <w:r w:rsidRPr="00E213BA">
        <w:rPr>
          <w:lang w:val="en-GB"/>
        </w:rPr>
        <w:t xml:space="preserve"> – that is the district courts (</w:t>
      </w:r>
      <w:proofErr w:type="spellStart"/>
      <w:r w:rsidRPr="00E213BA">
        <w:rPr>
          <w:i/>
          <w:lang w:val="en-GB"/>
        </w:rPr>
        <w:t>okružni</w:t>
      </w:r>
      <w:proofErr w:type="spellEnd"/>
      <w:r w:rsidRPr="00E213BA">
        <w:rPr>
          <w:i/>
          <w:lang w:val="en-GB"/>
        </w:rPr>
        <w:t xml:space="preserve"> </w:t>
      </w:r>
      <w:proofErr w:type="spellStart"/>
      <w:r w:rsidRPr="00E213BA">
        <w:rPr>
          <w:i/>
          <w:lang w:val="en-GB"/>
        </w:rPr>
        <w:t>sudovi</w:t>
      </w:r>
      <w:proofErr w:type="spellEnd"/>
      <w:r w:rsidRPr="00E213BA">
        <w:rPr>
          <w:lang w:val="en-GB"/>
        </w:rPr>
        <w:t xml:space="preserve">) while they existed, as well as the high courts and the courts </w:t>
      </w:r>
      <w:r w:rsidRPr="00E213BA" w:rsidR="00AD5D88">
        <w:rPr>
          <w:lang w:val="en-GB"/>
        </w:rPr>
        <w:t xml:space="preserve">of appeal </w:t>
      </w:r>
      <w:r w:rsidRPr="00E213BA">
        <w:rPr>
          <w:lang w:val="en-GB"/>
        </w:rPr>
        <w:t>(</w:t>
      </w:r>
      <w:proofErr w:type="spellStart"/>
      <w:r w:rsidRPr="00E213BA">
        <w:rPr>
          <w:i/>
          <w:lang w:val="en-GB"/>
        </w:rPr>
        <w:t>viši</w:t>
      </w:r>
      <w:proofErr w:type="spellEnd"/>
      <w:r w:rsidRPr="00E213BA">
        <w:rPr>
          <w:i/>
          <w:lang w:val="en-GB"/>
        </w:rPr>
        <w:t xml:space="preserve"> </w:t>
      </w:r>
      <w:proofErr w:type="spellStart"/>
      <w:r w:rsidRPr="00E213BA">
        <w:rPr>
          <w:i/>
          <w:lang w:val="en-GB"/>
        </w:rPr>
        <w:t>i</w:t>
      </w:r>
      <w:proofErr w:type="spellEnd"/>
      <w:r w:rsidRPr="00E213BA">
        <w:rPr>
          <w:i/>
          <w:lang w:val="en-GB"/>
        </w:rPr>
        <w:t xml:space="preserve"> </w:t>
      </w:r>
      <w:proofErr w:type="spellStart"/>
      <w:r w:rsidRPr="00E213BA">
        <w:rPr>
          <w:i/>
          <w:lang w:val="en-GB"/>
        </w:rPr>
        <w:t>apelacioni</w:t>
      </w:r>
      <w:proofErr w:type="spellEnd"/>
      <w:r w:rsidRPr="00E213BA">
        <w:rPr>
          <w:i/>
          <w:lang w:val="en-GB"/>
        </w:rPr>
        <w:t xml:space="preserve"> </w:t>
      </w:r>
      <w:proofErr w:type="spellStart"/>
      <w:r w:rsidRPr="00E213BA">
        <w:rPr>
          <w:i/>
          <w:lang w:val="en-GB"/>
        </w:rPr>
        <w:t>sudovi</w:t>
      </w:r>
      <w:proofErr w:type="spellEnd"/>
      <w:r w:rsidRPr="00E213BA">
        <w:rPr>
          <w:lang w:val="en-GB"/>
        </w:rPr>
        <w:t xml:space="preserve">) thereafter – which on the same facts </w:t>
      </w:r>
      <w:r w:rsidRPr="00E213BA" w:rsidR="002C6D0B">
        <w:rPr>
          <w:lang w:val="en-GB"/>
        </w:rPr>
        <w:t xml:space="preserve">had </w:t>
      </w:r>
      <w:r w:rsidRPr="00E213BA">
        <w:rPr>
          <w:lang w:val="en-GB"/>
        </w:rPr>
        <w:t>applied a longer, ten-year, prescription period and ruled in favour of the plaintiffs (see section 371 of the Obligations Act</w:t>
      </w:r>
      <w:r w:rsidRPr="00E213BA" w:rsidR="00F70D5B">
        <w:rPr>
          <w:lang w:val="en-GB"/>
        </w:rPr>
        <w:t>, in</w:t>
      </w:r>
      <w:r w:rsidRPr="00E213BA">
        <w:rPr>
          <w:lang w:val="en-GB"/>
        </w:rPr>
        <w:t xml:space="preserve"> paragraph 4</w:t>
      </w:r>
      <w:r w:rsidRPr="00E213BA" w:rsidR="007F5AD8">
        <w:rPr>
          <w:lang w:val="en-GB"/>
        </w:rPr>
        <w:t>8</w:t>
      </w:r>
      <w:r w:rsidRPr="00E213BA">
        <w:rPr>
          <w:lang w:val="en-GB"/>
        </w:rPr>
        <w:t xml:space="preserve"> below). </w:t>
      </w:r>
      <w:r w:rsidRPr="00E213BA" w:rsidR="00BD0C99">
        <w:rPr>
          <w:lang w:val="en-GB"/>
        </w:rPr>
        <w:t>Lastly, t</w:t>
      </w:r>
      <w:r w:rsidRPr="00E213BA">
        <w:rPr>
          <w:lang w:val="en-GB"/>
        </w:rPr>
        <w:t>he applicants mentioned the Agreement and the Government</w:t>
      </w:r>
      <w:r w:rsidR="001F25A4">
        <w:rPr>
          <w:lang w:val="en-GB"/>
        </w:rPr>
        <w:t>’</w:t>
      </w:r>
      <w:r w:rsidRPr="00E213BA">
        <w:rPr>
          <w:lang w:val="en-GB"/>
        </w:rPr>
        <w:t xml:space="preserve">s subsequent decision endorsing it, but did not elaborate on their substance </w:t>
      </w:r>
      <w:proofErr w:type="spellStart"/>
      <w:r w:rsidRPr="00E213BA">
        <w:rPr>
          <w:lang w:val="en-GB"/>
        </w:rPr>
        <w:t>and</w:t>
      </w:r>
      <w:r w:rsidR="006958D4">
        <w:rPr>
          <w:lang w:val="en-GB"/>
        </w:rPr>
        <w:t>⁄</w:t>
      </w:r>
      <w:r w:rsidRPr="00E213BA">
        <w:rPr>
          <w:lang w:val="en-GB"/>
        </w:rPr>
        <w:t>or</w:t>
      </w:r>
      <w:proofErr w:type="spellEnd"/>
      <w:r w:rsidRPr="00E213BA">
        <w:rPr>
          <w:lang w:val="en-GB"/>
        </w:rPr>
        <w:t xml:space="preserve"> impact.</w:t>
      </w:r>
    </w:p>
    <w:p w:rsidRPr="00E213BA" w:rsidR="0092356D"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22</w:t>
      </w:r>
      <w:r w:rsidRPr="00E213BA">
        <w:rPr>
          <w:lang w:val="en-GB"/>
        </w:rPr>
        <w:fldChar w:fldCharType="end"/>
      </w:r>
      <w:r w:rsidRPr="00E213BA">
        <w:rPr>
          <w:lang w:val="en-GB"/>
        </w:rPr>
        <w:t>.  On 5 December 2012, following the adoption of the judgment by the Chamber in the present case, the Constitutional Court ruled in favour of the applicants as regards their complaints of inconsistent domestic case-law in respect of the civil courts</w:t>
      </w:r>
      <w:r w:rsidR="001F25A4">
        <w:rPr>
          <w:lang w:val="en-GB"/>
        </w:rPr>
        <w:t>’</w:t>
      </w:r>
      <w:r w:rsidRPr="00E213BA">
        <w:rPr>
          <w:lang w:val="en-GB"/>
        </w:rPr>
        <w:t xml:space="preserve"> application of the statutory time-limitation (the same complaints the Chamber had rejected as manifestly ill-founded – see paragraphs 54-60 of its judgment of 28 August 2012), but made no mention of the Agreement. </w:t>
      </w:r>
      <w:r w:rsidRPr="00E213BA" w:rsidR="00D303C4">
        <w:rPr>
          <w:lang w:val="en-GB"/>
        </w:rPr>
        <w:t>T</w:t>
      </w:r>
      <w:r w:rsidRPr="00E213BA">
        <w:rPr>
          <w:lang w:val="en-GB"/>
        </w:rPr>
        <w:t xml:space="preserve">he Constitutional Court </w:t>
      </w:r>
      <w:r w:rsidRPr="00E213BA" w:rsidR="00D303C4">
        <w:rPr>
          <w:lang w:val="en-GB"/>
        </w:rPr>
        <w:t xml:space="preserve">accordingly </w:t>
      </w:r>
      <w:r w:rsidRPr="00E213BA">
        <w:rPr>
          <w:lang w:val="en-GB"/>
        </w:rPr>
        <w:t xml:space="preserve">found a violation of Article 36 § 1 of the Constitution. It ordered that its decision be published in the Official Gazette of the Republic of </w:t>
      </w:r>
      <w:bookmarkStart w:name="File6" w:id="5"/>
      <w:r w:rsidRPr="00E213BA">
        <w:rPr>
          <w:lang w:val="en-GB"/>
        </w:rPr>
        <w:t>Serbia</w:t>
      </w:r>
      <w:bookmarkEnd w:id="5"/>
      <w:r w:rsidRPr="00E213BA">
        <w:rPr>
          <w:lang w:val="en-GB"/>
        </w:rPr>
        <w:t xml:space="preserve">, deeming this sufficient redress in a situation where the civil courts had, despite the said inconsistency, applied the relevant substantive law based on a “constitutionally acceptable interpretation” thereof. For more detailed reasoning, the Constitutional Court referred to its decision of 7 November </w:t>
      </w:r>
      <w:r w:rsidRPr="00E213BA">
        <w:rPr>
          <w:lang w:val="en-GB"/>
        </w:rPr>
        <w:lastRenderedPageBreak/>
        <w:t>2012 concerning the same issue in another case involving different appellants (</w:t>
      </w:r>
      <w:proofErr w:type="spellStart"/>
      <w:r w:rsidRPr="00E213BA">
        <w:rPr>
          <w:lang w:val="en-GB"/>
        </w:rPr>
        <w:t>Už</w:t>
      </w:r>
      <w:proofErr w:type="spellEnd"/>
      <w:r w:rsidRPr="00E213BA">
        <w:rPr>
          <w:lang w:val="en-GB"/>
        </w:rPr>
        <w:t>. 2156</w:t>
      </w:r>
      <w:r w:rsidR="006958D4">
        <w:rPr>
          <w:lang w:val="en-GB"/>
        </w:rPr>
        <w:t>⁄</w:t>
      </w:r>
      <w:r w:rsidRPr="00E213BA">
        <w:rPr>
          <w:lang w:val="en-GB"/>
        </w:rPr>
        <w:t>11).</w:t>
      </w:r>
    </w:p>
    <w:p w:rsidR="001753CB" w:rsidP="00420A26" w:rsidRDefault="00377255">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23</w:t>
      </w:r>
      <w:r w:rsidRPr="00E213BA">
        <w:rPr>
          <w:lang w:val="en-GB"/>
        </w:rPr>
        <w:fldChar w:fldCharType="end"/>
      </w:r>
      <w:r w:rsidRPr="00E213BA" w:rsidR="003B0CA2">
        <w:rPr>
          <w:lang w:val="en-GB"/>
        </w:rPr>
        <w:t>.  The Constitutional Court</w:t>
      </w:r>
      <w:r w:rsidR="001F25A4">
        <w:rPr>
          <w:lang w:val="en-GB"/>
        </w:rPr>
        <w:t>’</w:t>
      </w:r>
      <w:r w:rsidRPr="00E213BA" w:rsidR="003B0CA2">
        <w:rPr>
          <w:lang w:val="en-GB"/>
        </w:rPr>
        <w:t xml:space="preserve">s decision of 7 November 2012 referred, </w:t>
      </w:r>
      <w:r w:rsidRPr="00E213BA" w:rsidR="003B0CA2">
        <w:rPr>
          <w:i/>
          <w:lang w:val="en-GB"/>
        </w:rPr>
        <w:t>inter alia</w:t>
      </w:r>
      <w:r w:rsidRPr="00E213BA" w:rsidR="003B0CA2">
        <w:rPr>
          <w:lang w:val="en-GB"/>
        </w:rPr>
        <w:t xml:space="preserve">, </w:t>
      </w:r>
      <w:r w:rsidRPr="00E213BA" w:rsidR="00D303C4">
        <w:rPr>
          <w:lang w:val="en-GB"/>
        </w:rPr>
        <w:t xml:space="preserve">to </w:t>
      </w:r>
      <w:r w:rsidRPr="00E213BA" w:rsidR="003B0CA2">
        <w:rPr>
          <w:lang w:val="en-GB"/>
        </w:rPr>
        <w:t>the inconsistent case-law in question, citing specific judgments irrespective of the time-frame, and found a violation of the appellants</w:t>
      </w:r>
      <w:r w:rsidR="001F25A4">
        <w:rPr>
          <w:lang w:val="en-GB"/>
        </w:rPr>
        <w:t>’</w:t>
      </w:r>
      <w:r w:rsidRPr="00E213BA" w:rsidR="003B0CA2">
        <w:rPr>
          <w:lang w:val="en-GB"/>
        </w:rPr>
        <w:t xml:space="preserve"> right to equal protection before the courts as guaranteed under Article 36 § 1 of the Constitution. The Constitutional Court was of the opinion that the courts of last instance, by ruling differently on the validity of claims based on identical facts and law, had placed appellants whose claims had been rejected in a materially different position from that of claimants whose claims had been allowed. There had accordingly been a violation of Article 36 § 1. </w:t>
      </w:r>
      <w:r w:rsidRPr="00E213BA" w:rsidR="00EC3BD8">
        <w:rPr>
          <w:lang w:val="en-GB"/>
        </w:rPr>
        <w:t xml:space="preserve">However, the </w:t>
      </w:r>
      <w:r w:rsidRPr="00E213BA" w:rsidR="003B0CA2">
        <w:rPr>
          <w:lang w:val="en-GB"/>
        </w:rPr>
        <w:t>Constitutional Court</w:t>
      </w:r>
      <w:r w:rsidRPr="00E213BA" w:rsidR="00EC3BD8">
        <w:rPr>
          <w:lang w:val="en-GB"/>
        </w:rPr>
        <w:t xml:space="preserve"> </w:t>
      </w:r>
      <w:r w:rsidRPr="00E213BA" w:rsidR="003B0CA2">
        <w:rPr>
          <w:lang w:val="en-GB"/>
        </w:rPr>
        <w:t xml:space="preserve">considered that the allegations before it presented no constitutional basis upon which it could establish </w:t>
      </w:r>
      <w:r w:rsidRPr="00E213BA" w:rsidR="00EC3BD8">
        <w:rPr>
          <w:lang w:val="en-GB"/>
        </w:rPr>
        <w:t xml:space="preserve">a </w:t>
      </w:r>
      <w:r w:rsidRPr="00E213BA" w:rsidR="003B0CA2">
        <w:rPr>
          <w:lang w:val="en-GB"/>
        </w:rPr>
        <w:t>violation of the appellants</w:t>
      </w:r>
      <w:r w:rsidR="001F25A4">
        <w:rPr>
          <w:lang w:val="en-GB"/>
        </w:rPr>
        <w:t>’</w:t>
      </w:r>
      <w:r w:rsidRPr="00E213BA" w:rsidR="003B0CA2">
        <w:rPr>
          <w:lang w:val="en-GB"/>
        </w:rPr>
        <w:t xml:space="preserve"> right to a fair trial in</w:t>
      </w:r>
      <w:r w:rsidRPr="00E213BA" w:rsidR="00EC3BD8">
        <w:rPr>
          <w:lang w:val="en-GB"/>
        </w:rPr>
        <w:t xml:space="preserve"> </w:t>
      </w:r>
      <w:r w:rsidRPr="00E213BA" w:rsidR="003B0CA2">
        <w:rPr>
          <w:lang w:val="en-GB"/>
        </w:rPr>
        <w:t>so</w:t>
      </w:r>
      <w:r w:rsidRPr="00E213BA" w:rsidR="00EC3BD8">
        <w:rPr>
          <w:lang w:val="en-GB"/>
        </w:rPr>
        <w:t xml:space="preserve"> </w:t>
      </w:r>
      <w:r w:rsidRPr="00E213BA" w:rsidR="003B0CA2">
        <w:rPr>
          <w:lang w:val="en-GB"/>
        </w:rPr>
        <w:t>far as they complained about procedural fairness and the civil courts</w:t>
      </w:r>
      <w:r w:rsidR="001F25A4">
        <w:rPr>
          <w:lang w:val="en-GB"/>
        </w:rPr>
        <w:t>’</w:t>
      </w:r>
      <w:r w:rsidRPr="00E213BA" w:rsidR="003B0CA2">
        <w:rPr>
          <w:lang w:val="en-GB"/>
        </w:rPr>
        <w:t xml:space="preserve"> allegedly inadequate </w:t>
      </w:r>
      <w:r w:rsidRPr="00E213BA" w:rsidR="00EC3BD8">
        <w:rPr>
          <w:lang w:val="en-GB"/>
        </w:rPr>
        <w:t xml:space="preserve">characterisation </w:t>
      </w:r>
      <w:r w:rsidRPr="00E213BA" w:rsidR="003B0CA2">
        <w:rPr>
          <w:lang w:val="en-GB"/>
        </w:rPr>
        <w:t>of the legal nature of their claims. The appellants</w:t>
      </w:r>
      <w:r w:rsidR="001F25A4">
        <w:rPr>
          <w:lang w:val="en-GB"/>
        </w:rPr>
        <w:t>’</w:t>
      </w:r>
      <w:r w:rsidRPr="00E213BA" w:rsidR="003B0CA2">
        <w:rPr>
          <w:lang w:val="en-GB"/>
        </w:rPr>
        <w:t xml:space="preserve"> additional complaint, raised under Article 21 of the Constitution, was also rejected. In particular, there was no evidence to corroborate the claim that the first</w:t>
      </w:r>
      <w:r w:rsidRPr="00E213BA" w:rsidR="00072333">
        <w:rPr>
          <w:lang w:val="en-GB"/>
        </w:rPr>
        <w:t>-</w:t>
      </w:r>
      <w:r w:rsidRPr="00E213BA" w:rsidR="003B0CA2">
        <w:rPr>
          <w:lang w:val="en-GB"/>
        </w:rPr>
        <w:t xml:space="preserve"> and </w:t>
      </w:r>
      <w:r w:rsidRPr="00E213BA" w:rsidR="00072333">
        <w:rPr>
          <w:lang w:val="en-GB"/>
        </w:rPr>
        <w:t>second-</w:t>
      </w:r>
      <w:r w:rsidRPr="00E213BA" w:rsidR="003B0CA2">
        <w:rPr>
          <w:lang w:val="en-GB"/>
        </w:rPr>
        <w:t>instance court decisions in the appellants</w:t>
      </w:r>
      <w:r w:rsidR="001F25A4">
        <w:rPr>
          <w:lang w:val="en-GB"/>
        </w:rPr>
        <w:t>’</w:t>
      </w:r>
      <w:r w:rsidRPr="00E213BA" w:rsidR="003B0CA2">
        <w:rPr>
          <w:lang w:val="en-GB"/>
        </w:rPr>
        <w:t xml:space="preserve"> civil case had been rendered on the basis of any “personal qualities”, this being a precondition for determining the existence of a violation of the principle of non-discrimination. The Constitutional Court took note of the Chamber</w:t>
      </w:r>
      <w:r w:rsidR="001F25A4">
        <w:rPr>
          <w:lang w:val="en-GB"/>
        </w:rPr>
        <w:t>’</w:t>
      </w:r>
      <w:r w:rsidRPr="00E213BA" w:rsidR="003B0CA2">
        <w:rPr>
          <w:lang w:val="en-GB"/>
        </w:rPr>
        <w:t xml:space="preserve">s finding of </w:t>
      </w:r>
      <w:r w:rsidRPr="00E213BA" w:rsidR="001F139C">
        <w:rPr>
          <w:lang w:val="en-GB"/>
        </w:rPr>
        <w:t xml:space="preserve">28 August 2012 of </w:t>
      </w:r>
      <w:r w:rsidRPr="00E213BA" w:rsidR="003B0CA2">
        <w:rPr>
          <w:lang w:val="en-GB"/>
        </w:rPr>
        <w:t xml:space="preserve">a violation of the prohibition of discrimination </w:t>
      </w:r>
      <w:r w:rsidRPr="00E213BA" w:rsidR="00072333">
        <w:rPr>
          <w:lang w:val="en-GB"/>
        </w:rPr>
        <w:t xml:space="preserve">under </w:t>
      </w:r>
      <w:r w:rsidRPr="00E213BA" w:rsidR="003B0CA2">
        <w:rPr>
          <w:lang w:val="en-GB"/>
        </w:rPr>
        <w:t xml:space="preserve">Article 14 of the Convention in conjunction with Article 1 of Protocol No. 1 (see paragraph 7 above; for additional constitutional </w:t>
      </w:r>
      <w:r w:rsidRPr="00E213BA" w:rsidR="00072333">
        <w:rPr>
          <w:lang w:val="en-GB"/>
        </w:rPr>
        <w:t xml:space="preserve">case-law </w:t>
      </w:r>
      <w:r w:rsidRPr="00E213BA" w:rsidR="003B0CA2">
        <w:rPr>
          <w:lang w:val="en-GB"/>
        </w:rPr>
        <w:t>to this effect</w:t>
      </w:r>
      <w:r w:rsidRPr="00E213BA" w:rsidR="00072333">
        <w:rPr>
          <w:lang w:val="en-GB"/>
        </w:rPr>
        <w:t>,</w:t>
      </w:r>
      <w:r w:rsidRPr="00E213BA" w:rsidR="003B0CA2">
        <w:rPr>
          <w:lang w:val="en-GB"/>
        </w:rPr>
        <w:t xml:space="preserve"> see decision </w:t>
      </w:r>
      <w:proofErr w:type="spellStart"/>
      <w:r w:rsidRPr="00E213BA" w:rsidR="003B0CA2">
        <w:rPr>
          <w:lang w:val="en-GB"/>
        </w:rPr>
        <w:t>Už</w:t>
      </w:r>
      <w:proofErr w:type="spellEnd"/>
      <w:r w:rsidRPr="00E213BA" w:rsidR="003B0CA2">
        <w:rPr>
          <w:lang w:val="en-GB"/>
        </w:rPr>
        <w:t>. 2886</w:t>
      </w:r>
      <w:r w:rsidR="006958D4">
        <w:t>⁄</w:t>
      </w:r>
      <w:r w:rsidRPr="00E213BA" w:rsidR="003B0CA2">
        <w:rPr>
          <w:lang w:val="en-GB"/>
        </w:rPr>
        <w:t>10 of 4 October</w:t>
      </w:r>
      <w:r w:rsidR="003516F4">
        <w:rPr>
          <w:lang w:val="en-GB"/>
        </w:rPr>
        <w:t xml:space="preserve"> 2012, as well as decisions </w:t>
      </w:r>
      <w:proofErr w:type="spellStart"/>
      <w:r w:rsidR="003516F4">
        <w:rPr>
          <w:lang w:val="en-GB"/>
        </w:rPr>
        <w:t>Už</w:t>
      </w:r>
      <w:proofErr w:type="spellEnd"/>
      <w:r w:rsidR="003516F4">
        <w:rPr>
          <w:lang w:val="en-GB"/>
        </w:rPr>
        <w:t>. </w:t>
      </w:r>
      <w:r w:rsidRPr="00E213BA" w:rsidR="003B0CA2">
        <w:rPr>
          <w:lang w:val="en-GB"/>
        </w:rPr>
        <w:t>649</w:t>
      </w:r>
      <w:r w:rsidR="006958D4">
        <w:rPr>
          <w:lang w:val="en-GB"/>
        </w:rPr>
        <w:t>⁄</w:t>
      </w:r>
      <w:r w:rsidRPr="00E213BA" w:rsidR="003B0CA2">
        <w:rPr>
          <w:lang w:val="en-GB"/>
        </w:rPr>
        <w:t xml:space="preserve">11 and </w:t>
      </w:r>
      <w:proofErr w:type="spellStart"/>
      <w:r w:rsidRPr="00E213BA" w:rsidR="003B0CA2">
        <w:rPr>
          <w:lang w:val="en-GB"/>
        </w:rPr>
        <w:t>Už</w:t>
      </w:r>
      <w:proofErr w:type="spellEnd"/>
      <w:r w:rsidRPr="00E213BA" w:rsidR="003B0CA2">
        <w:rPr>
          <w:lang w:val="en-GB"/>
        </w:rPr>
        <w:t>. 2021</w:t>
      </w:r>
      <w:r w:rsidR="006958D4">
        <w:rPr>
          <w:lang w:val="en-GB"/>
        </w:rPr>
        <w:t>⁄</w:t>
      </w:r>
      <w:r w:rsidRPr="00E213BA" w:rsidR="003B0CA2">
        <w:rPr>
          <w:lang w:val="en-GB"/>
        </w:rPr>
        <w:t xml:space="preserve">11, both of 12 December 2012, in their relevant parts), but for reasons that were different from those stated in </w:t>
      </w:r>
      <w:r w:rsidRPr="00E213BA" w:rsidR="00072333">
        <w:rPr>
          <w:lang w:val="en-GB"/>
        </w:rPr>
        <w:t>this particular</w:t>
      </w:r>
      <w:r w:rsidRPr="00E213BA" w:rsidR="003B0CA2">
        <w:rPr>
          <w:lang w:val="en-GB"/>
        </w:rPr>
        <w:t xml:space="preserve"> constitutional appeal. The fact that the latter </w:t>
      </w:r>
      <w:r w:rsidRPr="00E213BA" w:rsidR="00072333">
        <w:rPr>
          <w:lang w:val="en-GB"/>
        </w:rPr>
        <w:t xml:space="preserve">complaint </w:t>
      </w:r>
      <w:r w:rsidRPr="00E213BA" w:rsidR="003B0CA2">
        <w:rPr>
          <w:lang w:val="en-GB"/>
        </w:rPr>
        <w:t>had been</w:t>
      </w:r>
      <w:r w:rsidR="006958D4">
        <w:rPr>
          <w:lang w:val="en-GB"/>
        </w:rPr>
        <w:t xml:space="preserve"> </w:t>
      </w:r>
      <w:r w:rsidRPr="00E213BA" w:rsidR="003B0CA2">
        <w:rPr>
          <w:lang w:val="en-GB"/>
        </w:rPr>
        <w:t>dismissed did not affect the State</w:t>
      </w:r>
      <w:r w:rsidR="001F25A4">
        <w:rPr>
          <w:lang w:val="en-GB"/>
        </w:rPr>
        <w:t>’</w:t>
      </w:r>
      <w:r w:rsidRPr="00E213BA" w:rsidR="00072333">
        <w:rPr>
          <w:lang w:val="en-GB"/>
        </w:rPr>
        <w:t>s</w:t>
      </w:r>
      <w:r w:rsidRPr="00E213BA" w:rsidR="003B0CA2">
        <w:rPr>
          <w:lang w:val="en-GB"/>
        </w:rPr>
        <w:t xml:space="preserve"> </w:t>
      </w:r>
      <w:r w:rsidRPr="00E213BA" w:rsidR="00072333">
        <w:rPr>
          <w:lang w:val="en-GB"/>
        </w:rPr>
        <w:t xml:space="preserve">obligation </w:t>
      </w:r>
      <w:r w:rsidRPr="00E213BA" w:rsidR="003B0CA2">
        <w:rPr>
          <w:lang w:val="en-GB"/>
        </w:rPr>
        <w:t>to act in accordance with the European Court</w:t>
      </w:r>
      <w:r w:rsidR="001F25A4">
        <w:rPr>
          <w:lang w:val="en-GB"/>
        </w:rPr>
        <w:t>’</w:t>
      </w:r>
      <w:r w:rsidRPr="00E213BA" w:rsidR="003B0CA2">
        <w:rPr>
          <w:lang w:val="en-GB"/>
        </w:rPr>
        <w:t xml:space="preserve">s decision in respect of all persons, including the appellants, whose war </w:t>
      </w:r>
      <w:r w:rsidRPr="00E213BA" w:rsidR="003B0CA2">
        <w:rPr>
          <w:i/>
          <w:lang w:val="en-GB"/>
        </w:rPr>
        <w:t>per diems</w:t>
      </w:r>
      <w:r w:rsidRPr="00E213BA" w:rsidR="003B0CA2">
        <w:rPr>
          <w:lang w:val="en-GB"/>
        </w:rPr>
        <w:t xml:space="preserve"> had not been paid out.</w:t>
      </w:r>
    </w:p>
    <w:p w:rsidRPr="00E213BA" w:rsidR="0022762A" w:rsidP="00420A26" w:rsidRDefault="0022762A">
      <w:pPr>
        <w:pStyle w:val="ECHRHeading2"/>
      </w:pPr>
      <w:r w:rsidRPr="00E213BA">
        <w:t>B.  Other civil suits</w:t>
      </w:r>
    </w:p>
    <w:p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24</w:t>
      </w:r>
      <w:r w:rsidRPr="00E213BA">
        <w:rPr>
          <w:lang w:val="en-GB"/>
        </w:rPr>
        <w:fldChar w:fldCharType="end"/>
      </w:r>
      <w:r w:rsidRPr="00E213BA">
        <w:rPr>
          <w:lang w:val="en-GB"/>
        </w:rPr>
        <w:t>.  Between 2002 and early March 2009 first</w:t>
      </w:r>
      <w:r w:rsidRPr="00E213BA" w:rsidR="00400AF9">
        <w:rPr>
          <w:lang w:val="en-GB"/>
        </w:rPr>
        <w:t>-</w:t>
      </w:r>
      <w:r w:rsidRPr="00E213BA">
        <w:rPr>
          <w:lang w:val="en-GB"/>
        </w:rPr>
        <w:t xml:space="preserve">instance and appellate courts across </w:t>
      </w:r>
      <w:bookmarkStart w:name="File7" w:id="6"/>
      <w:r w:rsidRPr="00E213BA">
        <w:rPr>
          <w:lang w:val="en-GB"/>
        </w:rPr>
        <w:t>Serbia</w:t>
      </w:r>
      <w:bookmarkEnd w:id="6"/>
      <w:r w:rsidRPr="00E213BA">
        <w:rPr>
          <w:lang w:val="en-GB"/>
        </w:rPr>
        <w:t xml:space="preserve"> ruled both in favour of reservists in a situation </w:t>
      </w:r>
      <w:r w:rsidRPr="00E213BA" w:rsidR="00697784">
        <w:rPr>
          <w:lang w:val="en-GB"/>
        </w:rPr>
        <w:t>comparable to</w:t>
      </w:r>
      <w:r w:rsidRPr="00E213BA">
        <w:rPr>
          <w:lang w:val="en-GB"/>
        </w:rPr>
        <w:t xml:space="preserve"> </w:t>
      </w:r>
      <w:r w:rsidRPr="00E213BA" w:rsidR="00697784">
        <w:rPr>
          <w:lang w:val="en-GB"/>
        </w:rPr>
        <w:t xml:space="preserve">that of </w:t>
      </w:r>
      <w:r w:rsidRPr="00E213BA">
        <w:rPr>
          <w:lang w:val="en-GB"/>
        </w:rPr>
        <w:t>the applicants and aga</w:t>
      </w:r>
      <w:r w:rsidR="003516F4">
        <w:rPr>
          <w:lang w:val="en-GB"/>
        </w:rPr>
        <w:t xml:space="preserve">inst them, relying on the </w:t>
      </w:r>
      <w:proofErr w:type="spellStart"/>
      <w:r w:rsidR="003516F4">
        <w:rPr>
          <w:lang w:val="en-GB"/>
        </w:rPr>
        <w:t>three</w:t>
      </w:r>
      <w:r w:rsidR="00C807DE">
        <w:rPr>
          <w:lang w:val="en-GB"/>
        </w:rPr>
        <w:noBreakHyphen/>
      </w:r>
      <w:r w:rsidRPr="00E213BA">
        <w:rPr>
          <w:lang w:val="en-GB"/>
        </w:rPr>
        <w:t>year</w:t>
      </w:r>
      <w:r w:rsidR="006958D4">
        <w:rPr>
          <w:lang w:val="en-GB"/>
        </w:rPr>
        <w:t>⁄</w:t>
      </w:r>
      <w:r w:rsidRPr="00E213BA">
        <w:rPr>
          <w:lang w:val="en-GB"/>
        </w:rPr>
        <w:t>five-year</w:t>
      </w:r>
      <w:proofErr w:type="spellEnd"/>
      <w:r w:rsidRPr="00E213BA">
        <w:rPr>
          <w:lang w:val="en-GB"/>
        </w:rPr>
        <w:t xml:space="preserve"> or ten-year prescription periods respectively (</w:t>
      </w:r>
      <w:r w:rsidRPr="00E213BA" w:rsidR="002A5FBE">
        <w:rPr>
          <w:lang w:val="en-GB"/>
        </w:rPr>
        <w:t xml:space="preserve">for examples of </w:t>
      </w:r>
      <w:r w:rsidRPr="00E213BA">
        <w:rPr>
          <w:lang w:val="en-GB"/>
        </w:rPr>
        <w:t xml:space="preserve">cases where the reservists were successful see, among numerous others, </w:t>
      </w:r>
      <w:r w:rsidRPr="00E213BA" w:rsidR="002A5FBE">
        <w:rPr>
          <w:lang w:val="en-GB"/>
        </w:rPr>
        <w:t xml:space="preserve">Belgrade </w:t>
      </w:r>
      <w:r w:rsidRPr="00E213BA">
        <w:rPr>
          <w:lang w:val="en-GB"/>
        </w:rPr>
        <w:t xml:space="preserve">District Court </w:t>
      </w:r>
      <w:r w:rsidRPr="00E213BA" w:rsidR="002A5FBE">
        <w:rPr>
          <w:lang w:val="en-GB"/>
        </w:rPr>
        <w:t xml:space="preserve">judgments </w:t>
      </w:r>
      <w:proofErr w:type="spellStart"/>
      <w:r w:rsidRPr="00E213BA">
        <w:rPr>
          <w:lang w:val="en-GB"/>
        </w:rPr>
        <w:t>Gž</w:t>
      </w:r>
      <w:proofErr w:type="spellEnd"/>
      <w:r w:rsidRPr="00E213BA">
        <w:rPr>
          <w:lang w:val="en-GB"/>
        </w:rPr>
        <w:t>. 1703</w:t>
      </w:r>
      <w:r w:rsidR="006958D4">
        <w:rPr>
          <w:lang w:val="en-GB"/>
        </w:rPr>
        <w:t>⁄</w:t>
      </w:r>
      <w:r w:rsidRPr="00E213BA">
        <w:rPr>
          <w:lang w:val="en-GB"/>
        </w:rPr>
        <w:t>05 and 2386</w:t>
      </w:r>
      <w:r w:rsidR="006958D4">
        <w:rPr>
          <w:lang w:val="en-GB"/>
        </w:rPr>
        <w:t>⁄</w:t>
      </w:r>
      <w:r w:rsidRPr="00E213BA">
        <w:rPr>
          <w:lang w:val="en-GB"/>
        </w:rPr>
        <w:t>08 of 13</w:t>
      </w:r>
      <w:r w:rsidR="005D5624">
        <w:rPr>
          <w:lang w:val="en-GB"/>
        </w:rPr>
        <w:t> </w:t>
      </w:r>
      <w:r w:rsidRPr="00E213BA">
        <w:rPr>
          <w:lang w:val="en-GB"/>
        </w:rPr>
        <w:t>April</w:t>
      </w:r>
      <w:r w:rsidR="005D5624">
        <w:rPr>
          <w:lang w:val="en-GB"/>
        </w:rPr>
        <w:t> </w:t>
      </w:r>
      <w:r w:rsidRPr="00E213BA">
        <w:rPr>
          <w:lang w:val="en-GB"/>
        </w:rPr>
        <w:t>2005 and 16 July 2008 respectively).</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25</w:t>
      </w:r>
      <w:r w:rsidRPr="00E213BA">
        <w:rPr>
          <w:lang w:val="en-GB"/>
        </w:rPr>
        <w:fldChar w:fldCharType="end"/>
      </w:r>
      <w:r w:rsidRPr="00E213BA">
        <w:rPr>
          <w:lang w:val="en-GB"/>
        </w:rPr>
        <w:t xml:space="preserve">.  In the meantime, in 2003 and 2004 the Supreme Court </w:t>
      </w:r>
      <w:r w:rsidRPr="00E213BA" w:rsidR="005D3ED4">
        <w:rPr>
          <w:lang w:val="en-GB"/>
        </w:rPr>
        <w:t xml:space="preserve">had </w:t>
      </w:r>
      <w:r w:rsidRPr="00E213BA">
        <w:rPr>
          <w:lang w:val="en-GB"/>
        </w:rPr>
        <w:t>adopted two legal opinions (</w:t>
      </w:r>
      <w:proofErr w:type="spellStart"/>
      <w:r w:rsidRPr="00E213BA">
        <w:rPr>
          <w:i/>
          <w:lang w:val="en-GB"/>
        </w:rPr>
        <w:t>pravna</w:t>
      </w:r>
      <w:proofErr w:type="spellEnd"/>
      <w:r w:rsidRPr="00E213BA">
        <w:rPr>
          <w:i/>
          <w:lang w:val="en-GB"/>
        </w:rPr>
        <w:t xml:space="preserve"> </w:t>
      </w:r>
      <w:proofErr w:type="spellStart"/>
      <w:r w:rsidRPr="00E213BA">
        <w:rPr>
          <w:i/>
          <w:lang w:val="en-GB"/>
        </w:rPr>
        <w:t>shvatanja</w:t>
      </w:r>
      <w:proofErr w:type="spellEnd"/>
      <w:r w:rsidRPr="00E213BA">
        <w:rPr>
          <w:lang w:val="en-GB"/>
        </w:rPr>
        <w:t xml:space="preserve">), both of which implied that the </w:t>
      </w:r>
      <w:r w:rsidRPr="00E213BA">
        <w:rPr>
          <w:lang w:val="en-GB"/>
        </w:rPr>
        <w:lastRenderedPageBreak/>
        <w:t>applicable prescription period should be three</w:t>
      </w:r>
      <w:r w:rsidRPr="00E213BA" w:rsidR="0072169D">
        <w:rPr>
          <w:lang w:val="en-GB"/>
        </w:rPr>
        <w:t xml:space="preserve"> or </w:t>
      </w:r>
      <w:r w:rsidRPr="00E213BA">
        <w:rPr>
          <w:lang w:val="en-GB"/>
        </w:rPr>
        <w:t>five years pursuant to section 376 §§ 1 and 2 of the Obligations Act (see paragraph 4</w:t>
      </w:r>
      <w:r w:rsidRPr="00E213BA" w:rsidR="007F5AD8">
        <w:rPr>
          <w:lang w:val="en-GB"/>
        </w:rPr>
        <w:t>9</w:t>
      </w:r>
      <w:r w:rsidRPr="00E213BA">
        <w:rPr>
          <w:lang w:val="en-GB"/>
        </w:rPr>
        <w:t xml:space="preserve"> below).</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26</w:t>
      </w:r>
      <w:r w:rsidRPr="00E213BA">
        <w:rPr>
          <w:lang w:val="en-GB"/>
        </w:rPr>
        <w:fldChar w:fldCharType="end"/>
      </w:r>
      <w:r w:rsidRPr="00E213BA">
        <w:rPr>
          <w:lang w:val="en-GB"/>
        </w:rPr>
        <w:t>.  Between 25 February 2010 and 15 September 2011 various appellate courts substantively ruled in compliance with the Supreme Court</w:t>
      </w:r>
      <w:r w:rsidR="001F25A4">
        <w:rPr>
          <w:lang w:val="en-GB"/>
        </w:rPr>
        <w:t>’</w:t>
      </w:r>
      <w:r w:rsidRPr="00E213BA">
        <w:rPr>
          <w:lang w:val="en-GB"/>
        </w:rPr>
        <w:t xml:space="preserve">s opinions of 2003 and 2004 (see, for example, </w:t>
      </w:r>
      <w:proofErr w:type="spellStart"/>
      <w:r w:rsidRPr="00E213BA" w:rsidR="00C42CD1">
        <w:rPr>
          <w:lang w:val="en-GB"/>
        </w:rPr>
        <w:t>Kraljevo</w:t>
      </w:r>
      <w:proofErr w:type="spellEnd"/>
      <w:r w:rsidRPr="00E213BA" w:rsidDel="00C42CD1" w:rsidR="00C42CD1">
        <w:rPr>
          <w:lang w:val="en-GB"/>
        </w:rPr>
        <w:t xml:space="preserve"> </w:t>
      </w:r>
      <w:r w:rsidRPr="00E213BA">
        <w:rPr>
          <w:lang w:val="en-GB"/>
        </w:rPr>
        <w:t xml:space="preserve">High Court </w:t>
      </w:r>
      <w:r w:rsidRPr="00E213BA" w:rsidR="00C42CD1">
        <w:rPr>
          <w:lang w:val="en-GB"/>
        </w:rPr>
        <w:t>decision</w:t>
      </w:r>
      <w:r w:rsidR="003516F4">
        <w:rPr>
          <w:lang w:val="en-GB"/>
        </w:rPr>
        <w:t xml:space="preserve"> </w:t>
      </w:r>
      <w:proofErr w:type="spellStart"/>
      <w:r w:rsidR="003516F4">
        <w:rPr>
          <w:lang w:val="en-GB"/>
        </w:rPr>
        <w:t>Gž</w:t>
      </w:r>
      <w:proofErr w:type="spellEnd"/>
      <w:r w:rsidR="003516F4">
        <w:rPr>
          <w:lang w:val="en-GB"/>
        </w:rPr>
        <w:t>. </w:t>
      </w:r>
      <w:r w:rsidRPr="00E213BA">
        <w:rPr>
          <w:lang w:val="en-GB"/>
        </w:rPr>
        <w:t>1476</w:t>
      </w:r>
      <w:r w:rsidR="006958D4">
        <w:rPr>
          <w:lang w:val="en-GB"/>
        </w:rPr>
        <w:t>⁄</w:t>
      </w:r>
      <w:r w:rsidRPr="00E213BA">
        <w:rPr>
          <w:lang w:val="en-GB"/>
        </w:rPr>
        <w:t xml:space="preserve">11 of 15 September 2011; </w:t>
      </w:r>
      <w:proofErr w:type="spellStart"/>
      <w:r w:rsidRPr="00E213BA" w:rsidR="00C42CD1">
        <w:rPr>
          <w:lang w:val="en-GB"/>
        </w:rPr>
        <w:t>Valjevo</w:t>
      </w:r>
      <w:proofErr w:type="spellEnd"/>
      <w:r w:rsidRPr="00E213BA" w:rsidDel="00C42CD1" w:rsidR="00C42CD1">
        <w:rPr>
          <w:lang w:val="en-GB"/>
        </w:rPr>
        <w:t xml:space="preserve"> </w:t>
      </w:r>
      <w:r w:rsidRPr="00E213BA">
        <w:rPr>
          <w:lang w:val="en-GB"/>
        </w:rPr>
        <w:t xml:space="preserve">High Court </w:t>
      </w:r>
      <w:r w:rsidRPr="00E213BA" w:rsidR="00C42CD1">
        <w:rPr>
          <w:lang w:val="en-GB"/>
        </w:rPr>
        <w:t>decisions</w:t>
      </w:r>
      <w:r w:rsidR="007F103E">
        <w:rPr>
          <w:lang w:val="en-GB"/>
        </w:rPr>
        <w:t xml:space="preserve"> </w:t>
      </w:r>
      <w:proofErr w:type="spellStart"/>
      <w:r w:rsidR="007F103E">
        <w:rPr>
          <w:lang w:val="en-GB"/>
        </w:rPr>
        <w:t>Gž</w:t>
      </w:r>
      <w:proofErr w:type="spellEnd"/>
      <w:r w:rsidR="007F103E">
        <w:rPr>
          <w:lang w:val="en-GB"/>
        </w:rPr>
        <w:t>. </w:t>
      </w:r>
      <w:r w:rsidRPr="00E213BA">
        <w:rPr>
          <w:lang w:val="en-GB"/>
        </w:rPr>
        <w:t>252</w:t>
      </w:r>
      <w:r w:rsidR="006958D4">
        <w:rPr>
          <w:lang w:val="en-GB"/>
        </w:rPr>
        <w:t>⁄</w:t>
      </w:r>
      <w:r w:rsidRPr="00E213BA">
        <w:rPr>
          <w:lang w:val="en-GB"/>
        </w:rPr>
        <w:t>10 of 25 February 2010, 806</w:t>
      </w:r>
      <w:r w:rsidR="006958D4">
        <w:rPr>
          <w:lang w:val="en-GB"/>
        </w:rPr>
        <w:t>⁄</w:t>
      </w:r>
      <w:r w:rsidRPr="00E213BA">
        <w:rPr>
          <w:lang w:val="en-GB"/>
        </w:rPr>
        <w:t>10 of 27 May 2010, 1301</w:t>
      </w:r>
      <w:r w:rsidR="006958D4">
        <w:rPr>
          <w:lang w:val="en-GB"/>
        </w:rPr>
        <w:t>⁄</w:t>
      </w:r>
      <w:r w:rsidRPr="00E213BA">
        <w:rPr>
          <w:lang w:val="en-GB"/>
        </w:rPr>
        <w:t>10 of 30 September 2010, 1364</w:t>
      </w:r>
      <w:r w:rsidR="006958D4">
        <w:rPr>
          <w:lang w:val="en-GB"/>
        </w:rPr>
        <w:t>⁄</w:t>
      </w:r>
      <w:r w:rsidRPr="00E213BA">
        <w:rPr>
          <w:lang w:val="en-GB"/>
        </w:rPr>
        <w:t>10 of 4 November 2010 and 355</w:t>
      </w:r>
      <w:r w:rsidR="006958D4">
        <w:rPr>
          <w:lang w:val="en-GB"/>
        </w:rPr>
        <w:t>⁄</w:t>
      </w:r>
      <w:r w:rsidRPr="00E213BA">
        <w:rPr>
          <w:lang w:val="en-GB"/>
        </w:rPr>
        <w:t xml:space="preserve">11 of 24 March 2011; </w:t>
      </w:r>
      <w:proofErr w:type="spellStart"/>
      <w:r w:rsidRPr="00E213BA" w:rsidR="00C42CD1">
        <w:rPr>
          <w:lang w:val="en-GB"/>
        </w:rPr>
        <w:t>Kruševac</w:t>
      </w:r>
      <w:proofErr w:type="spellEnd"/>
      <w:r w:rsidRPr="00E213BA" w:rsidDel="00C42CD1" w:rsidR="00C42CD1">
        <w:rPr>
          <w:lang w:val="en-GB"/>
        </w:rPr>
        <w:t xml:space="preserve"> </w:t>
      </w:r>
      <w:r w:rsidRPr="00E213BA">
        <w:rPr>
          <w:lang w:val="en-GB"/>
        </w:rPr>
        <w:t xml:space="preserve">High Court </w:t>
      </w:r>
      <w:r w:rsidRPr="00E213BA" w:rsidR="00C42CD1">
        <w:rPr>
          <w:lang w:val="en-GB"/>
        </w:rPr>
        <w:t>decisions</w:t>
      </w:r>
      <w:r w:rsidRPr="00E213BA">
        <w:rPr>
          <w:lang w:val="en-GB"/>
        </w:rPr>
        <w:t xml:space="preserve"> </w:t>
      </w:r>
      <w:proofErr w:type="spellStart"/>
      <w:r w:rsidRPr="00E213BA">
        <w:rPr>
          <w:lang w:val="en-GB"/>
        </w:rPr>
        <w:t>Gž</w:t>
      </w:r>
      <w:proofErr w:type="spellEnd"/>
      <w:r w:rsidRPr="00E213BA">
        <w:rPr>
          <w:lang w:val="en-GB"/>
        </w:rPr>
        <w:t>. 38</w:t>
      </w:r>
      <w:r w:rsidR="006958D4">
        <w:rPr>
          <w:lang w:val="en-GB"/>
        </w:rPr>
        <w:t>⁄</w:t>
      </w:r>
      <w:r w:rsidRPr="00E213BA">
        <w:rPr>
          <w:lang w:val="en-GB"/>
        </w:rPr>
        <w:t>11 of 27 January 2011, 282</w:t>
      </w:r>
      <w:r w:rsidR="006958D4">
        <w:rPr>
          <w:lang w:val="en-GB"/>
        </w:rPr>
        <w:t>⁄</w:t>
      </w:r>
      <w:r w:rsidRPr="00E213BA">
        <w:rPr>
          <w:lang w:val="en-GB"/>
        </w:rPr>
        <w:t>11 of 7 April 2011 and 280</w:t>
      </w:r>
      <w:r w:rsidR="006958D4">
        <w:rPr>
          <w:lang w:val="en-GB"/>
        </w:rPr>
        <w:t>⁄</w:t>
      </w:r>
      <w:r w:rsidRPr="00E213BA">
        <w:rPr>
          <w:lang w:val="en-GB"/>
        </w:rPr>
        <w:t xml:space="preserve">11 of 26 April 2011; </w:t>
      </w:r>
      <w:r w:rsidRPr="00E213BA" w:rsidR="00C42CD1">
        <w:rPr>
          <w:lang w:val="en-GB"/>
        </w:rPr>
        <w:t>and</w:t>
      </w:r>
      <w:r w:rsidRPr="00E213BA">
        <w:rPr>
          <w:lang w:val="en-GB"/>
        </w:rPr>
        <w:t xml:space="preserve"> </w:t>
      </w:r>
      <w:proofErr w:type="spellStart"/>
      <w:r w:rsidRPr="00E213BA" w:rsidR="00C42CD1">
        <w:rPr>
          <w:lang w:val="en-GB"/>
        </w:rPr>
        <w:t>Niš</w:t>
      </w:r>
      <w:proofErr w:type="spellEnd"/>
      <w:r w:rsidRPr="00E213BA" w:rsidR="00C42CD1">
        <w:rPr>
          <w:lang w:val="en-GB"/>
        </w:rPr>
        <w:t xml:space="preserve"> Court of </w:t>
      </w:r>
      <w:r w:rsidRPr="00E213BA">
        <w:rPr>
          <w:lang w:val="en-GB"/>
        </w:rPr>
        <w:t>Appeal</w:t>
      </w:r>
      <w:r w:rsidRPr="00E213BA" w:rsidR="00C42CD1">
        <w:rPr>
          <w:lang w:val="en-GB"/>
        </w:rPr>
        <w:t xml:space="preserve"> decision</w:t>
      </w:r>
      <w:r w:rsidRPr="00E213BA">
        <w:rPr>
          <w:lang w:val="en-GB"/>
        </w:rPr>
        <w:t xml:space="preserve">s </w:t>
      </w:r>
      <w:proofErr w:type="spellStart"/>
      <w:r w:rsidRPr="00E213BA">
        <w:rPr>
          <w:lang w:val="en-GB"/>
        </w:rPr>
        <w:t>Gž</w:t>
      </w:r>
      <w:proofErr w:type="spellEnd"/>
      <w:r w:rsidRPr="00E213BA">
        <w:rPr>
          <w:lang w:val="en-GB"/>
        </w:rPr>
        <w:t>. 2396</w:t>
      </w:r>
      <w:r w:rsidR="006958D4">
        <w:rPr>
          <w:lang w:val="en-GB"/>
        </w:rPr>
        <w:t>⁄</w:t>
      </w:r>
      <w:r w:rsidRPr="00E213BA">
        <w:rPr>
          <w:lang w:val="en-GB"/>
        </w:rPr>
        <w:t>10 of 23 June 2010, 3379</w:t>
      </w:r>
      <w:r w:rsidR="006958D4">
        <w:rPr>
          <w:lang w:val="en-GB"/>
        </w:rPr>
        <w:t>⁄</w:t>
      </w:r>
      <w:r w:rsidRPr="00E213BA">
        <w:rPr>
          <w:lang w:val="en-GB"/>
        </w:rPr>
        <w:t>2010 of 2 July 2010, 2373</w:t>
      </w:r>
      <w:r w:rsidR="006958D4">
        <w:rPr>
          <w:lang w:val="en-GB"/>
        </w:rPr>
        <w:t>⁄</w:t>
      </w:r>
      <w:r w:rsidRPr="00E213BA">
        <w:rPr>
          <w:lang w:val="en-GB"/>
        </w:rPr>
        <w:t>2010 of 21 July 2010 and 4117</w:t>
      </w:r>
      <w:r w:rsidR="006958D4">
        <w:rPr>
          <w:lang w:val="en-GB"/>
        </w:rPr>
        <w:t>⁄</w:t>
      </w:r>
      <w:r w:rsidRPr="00E213BA">
        <w:rPr>
          <w:lang w:val="en-GB"/>
        </w:rPr>
        <w:t>2010 of 30 November 2010).</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27</w:t>
      </w:r>
      <w:r w:rsidRPr="00E213BA">
        <w:rPr>
          <w:lang w:val="en-GB"/>
        </w:rPr>
        <w:fldChar w:fldCharType="end"/>
      </w:r>
      <w:r w:rsidRPr="00E213BA">
        <w:rPr>
          <w:lang w:val="en-GB"/>
        </w:rPr>
        <w:t xml:space="preserve">.  Between 17 June 2009 and 23 November 2011 there were also a number of decisions where appellate courts ruled against the reservists, albeit on a different ground. Their claims, unlike those of the applicants in the present case, were rejected as being administrative in nature and as such falling outside the competence of the civil courts (see </w:t>
      </w:r>
      <w:r w:rsidRPr="00E213BA" w:rsidR="006A4DA5">
        <w:rPr>
          <w:lang w:val="en-GB"/>
        </w:rPr>
        <w:t xml:space="preserve">Belgrade </w:t>
      </w:r>
      <w:r w:rsidRPr="00E213BA">
        <w:rPr>
          <w:lang w:val="en-GB"/>
        </w:rPr>
        <w:t xml:space="preserve">District Court </w:t>
      </w:r>
      <w:r w:rsidRPr="00E213BA" w:rsidR="006A4DA5">
        <w:rPr>
          <w:lang w:val="en-GB"/>
        </w:rPr>
        <w:t xml:space="preserve">decision </w:t>
      </w:r>
      <w:proofErr w:type="spellStart"/>
      <w:r w:rsidRPr="00E213BA">
        <w:rPr>
          <w:lang w:val="en-GB"/>
        </w:rPr>
        <w:t>Gž</w:t>
      </w:r>
      <w:proofErr w:type="spellEnd"/>
      <w:r w:rsidRPr="00E213BA">
        <w:rPr>
          <w:lang w:val="en-GB"/>
        </w:rPr>
        <w:t>. 7773</w:t>
      </w:r>
      <w:r w:rsidR="006958D4">
        <w:rPr>
          <w:lang w:val="en-GB"/>
        </w:rPr>
        <w:t>⁄</w:t>
      </w:r>
      <w:r w:rsidRPr="00E213BA">
        <w:rPr>
          <w:lang w:val="en-GB"/>
        </w:rPr>
        <w:t xml:space="preserve">09 of 17 June 2009, </w:t>
      </w:r>
      <w:r w:rsidRPr="00E213BA" w:rsidR="006A4DA5">
        <w:rPr>
          <w:lang w:val="en-GB"/>
        </w:rPr>
        <w:t>and</w:t>
      </w:r>
      <w:r w:rsidRPr="00E213BA">
        <w:rPr>
          <w:lang w:val="en-GB"/>
        </w:rPr>
        <w:t xml:space="preserve"> </w:t>
      </w:r>
      <w:r w:rsidRPr="00E213BA" w:rsidR="006A4DA5">
        <w:rPr>
          <w:lang w:val="en-GB"/>
        </w:rPr>
        <w:t xml:space="preserve">Belgrade </w:t>
      </w:r>
      <w:r w:rsidRPr="00E213BA">
        <w:rPr>
          <w:lang w:val="en-GB"/>
        </w:rPr>
        <w:t xml:space="preserve">High Court </w:t>
      </w:r>
      <w:r w:rsidRPr="00E213BA" w:rsidR="006A4DA5">
        <w:rPr>
          <w:lang w:val="en-GB"/>
        </w:rPr>
        <w:t xml:space="preserve">decisions </w:t>
      </w:r>
      <w:proofErr w:type="spellStart"/>
      <w:r w:rsidRPr="00E213BA">
        <w:rPr>
          <w:lang w:val="en-GB"/>
        </w:rPr>
        <w:t>Gž</w:t>
      </w:r>
      <w:proofErr w:type="spellEnd"/>
      <w:r w:rsidRPr="00E213BA">
        <w:rPr>
          <w:lang w:val="en-GB"/>
        </w:rPr>
        <w:t>. 11139</w:t>
      </w:r>
      <w:r w:rsidR="006958D4">
        <w:rPr>
          <w:lang w:val="en-GB"/>
        </w:rPr>
        <w:t>⁄</w:t>
      </w:r>
      <w:r w:rsidRPr="00E213BA">
        <w:rPr>
          <w:lang w:val="en-GB"/>
        </w:rPr>
        <w:t>10, 11636</w:t>
      </w:r>
      <w:r w:rsidR="006958D4">
        <w:rPr>
          <w:lang w:val="en-GB"/>
        </w:rPr>
        <w:t>⁄</w:t>
      </w:r>
      <w:r w:rsidRPr="00E213BA">
        <w:rPr>
          <w:lang w:val="en-GB"/>
        </w:rPr>
        <w:t>10 and 10897</w:t>
      </w:r>
      <w:r w:rsidR="006958D4">
        <w:rPr>
          <w:lang w:val="en-GB"/>
        </w:rPr>
        <w:t>⁄</w:t>
      </w:r>
      <w:r w:rsidRPr="00E213BA">
        <w:rPr>
          <w:lang w:val="en-GB"/>
        </w:rPr>
        <w:t>10</w:t>
      </w:r>
      <w:r w:rsidRPr="00E213BA" w:rsidR="006A4DA5">
        <w:rPr>
          <w:lang w:val="en-GB"/>
        </w:rPr>
        <w:t>,</w:t>
      </w:r>
      <w:r w:rsidRPr="00E213BA">
        <w:rPr>
          <w:lang w:val="en-GB"/>
        </w:rPr>
        <w:t xml:space="preserve"> of 17 November 2010, </w:t>
      </w:r>
      <w:r w:rsidRPr="00E213BA" w:rsidR="006A4DA5">
        <w:rPr>
          <w:lang w:val="en-GB"/>
        </w:rPr>
        <w:t>23 </w:t>
      </w:r>
      <w:r w:rsidRPr="00E213BA">
        <w:rPr>
          <w:lang w:val="en-GB"/>
        </w:rPr>
        <w:t>November 2011 and 23 November 2011 respectively).</w:t>
      </w:r>
    </w:p>
    <w:p w:rsidRPr="00E213BA" w:rsidR="0022762A" w:rsidP="00420A26" w:rsidRDefault="0022762A">
      <w:pPr>
        <w:pStyle w:val="ECHRHeading2"/>
      </w:pPr>
      <w:r w:rsidRPr="00E213BA">
        <w:t>C.  Additional facts as regards the Agreement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28</w:t>
      </w:r>
      <w:r w:rsidRPr="00E213BA">
        <w:rPr>
          <w:lang w:val="en-GB"/>
        </w:rPr>
        <w:fldChar w:fldCharType="end"/>
      </w:r>
      <w:r w:rsidRPr="00E213BA">
        <w:rPr>
          <w:lang w:val="en-GB"/>
        </w:rPr>
        <w:t>.  On 17 January 2008 the Government endorsed the Agreement, and decided to pay the municipalities in question the amounts specified therein.</w:t>
      </w:r>
    </w:p>
    <w:p w:rsidR="00451995" w:rsidP="003F0108"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29</w:t>
      </w:r>
      <w:r w:rsidRPr="00E213BA">
        <w:rPr>
          <w:lang w:val="en-GB"/>
        </w:rPr>
        <w:fldChar w:fldCharType="end"/>
      </w:r>
      <w:r w:rsidRPr="00E213BA">
        <w:rPr>
          <w:lang w:val="en-GB"/>
        </w:rPr>
        <w:t xml:space="preserve">.  On 28 August 2008 the Government set up a working group tasked with addressing the requests of all other reservists, </w:t>
      </w:r>
      <w:r w:rsidRPr="00E213BA" w:rsidR="0003412D">
        <w:rPr>
          <w:lang w:val="en-GB"/>
        </w:rPr>
        <w:t>that is to say</w:t>
      </w:r>
      <w:r w:rsidRPr="00E213BA">
        <w:rPr>
          <w:lang w:val="en-GB"/>
        </w:rPr>
        <w:t xml:space="preserve"> those not resident in the seven municipalities</w:t>
      </w:r>
      <w:r w:rsidRPr="00E213BA" w:rsidR="0003412D">
        <w:rPr>
          <w:lang w:val="en-GB"/>
        </w:rPr>
        <w:t xml:space="preserve"> mentioned above</w:t>
      </w:r>
      <w:r w:rsidRPr="00E213BA">
        <w:rPr>
          <w:lang w:val="en-GB"/>
        </w:rPr>
        <w:t xml:space="preserve">. However, having discussed the issue with various groups of reservists, this working group ultimately concluded that their demands were not acceptable, </w:t>
      </w:r>
      <w:r w:rsidRPr="00E213BA">
        <w:rPr>
          <w:i/>
          <w:lang w:val="en-GB"/>
        </w:rPr>
        <w:t>inter alia</w:t>
      </w:r>
      <w:r w:rsidRPr="00E213BA">
        <w:rPr>
          <w:lang w:val="en-GB"/>
        </w:rPr>
        <w:t xml:space="preserve"> because: (a) they had not harmonised or specified their requests; (b) some of their representatives had had dubious standing to represent them; (c) there </w:t>
      </w:r>
      <w:r w:rsidRPr="00E213BA" w:rsidR="0005571E">
        <w:rPr>
          <w:lang w:val="en-GB"/>
        </w:rPr>
        <w:t>was</w:t>
      </w:r>
      <w:r w:rsidRPr="00E213BA">
        <w:rPr>
          <w:lang w:val="en-GB"/>
        </w:rPr>
        <w:t xml:space="preserve"> a lack of State funds which could be used for this purpose; and (d) in most cases, war </w:t>
      </w:r>
      <w:r w:rsidRPr="00E213BA">
        <w:rPr>
          <w:i/>
          <w:lang w:val="en-GB"/>
        </w:rPr>
        <w:t>per diems</w:t>
      </w:r>
      <w:r w:rsidRPr="00E213BA">
        <w:rPr>
          <w:lang w:val="en-GB"/>
        </w:rPr>
        <w:t xml:space="preserve"> had already been paid to the reservists.</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30</w:t>
      </w:r>
      <w:r w:rsidRPr="00E213BA">
        <w:rPr>
          <w:lang w:val="en-GB"/>
        </w:rPr>
        <w:fldChar w:fldCharType="end"/>
      </w:r>
      <w:r w:rsidRPr="00E213BA">
        <w:rPr>
          <w:lang w:val="en-GB"/>
        </w:rPr>
        <w:t>.  On 26 July 2011 the Commissioner for the Protection of Equality (</w:t>
      </w:r>
      <w:proofErr w:type="spellStart"/>
      <w:r w:rsidRPr="00E213BA">
        <w:rPr>
          <w:i/>
          <w:lang w:val="en-GB"/>
        </w:rPr>
        <w:t>Poverenica</w:t>
      </w:r>
      <w:proofErr w:type="spellEnd"/>
      <w:r w:rsidRPr="00E213BA">
        <w:rPr>
          <w:i/>
          <w:lang w:val="en-GB"/>
        </w:rPr>
        <w:t xml:space="preserve"> </w:t>
      </w:r>
      <w:proofErr w:type="spellStart"/>
      <w:r w:rsidRPr="00E213BA">
        <w:rPr>
          <w:i/>
          <w:lang w:val="en-GB"/>
        </w:rPr>
        <w:t>za</w:t>
      </w:r>
      <w:proofErr w:type="spellEnd"/>
      <w:r w:rsidRPr="00E213BA">
        <w:rPr>
          <w:i/>
          <w:lang w:val="en-GB"/>
        </w:rPr>
        <w:t xml:space="preserve"> </w:t>
      </w:r>
      <w:proofErr w:type="spellStart"/>
      <w:r w:rsidRPr="00E213BA">
        <w:rPr>
          <w:i/>
          <w:lang w:val="en-GB"/>
        </w:rPr>
        <w:t>zaštitu</w:t>
      </w:r>
      <w:proofErr w:type="spellEnd"/>
      <w:r w:rsidRPr="00E213BA">
        <w:rPr>
          <w:i/>
          <w:lang w:val="en-GB"/>
        </w:rPr>
        <w:t xml:space="preserve"> </w:t>
      </w:r>
      <w:proofErr w:type="spellStart"/>
      <w:r w:rsidRPr="00E213BA">
        <w:rPr>
          <w:i/>
          <w:lang w:val="en-GB"/>
        </w:rPr>
        <w:t>ravnopravnosti</w:t>
      </w:r>
      <w:proofErr w:type="spellEnd"/>
      <w:r w:rsidRPr="00E213BA">
        <w:rPr>
          <w:lang w:val="en-GB"/>
        </w:rPr>
        <w:t xml:space="preserve">), an Ombudsman-type office established on the basis of the Prohibition of Discrimination Act (see paragraphs 40 and 41 below), considered the complaints brought by an organisation representing the interests of reservists in a situation </w:t>
      </w:r>
      <w:r w:rsidRPr="00E213BA" w:rsidR="00D23327">
        <w:rPr>
          <w:lang w:val="en-GB"/>
        </w:rPr>
        <w:t>comparable to that of</w:t>
      </w:r>
      <w:r w:rsidRPr="00E213BA">
        <w:rPr>
          <w:lang w:val="en-GB"/>
        </w:rPr>
        <w:t xml:space="preserve"> the applicants. </w:t>
      </w:r>
      <w:r w:rsidRPr="00E213BA" w:rsidR="00F866DB">
        <w:rPr>
          <w:lang w:val="en-GB"/>
        </w:rPr>
        <w:t>S</w:t>
      </w:r>
      <w:r w:rsidRPr="00E213BA">
        <w:rPr>
          <w:lang w:val="en-GB"/>
        </w:rPr>
        <w:t xml:space="preserve">he concluded that they had been discriminated against on the basis of their registered </w:t>
      </w:r>
      <w:proofErr w:type="gramStart"/>
      <w:r w:rsidRPr="00E213BA">
        <w:rPr>
          <w:lang w:val="en-GB"/>
        </w:rPr>
        <w:t>residence, that</w:t>
      </w:r>
      <w:proofErr w:type="gramEnd"/>
      <w:r w:rsidRPr="00E213BA">
        <w:rPr>
          <w:lang w:val="en-GB"/>
        </w:rPr>
        <w:t xml:space="preserve"> is as non-residents of the seven privileged municipalities, and recommended </w:t>
      </w:r>
      <w:r w:rsidRPr="00E213BA" w:rsidR="00F866DB">
        <w:rPr>
          <w:lang w:val="en-GB"/>
        </w:rPr>
        <w:t xml:space="preserve">that </w:t>
      </w:r>
      <w:r w:rsidRPr="00E213BA">
        <w:rPr>
          <w:lang w:val="en-GB"/>
        </w:rPr>
        <w:t xml:space="preserve">the Government take all necessary measures in order to ensure that all reservists </w:t>
      </w:r>
      <w:r w:rsidRPr="00E213BA" w:rsidR="00F866DB">
        <w:rPr>
          <w:lang w:val="en-GB"/>
        </w:rPr>
        <w:t xml:space="preserve">were </w:t>
      </w:r>
      <w:r w:rsidRPr="00E213BA">
        <w:rPr>
          <w:lang w:val="en-GB"/>
        </w:rPr>
        <w:t xml:space="preserve">afforded the payments recognised by their decision of 17 January 2008. The </w:t>
      </w:r>
      <w:r w:rsidRPr="00E213BA">
        <w:rPr>
          <w:lang w:val="en-GB"/>
        </w:rPr>
        <w:lastRenderedPageBreak/>
        <w:t xml:space="preserve">Government </w:t>
      </w:r>
      <w:r w:rsidRPr="00E213BA" w:rsidR="00F866DB">
        <w:rPr>
          <w:lang w:val="en-GB"/>
        </w:rPr>
        <w:t xml:space="preserve">were </w:t>
      </w:r>
      <w:r w:rsidRPr="00E213BA">
        <w:rPr>
          <w:lang w:val="en-GB"/>
        </w:rPr>
        <w:t>also invited to provide the Commissioner with an appropriate “action plan” within a period of thirty days. In its reasoning, the Commissioner</w:t>
      </w:r>
      <w:r w:rsidR="001F25A4">
        <w:rPr>
          <w:lang w:val="en-GB"/>
        </w:rPr>
        <w:t>’</w:t>
      </w:r>
      <w:r w:rsidRPr="00E213BA">
        <w:rPr>
          <w:lang w:val="en-GB"/>
        </w:rPr>
        <w:t xml:space="preserve">s decision noted, </w:t>
      </w:r>
      <w:r w:rsidRPr="00E213BA">
        <w:rPr>
          <w:i/>
          <w:lang w:val="en-GB"/>
        </w:rPr>
        <w:t>inter alia</w:t>
      </w:r>
      <w:r w:rsidRPr="00E213BA">
        <w:rPr>
          <w:lang w:val="en-GB"/>
        </w:rPr>
        <w:t xml:space="preserve">, that the payments in question were </w:t>
      </w:r>
      <w:r w:rsidRPr="00E213BA">
        <w:rPr>
          <w:i/>
          <w:lang w:val="en-GB"/>
        </w:rPr>
        <w:t>per diems</w:t>
      </w:r>
      <w:r w:rsidRPr="00E213BA">
        <w:rPr>
          <w:lang w:val="en-GB"/>
        </w:rPr>
        <w:t>, notwithstanding that the Government had chosen to consider them as social benefits awarded to persons in need (</w:t>
      </w:r>
      <w:proofErr w:type="spellStart"/>
      <w:r w:rsidRPr="00E213BA">
        <w:rPr>
          <w:i/>
          <w:lang w:val="en-GB"/>
        </w:rPr>
        <w:t>socijalna</w:t>
      </w:r>
      <w:proofErr w:type="spellEnd"/>
      <w:r w:rsidRPr="00E213BA">
        <w:rPr>
          <w:i/>
          <w:lang w:val="en-GB"/>
        </w:rPr>
        <w:t xml:space="preserve"> </w:t>
      </w:r>
      <w:proofErr w:type="spellStart"/>
      <w:r w:rsidRPr="00E213BA">
        <w:rPr>
          <w:i/>
          <w:lang w:val="en-GB"/>
        </w:rPr>
        <w:t>pomoć</w:t>
      </w:r>
      <w:proofErr w:type="spellEnd"/>
      <w:r w:rsidRPr="00E213BA">
        <w:rPr>
          <w:lang w:val="en-GB"/>
        </w:rPr>
        <w:t xml:space="preserve">), and that this was best exemplified by the fact that the reservists in question had had to renounce their legal claims concerning the </w:t>
      </w:r>
      <w:r w:rsidRPr="00E213BA">
        <w:rPr>
          <w:i/>
          <w:lang w:val="en-GB"/>
        </w:rPr>
        <w:t>per diems</w:t>
      </w:r>
      <w:r w:rsidRPr="00E213BA" w:rsidR="006E42C4">
        <w:rPr>
          <w:lang w:val="en-GB"/>
        </w:rPr>
        <w:t>,</w:t>
      </w:r>
      <w:r w:rsidRPr="00E213BA">
        <w:rPr>
          <w:lang w:val="en-GB"/>
        </w:rPr>
        <w:t xml:space="preserve"> as well as the fact that the individual reservists resident in the seven municipalities </w:t>
      </w:r>
      <w:r w:rsidRPr="00E213BA" w:rsidR="006E42C4">
        <w:rPr>
          <w:lang w:val="en-GB"/>
        </w:rPr>
        <w:t xml:space="preserve">in </w:t>
      </w:r>
      <w:r w:rsidRPr="00E213BA">
        <w:rPr>
          <w:lang w:val="en-GB"/>
        </w:rPr>
        <w:t>issue were never under an obligation to prove their indigence (</w:t>
      </w:r>
      <w:proofErr w:type="spellStart"/>
      <w:r w:rsidRPr="00E213BA">
        <w:rPr>
          <w:i/>
          <w:lang w:val="en-GB"/>
        </w:rPr>
        <w:t>imovinsko</w:t>
      </w:r>
      <w:proofErr w:type="spellEnd"/>
      <w:r w:rsidRPr="00E213BA">
        <w:rPr>
          <w:i/>
          <w:lang w:val="en-GB"/>
        </w:rPr>
        <w:t xml:space="preserve"> </w:t>
      </w:r>
      <w:proofErr w:type="spellStart"/>
      <w:r w:rsidRPr="00E213BA">
        <w:rPr>
          <w:i/>
          <w:lang w:val="en-GB"/>
        </w:rPr>
        <w:t>stanje</w:t>
      </w:r>
      <w:proofErr w:type="spellEnd"/>
      <w:r w:rsidRPr="00E213BA">
        <w:rPr>
          <w:i/>
          <w:lang w:val="en-GB"/>
        </w:rPr>
        <w:t xml:space="preserve"> </w:t>
      </w:r>
      <w:proofErr w:type="spellStart"/>
      <w:r w:rsidRPr="00E213BA">
        <w:rPr>
          <w:i/>
          <w:lang w:val="en-GB"/>
        </w:rPr>
        <w:t>i</w:t>
      </w:r>
      <w:proofErr w:type="spellEnd"/>
      <w:r w:rsidRPr="00E213BA">
        <w:rPr>
          <w:i/>
          <w:lang w:val="en-GB"/>
        </w:rPr>
        <w:t xml:space="preserve"> </w:t>
      </w:r>
      <w:proofErr w:type="spellStart"/>
      <w:r w:rsidRPr="00E213BA">
        <w:rPr>
          <w:i/>
          <w:lang w:val="en-GB"/>
        </w:rPr>
        <w:t>socijalnu</w:t>
      </w:r>
      <w:proofErr w:type="spellEnd"/>
      <w:r w:rsidRPr="00E213BA">
        <w:rPr>
          <w:i/>
          <w:lang w:val="en-GB"/>
        </w:rPr>
        <w:t xml:space="preserve"> </w:t>
      </w:r>
      <w:proofErr w:type="spellStart"/>
      <w:r w:rsidRPr="00E213BA">
        <w:rPr>
          <w:i/>
          <w:lang w:val="en-GB"/>
        </w:rPr>
        <w:t>ugroženost</w:t>
      </w:r>
      <w:proofErr w:type="spellEnd"/>
      <w:r w:rsidRPr="00E213BA">
        <w:rPr>
          <w:lang w:val="en-GB"/>
        </w:rPr>
        <w:t xml:space="preserve">). This being so, there was clearly no objective and reasonable justification for the differential treatment of reservists merely on the basis of their </w:t>
      </w:r>
      <w:r w:rsidRPr="00E213BA" w:rsidR="006E42C4">
        <w:rPr>
          <w:lang w:val="en-GB"/>
        </w:rPr>
        <w:t xml:space="preserve">place of </w:t>
      </w:r>
      <w:r w:rsidRPr="00E213BA">
        <w:rPr>
          <w:lang w:val="en-GB"/>
        </w:rPr>
        <w:t>residence.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31</w:t>
      </w:r>
      <w:r w:rsidRPr="00E213BA">
        <w:rPr>
          <w:lang w:val="en-GB"/>
        </w:rPr>
        <w:fldChar w:fldCharType="end"/>
      </w:r>
      <w:r w:rsidRPr="00E213BA">
        <w:rPr>
          <w:lang w:val="en-GB"/>
        </w:rPr>
        <w:t>.  On 7 December 2011 the Ministry for Labour and Social Affairs (</w:t>
      </w:r>
      <w:proofErr w:type="spellStart"/>
      <w:r w:rsidRPr="00E213BA">
        <w:rPr>
          <w:i/>
          <w:lang w:val="en-GB"/>
        </w:rPr>
        <w:t>Ministarstvo</w:t>
      </w:r>
      <w:proofErr w:type="spellEnd"/>
      <w:r w:rsidRPr="00E213BA">
        <w:rPr>
          <w:i/>
          <w:lang w:val="en-GB"/>
        </w:rPr>
        <w:t xml:space="preserve"> </w:t>
      </w:r>
      <w:proofErr w:type="spellStart"/>
      <w:r w:rsidRPr="00E213BA">
        <w:rPr>
          <w:i/>
          <w:lang w:val="en-GB"/>
        </w:rPr>
        <w:t>rada</w:t>
      </w:r>
      <w:proofErr w:type="spellEnd"/>
      <w:r w:rsidRPr="00E213BA">
        <w:rPr>
          <w:i/>
          <w:lang w:val="en-GB"/>
        </w:rPr>
        <w:t xml:space="preserve"> </w:t>
      </w:r>
      <w:proofErr w:type="spellStart"/>
      <w:r w:rsidRPr="00E213BA">
        <w:rPr>
          <w:i/>
          <w:lang w:val="en-GB"/>
        </w:rPr>
        <w:t>i</w:t>
      </w:r>
      <w:proofErr w:type="spellEnd"/>
      <w:r w:rsidRPr="00E213BA">
        <w:rPr>
          <w:i/>
          <w:lang w:val="en-GB"/>
        </w:rPr>
        <w:t xml:space="preserve"> </w:t>
      </w:r>
      <w:proofErr w:type="spellStart"/>
      <w:r w:rsidRPr="00E213BA">
        <w:rPr>
          <w:i/>
          <w:lang w:val="en-GB"/>
        </w:rPr>
        <w:t>socijalne</w:t>
      </w:r>
      <w:proofErr w:type="spellEnd"/>
      <w:r w:rsidRPr="00E213BA">
        <w:rPr>
          <w:i/>
          <w:lang w:val="en-GB"/>
        </w:rPr>
        <w:t xml:space="preserve"> </w:t>
      </w:r>
      <w:proofErr w:type="spellStart"/>
      <w:r w:rsidRPr="00E213BA">
        <w:rPr>
          <w:i/>
          <w:lang w:val="en-GB"/>
        </w:rPr>
        <w:t>politike</w:t>
      </w:r>
      <w:proofErr w:type="spellEnd"/>
      <w:r w:rsidRPr="00E213BA">
        <w:rPr>
          <w:lang w:val="en-GB"/>
        </w:rPr>
        <w:t>) noted that discussions should continue with the various groups of reservists and that, if possible, financial support should be offered to the most indigent among them.</w:t>
      </w:r>
    </w:p>
    <w:p w:rsidRPr="00E213BA" w:rsidR="0022762A" w:rsidP="00027241" w:rsidRDefault="0022762A">
      <w:pPr>
        <w:pStyle w:val="ECHRHeading1"/>
      </w:pPr>
      <w:r w:rsidRPr="00E213BA">
        <w:t>II.</w:t>
      </w:r>
      <w:proofErr w:type="gramStart"/>
      <w:r w:rsidRPr="00E213BA">
        <w:t>  RELEVANT</w:t>
      </w:r>
      <w:proofErr w:type="gramEnd"/>
      <w:r w:rsidRPr="00E213BA">
        <w:t xml:space="preserve"> DOMESTIC LAW AND PRACTICE</w:t>
      </w:r>
    </w:p>
    <w:p w:rsidRPr="00E213BA" w:rsidR="0022762A" w:rsidP="00420A26" w:rsidRDefault="0022762A">
      <w:pPr>
        <w:pStyle w:val="ECHRHeading2"/>
      </w:pPr>
      <w:r w:rsidRPr="00E213BA">
        <w:t xml:space="preserve">A.  The Constitution of the Republic of </w:t>
      </w:r>
      <w:bookmarkStart w:name="File8" w:id="7"/>
      <w:r w:rsidRPr="00E213BA">
        <w:t>Serbia</w:t>
      </w:r>
      <w:bookmarkEnd w:id="7"/>
      <w:r w:rsidRPr="00E213BA">
        <w:t xml:space="preserve"> (</w:t>
      </w:r>
      <w:proofErr w:type="spellStart"/>
      <w:r w:rsidRPr="00E213BA">
        <w:rPr>
          <w:i/>
        </w:rPr>
        <w:t>Ustav</w:t>
      </w:r>
      <w:proofErr w:type="spellEnd"/>
      <w:r w:rsidRPr="00E213BA">
        <w:rPr>
          <w:i/>
        </w:rPr>
        <w:t xml:space="preserve"> </w:t>
      </w:r>
      <w:proofErr w:type="spellStart"/>
      <w:r w:rsidRPr="00E213BA">
        <w:rPr>
          <w:i/>
        </w:rPr>
        <w:t>Republike</w:t>
      </w:r>
      <w:proofErr w:type="spellEnd"/>
      <w:r w:rsidRPr="00E213BA">
        <w:rPr>
          <w:i/>
        </w:rPr>
        <w:t xml:space="preserve"> </w:t>
      </w:r>
      <w:proofErr w:type="spellStart"/>
      <w:r w:rsidRPr="00E213BA">
        <w:rPr>
          <w:i/>
        </w:rPr>
        <w:t>Srbije</w:t>
      </w:r>
      <w:proofErr w:type="spellEnd"/>
      <w:r w:rsidRPr="00E213BA" w:rsidR="003640B0">
        <w:t>,</w:t>
      </w:r>
      <w:r w:rsidRPr="00E213BA">
        <w:t xml:space="preserve"> published in the Official Gazette of the Republic of Serbia – OG RS – no. 98</w:t>
      </w:r>
      <w:r w:rsidR="006958D4">
        <w:t>⁄</w:t>
      </w:r>
      <w:r w:rsidRPr="00E213BA">
        <w:t>06)</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32</w:t>
      </w:r>
      <w:r w:rsidRPr="00E213BA">
        <w:rPr>
          <w:lang w:val="en-GB"/>
        </w:rPr>
        <w:fldChar w:fldCharType="end"/>
      </w:r>
      <w:r w:rsidRPr="00E213BA">
        <w:rPr>
          <w:lang w:val="en-GB"/>
        </w:rPr>
        <w:t>.  The relevant provisions of the Constitution read as follows:</w:t>
      </w:r>
    </w:p>
    <w:p w:rsidRPr="00E213BA" w:rsidR="0022762A" w:rsidP="003D29A0" w:rsidRDefault="0022762A">
      <w:pPr>
        <w:pStyle w:val="ECHRTitleCentre3"/>
      </w:pPr>
      <w:r w:rsidRPr="00E213BA">
        <w:t>Article 18</w:t>
      </w:r>
    </w:p>
    <w:p w:rsidRPr="00E213BA" w:rsidR="0022762A" w:rsidP="003D29A0" w:rsidRDefault="0022762A">
      <w:pPr>
        <w:pStyle w:val="ECHRParaQuote"/>
        <w:rPr>
          <w:lang w:val="en-GB"/>
        </w:rPr>
      </w:pPr>
      <w:r w:rsidRPr="00E213BA">
        <w:rPr>
          <w:lang w:val="en-GB"/>
        </w:rPr>
        <w:t>“Human and minority rights guaranteed by the Constitution shall be implemented directly.</w:t>
      </w:r>
    </w:p>
    <w:p w:rsidRPr="00E213BA" w:rsidR="0022762A" w:rsidP="003D29A0" w:rsidRDefault="0022762A">
      <w:pPr>
        <w:pStyle w:val="ECHRParaQuote"/>
        <w:rPr>
          <w:lang w:val="en-GB"/>
        </w:rPr>
      </w:pPr>
      <w:r w:rsidRPr="00E213BA">
        <w:rPr>
          <w:lang w:val="en-GB"/>
        </w:rPr>
        <w:t xml:space="preserve">The Constitution shall guarantee ... the direct implementation of human and minority rights secured by the generally accepted rules of international law ... [and] ... ratified international treaties ... Legislation may prescribe the manner of exercising these rights only if explicitly </w:t>
      </w:r>
      <w:r w:rsidRPr="00E213BA" w:rsidR="00194409">
        <w:rPr>
          <w:lang w:val="en-GB"/>
        </w:rPr>
        <w:t xml:space="preserve">so </w:t>
      </w:r>
      <w:r w:rsidRPr="00E213BA">
        <w:rPr>
          <w:lang w:val="en-GB"/>
        </w:rPr>
        <w:t>stated in the Constitution or if necessary for the enjoyment of a specific right owing to its nature, it being understood that such legislation may not under any circumstances influence the substance of the guaranteed right in question.</w:t>
      </w:r>
    </w:p>
    <w:p w:rsidRPr="00E213BA" w:rsidR="0022762A" w:rsidP="003D29A0" w:rsidRDefault="0022762A">
      <w:pPr>
        <w:pStyle w:val="ECHRParaQuote"/>
        <w:rPr>
          <w:lang w:val="en-GB"/>
        </w:rPr>
      </w:pPr>
      <w:r w:rsidRPr="00E213BA">
        <w:rPr>
          <w:lang w:val="en-GB"/>
        </w:rPr>
        <w:t>Provisions on human and minority rights shall be interpreted ... pursuant to valid international standards on human and minority rights, as well as the practice of international institutions which supervise their implementation.”</w:t>
      </w:r>
    </w:p>
    <w:p w:rsidRPr="00E213BA" w:rsidR="0022762A" w:rsidP="003D29A0" w:rsidRDefault="0022762A">
      <w:pPr>
        <w:pStyle w:val="ECHRTitleCentre3"/>
      </w:pPr>
      <w:r w:rsidRPr="00E213BA">
        <w:t>Article 21</w:t>
      </w:r>
    </w:p>
    <w:p w:rsidRPr="00E213BA" w:rsidR="00B71550" w:rsidP="003D29A0" w:rsidRDefault="00B71550">
      <w:pPr>
        <w:pStyle w:val="ECHRParaQuote"/>
        <w:rPr>
          <w:lang w:val="en-GB"/>
        </w:rPr>
      </w:pPr>
      <w:r w:rsidRPr="00E213BA">
        <w:rPr>
          <w:lang w:val="en-GB"/>
        </w:rPr>
        <w:t>“Everyone shall be equal before the Constitution and</w:t>
      </w:r>
      <w:r w:rsidRPr="00E213BA" w:rsidR="007F5AD8">
        <w:rPr>
          <w:lang w:val="en-GB"/>
        </w:rPr>
        <w:t xml:space="preserve"> the law</w:t>
      </w:r>
      <w:r w:rsidRPr="00E213BA">
        <w:rPr>
          <w:lang w:val="en-GB"/>
        </w:rPr>
        <w:t>.</w:t>
      </w:r>
    </w:p>
    <w:p w:rsidRPr="00E213BA" w:rsidR="0022762A" w:rsidP="003D29A0" w:rsidRDefault="0022762A">
      <w:pPr>
        <w:pStyle w:val="ECHRParaQuote"/>
        <w:rPr>
          <w:lang w:val="en-GB"/>
        </w:rPr>
      </w:pPr>
      <w:r w:rsidRPr="00E213BA">
        <w:rPr>
          <w:lang w:val="en-GB"/>
        </w:rPr>
        <w:t>Everyone shall have the right to equal legal protection, without discrimination.</w:t>
      </w:r>
    </w:p>
    <w:p w:rsidRPr="00E213BA" w:rsidR="0022762A" w:rsidP="003D29A0" w:rsidRDefault="0022762A">
      <w:pPr>
        <w:pStyle w:val="ECHRParaQuote"/>
        <w:rPr>
          <w:lang w:val="en-GB"/>
        </w:rPr>
      </w:pPr>
      <w:r w:rsidRPr="00E213BA">
        <w:rPr>
          <w:lang w:val="en-GB"/>
        </w:rPr>
        <w:t xml:space="preserve">All direct or indirect discrimination based on any ground, particularly on the grounds of race, sex, national or social origin, birth, religion, political or other </w:t>
      </w:r>
      <w:r w:rsidRPr="00E213BA">
        <w:rPr>
          <w:lang w:val="en-GB"/>
        </w:rPr>
        <w:lastRenderedPageBreak/>
        <w:t>opinion, property status, culture, language, age, mental or physical disability shall be prohibited.”</w:t>
      </w:r>
    </w:p>
    <w:p w:rsidRPr="00E213BA" w:rsidR="0022762A" w:rsidP="003D29A0" w:rsidRDefault="0022762A">
      <w:pPr>
        <w:pStyle w:val="ECHRTitleCentre3"/>
      </w:pPr>
      <w:r w:rsidRPr="00E213BA">
        <w:t>Article 32 § 1</w:t>
      </w:r>
    </w:p>
    <w:p w:rsidRPr="00E213BA" w:rsidR="0022762A" w:rsidP="003D29A0" w:rsidRDefault="0022762A">
      <w:pPr>
        <w:pStyle w:val="ECHRParaQuote"/>
        <w:rPr>
          <w:lang w:val="en-GB"/>
        </w:rPr>
      </w:pPr>
      <w:r w:rsidRPr="00E213BA">
        <w:rPr>
          <w:lang w:val="en-GB"/>
        </w:rPr>
        <w:t>“Everyone shall have the right to ... [a fair hearing before a] ... tribunal ... [in the determination] ... of his [or her] rights and obligations ...”</w:t>
      </w:r>
    </w:p>
    <w:p w:rsidRPr="00E213BA" w:rsidR="0022762A" w:rsidP="003D29A0" w:rsidRDefault="0022762A">
      <w:pPr>
        <w:pStyle w:val="ECHRTitleCentre3"/>
      </w:pPr>
      <w:r w:rsidRPr="00E213BA">
        <w:t>Article 36 § 1</w:t>
      </w:r>
    </w:p>
    <w:p w:rsidRPr="00E213BA" w:rsidR="0022762A" w:rsidP="003D29A0" w:rsidRDefault="0022762A">
      <w:pPr>
        <w:pStyle w:val="ECHRParaQuote"/>
        <w:rPr>
          <w:lang w:val="en-GB"/>
        </w:rPr>
      </w:pPr>
      <w:r w:rsidRPr="00E213BA">
        <w:rPr>
          <w:lang w:val="en-GB"/>
        </w:rPr>
        <w:t>“Equal protection of rights before the courts of law ... shall be guaranteed.”</w:t>
      </w:r>
    </w:p>
    <w:p w:rsidRPr="00E213BA" w:rsidR="0022762A" w:rsidP="003D29A0" w:rsidRDefault="0022762A">
      <w:pPr>
        <w:pStyle w:val="ECHRTitleCentre3"/>
      </w:pPr>
      <w:r w:rsidRPr="00E213BA">
        <w:t>Article 170</w:t>
      </w:r>
    </w:p>
    <w:p w:rsidRPr="00E213BA" w:rsidR="0022762A" w:rsidP="003D29A0" w:rsidRDefault="0022762A">
      <w:pPr>
        <w:pStyle w:val="ECHRParaQuote"/>
        <w:rPr>
          <w:lang w:val="en-GB"/>
        </w:rPr>
      </w:pPr>
      <w:r w:rsidRPr="00E213BA">
        <w:rPr>
          <w:lang w:val="en-GB"/>
        </w:rPr>
        <w:t>“A constitutional appeal may be lodged against individual decisions or</w:t>
      </w:r>
      <w:r w:rsidRPr="00E213BA">
        <w:rPr>
          <w:color w:val="20335D"/>
          <w:lang w:val="en-GB"/>
        </w:rPr>
        <w:t xml:space="preserve"> </w:t>
      </w:r>
      <w:r w:rsidRPr="00E213BA">
        <w:rPr>
          <w:lang w:val="en-GB"/>
        </w:rPr>
        <w:t>actions of State bodies or organisations exercising delegated public powers which violate or deny human or minority rights and freedoms guaranteed by the Constitution, if other legal remedies for their protection have already been exhausted or have not been prescribed.”</w:t>
      </w:r>
    </w:p>
    <w:p w:rsidRPr="00E213BA" w:rsidR="0022762A" w:rsidP="00420A26" w:rsidRDefault="0022762A">
      <w:pPr>
        <w:pStyle w:val="ECHRHeading2"/>
        <w:rPr>
          <w:lang w:eastAsia="en-GB"/>
        </w:rPr>
      </w:pPr>
      <w:r w:rsidRPr="00E213BA">
        <w:rPr>
          <w:lang w:eastAsia="en-GB"/>
        </w:rPr>
        <w:t>B.  The Constitutional Court Act (</w:t>
      </w:r>
      <w:proofErr w:type="spellStart"/>
      <w:r w:rsidRPr="00E213BA">
        <w:rPr>
          <w:i/>
          <w:lang w:eastAsia="en-GB"/>
        </w:rPr>
        <w:t>Zakon</w:t>
      </w:r>
      <w:proofErr w:type="spellEnd"/>
      <w:r w:rsidRPr="00E213BA">
        <w:rPr>
          <w:i/>
          <w:lang w:eastAsia="en-GB"/>
        </w:rPr>
        <w:t xml:space="preserve"> o </w:t>
      </w:r>
      <w:proofErr w:type="spellStart"/>
      <w:r w:rsidRPr="00E213BA">
        <w:rPr>
          <w:i/>
          <w:lang w:eastAsia="en-GB"/>
        </w:rPr>
        <w:t>Ustavnom</w:t>
      </w:r>
      <w:proofErr w:type="spellEnd"/>
      <w:r w:rsidRPr="00E213BA">
        <w:rPr>
          <w:i/>
          <w:lang w:eastAsia="en-GB"/>
        </w:rPr>
        <w:t xml:space="preserve"> </w:t>
      </w:r>
      <w:proofErr w:type="spellStart"/>
      <w:r w:rsidRPr="00E213BA">
        <w:rPr>
          <w:i/>
          <w:lang w:eastAsia="en-GB"/>
        </w:rPr>
        <w:t>sudu</w:t>
      </w:r>
      <w:proofErr w:type="spellEnd"/>
      <w:r w:rsidRPr="00E213BA" w:rsidR="00194409">
        <w:rPr>
          <w:lang w:eastAsia="en-GB"/>
        </w:rPr>
        <w:t>,</w:t>
      </w:r>
      <w:r w:rsidRPr="00E213BA">
        <w:rPr>
          <w:lang w:eastAsia="en-GB"/>
        </w:rPr>
        <w:t xml:space="preserve"> published in OG RS nos. 109</w:t>
      </w:r>
      <w:r w:rsidR="006958D4">
        <w:rPr>
          <w:lang w:eastAsia="en-GB"/>
        </w:rPr>
        <w:t>⁄</w:t>
      </w:r>
      <w:r w:rsidRPr="00E213BA">
        <w:rPr>
          <w:lang w:eastAsia="en-GB"/>
        </w:rPr>
        <w:t>07 and 99</w:t>
      </w:r>
      <w:r w:rsidR="006958D4">
        <w:rPr>
          <w:lang w:eastAsia="en-GB"/>
        </w:rPr>
        <w:t>⁄</w:t>
      </w:r>
      <w:r w:rsidRPr="00E213BA">
        <w:rPr>
          <w:lang w:eastAsia="en-GB"/>
        </w:rPr>
        <w:t>11)</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33</w:t>
      </w:r>
      <w:r w:rsidRPr="00E213BA">
        <w:rPr>
          <w:lang w:val="en-GB"/>
        </w:rPr>
        <w:fldChar w:fldCharType="end"/>
      </w:r>
      <w:r w:rsidRPr="00E213BA">
        <w:rPr>
          <w:lang w:val="en-GB"/>
        </w:rPr>
        <w:t xml:space="preserve">.  Section 36 § 1 (7) provides </w:t>
      </w:r>
      <w:r w:rsidRPr="00E213BA" w:rsidR="00010BFB">
        <w:rPr>
          <w:lang w:val="en-GB"/>
        </w:rPr>
        <w:t xml:space="preserve">for </w:t>
      </w:r>
      <w:r w:rsidRPr="00E213BA">
        <w:rPr>
          <w:lang w:val="en-GB"/>
        </w:rPr>
        <w:t xml:space="preserve">the Constitutional Court </w:t>
      </w:r>
      <w:r w:rsidRPr="00E213BA" w:rsidR="00010BFB">
        <w:rPr>
          <w:lang w:val="en-GB"/>
        </w:rPr>
        <w:t xml:space="preserve">to </w:t>
      </w:r>
      <w:r w:rsidRPr="00E213BA">
        <w:rPr>
          <w:lang w:val="en-GB"/>
        </w:rPr>
        <w:t>reject a submission, including a constitutional appeal, when the requirements for the institution of the relevant proceedings, set forth by law, have not been fulfilled.</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34</w:t>
      </w:r>
      <w:r w:rsidRPr="00E213BA">
        <w:rPr>
          <w:lang w:val="en-GB"/>
        </w:rPr>
        <w:fldChar w:fldCharType="end"/>
      </w:r>
      <w:r w:rsidRPr="00E213BA">
        <w:rPr>
          <w:lang w:val="en-GB"/>
        </w:rPr>
        <w:t>.  Section 87 provides that should the Constitutional Court rule in favo</w:t>
      </w:r>
      <w:r w:rsidRPr="00E213BA" w:rsidR="00010BFB">
        <w:rPr>
          <w:lang w:val="en-GB"/>
        </w:rPr>
        <w:t>u</w:t>
      </w:r>
      <w:r w:rsidRPr="00E213BA">
        <w:rPr>
          <w:lang w:val="en-GB"/>
        </w:rPr>
        <w:t xml:space="preserve">r of a group of </w:t>
      </w:r>
      <w:r w:rsidRPr="00E213BA" w:rsidR="00010BFB">
        <w:rPr>
          <w:lang w:val="en-GB"/>
        </w:rPr>
        <w:t xml:space="preserve">people </w:t>
      </w:r>
      <w:r w:rsidRPr="00E213BA">
        <w:rPr>
          <w:lang w:val="en-GB"/>
        </w:rPr>
        <w:t>on a given issue</w:t>
      </w:r>
      <w:r w:rsidRPr="00E213BA" w:rsidR="00233775">
        <w:rPr>
          <w:lang w:val="en-GB"/>
        </w:rPr>
        <w:t>,</w:t>
      </w:r>
      <w:r w:rsidRPr="00E213BA">
        <w:rPr>
          <w:lang w:val="en-GB"/>
        </w:rPr>
        <w:t xml:space="preserve"> th</w:t>
      </w:r>
      <w:r w:rsidRPr="00E213BA" w:rsidR="00010BFB">
        <w:rPr>
          <w:lang w:val="en-GB"/>
        </w:rPr>
        <w:t>at</w:t>
      </w:r>
      <w:r w:rsidRPr="00E213BA">
        <w:rPr>
          <w:lang w:val="en-GB"/>
        </w:rPr>
        <w:t xml:space="preserve"> decision </w:t>
      </w:r>
      <w:r w:rsidRPr="00E213BA" w:rsidR="00010BFB">
        <w:rPr>
          <w:lang w:val="en-GB"/>
        </w:rPr>
        <w:t xml:space="preserve">will </w:t>
      </w:r>
      <w:r w:rsidRPr="00E213BA">
        <w:rPr>
          <w:lang w:val="en-GB"/>
        </w:rPr>
        <w:t xml:space="preserve">also be applicable to other </w:t>
      </w:r>
      <w:r w:rsidRPr="00E213BA" w:rsidR="00010BFB">
        <w:rPr>
          <w:lang w:val="en-GB"/>
        </w:rPr>
        <w:t xml:space="preserve">people </w:t>
      </w:r>
      <w:r w:rsidRPr="00E213BA">
        <w:rPr>
          <w:lang w:val="en-GB"/>
        </w:rPr>
        <w:t>in the same legal situation, even if they ha</w:t>
      </w:r>
      <w:r w:rsidRPr="00E213BA" w:rsidR="00010BFB">
        <w:rPr>
          <w:lang w:val="en-GB"/>
        </w:rPr>
        <w:t>ve</w:t>
      </w:r>
      <w:r w:rsidRPr="00E213BA">
        <w:rPr>
          <w:lang w:val="en-GB"/>
        </w:rPr>
        <w:t xml:space="preserve"> personally never filed a constitutional appeal </w:t>
      </w:r>
      <w:r w:rsidRPr="00E213BA" w:rsidR="001505AD">
        <w:rPr>
          <w:lang w:val="en-GB"/>
        </w:rPr>
        <w:t>on the issue concerned</w:t>
      </w:r>
      <w:r w:rsidRPr="00E213BA">
        <w:rPr>
          <w:lang w:val="en-GB"/>
        </w:rPr>
        <w:t>.</w:t>
      </w:r>
    </w:p>
    <w:p w:rsidRPr="00E213BA" w:rsidR="0022762A" w:rsidP="00420A26" w:rsidRDefault="00B43C0D">
      <w:pPr>
        <w:pStyle w:val="ECHRHeading2"/>
      </w:pPr>
      <w:r w:rsidRPr="00E213BA">
        <w:t>C</w:t>
      </w:r>
      <w:r w:rsidRPr="00E213BA" w:rsidR="0022762A">
        <w:t>.  The Constitutional Court</w:t>
      </w:r>
      <w:r w:rsidR="001F25A4">
        <w:t>’</w:t>
      </w:r>
      <w:r w:rsidRPr="00E213BA" w:rsidR="0022762A">
        <w:t>s case-law</w:t>
      </w:r>
    </w:p>
    <w:p w:rsidRPr="00E213BA" w:rsidR="0083460F" w:rsidP="0083460F" w:rsidRDefault="0083460F">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35</w:t>
      </w:r>
      <w:r w:rsidRPr="00E213BA">
        <w:rPr>
          <w:lang w:val="en-GB"/>
        </w:rPr>
        <w:fldChar w:fldCharType="end"/>
      </w:r>
      <w:r w:rsidRPr="00E213BA">
        <w:rPr>
          <w:lang w:val="en-GB"/>
        </w:rPr>
        <w:t>.  According to the Constitutional Court</w:t>
      </w:r>
      <w:r w:rsidR="001F25A4">
        <w:rPr>
          <w:lang w:val="en-GB"/>
        </w:rPr>
        <w:t>’</w:t>
      </w:r>
      <w:r w:rsidRPr="00E213BA">
        <w:rPr>
          <w:lang w:val="en-GB"/>
        </w:rPr>
        <w:t xml:space="preserve">s general opinions </w:t>
      </w:r>
      <w:r w:rsidRPr="00E213BA" w:rsidR="00CE2E61">
        <w:rPr>
          <w:lang w:val="en-GB"/>
        </w:rPr>
        <w:t>(</w:t>
      </w:r>
      <w:proofErr w:type="spellStart"/>
      <w:r w:rsidRPr="00E213BA" w:rsidR="00CE2E61">
        <w:rPr>
          <w:i/>
          <w:lang w:val="en-GB"/>
        </w:rPr>
        <w:t>stavovi</w:t>
      </w:r>
      <w:proofErr w:type="spellEnd"/>
      <w:r w:rsidRPr="00E213BA" w:rsidR="00CE2E61">
        <w:rPr>
          <w:lang w:val="en-GB"/>
        </w:rPr>
        <w:t xml:space="preserve">) </w:t>
      </w:r>
      <w:r w:rsidRPr="00E213BA">
        <w:rPr>
          <w:lang w:val="en-GB"/>
        </w:rPr>
        <w:t xml:space="preserve">of </w:t>
      </w:r>
      <w:r w:rsidRPr="00E213BA">
        <w:t>30 October 2008 and 2 April 2009</w:t>
      </w:r>
      <w:r w:rsidRPr="00E213BA" w:rsidR="00B43C0D">
        <w:t xml:space="preserve">, it </w:t>
      </w:r>
      <w:r w:rsidRPr="00E213BA">
        <w:rPr>
          <w:lang w:val="en-GB"/>
        </w:rPr>
        <w:t>is “bound” (</w:t>
      </w:r>
      <w:proofErr w:type="spellStart"/>
      <w:r w:rsidRPr="00E213BA">
        <w:rPr>
          <w:i/>
          <w:lang w:val="en-GB"/>
        </w:rPr>
        <w:t>vezan</w:t>
      </w:r>
      <w:proofErr w:type="spellEnd"/>
      <w:r w:rsidRPr="00E213BA">
        <w:rPr>
          <w:lang w:val="en-GB"/>
        </w:rPr>
        <w:t xml:space="preserve">) by the request formulated in the constitutional appeal when examining whether there has been a breach of a right or freedom guaranteed by the Constitution. </w:t>
      </w:r>
      <w:r w:rsidRPr="00E213BA" w:rsidR="00B43C0D">
        <w:rPr>
          <w:lang w:val="en-GB"/>
        </w:rPr>
        <w:t xml:space="preserve">The </w:t>
      </w:r>
      <w:r w:rsidRPr="00E213BA" w:rsidR="003561D6">
        <w:rPr>
          <w:lang w:val="en-GB"/>
        </w:rPr>
        <w:t>C</w:t>
      </w:r>
      <w:r w:rsidRPr="00E213BA" w:rsidR="00B43C0D">
        <w:rPr>
          <w:lang w:val="en-GB"/>
        </w:rPr>
        <w:t xml:space="preserve">onstitutional Court </w:t>
      </w:r>
      <w:r w:rsidRPr="00E213BA">
        <w:rPr>
          <w:lang w:val="en-GB"/>
        </w:rPr>
        <w:t>may only consider the appeal within the limits of the request as formulated.</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36</w:t>
      </w:r>
      <w:r w:rsidRPr="00E213BA">
        <w:rPr>
          <w:lang w:val="en-GB"/>
        </w:rPr>
        <w:fldChar w:fldCharType="end"/>
      </w:r>
      <w:r w:rsidRPr="00E213BA">
        <w:rPr>
          <w:lang w:val="en-GB"/>
        </w:rPr>
        <w:t xml:space="preserve">.  On 9 June 2010 and 17 February 2011 the Constitutional Court rejected two separate constitutional appeals lodged by reservists who were in a situation </w:t>
      </w:r>
      <w:r w:rsidRPr="00E213BA" w:rsidR="00587DFE">
        <w:rPr>
          <w:lang w:val="en-GB"/>
        </w:rPr>
        <w:t>comparable to</w:t>
      </w:r>
      <w:r w:rsidRPr="00E213BA">
        <w:rPr>
          <w:lang w:val="en-GB"/>
        </w:rPr>
        <w:t xml:space="preserve"> the applicants</w:t>
      </w:r>
      <w:r w:rsidR="001F25A4">
        <w:rPr>
          <w:lang w:val="en-GB"/>
        </w:rPr>
        <w:t>’</w:t>
      </w:r>
      <w:r w:rsidRPr="00E213BA">
        <w:rPr>
          <w:lang w:val="en-GB"/>
        </w:rPr>
        <w:t xml:space="preserve">. It noted, </w:t>
      </w:r>
      <w:r w:rsidRPr="00E213BA">
        <w:rPr>
          <w:i/>
          <w:lang w:val="en-GB"/>
        </w:rPr>
        <w:t>inter alia</w:t>
      </w:r>
      <w:r w:rsidRPr="00E213BA">
        <w:rPr>
          <w:lang w:val="en-GB"/>
        </w:rPr>
        <w:t>, that the civil courts</w:t>
      </w:r>
      <w:r w:rsidR="001F25A4">
        <w:rPr>
          <w:lang w:val="en-GB"/>
        </w:rPr>
        <w:t>’</w:t>
      </w:r>
      <w:r w:rsidRPr="00E213BA">
        <w:rPr>
          <w:lang w:val="en-GB"/>
        </w:rPr>
        <w:t xml:space="preserve"> decisions against them</w:t>
      </w:r>
      <w:r w:rsidRPr="00E213BA" w:rsidR="00587DFE">
        <w:rPr>
          <w:lang w:val="en-GB"/>
        </w:rPr>
        <w:t xml:space="preserve"> </w:t>
      </w:r>
      <w:r w:rsidRPr="00E213BA">
        <w:rPr>
          <w:lang w:val="en-GB"/>
        </w:rPr>
        <w:t xml:space="preserve">had been “based on the applicable domestic legislation”. The appellants, however, </w:t>
      </w:r>
      <w:r w:rsidRPr="00E213BA" w:rsidR="00587DFE">
        <w:rPr>
          <w:lang w:val="en-GB"/>
        </w:rPr>
        <w:t xml:space="preserve">had </w:t>
      </w:r>
      <w:r w:rsidRPr="00E213BA">
        <w:rPr>
          <w:lang w:val="en-GB"/>
        </w:rPr>
        <w:t>never specifically complained about the inconsistency of the relevant case-law or that they had been discriminated against (</w:t>
      </w:r>
      <w:proofErr w:type="spellStart"/>
      <w:r w:rsidRPr="00E213BA">
        <w:rPr>
          <w:lang w:val="en-GB"/>
        </w:rPr>
        <w:t>Už</w:t>
      </w:r>
      <w:proofErr w:type="spellEnd"/>
      <w:r w:rsidRPr="00E213BA">
        <w:rPr>
          <w:lang w:val="en-GB"/>
        </w:rPr>
        <w:t>. 460</w:t>
      </w:r>
      <w:r w:rsidR="006958D4">
        <w:rPr>
          <w:lang w:val="en-GB"/>
        </w:rPr>
        <w:t>⁄</w:t>
      </w:r>
      <w:r w:rsidRPr="00E213BA">
        <w:rPr>
          <w:lang w:val="en-GB"/>
        </w:rPr>
        <w:t xml:space="preserve">08 and </w:t>
      </w:r>
      <w:proofErr w:type="spellStart"/>
      <w:r w:rsidRPr="00E213BA">
        <w:rPr>
          <w:lang w:val="en-GB"/>
        </w:rPr>
        <w:t>Už</w:t>
      </w:r>
      <w:proofErr w:type="spellEnd"/>
      <w:r w:rsidRPr="00E213BA">
        <w:rPr>
          <w:lang w:val="en-GB"/>
        </w:rPr>
        <w:t>. 2293</w:t>
      </w:r>
      <w:r w:rsidR="006958D4">
        <w:rPr>
          <w:lang w:val="en-GB"/>
        </w:rPr>
        <w:t>⁄</w:t>
      </w:r>
      <w:r w:rsidRPr="00E213BA">
        <w:rPr>
          <w:lang w:val="en-GB"/>
        </w:rPr>
        <w:t>10).</w:t>
      </w:r>
    </w:p>
    <w:p w:rsidRPr="00E213BA" w:rsidR="0022762A" w:rsidP="00420A26" w:rsidRDefault="0022762A">
      <w:pPr>
        <w:pStyle w:val="ECHRPara"/>
        <w:rPr>
          <w:lang w:val="en-GB"/>
        </w:rPr>
      </w:pPr>
      <w:r w:rsidRPr="00E213BA">
        <w:rPr>
          <w:lang w:val="en-GB"/>
        </w:rPr>
        <w:lastRenderedPageBreak/>
        <w:fldChar w:fldCharType="begin"/>
      </w:r>
      <w:r w:rsidRPr="00E213BA">
        <w:rPr>
          <w:lang w:val="en-GB"/>
        </w:rPr>
        <w:instrText xml:space="preserve"> SEQ level0 \*arabic </w:instrText>
      </w:r>
      <w:r w:rsidRPr="00E213BA">
        <w:rPr>
          <w:lang w:val="en-GB"/>
        </w:rPr>
        <w:fldChar w:fldCharType="separate"/>
      </w:r>
      <w:r w:rsidR="002B6D2B">
        <w:rPr>
          <w:noProof/>
          <w:lang w:val="en-GB"/>
        </w:rPr>
        <w:t>37</w:t>
      </w:r>
      <w:r w:rsidRPr="00E213BA">
        <w:rPr>
          <w:lang w:val="en-GB"/>
        </w:rPr>
        <w:fldChar w:fldCharType="end"/>
      </w:r>
      <w:r w:rsidRPr="00E213BA">
        <w:rPr>
          <w:lang w:val="en-GB"/>
        </w:rPr>
        <w:t xml:space="preserve">.  On 17 February 2011, in another case </w:t>
      </w:r>
      <w:r w:rsidRPr="00E213BA" w:rsidR="0005252B">
        <w:rPr>
          <w:lang w:val="en-GB"/>
        </w:rPr>
        <w:t xml:space="preserve">like that of </w:t>
      </w:r>
      <w:r w:rsidRPr="00E213BA">
        <w:rPr>
          <w:lang w:val="en-GB"/>
        </w:rPr>
        <w:t xml:space="preserve">the applicants, relying on Article 21 of the Constitution </w:t>
      </w:r>
      <w:r w:rsidRPr="00E213BA" w:rsidR="0005252B">
        <w:rPr>
          <w:lang w:val="en-GB"/>
        </w:rPr>
        <w:t xml:space="preserve">the appellants </w:t>
      </w:r>
      <w:r w:rsidRPr="00E213BA">
        <w:rPr>
          <w:lang w:val="en-GB"/>
        </w:rPr>
        <w:t xml:space="preserve">complained about the differential treatment of the two groups of reservists stemming from the Agreement. The Constitutional Court, referring to the “accessory character” of Article 21 and noting that the appellants had invoked no other constitutional provision in conjunction with that Article, did not determine the complaint. It then went on to examine the complaints under Article </w:t>
      </w:r>
      <w:r w:rsidRPr="00E213BA" w:rsidR="00A254A0">
        <w:rPr>
          <w:lang w:val="en-GB"/>
        </w:rPr>
        <w:t>36 § </w:t>
      </w:r>
      <w:r w:rsidRPr="00E213BA">
        <w:rPr>
          <w:lang w:val="en-GB"/>
        </w:rPr>
        <w:t xml:space="preserve">1 of the Constitution, specifically the constitutional guarantee of equality before the courts, and dismissed them </w:t>
      </w:r>
      <w:r w:rsidRPr="00E213BA" w:rsidR="00A254A0">
        <w:rPr>
          <w:lang w:val="en-GB"/>
        </w:rPr>
        <w:t xml:space="preserve">as </w:t>
      </w:r>
      <w:r w:rsidRPr="00E213BA">
        <w:rPr>
          <w:lang w:val="en-GB"/>
        </w:rPr>
        <w:t>the appellants had not offered adequate proof as regards the existence of inconsistent case-law on the matter (</w:t>
      </w:r>
      <w:proofErr w:type="spellStart"/>
      <w:r w:rsidRPr="00E213BA">
        <w:rPr>
          <w:lang w:val="en-GB"/>
        </w:rPr>
        <w:t>Už</w:t>
      </w:r>
      <w:proofErr w:type="spellEnd"/>
      <w:r w:rsidRPr="00E213BA">
        <w:rPr>
          <w:lang w:val="en-GB"/>
        </w:rPr>
        <w:t>. 2901</w:t>
      </w:r>
      <w:r w:rsidR="006958D4">
        <w:rPr>
          <w:lang w:val="en-GB"/>
        </w:rPr>
        <w:t>⁄</w:t>
      </w:r>
      <w:r w:rsidRPr="00E213BA">
        <w:rPr>
          <w:lang w:val="en-GB"/>
        </w:rPr>
        <w:t>10).</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38</w:t>
      </w:r>
      <w:r w:rsidRPr="00E213BA">
        <w:rPr>
          <w:lang w:val="en-GB"/>
        </w:rPr>
        <w:fldChar w:fldCharType="end"/>
      </w:r>
      <w:r w:rsidRPr="00E213BA">
        <w:rPr>
          <w:lang w:val="en-GB"/>
        </w:rPr>
        <w:t>.  On 8 March 2012, in a case where the civil courts had rejected the reservists</w:t>
      </w:r>
      <w:r w:rsidR="001F25A4">
        <w:rPr>
          <w:lang w:val="en-GB"/>
        </w:rPr>
        <w:t>’</w:t>
      </w:r>
      <w:r w:rsidRPr="00E213BA">
        <w:rPr>
          <w:lang w:val="en-GB"/>
        </w:rPr>
        <w:t xml:space="preserve"> claims as being outside their competence </w:t>
      </w:r>
      <w:r w:rsidRPr="00E213BA">
        <w:rPr>
          <w:i/>
          <w:lang w:val="en-GB"/>
        </w:rPr>
        <w:t>ratione materiae</w:t>
      </w:r>
      <w:r w:rsidRPr="00E213BA">
        <w:rPr>
          <w:lang w:val="en-GB"/>
        </w:rPr>
        <w:t xml:space="preserve"> (see, for example, paragraph 27 above), the Constitutional Court ruled in favour of the appellants</w:t>
      </w:r>
      <w:r w:rsidRPr="00E213BA" w:rsidR="00E7600C">
        <w:rPr>
          <w:lang w:val="en-GB"/>
        </w:rPr>
        <w:t>,</w:t>
      </w:r>
      <w:r w:rsidRPr="00E213BA">
        <w:rPr>
          <w:lang w:val="en-GB"/>
        </w:rPr>
        <w:t xml:space="preserve"> who had alleged inconsistent case-law (between the judgments adopted in their cases and several other judgments adopted by the courts in 2002)</w:t>
      </w:r>
      <w:r w:rsidRPr="00E213BA" w:rsidR="00E7600C">
        <w:rPr>
          <w:lang w:val="en-GB"/>
        </w:rPr>
        <w:t>,</w:t>
      </w:r>
      <w:r w:rsidRPr="00E213BA">
        <w:rPr>
          <w:lang w:val="en-GB"/>
        </w:rPr>
        <w:t xml:space="preserve"> and ordered the </w:t>
      </w:r>
      <w:r w:rsidRPr="00E213BA" w:rsidR="00E7600C">
        <w:rPr>
          <w:lang w:val="en-GB"/>
        </w:rPr>
        <w:t xml:space="preserve">reopening of the </w:t>
      </w:r>
      <w:r w:rsidRPr="00E213BA">
        <w:rPr>
          <w:lang w:val="en-GB"/>
        </w:rPr>
        <w:t>civil proceedings. As regards the appellants</w:t>
      </w:r>
      <w:r w:rsidR="001F25A4">
        <w:rPr>
          <w:lang w:val="en-GB"/>
        </w:rPr>
        <w:t>’</w:t>
      </w:r>
      <w:r w:rsidRPr="00E213BA">
        <w:rPr>
          <w:lang w:val="en-GB"/>
        </w:rPr>
        <w:t xml:space="preserve"> related discrimination complaint under Article 21 of the Constitution, the Constitutional Court found no evidence that the appellants had been discriminated against by the courts on the basis of any “personal characteristic”. </w:t>
      </w:r>
      <w:r w:rsidRPr="00E213BA" w:rsidR="000301E5">
        <w:rPr>
          <w:lang w:val="en-GB"/>
        </w:rPr>
        <w:t xml:space="preserve">Lastly, the </w:t>
      </w:r>
      <w:r w:rsidRPr="00E213BA">
        <w:rPr>
          <w:lang w:val="en-GB"/>
        </w:rPr>
        <w:t>appellants</w:t>
      </w:r>
      <w:r w:rsidR="001F25A4">
        <w:rPr>
          <w:lang w:val="en-GB"/>
        </w:rPr>
        <w:t>’</w:t>
      </w:r>
      <w:r w:rsidRPr="00E213BA">
        <w:rPr>
          <w:lang w:val="en-GB"/>
        </w:rPr>
        <w:t xml:space="preserve"> additional complaint </w:t>
      </w:r>
      <w:r w:rsidRPr="00E213BA" w:rsidR="000301E5">
        <w:rPr>
          <w:lang w:val="en-GB"/>
        </w:rPr>
        <w:t xml:space="preserve">of discrimination </w:t>
      </w:r>
      <w:r w:rsidRPr="00E213BA" w:rsidR="00E21E41">
        <w:rPr>
          <w:lang w:val="en-GB"/>
        </w:rPr>
        <w:t xml:space="preserve">– </w:t>
      </w:r>
      <w:r w:rsidRPr="00E213BA" w:rsidR="000301E5">
        <w:rPr>
          <w:lang w:val="en-GB"/>
        </w:rPr>
        <w:t>with reference to the Agreement</w:t>
      </w:r>
      <w:r w:rsidRPr="00E213BA" w:rsidR="00E21E41">
        <w:rPr>
          <w:lang w:val="en-GB"/>
        </w:rPr>
        <w:t xml:space="preserve"> –</w:t>
      </w:r>
      <w:r w:rsidRPr="00E213BA">
        <w:rPr>
          <w:lang w:val="en-GB"/>
        </w:rPr>
        <w:t xml:space="preserve">that some reservists were paid their </w:t>
      </w:r>
      <w:r w:rsidRPr="00E213BA">
        <w:rPr>
          <w:i/>
          <w:lang w:val="en-GB"/>
        </w:rPr>
        <w:t>per diems</w:t>
      </w:r>
      <w:r w:rsidRPr="00E213BA">
        <w:rPr>
          <w:lang w:val="en-GB"/>
        </w:rPr>
        <w:t xml:space="preserve"> whilst others</w:t>
      </w:r>
      <w:r w:rsidRPr="00E213BA" w:rsidR="00E21E41">
        <w:rPr>
          <w:lang w:val="en-GB"/>
        </w:rPr>
        <w:t>,</w:t>
      </w:r>
      <w:r w:rsidRPr="00E213BA">
        <w:rPr>
          <w:lang w:val="en-GB"/>
        </w:rPr>
        <w:t xml:space="preserve"> including the appellants</w:t>
      </w:r>
      <w:r w:rsidRPr="00E213BA" w:rsidR="00E21E41">
        <w:rPr>
          <w:lang w:val="en-GB"/>
        </w:rPr>
        <w:t>,</w:t>
      </w:r>
      <w:r w:rsidRPr="00E213BA">
        <w:rPr>
          <w:lang w:val="en-GB"/>
        </w:rPr>
        <w:t xml:space="preserve"> were not</w:t>
      </w:r>
      <w:r w:rsidRPr="00E213BA" w:rsidR="00E21E41">
        <w:rPr>
          <w:lang w:val="en-GB"/>
        </w:rPr>
        <w:t>,</w:t>
      </w:r>
      <w:r w:rsidRPr="00E213BA">
        <w:rPr>
          <w:lang w:val="en-GB"/>
        </w:rPr>
        <w:t xml:space="preserve"> based merely on their place of residence, was not examined (</w:t>
      </w:r>
      <w:proofErr w:type="spellStart"/>
      <w:r w:rsidRPr="00E213BA">
        <w:rPr>
          <w:lang w:val="en-GB"/>
        </w:rPr>
        <w:t>Už</w:t>
      </w:r>
      <w:proofErr w:type="spellEnd"/>
      <w:r w:rsidRPr="00E213BA">
        <w:rPr>
          <w:lang w:val="en-GB"/>
        </w:rPr>
        <w:t>. 2289</w:t>
      </w:r>
      <w:r w:rsidR="006958D4">
        <w:rPr>
          <w:lang w:val="en-GB"/>
        </w:rPr>
        <w:t>⁄</w:t>
      </w:r>
      <w:r w:rsidRPr="00E213BA">
        <w:rPr>
          <w:lang w:val="en-GB"/>
        </w:rPr>
        <w:t>09).</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39</w:t>
      </w:r>
      <w:r w:rsidRPr="00E213BA">
        <w:rPr>
          <w:lang w:val="en-GB"/>
        </w:rPr>
        <w:fldChar w:fldCharType="end"/>
      </w:r>
      <w:r w:rsidRPr="00E213BA">
        <w:rPr>
          <w:lang w:val="en-GB"/>
        </w:rPr>
        <w:t xml:space="preserve">.  On 4 January 2011, in a case </w:t>
      </w:r>
      <w:r w:rsidRPr="00E213BA" w:rsidR="00AB788D">
        <w:rPr>
          <w:lang w:val="en-GB"/>
        </w:rPr>
        <w:t>similar to</w:t>
      </w:r>
      <w:r w:rsidRPr="00E213BA">
        <w:rPr>
          <w:lang w:val="en-GB"/>
        </w:rPr>
        <w:t xml:space="preserve"> the applicants</w:t>
      </w:r>
      <w:r w:rsidR="001F25A4">
        <w:rPr>
          <w:lang w:val="en-GB"/>
        </w:rPr>
        <w:t>’</w:t>
      </w:r>
      <w:r w:rsidRPr="00E213BA">
        <w:rPr>
          <w:lang w:val="en-GB"/>
        </w:rPr>
        <w:t xml:space="preserve">, a large number of reservists </w:t>
      </w:r>
      <w:r w:rsidRPr="00E213BA" w:rsidR="008F2462">
        <w:rPr>
          <w:lang w:val="en-GB"/>
        </w:rPr>
        <w:t xml:space="preserve">lodged </w:t>
      </w:r>
      <w:r w:rsidRPr="00E213BA">
        <w:rPr>
          <w:lang w:val="en-GB"/>
        </w:rPr>
        <w:t>an appeal with the Constitutional Court. They relied on Articles 21 and 32 of the Constitution and complained about the inconsistent case-law in question as well as the discrimination stemming from the Agreement. In their subsequent memorials the appellants rectified certain errors contained in their appeal and further relied on Article 36 of the Constitution. On 20 February 2013 the Constitutional Court ruled in favour of the appellants as regards the inconsistent case-law and found a violation of Articles 32 and 36. It made no reference, however, to the Agreement or the appellants</w:t>
      </w:r>
      <w:r w:rsidR="001F25A4">
        <w:rPr>
          <w:lang w:val="en-GB"/>
        </w:rPr>
        <w:t>’</w:t>
      </w:r>
      <w:r w:rsidRPr="00E213BA">
        <w:rPr>
          <w:lang w:val="en-GB"/>
        </w:rPr>
        <w:t xml:space="preserve"> discrimination complaint </w:t>
      </w:r>
      <w:proofErr w:type="gramStart"/>
      <w:r w:rsidRPr="00E213BA">
        <w:rPr>
          <w:lang w:val="en-GB"/>
        </w:rPr>
        <w:t>raised</w:t>
      </w:r>
      <w:proofErr w:type="gramEnd"/>
      <w:r w:rsidRPr="00E213BA">
        <w:rPr>
          <w:lang w:val="en-GB"/>
        </w:rPr>
        <w:t xml:space="preserve"> in </w:t>
      </w:r>
      <w:r w:rsidRPr="00E213BA" w:rsidR="008F2462">
        <w:rPr>
          <w:lang w:val="en-GB"/>
        </w:rPr>
        <w:t>that connection</w:t>
      </w:r>
      <w:r w:rsidRPr="00E213BA">
        <w:rPr>
          <w:lang w:val="en-GB"/>
        </w:rPr>
        <w:t xml:space="preserve"> (</w:t>
      </w:r>
      <w:proofErr w:type="spellStart"/>
      <w:r w:rsidRPr="00E213BA">
        <w:rPr>
          <w:lang w:val="en-GB"/>
        </w:rPr>
        <w:t>Už</w:t>
      </w:r>
      <w:proofErr w:type="spellEnd"/>
      <w:r w:rsidRPr="00E213BA">
        <w:rPr>
          <w:lang w:val="en-GB"/>
        </w:rPr>
        <w:t>. 43</w:t>
      </w:r>
      <w:r w:rsidR="006958D4">
        <w:rPr>
          <w:lang w:val="en-GB"/>
        </w:rPr>
        <w:t>⁄</w:t>
      </w:r>
      <w:r w:rsidRPr="00E213BA">
        <w:rPr>
          <w:lang w:val="en-GB"/>
        </w:rPr>
        <w:t>11). For more detailed reasoning, the Constitutional Court referred to its decision of 4 October 2012 concerning the same issue but involving different appellants (</w:t>
      </w:r>
      <w:proofErr w:type="spellStart"/>
      <w:r w:rsidRPr="00E213BA">
        <w:rPr>
          <w:lang w:val="en-GB"/>
        </w:rPr>
        <w:t>Už</w:t>
      </w:r>
      <w:proofErr w:type="spellEnd"/>
      <w:r w:rsidRPr="00E213BA">
        <w:rPr>
          <w:lang w:val="en-GB"/>
        </w:rPr>
        <w:t>. 2886</w:t>
      </w:r>
      <w:r w:rsidR="006958D4">
        <w:rPr>
          <w:lang w:val="en-GB"/>
        </w:rPr>
        <w:t>⁄</w:t>
      </w:r>
      <w:r w:rsidRPr="00E213BA">
        <w:rPr>
          <w:lang w:val="en-GB"/>
        </w:rPr>
        <w:t>10; see paragraph 23 above).</w:t>
      </w:r>
    </w:p>
    <w:p w:rsidRPr="00E213BA" w:rsidR="0022762A" w:rsidP="00420A26" w:rsidRDefault="00B43C0D">
      <w:pPr>
        <w:pStyle w:val="ECHRHeading2"/>
      </w:pPr>
      <w:r w:rsidRPr="00E213BA">
        <w:t>D</w:t>
      </w:r>
      <w:r w:rsidRPr="00E213BA" w:rsidR="0022762A">
        <w:t>.  The Prohibition of Discrimination Act (</w:t>
      </w:r>
      <w:proofErr w:type="spellStart"/>
      <w:r w:rsidRPr="00E213BA" w:rsidR="0022762A">
        <w:rPr>
          <w:i/>
        </w:rPr>
        <w:t>Zakon</w:t>
      </w:r>
      <w:proofErr w:type="spellEnd"/>
      <w:r w:rsidRPr="00E213BA" w:rsidR="0022762A">
        <w:rPr>
          <w:i/>
        </w:rPr>
        <w:t xml:space="preserve"> o </w:t>
      </w:r>
      <w:proofErr w:type="spellStart"/>
      <w:r w:rsidRPr="00E213BA" w:rsidR="0022762A">
        <w:rPr>
          <w:i/>
        </w:rPr>
        <w:t>zabrani</w:t>
      </w:r>
      <w:proofErr w:type="spellEnd"/>
      <w:r w:rsidRPr="00E213BA" w:rsidR="0022762A">
        <w:rPr>
          <w:i/>
        </w:rPr>
        <w:t xml:space="preserve"> </w:t>
      </w:r>
      <w:proofErr w:type="spellStart"/>
      <w:r w:rsidRPr="00E213BA" w:rsidR="0022762A">
        <w:rPr>
          <w:i/>
        </w:rPr>
        <w:t>diskriminacije</w:t>
      </w:r>
      <w:proofErr w:type="spellEnd"/>
      <w:r w:rsidRPr="00E213BA" w:rsidR="0022762A">
        <w:t>, published in OG RS no. 22</w:t>
      </w:r>
      <w:r w:rsidR="006958D4">
        <w:t>⁄</w:t>
      </w:r>
      <w:r w:rsidRPr="00E213BA" w:rsidR="0022762A">
        <w:t>09)</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40</w:t>
      </w:r>
      <w:r w:rsidRPr="00E213BA">
        <w:rPr>
          <w:lang w:val="en-GB"/>
        </w:rPr>
        <w:fldChar w:fldCharType="end"/>
      </w:r>
      <w:r w:rsidRPr="00E213BA">
        <w:rPr>
          <w:lang w:val="en-GB"/>
        </w:rPr>
        <w:t xml:space="preserve">.  Section 43 sets out the various forms of redress available to victims of discrimination. </w:t>
      </w:r>
      <w:r w:rsidRPr="00E213BA" w:rsidR="005E371E">
        <w:rPr>
          <w:lang w:val="en-GB"/>
        </w:rPr>
        <w:t xml:space="preserve">They </w:t>
      </w:r>
      <w:r w:rsidRPr="00E213BA">
        <w:rPr>
          <w:lang w:val="en-GB"/>
        </w:rPr>
        <w:t xml:space="preserve">include injunctive and declaratory relief, such as the recognition of the discrimination suffered and its prohibition in the future, </w:t>
      </w:r>
      <w:r w:rsidRPr="00E213BA">
        <w:rPr>
          <w:lang w:val="en-GB"/>
        </w:rPr>
        <w:lastRenderedPageBreak/>
        <w:t xml:space="preserve">as well as compensation for any pecuniary </w:t>
      </w:r>
      <w:proofErr w:type="spellStart"/>
      <w:r w:rsidRPr="00E213BA">
        <w:rPr>
          <w:lang w:val="en-GB"/>
        </w:rPr>
        <w:t>and</w:t>
      </w:r>
      <w:r w:rsidR="006958D4">
        <w:rPr>
          <w:lang w:val="en-GB"/>
        </w:rPr>
        <w:t>⁄</w:t>
      </w:r>
      <w:r w:rsidRPr="00E213BA">
        <w:rPr>
          <w:lang w:val="en-GB"/>
        </w:rPr>
        <w:t>or</w:t>
      </w:r>
      <w:proofErr w:type="spellEnd"/>
      <w:r w:rsidRPr="00E213BA">
        <w:rPr>
          <w:lang w:val="en-GB"/>
        </w:rPr>
        <w:t xml:space="preserve"> non-pecuniary damage. The publication in the media of a civil court</w:t>
      </w:r>
      <w:r w:rsidR="001F25A4">
        <w:rPr>
          <w:lang w:val="en-GB"/>
        </w:rPr>
        <w:t>’</w:t>
      </w:r>
      <w:r w:rsidRPr="00E213BA">
        <w:rPr>
          <w:lang w:val="en-GB"/>
        </w:rPr>
        <w:t>s judgment rendered in this context may also be ordered.</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41</w:t>
      </w:r>
      <w:r w:rsidRPr="00E213BA">
        <w:rPr>
          <w:lang w:val="en-GB"/>
        </w:rPr>
        <w:fldChar w:fldCharType="end"/>
      </w:r>
      <w:r w:rsidRPr="00E213BA">
        <w:rPr>
          <w:lang w:val="en-GB"/>
        </w:rPr>
        <w:t xml:space="preserve">.  The Prohibition of Discrimination Act entered into force on </w:t>
      </w:r>
      <w:r w:rsidRPr="00E213BA" w:rsidR="00FE0EE8">
        <w:rPr>
          <w:lang w:val="en-GB"/>
        </w:rPr>
        <w:t>7</w:t>
      </w:r>
      <w:r w:rsidR="005D5624">
        <w:rPr>
          <w:lang w:val="en-GB"/>
        </w:rPr>
        <w:t> </w:t>
      </w:r>
      <w:r w:rsidRPr="00E213BA">
        <w:rPr>
          <w:lang w:val="en-GB"/>
        </w:rPr>
        <w:t>April</w:t>
      </w:r>
      <w:r w:rsidR="005D5624">
        <w:rPr>
          <w:lang w:val="en-GB"/>
        </w:rPr>
        <w:t> </w:t>
      </w:r>
      <w:r w:rsidRPr="00E213BA">
        <w:rPr>
          <w:lang w:val="en-GB"/>
        </w:rPr>
        <w:t>2009.</w:t>
      </w:r>
    </w:p>
    <w:p w:rsidRPr="00E213BA" w:rsidR="0022762A" w:rsidP="00420A26" w:rsidRDefault="00B43C0D">
      <w:pPr>
        <w:pStyle w:val="ECHRHeading2"/>
      </w:pPr>
      <w:r w:rsidRPr="00E213BA">
        <w:t>E</w:t>
      </w:r>
      <w:r w:rsidRPr="00E213BA" w:rsidR="0022762A">
        <w:t>.  The Civil Procedure Act (</w:t>
      </w:r>
      <w:proofErr w:type="spellStart"/>
      <w:r w:rsidRPr="00E213BA" w:rsidR="0022762A">
        <w:rPr>
          <w:i/>
        </w:rPr>
        <w:t>Zakon</w:t>
      </w:r>
      <w:proofErr w:type="spellEnd"/>
      <w:r w:rsidRPr="00E213BA" w:rsidR="0022762A">
        <w:rPr>
          <w:i/>
        </w:rPr>
        <w:t xml:space="preserve"> o </w:t>
      </w:r>
      <w:proofErr w:type="spellStart"/>
      <w:r w:rsidRPr="00E213BA" w:rsidR="0022762A">
        <w:rPr>
          <w:i/>
        </w:rPr>
        <w:t>parničnom</w:t>
      </w:r>
      <w:proofErr w:type="spellEnd"/>
      <w:r w:rsidRPr="00E213BA" w:rsidR="0022762A">
        <w:rPr>
          <w:i/>
        </w:rPr>
        <w:t xml:space="preserve"> </w:t>
      </w:r>
      <w:proofErr w:type="spellStart"/>
      <w:r w:rsidRPr="00E213BA" w:rsidR="0022762A">
        <w:rPr>
          <w:i/>
        </w:rPr>
        <w:t>postupku</w:t>
      </w:r>
      <w:proofErr w:type="spellEnd"/>
      <w:r w:rsidRPr="00E213BA" w:rsidR="005E371E">
        <w:t>,</w:t>
      </w:r>
      <w:r w:rsidRPr="00E213BA" w:rsidR="0022762A">
        <w:t xml:space="preserve"> published in OG RS no. 72</w:t>
      </w:r>
      <w:r w:rsidR="006958D4">
        <w:t>⁄</w:t>
      </w:r>
      <w:r w:rsidRPr="00E213BA" w:rsidR="0022762A">
        <w:t>11)</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42</w:t>
      </w:r>
      <w:r w:rsidRPr="00E213BA">
        <w:rPr>
          <w:lang w:val="en-GB"/>
        </w:rPr>
        <w:fldChar w:fldCharType="end"/>
      </w:r>
      <w:r w:rsidRPr="00E213BA">
        <w:rPr>
          <w:lang w:val="en-GB"/>
        </w:rPr>
        <w:t>.  Section 426.12 provides that a case may be reopened if the Constitutional Court has in the meantime found a breach of the appellant</w:t>
      </w:r>
      <w:r w:rsidR="001F25A4">
        <w:rPr>
          <w:lang w:val="en-GB"/>
        </w:rPr>
        <w:t>’</w:t>
      </w:r>
      <w:r w:rsidRPr="00E213BA">
        <w:rPr>
          <w:lang w:val="en-GB"/>
        </w:rPr>
        <w:t xml:space="preserve">s procedural rights </w:t>
      </w:r>
      <w:r w:rsidRPr="00E213BA" w:rsidR="00CE27A8">
        <w:rPr>
          <w:lang w:val="en-GB"/>
        </w:rPr>
        <w:t>which</w:t>
      </w:r>
      <w:r w:rsidRPr="00E213BA">
        <w:rPr>
          <w:lang w:val="en-GB"/>
        </w:rPr>
        <w:t xml:space="preserve"> </w:t>
      </w:r>
      <w:r w:rsidRPr="00E213BA" w:rsidR="00CE27A8">
        <w:rPr>
          <w:lang w:val="en-GB"/>
        </w:rPr>
        <w:t xml:space="preserve">may </w:t>
      </w:r>
      <w:r w:rsidRPr="00E213BA">
        <w:rPr>
          <w:lang w:val="en-GB"/>
        </w:rPr>
        <w:t>have precluded a more favourable outcome of the civil proceedings in question.</w:t>
      </w:r>
    </w:p>
    <w:p w:rsidR="001753CB" w:rsidP="00420A26" w:rsidRDefault="00FE0EE8">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43</w:t>
      </w:r>
      <w:r w:rsidRPr="00E213BA">
        <w:rPr>
          <w:lang w:val="en-GB"/>
        </w:rPr>
        <w:fldChar w:fldCharType="end"/>
      </w:r>
      <w:r w:rsidRPr="00E213BA">
        <w:rPr>
          <w:lang w:val="en-GB"/>
        </w:rPr>
        <w:t xml:space="preserve">.  Section 428 § 1 (4) provides, </w:t>
      </w:r>
      <w:r w:rsidRPr="00E213BA">
        <w:rPr>
          <w:i/>
          <w:lang w:val="en-GB"/>
        </w:rPr>
        <w:t>inter alia</w:t>
      </w:r>
      <w:r w:rsidRPr="00E213BA">
        <w:rPr>
          <w:lang w:val="en-GB"/>
        </w:rPr>
        <w:t xml:space="preserve">, that in such a situation a request for reopening may be filed within sixty days </w:t>
      </w:r>
      <w:r w:rsidRPr="00E213BA" w:rsidR="006B50DE">
        <w:rPr>
          <w:lang w:val="en-GB"/>
        </w:rPr>
        <w:t>from</w:t>
      </w:r>
      <w:r w:rsidRPr="00E213BA">
        <w:rPr>
          <w:lang w:val="en-GB"/>
        </w:rPr>
        <w:t xml:space="preserve"> when the party concerned could </w:t>
      </w:r>
      <w:r w:rsidRPr="00E213BA" w:rsidR="00546C09">
        <w:rPr>
          <w:lang w:val="en-GB"/>
        </w:rPr>
        <w:t>have “used” (</w:t>
      </w:r>
      <w:proofErr w:type="spellStart"/>
      <w:r w:rsidRPr="00E213BA" w:rsidR="00546C09">
        <w:rPr>
          <w:i/>
          <w:lang w:val="en-GB"/>
        </w:rPr>
        <w:t>mogla</w:t>
      </w:r>
      <w:proofErr w:type="spellEnd"/>
      <w:r w:rsidRPr="00E213BA" w:rsidR="00546C09">
        <w:rPr>
          <w:i/>
          <w:lang w:val="en-GB"/>
        </w:rPr>
        <w:t xml:space="preserve"> da </w:t>
      </w:r>
      <w:proofErr w:type="spellStart"/>
      <w:r w:rsidRPr="00E213BA" w:rsidR="00546C09">
        <w:rPr>
          <w:i/>
          <w:lang w:val="en-GB"/>
        </w:rPr>
        <w:t>upotrebi</w:t>
      </w:r>
      <w:proofErr w:type="spellEnd"/>
      <w:r w:rsidRPr="00E213BA" w:rsidR="00546C09">
        <w:rPr>
          <w:lang w:val="en-GB"/>
        </w:rPr>
        <w:t xml:space="preserve">) </w:t>
      </w:r>
      <w:r w:rsidRPr="00E213BA">
        <w:rPr>
          <w:lang w:val="en-GB"/>
        </w:rPr>
        <w:t>the Constitutional Court</w:t>
      </w:r>
      <w:r w:rsidR="001F25A4">
        <w:rPr>
          <w:lang w:val="en-GB"/>
        </w:rPr>
        <w:t>’</w:t>
      </w:r>
      <w:r w:rsidRPr="00E213BA">
        <w:rPr>
          <w:lang w:val="en-GB"/>
        </w:rPr>
        <w:t>s decision.</w:t>
      </w:r>
    </w:p>
    <w:p w:rsidRPr="00E213BA" w:rsidR="0022762A" w:rsidP="00420A26" w:rsidRDefault="00B43C0D">
      <w:pPr>
        <w:pStyle w:val="ECHRHeading2"/>
      </w:pPr>
      <w:r w:rsidRPr="00E213BA">
        <w:t>F</w:t>
      </w:r>
      <w:r w:rsidRPr="00E213BA" w:rsidR="0022762A">
        <w:t>.  The Rules on Travel and Other Expenses in the Yugoslav Army (</w:t>
      </w:r>
      <w:proofErr w:type="spellStart"/>
      <w:r w:rsidRPr="00E213BA" w:rsidR="0022762A">
        <w:rPr>
          <w:i/>
        </w:rPr>
        <w:t>Pravilnik</w:t>
      </w:r>
      <w:proofErr w:type="spellEnd"/>
      <w:r w:rsidRPr="00E213BA" w:rsidR="0022762A">
        <w:rPr>
          <w:i/>
        </w:rPr>
        <w:t xml:space="preserve"> o </w:t>
      </w:r>
      <w:proofErr w:type="spellStart"/>
      <w:r w:rsidRPr="00E213BA" w:rsidR="0022762A">
        <w:rPr>
          <w:i/>
        </w:rPr>
        <w:t>naknadi</w:t>
      </w:r>
      <w:proofErr w:type="spellEnd"/>
      <w:r w:rsidRPr="00E213BA" w:rsidR="0022762A">
        <w:rPr>
          <w:i/>
        </w:rPr>
        <w:t xml:space="preserve"> </w:t>
      </w:r>
      <w:proofErr w:type="spellStart"/>
      <w:r w:rsidRPr="00E213BA" w:rsidR="0022762A">
        <w:rPr>
          <w:i/>
        </w:rPr>
        <w:t>putnih</w:t>
      </w:r>
      <w:proofErr w:type="spellEnd"/>
      <w:r w:rsidRPr="00E213BA" w:rsidR="0022762A">
        <w:rPr>
          <w:i/>
        </w:rPr>
        <w:t xml:space="preserve"> </w:t>
      </w:r>
      <w:proofErr w:type="spellStart"/>
      <w:r w:rsidRPr="00E213BA" w:rsidR="0022762A">
        <w:rPr>
          <w:i/>
        </w:rPr>
        <w:t>i</w:t>
      </w:r>
      <w:proofErr w:type="spellEnd"/>
      <w:r w:rsidRPr="00E213BA" w:rsidR="0022762A">
        <w:rPr>
          <w:i/>
        </w:rPr>
        <w:t xml:space="preserve"> </w:t>
      </w:r>
      <w:proofErr w:type="spellStart"/>
      <w:r w:rsidRPr="00E213BA" w:rsidR="0022762A">
        <w:rPr>
          <w:i/>
        </w:rPr>
        <w:t>drugih</w:t>
      </w:r>
      <w:proofErr w:type="spellEnd"/>
      <w:r w:rsidRPr="00E213BA" w:rsidR="0022762A">
        <w:rPr>
          <w:i/>
        </w:rPr>
        <w:t xml:space="preserve"> </w:t>
      </w:r>
      <w:proofErr w:type="spellStart"/>
      <w:r w:rsidRPr="00E213BA" w:rsidR="0022762A">
        <w:rPr>
          <w:i/>
        </w:rPr>
        <w:t>troškova</w:t>
      </w:r>
      <w:proofErr w:type="spellEnd"/>
      <w:r w:rsidRPr="00E213BA" w:rsidR="0022762A">
        <w:rPr>
          <w:i/>
        </w:rPr>
        <w:t xml:space="preserve"> u </w:t>
      </w:r>
      <w:proofErr w:type="spellStart"/>
      <w:r w:rsidRPr="00E213BA" w:rsidR="0022762A">
        <w:rPr>
          <w:i/>
        </w:rPr>
        <w:t>Vojsci</w:t>
      </w:r>
      <w:proofErr w:type="spellEnd"/>
      <w:r w:rsidRPr="00E213BA" w:rsidR="0022762A">
        <w:rPr>
          <w:i/>
        </w:rPr>
        <w:t xml:space="preserve"> </w:t>
      </w:r>
      <w:proofErr w:type="spellStart"/>
      <w:r w:rsidRPr="00E213BA" w:rsidR="0022762A">
        <w:rPr>
          <w:i/>
        </w:rPr>
        <w:t>Jugoslavije</w:t>
      </w:r>
      <w:proofErr w:type="spellEnd"/>
      <w:r w:rsidRPr="00E213BA" w:rsidR="0022762A">
        <w:t>, published in the Official Military Gazette nos. 38</w:t>
      </w:r>
      <w:r w:rsidR="006958D4">
        <w:t>⁄</w:t>
      </w:r>
      <w:r w:rsidRPr="00E213BA" w:rsidR="0022762A">
        <w:t>93, 23</w:t>
      </w:r>
      <w:r w:rsidR="006958D4">
        <w:t>⁄</w:t>
      </w:r>
      <w:r w:rsidRPr="00E213BA" w:rsidR="0022762A">
        <w:t>93, 3</w:t>
      </w:r>
      <w:r w:rsidR="006958D4">
        <w:t>⁄</w:t>
      </w:r>
      <w:r w:rsidRPr="00E213BA" w:rsidR="0022762A">
        <w:t>97, 11</w:t>
      </w:r>
      <w:r w:rsidR="006958D4">
        <w:t>⁄</w:t>
      </w:r>
      <w:r w:rsidRPr="00E213BA" w:rsidR="0022762A">
        <w:t>97, 12</w:t>
      </w:r>
      <w:r w:rsidR="006958D4">
        <w:t>⁄</w:t>
      </w:r>
      <w:r w:rsidRPr="00E213BA" w:rsidR="0022762A">
        <w:t>98, 6</w:t>
      </w:r>
      <w:r w:rsidR="006958D4">
        <w:t>⁄</w:t>
      </w:r>
      <w:r w:rsidRPr="00E213BA" w:rsidR="0022762A">
        <w:t>99 and 7</w:t>
      </w:r>
      <w:r w:rsidR="006958D4">
        <w:t>⁄</w:t>
      </w:r>
      <w:r w:rsidRPr="00E213BA" w:rsidR="0022762A">
        <w:t>99)</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44</w:t>
      </w:r>
      <w:r w:rsidRPr="00E213BA">
        <w:rPr>
          <w:lang w:val="en-GB"/>
        </w:rPr>
        <w:fldChar w:fldCharType="end"/>
      </w:r>
      <w:r w:rsidRPr="00E213BA">
        <w:rPr>
          <w:lang w:val="en-GB"/>
        </w:rPr>
        <w:t>.  These Rules set out the relevant details concerning the reimbursement of expenses incurred in connection with military service.</w:t>
      </w:r>
    </w:p>
    <w:p w:rsidRPr="00E213BA" w:rsidR="0022762A" w:rsidP="00420A26" w:rsidRDefault="00B43C0D">
      <w:pPr>
        <w:pStyle w:val="ECHRHeading2"/>
      </w:pPr>
      <w:r w:rsidRPr="00E213BA">
        <w:t>G</w:t>
      </w:r>
      <w:r w:rsidRPr="00E213BA" w:rsidR="0022762A">
        <w:t>.  The Obligations Act (</w:t>
      </w:r>
      <w:proofErr w:type="spellStart"/>
      <w:r w:rsidRPr="00E213BA" w:rsidR="0022762A">
        <w:rPr>
          <w:i/>
          <w:iCs/>
        </w:rPr>
        <w:t>Zakon</w:t>
      </w:r>
      <w:proofErr w:type="spellEnd"/>
      <w:r w:rsidRPr="00E213BA" w:rsidR="0022762A">
        <w:rPr>
          <w:i/>
          <w:iCs/>
        </w:rPr>
        <w:t xml:space="preserve"> o </w:t>
      </w:r>
      <w:proofErr w:type="spellStart"/>
      <w:r w:rsidRPr="00E213BA" w:rsidR="0022762A">
        <w:rPr>
          <w:i/>
          <w:iCs/>
        </w:rPr>
        <w:t>obligacionim</w:t>
      </w:r>
      <w:proofErr w:type="spellEnd"/>
      <w:r w:rsidRPr="00E213BA" w:rsidR="0022762A">
        <w:rPr>
          <w:i/>
          <w:iCs/>
        </w:rPr>
        <w:t xml:space="preserve"> </w:t>
      </w:r>
      <w:proofErr w:type="spellStart"/>
      <w:r w:rsidRPr="00E213BA" w:rsidR="0022762A">
        <w:rPr>
          <w:i/>
          <w:iCs/>
        </w:rPr>
        <w:t>odnosima</w:t>
      </w:r>
      <w:proofErr w:type="spellEnd"/>
      <w:r w:rsidRPr="00E213BA" w:rsidR="0022762A">
        <w:t>, published in the Official Gazette of the Socialist Federal Republic of Yugoslavia nos. 29</w:t>
      </w:r>
      <w:r w:rsidR="006958D4">
        <w:t>⁄</w:t>
      </w:r>
      <w:r w:rsidRPr="00E213BA" w:rsidR="0022762A">
        <w:t>78, 39</w:t>
      </w:r>
      <w:r w:rsidR="006958D4">
        <w:t>⁄</w:t>
      </w:r>
      <w:r w:rsidRPr="00E213BA" w:rsidR="0022762A">
        <w:t>85, 45</w:t>
      </w:r>
      <w:r w:rsidR="006958D4">
        <w:t>⁄</w:t>
      </w:r>
      <w:r w:rsidRPr="00E213BA" w:rsidR="0022762A">
        <w:t>89, 57</w:t>
      </w:r>
      <w:r w:rsidR="006958D4">
        <w:t>⁄</w:t>
      </w:r>
      <w:r w:rsidRPr="00E213BA" w:rsidR="0022762A">
        <w:t>89 and the Official Gazette of the Federal Republic of Yugoslavia no. 31</w:t>
      </w:r>
      <w:r w:rsidR="006958D4">
        <w:t>⁄</w:t>
      </w:r>
      <w:r w:rsidRPr="00E213BA" w:rsidR="0022762A">
        <w:t>93)</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45</w:t>
      </w:r>
      <w:r w:rsidRPr="00E213BA">
        <w:rPr>
          <w:lang w:val="en-GB"/>
        </w:rPr>
        <w:fldChar w:fldCharType="end"/>
      </w:r>
      <w:r w:rsidRPr="00E213BA">
        <w:rPr>
          <w:lang w:val="en-GB"/>
        </w:rPr>
        <w:t xml:space="preserve">.  Sections 199 and 200 of the Obligations Act provide, </w:t>
      </w:r>
      <w:r w:rsidRPr="00E213BA">
        <w:rPr>
          <w:i/>
          <w:lang w:val="en-GB"/>
        </w:rPr>
        <w:t>inter alia</w:t>
      </w:r>
      <w:r w:rsidRPr="00E213BA">
        <w:rPr>
          <w:lang w:val="en-GB"/>
        </w:rPr>
        <w:t>, that anyone who has suffered fear, physical pain or, indeed, mental anguish as a consequence of a breach of personal rights (</w:t>
      </w:r>
      <w:proofErr w:type="spellStart"/>
      <w:r w:rsidRPr="00E213BA">
        <w:rPr>
          <w:i/>
          <w:lang w:val="en-GB"/>
        </w:rPr>
        <w:t>prava</w:t>
      </w:r>
      <w:proofErr w:type="spellEnd"/>
      <w:r w:rsidRPr="00E213BA">
        <w:rPr>
          <w:i/>
          <w:lang w:val="en-GB"/>
        </w:rPr>
        <w:t xml:space="preserve"> </w:t>
      </w:r>
      <w:proofErr w:type="spellStart"/>
      <w:r w:rsidRPr="00E213BA">
        <w:rPr>
          <w:i/>
          <w:lang w:val="en-GB"/>
        </w:rPr>
        <w:t>ličnosti</w:t>
      </w:r>
      <w:proofErr w:type="spellEnd"/>
      <w:r w:rsidRPr="00E213BA">
        <w:rPr>
          <w:lang w:val="en-GB"/>
        </w:rPr>
        <w:t xml:space="preserve">) </w:t>
      </w:r>
      <w:r w:rsidRPr="00E213BA" w:rsidR="00661F2C">
        <w:rPr>
          <w:lang w:val="en-GB"/>
        </w:rPr>
        <w:t>is</w:t>
      </w:r>
      <w:r w:rsidRPr="00E213BA">
        <w:rPr>
          <w:lang w:val="en-GB"/>
        </w:rPr>
        <w:t xml:space="preserve"> entitled, depending on the duration and intensity</w:t>
      </w:r>
      <w:r w:rsidRPr="00E213BA" w:rsidR="00661F2C">
        <w:rPr>
          <w:lang w:val="en-GB"/>
        </w:rPr>
        <w:t xml:space="preserve"> o</w:t>
      </w:r>
      <w:r w:rsidRPr="00E213BA" w:rsidR="004B6C68">
        <w:rPr>
          <w:lang w:val="en-GB"/>
        </w:rPr>
        <w:t>f</w:t>
      </w:r>
      <w:r w:rsidRPr="00E213BA" w:rsidR="00661F2C">
        <w:rPr>
          <w:lang w:val="en-GB"/>
        </w:rPr>
        <w:t xml:space="preserve"> the suffering</w:t>
      </w:r>
      <w:r w:rsidRPr="00E213BA">
        <w:rPr>
          <w:lang w:val="en-GB"/>
        </w:rPr>
        <w:t xml:space="preserve">, to sue for financial compensation in the civil courts and, in addition, to request other forms of redress “which might be capable” of affording adequate non-pecuniary satisfaction. See, for example, judgment </w:t>
      </w:r>
      <w:proofErr w:type="spellStart"/>
      <w:r w:rsidRPr="00E213BA" w:rsidR="004B6C68">
        <w:rPr>
          <w:lang w:val="en-GB"/>
        </w:rPr>
        <w:t>Pbr</w:t>
      </w:r>
      <w:proofErr w:type="spellEnd"/>
      <w:r w:rsidRPr="00E213BA" w:rsidR="004B6C68">
        <w:rPr>
          <w:lang w:val="en-GB"/>
        </w:rPr>
        <w:t>. 2939</w:t>
      </w:r>
      <w:r w:rsidR="006958D4">
        <w:rPr>
          <w:lang w:val="en-GB"/>
        </w:rPr>
        <w:t>⁄</w:t>
      </w:r>
      <w:r w:rsidRPr="00E213BA" w:rsidR="004B6C68">
        <w:rPr>
          <w:lang w:val="en-GB"/>
        </w:rPr>
        <w:t xml:space="preserve">01 </w:t>
      </w:r>
      <w:r w:rsidRPr="00E213BA">
        <w:rPr>
          <w:lang w:val="en-GB"/>
        </w:rPr>
        <w:t xml:space="preserve">of the </w:t>
      </w:r>
      <w:proofErr w:type="spellStart"/>
      <w:r w:rsidRPr="00E213BA" w:rsidR="004B6C68">
        <w:rPr>
          <w:lang w:val="en-GB"/>
        </w:rPr>
        <w:t>Šabac</w:t>
      </w:r>
      <w:proofErr w:type="spellEnd"/>
      <w:r w:rsidRPr="00E213BA" w:rsidR="004B6C68">
        <w:rPr>
          <w:lang w:val="en-GB"/>
        </w:rPr>
        <w:t xml:space="preserve"> </w:t>
      </w:r>
      <w:r w:rsidRPr="00E213BA">
        <w:rPr>
          <w:lang w:val="en-GB"/>
        </w:rPr>
        <w:t>Municipal Court (</w:t>
      </w:r>
      <w:proofErr w:type="spellStart"/>
      <w:r w:rsidRPr="00E213BA">
        <w:rPr>
          <w:i/>
          <w:lang w:val="en-GB"/>
        </w:rPr>
        <w:t>Opštinski</w:t>
      </w:r>
      <w:proofErr w:type="spellEnd"/>
      <w:r w:rsidRPr="00E213BA">
        <w:rPr>
          <w:i/>
          <w:lang w:val="en-GB"/>
        </w:rPr>
        <w:t xml:space="preserve"> </w:t>
      </w:r>
      <w:proofErr w:type="spellStart"/>
      <w:r w:rsidRPr="00E213BA">
        <w:rPr>
          <w:i/>
          <w:lang w:val="en-GB"/>
        </w:rPr>
        <w:t>sud</w:t>
      </w:r>
      <w:proofErr w:type="spellEnd"/>
      <w:r w:rsidRPr="00E213BA">
        <w:rPr>
          <w:lang w:val="en-GB"/>
        </w:rPr>
        <w:t>)</w:t>
      </w:r>
      <w:r w:rsidRPr="00E213BA" w:rsidR="004B6C68">
        <w:rPr>
          <w:lang w:val="en-GB"/>
        </w:rPr>
        <w:t>,</w:t>
      </w:r>
      <w:r w:rsidRPr="00E213BA">
        <w:rPr>
          <w:lang w:val="en-GB"/>
        </w:rPr>
        <w:t xml:space="preserve"> of 20 February 2002, concerning the discrimination of Roma in access to a swimming pool, where the said court acknowledged the discrimination alleged by the plaintiffs, prohibited any such discrimination in the future, and ordered the respondent to publish its apology in </w:t>
      </w:r>
      <w:r w:rsidRPr="00E213BA" w:rsidR="004B6C68">
        <w:rPr>
          <w:lang w:val="en-GB"/>
        </w:rPr>
        <w:t xml:space="preserve">a </w:t>
      </w:r>
      <w:r w:rsidRPr="00E213BA">
        <w:rPr>
          <w:lang w:val="en-GB"/>
        </w:rPr>
        <w:t xml:space="preserve">major </w:t>
      </w:r>
      <w:bookmarkStart w:name="File9" w:id="8"/>
      <w:r w:rsidRPr="00E213BA">
        <w:rPr>
          <w:lang w:val="en-GB"/>
        </w:rPr>
        <w:t>Serbia</w:t>
      </w:r>
      <w:bookmarkEnd w:id="8"/>
      <w:r w:rsidRPr="00E213BA">
        <w:rPr>
          <w:lang w:val="en-GB"/>
        </w:rPr>
        <w:t xml:space="preserve">n daily newspaper. On 3 July 2003 the </w:t>
      </w:r>
      <w:proofErr w:type="spellStart"/>
      <w:r w:rsidRPr="00E213BA" w:rsidR="004B6C68">
        <w:rPr>
          <w:lang w:val="en-GB"/>
        </w:rPr>
        <w:t>Šabac</w:t>
      </w:r>
      <w:proofErr w:type="spellEnd"/>
      <w:r w:rsidRPr="00E213BA" w:rsidR="004B6C68">
        <w:rPr>
          <w:lang w:val="en-GB"/>
        </w:rPr>
        <w:t xml:space="preserve"> </w:t>
      </w:r>
      <w:r w:rsidRPr="00E213BA">
        <w:rPr>
          <w:lang w:val="en-GB"/>
        </w:rPr>
        <w:t>District Court (</w:t>
      </w:r>
      <w:proofErr w:type="spellStart"/>
      <w:r w:rsidRPr="00E213BA">
        <w:rPr>
          <w:i/>
          <w:lang w:val="en-GB"/>
        </w:rPr>
        <w:t>Okružni</w:t>
      </w:r>
      <w:proofErr w:type="spellEnd"/>
      <w:r w:rsidRPr="00E213BA">
        <w:rPr>
          <w:i/>
          <w:lang w:val="en-GB"/>
        </w:rPr>
        <w:t xml:space="preserve"> </w:t>
      </w:r>
      <w:proofErr w:type="spellStart"/>
      <w:r w:rsidRPr="00E213BA">
        <w:rPr>
          <w:i/>
          <w:lang w:val="en-GB"/>
        </w:rPr>
        <w:t>sud</w:t>
      </w:r>
      <w:proofErr w:type="spellEnd"/>
      <w:r w:rsidRPr="00E213BA">
        <w:rPr>
          <w:lang w:val="en-GB"/>
        </w:rPr>
        <w:t>) upheld th</w:t>
      </w:r>
      <w:r w:rsidRPr="00E213BA" w:rsidR="00335856">
        <w:rPr>
          <w:lang w:val="en-GB"/>
        </w:rPr>
        <w:t>at</w:t>
      </w:r>
      <w:r w:rsidRPr="00E213BA">
        <w:rPr>
          <w:lang w:val="en-GB"/>
        </w:rPr>
        <w:t xml:space="preserve"> judgment on appeal (</w:t>
      </w:r>
      <w:proofErr w:type="spellStart"/>
      <w:r w:rsidRPr="00E213BA">
        <w:rPr>
          <w:lang w:val="en-GB"/>
        </w:rPr>
        <w:t>Gž</w:t>
      </w:r>
      <w:proofErr w:type="spellEnd"/>
      <w:r w:rsidRPr="00E213BA">
        <w:rPr>
          <w:lang w:val="en-GB"/>
        </w:rPr>
        <w:t>. 1591</w:t>
      </w:r>
      <w:r w:rsidR="006958D4">
        <w:rPr>
          <w:lang w:val="en-GB"/>
        </w:rPr>
        <w:t>⁄</w:t>
      </w:r>
      <w:r w:rsidRPr="00E213BA">
        <w:rPr>
          <w:lang w:val="en-GB"/>
        </w:rPr>
        <w:t>02).</w:t>
      </w:r>
    </w:p>
    <w:p w:rsidRPr="00E213BA" w:rsidR="0022762A" w:rsidP="00420A26" w:rsidRDefault="0022762A">
      <w:pPr>
        <w:pStyle w:val="ECHRPara"/>
        <w:rPr>
          <w:lang w:val="en-GB"/>
        </w:rPr>
      </w:pPr>
      <w:r w:rsidRPr="00E213BA">
        <w:rPr>
          <w:lang w:val="en-GB"/>
        </w:rPr>
        <w:lastRenderedPageBreak/>
        <w:fldChar w:fldCharType="begin"/>
      </w:r>
      <w:r w:rsidRPr="00E213BA">
        <w:rPr>
          <w:lang w:val="en-GB"/>
        </w:rPr>
        <w:instrText xml:space="preserve"> SEQ level0 \*arabic </w:instrText>
      </w:r>
      <w:r w:rsidRPr="00E213BA">
        <w:rPr>
          <w:lang w:val="en-GB"/>
        </w:rPr>
        <w:fldChar w:fldCharType="separate"/>
      </w:r>
      <w:r w:rsidR="002B6D2B">
        <w:rPr>
          <w:noProof/>
          <w:lang w:val="en-GB"/>
        </w:rPr>
        <w:t>46</w:t>
      </w:r>
      <w:r w:rsidRPr="00E213BA">
        <w:rPr>
          <w:lang w:val="en-GB"/>
        </w:rPr>
        <w:fldChar w:fldCharType="end"/>
      </w:r>
      <w:r w:rsidRPr="00E213BA">
        <w:rPr>
          <w:lang w:val="en-GB"/>
        </w:rPr>
        <w:t>.  Section 360 § 3 provides that courts may not, in the course of proceedings before them, take into account negative prescription periods unless an objection to this effect has been made by the debtor.</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47</w:t>
      </w:r>
      <w:r w:rsidRPr="00E213BA">
        <w:rPr>
          <w:lang w:val="en-GB"/>
        </w:rPr>
        <w:fldChar w:fldCharType="end"/>
      </w:r>
      <w:r w:rsidRPr="00E213BA">
        <w:rPr>
          <w:lang w:val="en-GB"/>
        </w:rPr>
        <w:t xml:space="preserve">.  Section 367 provides that, where a debtor pays a debt which he was not obliged to pay based on the applicable prescription period, he </w:t>
      </w:r>
      <w:r w:rsidRPr="00E213BA" w:rsidR="00B364F4">
        <w:rPr>
          <w:lang w:val="en-GB"/>
        </w:rPr>
        <w:t xml:space="preserve">is </w:t>
      </w:r>
      <w:r w:rsidRPr="00E213BA">
        <w:rPr>
          <w:lang w:val="en-GB"/>
        </w:rPr>
        <w:t xml:space="preserve">not entitled to recover the sum </w:t>
      </w:r>
      <w:r w:rsidRPr="00E213BA" w:rsidR="00ED7081">
        <w:rPr>
          <w:lang w:val="en-GB"/>
        </w:rPr>
        <w:t>paid</w:t>
      </w:r>
      <w:r w:rsidRPr="00E213BA">
        <w:rPr>
          <w:lang w:val="en-GB"/>
        </w:rPr>
        <w: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48</w:t>
      </w:r>
      <w:r w:rsidRPr="00E213BA">
        <w:rPr>
          <w:lang w:val="en-GB"/>
        </w:rPr>
        <w:fldChar w:fldCharType="end"/>
      </w:r>
      <w:r w:rsidRPr="00E213BA">
        <w:rPr>
          <w:lang w:val="en-GB"/>
        </w:rPr>
        <w:t xml:space="preserve">.  Section 371 states that the general negative prescription period for civil claims </w:t>
      </w:r>
      <w:r w:rsidRPr="00E213BA" w:rsidR="00264037">
        <w:rPr>
          <w:lang w:val="en-GB"/>
        </w:rPr>
        <w:t>is</w:t>
      </w:r>
      <w:r w:rsidRPr="00E213BA">
        <w:rPr>
          <w:lang w:val="en-GB"/>
        </w:rPr>
        <w:t xml:space="preserve"> ten years, unless provided otherwise.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49</w:t>
      </w:r>
      <w:r w:rsidRPr="00E213BA">
        <w:rPr>
          <w:lang w:val="en-GB"/>
        </w:rPr>
        <w:fldChar w:fldCharType="end"/>
      </w:r>
      <w:r w:rsidRPr="00E213BA">
        <w:rPr>
          <w:lang w:val="en-GB"/>
        </w:rPr>
        <w:t xml:space="preserve">.  Section 376 §§ 1 and 2 provides, </w:t>
      </w:r>
      <w:r w:rsidRPr="00E213BA">
        <w:rPr>
          <w:i/>
          <w:lang w:val="en-GB"/>
        </w:rPr>
        <w:t>inter alia</w:t>
      </w:r>
      <w:r w:rsidRPr="00E213BA">
        <w:rPr>
          <w:lang w:val="en-GB"/>
        </w:rPr>
        <w:t xml:space="preserve">, that the negative prescription period for seeking civil compensation </w:t>
      </w:r>
      <w:r w:rsidRPr="00E213BA" w:rsidR="00264037">
        <w:rPr>
          <w:lang w:val="en-GB"/>
        </w:rPr>
        <w:t>is</w:t>
      </w:r>
      <w:r w:rsidRPr="00E213BA">
        <w:rPr>
          <w:lang w:val="en-GB"/>
        </w:rPr>
        <w:t xml:space="preserve"> three years as of when the claimant </w:t>
      </w:r>
      <w:r w:rsidRPr="00E213BA" w:rsidR="00264037">
        <w:rPr>
          <w:lang w:val="en-GB"/>
        </w:rPr>
        <w:t>first learnt</w:t>
      </w:r>
      <w:r w:rsidRPr="00E213BA">
        <w:rPr>
          <w:lang w:val="en-GB"/>
        </w:rPr>
        <w:t xml:space="preserve"> of the damage in question, but that, in any event, the absolute deadline </w:t>
      </w:r>
      <w:r w:rsidRPr="00E213BA" w:rsidR="00264037">
        <w:rPr>
          <w:lang w:val="en-GB"/>
        </w:rPr>
        <w:t xml:space="preserve">is </w:t>
      </w:r>
      <w:r w:rsidRPr="00E213BA">
        <w:rPr>
          <w:lang w:val="en-GB"/>
        </w:rPr>
        <w:t xml:space="preserve">five years </w:t>
      </w:r>
      <w:r w:rsidRPr="00E213BA" w:rsidR="00264037">
        <w:rPr>
          <w:lang w:val="en-GB"/>
        </w:rPr>
        <w:t>from</w:t>
      </w:r>
      <w:r w:rsidRPr="00E213BA">
        <w:rPr>
          <w:lang w:val="en-GB"/>
        </w:rPr>
        <w:t xml:space="preserve"> </w:t>
      </w:r>
      <w:r w:rsidRPr="00E213BA" w:rsidR="00821FAC">
        <w:rPr>
          <w:lang w:val="en-GB"/>
        </w:rPr>
        <w:t xml:space="preserve">the time </w:t>
      </w:r>
      <w:r w:rsidRPr="00E213BA">
        <w:rPr>
          <w:lang w:val="en-GB"/>
        </w:rPr>
        <w:t>the damage occurred.</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50</w:t>
      </w:r>
      <w:r w:rsidRPr="00E213BA">
        <w:rPr>
          <w:lang w:val="en-GB"/>
        </w:rPr>
        <w:fldChar w:fldCharType="end"/>
      </w:r>
      <w:r w:rsidRPr="00E213BA">
        <w:rPr>
          <w:lang w:val="en-GB"/>
        </w:rPr>
        <w:t xml:space="preserve">.  Sections 387 and 388 provide, </w:t>
      </w:r>
      <w:r w:rsidRPr="00E213BA">
        <w:rPr>
          <w:i/>
          <w:lang w:val="en-GB"/>
        </w:rPr>
        <w:t>inter alia</w:t>
      </w:r>
      <w:r w:rsidRPr="00E213BA">
        <w:rPr>
          <w:lang w:val="en-GB"/>
        </w:rPr>
        <w:t xml:space="preserve">, that the running of a negative prescription period </w:t>
      </w:r>
      <w:r w:rsidRPr="00E213BA" w:rsidR="006C37EA">
        <w:rPr>
          <w:lang w:val="en-GB"/>
        </w:rPr>
        <w:t>is</w:t>
      </w:r>
      <w:r w:rsidRPr="00E213BA">
        <w:rPr>
          <w:lang w:val="en-GB"/>
        </w:rPr>
        <w:t xml:space="preserve"> interrupted by the debtor</w:t>
      </w:r>
      <w:r w:rsidR="001F25A4">
        <w:rPr>
          <w:lang w:val="en-GB"/>
        </w:rPr>
        <w:t>’</w:t>
      </w:r>
      <w:r w:rsidRPr="00E213BA">
        <w:rPr>
          <w:lang w:val="en-GB"/>
        </w:rPr>
        <w:t xml:space="preserve">s acceptance </w:t>
      </w:r>
      <w:r w:rsidRPr="00E213BA" w:rsidR="00E94E23">
        <w:rPr>
          <w:lang w:val="en-GB"/>
        </w:rPr>
        <w:t xml:space="preserve">– be it direct or implicit – </w:t>
      </w:r>
      <w:r w:rsidRPr="00E213BA">
        <w:rPr>
          <w:lang w:val="en-GB"/>
        </w:rPr>
        <w:t xml:space="preserve">of the claim </w:t>
      </w:r>
      <w:r w:rsidRPr="00E213BA" w:rsidR="006C37EA">
        <w:rPr>
          <w:lang w:val="en-GB"/>
        </w:rPr>
        <w:t xml:space="preserve">in </w:t>
      </w:r>
      <w:r w:rsidRPr="00E213BA">
        <w:rPr>
          <w:lang w:val="en-GB"/>
        </w:rPr>
        <w:t xml:space="preserve">issue, </w:t>
      </w:r>
      <w:r w:rsidRPr="00E213BA" w:rsidR="00E94E23">
        <w:rPr>
          <w:lang w:val="en-GB"/>
        </w:rPr>
        <w:t xml:space="preserve">or </w:t>
      </w:r>
      <w:r w:rsidRPr="00E213BA">
        <w:rPr>
          <w:lang w:val="en-GB"/>
        </w:rPr>
        <w:t>by the claimant</w:t>
      </w:r>
      <w:r w:rsidR="001F25A4">
        <w:rPr>
          <w:lang w:val="en-GB"/>
        </w:rPr>
        <w:t>’</w:t>
      </w:r>
      <w:r w:rsidRPr="00E213BA">
        <w:rPr>
          <w:lang w:val="en-GB"/>
        </w:rPr>
        <w:t>s lodging of a civil action.</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51</w:t>
      </w:r>
      <w:r w:rsidRPr="00E213BA">
        <w:rPr>
          <w:lang w:val="en-GB"/>
        </w:rPr>
        <w:fldChar w:fldCharType="end"/>
      </w:r>
      <w:r w:rsidRPr="00E213BA">
        <w:rPr>
          <w:lang w:val="en-GB"/>
        </w:rPr>
        <w:t xml:space="preserve">.  Section 392 §§ 1-3 provides, </w:t>
      </w:r>
      <w:r w:rsidRPr="00E213BA">
        <w:rPr>
          <w:i/>
          <w:lang w:val="en-GB"/>
        </w:rPr>
        <w:t>inter alia</w:t>
      </w:r>
      <w:r w:rsidRPr="00E213BA">
        <w:rPr>
          <w:lang w:val="en-GB"/>
        </w:rPr>
        <w:t xml:space="preserve">, that </w:t>
      </w:r>
      <w:r w:rsidRPr="00E213BA" w:rsidR="006271BE">
        <w:rPr>
          <w:lang w:val="en-GB"/>
        </w:rPr>
        <w:t xml:space="preserve">in </w:t>
      </w:r>
      <w:r w:rsidRPr="00E213BA">
        <w:rPr>
          <w:lang w:val="en-GB"/>
        </w:rPr>
        <w:t xml:space="preserve">the </w:t>
      </w:r>
      <w:r w:rsidRPr="00E213BA" w:rsidR="006271BE">
        <w:rPr>
          <w:lang w:val="en-GB"/>
        </w:rPr>
        <w:t xml:space="preserve">event </w:t>
      </w:r>
      <w:r w:rsidRPr="00E213BA">
        <w:rPr>
          <w:lang w:val="en-GB"/>
        </w:rPr>
        <w:t xml:space="preserve">of such an interruption the applicable period </w:t>
      </w:r>
      <w:r w:rsidRPr="00E213BA" w:rsidR="006271BE">
        <w:rPr>
          <w:lang w:val="en-GB"/>
        </w:rPr>
        <w:t xml:space="preserve">will </w:t>
      </w:r>
      <w:r w:rsidRPr="00E213BA">
        <w:rPr>
          <w:lang w:val="en-GB"/>
        </w:rPr>
        <w:t xml:space="preserve">start running </w:t>
      </w:r>
      <w:r w:rsidRPr="00E213BA" w:rsidR="003A52D9">
        <w:rPr>
          <w:lang w:val="en-GB"/>
        </w:rPr>
        <w:t xml:space="preserve">afresh </w:t>
      </w:r>
      <w:r w:rsidRPr="00E213BA">
        <w:rPr>
          <w:lang w:val="en-GB"/>
        </w:rPr>
        <w:t>as of the debtor</w:t>
      </w:r>
      <w:r w:rsidR="001F25A4">
        <w:rPr>
          <w:lang w:val="en-GB"/>
        </w:rPr>
        <w:t>’</w:t>
      </w:r>
      <w:r w:rsidRPr="00E213BA">
        <w:rPr>
          <w:lang w:val="en-GB"/>
        </w:rPr>
        <w:t xml:space="preserve">s acceptance of the claim in question </w:t>
      </w:r>
      <w:r w:rsidRPr="00E213BA" w:rsidR="008D0D51">
        <w:rPr>
          <w:lang w:val="en-GB"/>
        </w:rPr>
        <w:t xml:space="preserve">or </w:t>
      </w:r>
      <w:r w:rsidRPr="00E213BA">
        <w:rPr>
          <w:lang w:val="en-GB"/>
        </w:rPr>
        <w:t xml:space="preserve">the conclusion of the civil suit, </w:t>
      </w:r>
      <w:r w:rsidRPr="00E213BA" w:rsidR="00E94E23">
        <w:rPr>
          <w:lang w:val="en-GB"/>
        </w:rPr>
        <w:t>pending final settlement</w:t>
      </w:r>
      <w:r w:rsidRPr="00E213BA">
        <w:rPr>
          <w:lang w:val="en-GB"/>
        </w:rPr>
        <w: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52</w:t>
      </w:r>
      <w:r w:rsidRPr="00E213BA">
        <w:rPr>
          <w:lang w:val="en-GB"/>
        </w:rPr>
        <w:fldChar w:fldCharType="end"/>
      </w:r>
      <w:r w:rsidR="0019205F">
        <w:rPr>
          <w:lang w:val="en-GB"/>
        </w:rPr>
        <w:t>.  </w:t>
      </w:r>
      <w:r w:rsidRPr="00E213BA">
        <w:rPr>
          <w:lang w:val="en-GB"/>
        </w:rPr>
        <w:t xml:space="preserve">Section 393 provides, </w:t>
      </w:r>
      <w:r w:rsidRPr="00E213BA">
        <w:rPr>
          <w:i/>
          <w:lang w:val="en-GB"/>
        </w:rPr>
        <w:t>inter alia</w:t>
      </w:r>
      <w:r w:rsidRPr="00E213BA">
        <w:rPr>
          <w:lang w:val="en-GB"/>
        </w:rPr>
        <w:t xml:space="preserve">, that </w:t>
      </w:r>
      <w:r w:rsidRPr="00E213BA" w:rsidR="00E94E23">
        <w:rPr>
          <w:lang w:val="en-GB"/>
        </w:rPr>
        <w:t xml:space="preserve">when </w:t>
      </w:r>
      <w:r w:rsidRPr="00E213BA">
        <w:rPr>
          <w:lang w:val="en-GB"/>
        </w:rPr>
        <w:t xml:space="preserve">a debtor accepts an outstanding obligation on the basis of a new arrangement, </w:t>
      </w:r>
      <w:r w:rsidRPr="00E213BA" w:rsidR="008D0D51">
        <w:rPr>
          <w:lang w:val="en-GB"/>
        </w:rPr>
        <w:t xml:space="preserve">a new </w:t>
      </w:r>
      <w:r w:rsidRPr="00E213BA">
        <w:rPr>
          <w:lang w:val="en-GB"/>
        </w:rPr>
        <w:t>prescription period start</w:t>
      </w:r>
      <w:r w:rsidRPr="00E213BA" w:rsidR="00E94E23">
        <w:rPr>
          <w:lang w:val="en-GB"/>
        </w:rPr>
        <w:t>s</w:t>
      </w:r>
      <w:r w:rsidRPr="00E213BA">
        <w:rPr>
          <w:lang w:val="en-GB"/>
        </w:rPr>
        <w:t xml:space="preserve"> running </w:t>
      </w:r>
      <w:r w:rsidRPr="00E213BA" w:rsidR="008D0D51">
        <w:rPr>
          <w:lang w:val="en-GB"/>
        </w:rPr>
        <w:t>in respect of the new arrangement</w:t>
      </w:r>
      <w:r w:rsidRPr="00E213BA">
        <w:rPr>
          <w:lang w:val="en-GB"/>
        </w:rPr>
        <w:t>.</w:t>
      </w:r>
    </w:p>
    <w:p w:rsidRPr="00E213BA" w:rsidR="0022762A" w:rsidP="00420A26" w:rsidRDefault="00B43C0D">
      <w:pPr>
        <w:pStyle w:val="ECHRHeading2"/>
      </w:pPr>
      <w:r w:rsidRPr="00E213BA">
        <w:t>H</w:t>
      </w:r>
      <w:r w:rsidRPr="00E213BA" w:rsidR="0022762A">
        <w:t>.  </w:t>
      </w:r>
      <w:r w:rsidRPr="00E213BA" w:rsidR="00FC53F1">
        <w:t>The legal opinions adopted by the Supreme Court</w:t>
      </w:r>
      <w:r w:rsidR="001F25A4">
        <w:t>’</w:t>
      </w:r>
      <w:r w:rsidRPr="00E213BA" w:rsidR="00FC53F1">
        <w:t xml:space="preserve">s Civil Division </w:t>
      </w:r>
      <w:r w:rsidRPr="00E213BA" w:rsidR="00FC53F1">
        <w:rPr>
          <w:b w:val="0"/>
          <w:szCs w:val="24"/>
        </w:rPr>
        <w:t>(</w:t>
      </w:r>
      <w:proofErr w:type="spellStart"/>
      <w:r w:rsidRPr="00E213BA" w:rsidR="00FC53F1">
        <w:rPr>
          <w:b w:val="0"/>
          <w:i/>
          <w:iCs/>
          <w:szCs w:val="24"/>
        </w:rPr>
        <w:t>pravna</w:t>
      </w:r>
      <w:proofErr w:type="spellEnd"/>
      <w:r w:rsidRPr="00E213BA" w:rsidR="00FC53F1">
        <w:rPr>
          <w:b w:val="0"/>
          <w:i/>
          <w:iCs/>
          <w:szCs w:val="24"/>
        </w:rPr>
        <w:t xml:space="preserve"> </w:t>
      </w:r>
      <w:proofErr w:type="spellStart"/>
      <w:r w:rsidRPr="00E213BA" w:rsidR="00FC53F1">
        <w:rPr>
          <w:b w:val="0"/>
          <w:i/>
          <w:iCs/>
          <w:szCs w:val="24"/>
        </w:rPr>
        <w:t>shvatanja</w:t>
      </w:r>
      <w:proofErr w:type="spellEnd"/>
      <w:r w:rsidRPr="00E213BA" w:rsidR="00FC53F1">
        <w:rPr>
          <w:b w:val="0"/>
          <w:i/>
          <w:iCs/>
          <w:szCs w:val="24"/>
        </w:rPr>
        <w:t xml:space="preserve"> </w:t>
      </w:r>
      <w:proofErr w:type="spellStart"/>
      <w:r w:rsidRPr="00E213BA" w:rsidR="00FC53F1">
        <w:rPr>
          <w:b w:val="0"/>
          <w:i/>
          <w:iCs/>
          <w:szCs w:val="24"/>
        </w:rPr>
        <w:t>Građanskog</w:t>
      </w:r>
      <w:proofErr w:type="spellEnd"/>
      <w:r w:rsidRPr="00E213BA" w:rsidR="00FC53F1">
        <w:rPr>
          <w:b w:val="0"/>
          <w:i/>
          <w:iCs/>
          <w:szCs w:val="24"/>
        </w:rPr>
        <w:t xml:space="preserve"> </w:t>
      </w:r>
      <w:proofErr w:type="spellStart"/>
      <w:r w:rsidRPr="00E213BA" w:rsidR="00FC53F1">
        <w:rPr>
          <w:b w:val="0"/>
          <w:i/>
          <w:iCs/>
          <w:szCs w:val="24"/>
        </w:rPr>
        <w:t>odeljenja</w:t>
      </w:r>
      <w:proofErr w:type="spellEnd"/>
      <w:r w:rsidRPr="00E213BA" w:rsidR="00FC53F1">
        <w:rPr>
          <w:b w:val="0"/>
          <w:i/>
          <w:iCs/>
          <w:szCs w:val="24"/>
        </w:rPr>
        <w:t xml:space="preserve"> </w:t>
      </w:r>
      <w:proofErr w:type="spellStart"/>
      <w:r w:rsidRPr="00E213BA" w:rsidR="00FC53F1">
        <w:rPr>
          <w:b w:val="0"/>
          <w:i/>
          <w:iCs/>
          <w:szCs w:val="24"/>
        </w:rPr>
        <w:t>Vrhovnog</w:t>
      </w:r>
      <w:proofErr w:type="spellEnd"/>
      <w:r w:rsidRPr="00E213BA" w:rsidR="00FC53F1">
        <w:rPr>
          <w:b w:val="0"/>
          <w:i/>
          <w:iCs/>
          <w:szCs w:val="24"/>
        </w:rPr>
        <w:t xml:space="preserve"> </w:t>
      </w:r>
      <w:proofErr w:type="spellStart"/>
      <w:r w:rsidRPr="00E213BA" w:rsidR="00FC53F1">
        <w:rPr>
          <w:b w:val="0"/>
          <w:i/>
          <w:iCs/>
          <w:szCs w:val="24"/>
        </w:rPr>
        <w:t>suda</w:t>
      </w:r>
      <w:proofErr w:type="spellEnd"/>
      <w:r w:rsidRPr="00E213BA" w:rsidR="00FC53F1">
        <w:rPr>
          <w:b w:val="0"/>
          <w:i/>
          <w:iCs/>
          <w:szCs w:val="24"/>
        </w:rPr>
        <w:t xml:space="preserve"> </w:t>
      </w:r>
      <w:proofErr w:type="spellStart"/>
      <w:r w:rsidRPr="00E213BA" w:rsidR="00FC53F1">
        <w:rPr>
          <w:b w:val="0"/>
          <w:i/>
          <w:iCs/>
          <w:szCs w:val="24"/>
        </w:rPr>
        <w:t>Srbije</w:t>
      </w:r>
      <w:proofErr w:type="spellEnd"/>
      <w:r w:rsidRPr="00E213BA" w:rsidR="00FC53F1">
        <w:rPr>
          <w:b w:val="0"/>
          <w:i/>
          <w:iCs/>
          <w:szCs w:val="24"/>
        </w:rPr>
        <w:t>)</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53</w:t>
      </w:r>
      <w:r w:rsidRPr="00E213BA">
        <w:rPr>
          <w:lang w:val="en-GB"/>
        </w:rPr>
        <w:fldChar w:fldCharType="end"/>
      </w:r>
      <w:r w:rsidRPr="00E213BA">
        <w:rPr>
          <w:lang w:val="en-GB"/>
        </w:rPr>
        <w:t xml:space="preserve">.  On 26 May 2003 the Supreme Court held, </w:t>
      </w:r>
      <w:r w:rsidRPr="00E213BA">
        <w:rPr>
          <w:i/>
          <w:lang w:val="en-GB"/>
        </w:rPr>
        <w:t>inter alia</w:t>
      </w:r>
      <w:r w:rsidRPr="00E213BA">
        <w:rPr>
          <w:lang w:val="en-GB"/>
        </w:rPr>
        <w:t xml:space="preserve">, that civil courts </w:t>
      </w:r>
      <w:r w:rsidRPr="00E213BA" w:rsidR="00874485">
        <w:rPr>
          <w:lang w:val="en-GB"/>
        </w:rPr>
        <w:t>had</w:t>
      </w:r>
      <w:r w:rsidRPr="00E213BA">
        <w:rPr>
          <w:lang w:val="en-GB"/>
        </w:rPr>
        <w:t xml:space="preserve"> jurisdiction to rule on the merits in all cases concerning reservists</w:t>
      </w:r>
      <w:r w:rsidR="001F25A4">
        <w:rPr>
          <w:lang w:val="en-GB"/>
        </w:rPr>
        <w:t>’</w:t>
      </w:r>
      <w:r w:rsidRPr="00E213BA">
        <w:rPr>
          <w:lang w:val="en-GB"/>
        </w:rPr>
        <w:t xml:space="preserve"> </w:t>
      </w:r>
      <w:r w:rsidRPr="00E213BA">
        <w:rPr>
          <w:i/>
          <w:lang w:val="en-GB"/>
        </w:rPr>
        <w:t>per diems</w:t>
      </w:r>
      <w:r w:rsidRPr="00E213BA">
        <w:rPr>
          <w:lang w:val="en-GB"/>
        </w:rPr>
        <w:t xml:space="preserve"> provided that the redress sought by the plaintiff </w:t>
      </w:r>
      <w:r w:rsidRPr="00E213BA" w:rsidR="009D2645">
        <w:rPr>
          <w:lang w:val="en-GB"/>
        </w:rPr>
        <w:t xml:space="preserve">was </w:t>
      </w:r>
      <w:r w:rsidRPr="00E213BA">
        <w:rPr>
          <w:lang w:val="en-GB"/>
        </w:rPr>
        <w:t xml:space="preserve">compensation for any damage suffered in </w:t>
      </w:r>
      <w:r w:rsidRPr="00E213BA" w:rsidR="00874485">
        <w:rPr>
          <w:lang w:val="en-GB"/>
        </w:rPr>
        <w:t xml:space="preserve">that </w:t>
      </w:r>
      <w:r w:rsidRPr="00E213BA">
        <w:rPr>
          <w:lang w:val="en-GB"/>
        </w:rPr>
        <w:t>connection (see paragraph 4</w:t>
      </w:r>
      <w:r w:rsidRPr="00E213BA" w:rsidR="007F5AD8">
        <w:rPr>
          <w:lang w:val="en-GB"/>
        </w:rPr>
        <w:t>9</w:t>
      </w:r>
      <w:r w:rsidRPr="00E213BA">
        <w:rPr>
          <w:lang w:val="en-GB"/>
        </w:rPr>
        <w:t xml:space="preserve"> above) based on the State</w:t>
      </w:r>
      <w:r w:rsidR="001F25A4">
        <w:rPr>
          <w:lang w:val="en-GB"/>
        </w:rPr>
        <w:t>’</w:t>
      </w:r>
      <w:r w:rsidRPr="00E213BA">
        <w:rPr>
          <w:lang w:val="en-GB"/>
        </w:rPr>
        <w:t>s alleged malfeasance (published in the Supreme Court</w:t>
      </w:r>
      <w:r w:rsidR="001F25A4">
        <w:rPr>
          <w:lang w:val="en-GB"/>
        </w:rPr>
        <w:t>’</w:t>
      </w:r>
      <w:r w:rsidRPr="00E213BA">
        <w:rPr>
          <w:lang w:val="en-GB"/>
        </w:rPr>
        <w:t>s Bulletin no. 1</w:t>
      </w:r>
      <w:r w:rsidR="006958D4">
        <w:rPr>
          <w:lang w:val="en-GB"/>
        </w:rPr>
        <w:t>⁄</w:t>
      </w:r>
      <w:r w:rsidRPr="00E213BA">
        <w:rPr>
          <w:lang w:val="en-GB"/>
        </w:rPr>
        <w:t>04).</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54</w:t>
      </w:r>
      <w:r w:rsidRPr="00E213BA">
        <w:rPr>
          <w:lang w:val="en-GB"/>
        </w:rPr>
        <w:fldChar w:fldCharType="end"/>
      </w:r>
      <w:r w:rsidRPr="00E213BA">
        <w:rPr>
          <w:lang w:val="en-GB"/>
        </w:rPr>
        <w:t xml:space="preserve">.  On 6 April 2004 the Supreme Court essentially reaffirmed the opinion of 26 May 2003, extending its application to certain other “military entitlements”. It also noted that there </w:t>
      </w:r>
      <w:r w:rsidRPr="00E213BA" w:rsidR="00EE66C4">
        <w:rPr>
          <w:lang w:val="en-GB"/>
        </w:rPr>
        <w:t xml:space="preserve">had </w:t>
      </w:r>
      <w:r w:rsidRPr="00E213BA">
        <w:rPr>
          <w:lang w:val="en-GB"/>
        </w:rPr>
        <w:t>been some inconsistencies before the courts in the meantime (published in the Supreme Court</w:t>
      </w:r>
      <w:r w:rsidR="001F25A4">
        <w:rPr>
          <w:lang w:val="en-GB"/>
        </w:rPr>
        <w:t>’</w:t>
      </w:r>
      <w:r w:rsidRPr="00E213BA">
        <w:rPr>
          <w:lang w:val="en-GB"/>
        </w:rPr>
        <w:t>s Bulletin no</w:t>
      </w:r>
      <w:r w:rsidRPr="00E213BA" w:rsidR="00FC53F1">
        <w:rPr>
          <w:lang w:val="en-GB"/>
        </w:rPr>
        <w:t>. </w:t>
      </w:r>
      <w:r w:rsidRPr="00E213BA">
        <w:rPr>
          <w:lang w:val="en-GB"/>
        </w:rPr>
        <w:t>1</w:t>
      </w:r>
      <w:r w:rsidR="006958D4">
        <w:rPr>
          <w:lang w:val="en-GB"/>
        </w:rPr>
        <w:t>⁄</w:t>
      </w:r>
      <w:r w:rsidRPr="00E213BA">
        <w:rPr>
          <w:lang w:val="en-GB"/>
        </w:rPr>
        <w:t>04).</w:t>
      </w:r>
    </w:p>
    <w:p w:rsidRPr="00E213BA" w:rsidR="0022762A" w:rsidP="00027241" w:rsidRDefault="0022762A">
      <w:pPr>
        <w:pStyle w:val="ECHRTitle1"/>
      </w:pPr>
      <w:r w:rsidRPr="00E213BA">
        <w:lastRenderedPageBreak/>
        <w:t>THE LAW</w:t>
      </w:r>
    </w:p>
    <w:p w:rsidRPr="00E213BA" w:rsidR="00CE2E61" w:rsidP="0005783C" w:rsidRDefault="006958D4">
      <w:pPr>
        <w:ind w:firstLine="284"/>
      </w:pPr>
      <w:r>
        <w:fldChar w:fldCharType="begin"/>
      </w:r>
      <w:r>
        <w:instrText xml:space="preserve"> SEQ level0 \*arabic </w:instrText>
      </w:r>
      <w:r>
        <w:fldChar w:fldCharType="separate"/>
      </w:r>
      <w:r w:rsidR="002B6D2B">
        <w:rPr>
          <w:noProof/>
        </w:rPr>
        <w:t>55</w:t>
      </w:r>
      <w:r>
        <w:rPr>
          <w:noProof/>
        </w:rPr>
        <w:fldChar w:fldCharType="end"/>
      </w:r>
      <w:r w:rsidRPr="00E213BA" w:rsidR="00B13C3F">
        <w:t>.  </w:t>
      </w:r>
      <w:r w:rsidRPr="00E213BA" w:rsidR="00CE2E61">
        <w:t xml:space="preserve">The applicants complained </w:t>
      </w:r>
      <w:r w:rsidRPr="00E213BA" w:rsidR="00EF344A">
        <w:t xml:space="preserve">of </w:t>
      </w:r>
      <w:r w:rsidRPr="00E213BA" w:rsidR="00CE2E61">
        <w:t xml:space="preserve">discrimination stemming from the </w:t>
      </w:r>
      <w:r w:rsidRPr="00E213BA" w:rsidR="002F7854">
        <w:t xml:space="preserve">Agreement </w:t>
      </w:r>
      <w:r w:rsidRPr="00E213BA" w:rsidR="00CE2E61">
        <w:t xml:space="preserve">(see paragraphs </w:t>
      </w:r>
      <w:r w:rsidRPr="00E213BA" w:rsidR="00EC20D0">
        <w:t xml:space="preserve">15 and 28 </w:t>
      </w:r>
      <w:r w:rsidRPr="00E213BA" w:rsidR="00CE2E61">
        <w:t>above)</w:t>
      </w:r>
      <w:r w:rsidRPr="00E213BA" w:rsidR="00EF344A">
        <w:t>, relying</w:t>
      </w:r>
      <w:r w:rsidRPr="00E213BA" w:rsidR="00A366F0">
        <w:t xml:space="preserve"> </w:t>
      </w:r>
      <w:r w:rsidRPr="00E213BA" w:rsidR="00CE2E61">
        <w:rPr>
          <w:szCs w:val="24"/>
        </w:rPr>
        <w:t>on Article 14 of the Convention</w:t>
      </w:r>
      <w:r w:rsidRPr="00E213BA" w:rsidR="002F7854">
        <w:rPr>
          <w:szCs w:val="24"/>
        </w:rPr>
        <w:t>,</w:t>
      </w:r>
      <w:r w:rsidRPr="00E213BA" w:rsidR="00CE2E61">
        <w:rPr>
          <w:szCs w:val="24"/>
        </w:rPr>
        <w:t xml:space="preserve"> read in conjunction with Article 1 of Protocol No. 1</w:t>
      </w:r>
      <w:r w:rsidRPr="00E213BA" w:rsidR="002F7854">
        <w:rPr>
          <w:szCs w:val="24"/>
        </w:rPr>
        <w:t>, and Article 1 of Protocol No. 12</w:t>
      </w:r>
      <w:r w:rsidRPr="00E213BA" w:rsidR="00CE2E61">
        <w:rPr>
          <w:szCs w:val="24"/>
        </w:rPr>
        <w:t>.</w:t>
      </w:r>
      <w:r w:rsidRPr="00E213BA" w:rsidR="0005783C">
        <w:rPr>
          <w:szCs w:val="24"/>
        </w:rPr>
        <w:t xml:space="preserve"> </w:t>
      </w:r>
      <w:r w:rsidRPr="00E213BA" w:rsidR="00CE2E61">
        <w:t>The</w:t>
      </w:r>
      <w:r w:rsidRPr="00E213BA" w:rsidR="0005783C">
        <w:t xml:space="preserve">se </w:t>
      </w:r>
      <w:r w:rsidRPr="00E213BA" w:rsidR="00CE2E61">
        <w:t>provisions read as follows:</w:t>
      </w:r>
    </w:p>
    <w:p w:rsidRPr="00E213BA" w:rsidR="00CE2E61" w:rsidP="00FE08E5" w:rsidRDefault="00CE2E61">
      <w:pPr>
        <w:pStyle w:val="ECHRTitleCentre3"/>
      </w:pPr>
      <w:r w:rsidRPr="00E213BA">
        <w:t>Article 14 of the Convention</w:t>
      </w:r>
    </w:p>
    <w:p w:rsidRPr="00E213BA" w:rsidR="00CE2E61" w:rsidP="00FE08E5" w:rsidRDefault="00CE2E61">
      <w:pPr>
        <w:pStyle w:val="ECHRParaQuote"/>
      </w:pPr>
      <w:r w:rsidRPr="00E213BA">
        <w:t xml:space="preserve">“The enjoyment of the rights and freedoms set forth in [the] Convention shall be secured without discrimination on any ground such as sex, race, </w:t>
      </w:r>
      <w:proofErr w:type="spellStart"/>
      <w:r w:rsidRPr="00E213BA">
        <w:t>colour</w:t>
      </w:r>
      <w:proofErr w:type="spellEnd"/>
      <w:r w:rsidRPr="00E213BA">
        <w:t>, language, religion, political or other opinion, national or social origin, association with a national minority, property, birth or other status.”</w:t>
      </w:r>
    </w:p>
    <w:p w:rsidRPr="00E213BA" w:rsidR="00CE2E61" w:rsidP="00FE08E5" w:rsidRDefault="00CE2E61">
      <w:pPr>
        <w:pStyle w:val="ECHRTitleCentre3"/>
      </w:pPr>
      <w:r w:rsidRPr="00E213BA">
        <w:t>Article 1 of Protocol No. 1</w:t>
      </w:r>
    </w:p>
    <w:p w:rsidRPr="00E213BA" w:rsidR="00CE2E61" w:rsidP="00FE08E5" w:rsidRDefault="00CE2E61">
      <w:pPr>
        <w:pStyle w:val="ECHRParaQuote"/>
      </w:pPr>
      <w:r w:rsidRPr="00E213B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213BA" w:rsidR="00CE2E61" w:rsidP="00FE08E5" w:rsidRDefault="00CE2E61">
      <w:pPr>
        <w:pStyle w:val="ECHRParaQuote"/>
      </w:pPr>
      <w:r w:rsidRPr="00E213B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213BA" w:rsidR="002F7854" w:rsidP="002F7854" w:rsidRDefault="002F7854">
      <w:pPr>
        <w:pStyle w:val="ECHRTitleCentre3"/>
      </w:pPr>
      <w:r w:rsidRPr="00E213BA">
        <w:t>Article 1 of Protocol No. 12</w:t>
      </w:r>
    </w:p>
    <w:p w:rsidRPr="00E213BA" w:rsidR="00EC20D0" w:rsidP="00AB44E9" w:rsidRDefault="00EC20D0">
      <w:pPr>
        <w:pStyle w:val="ECHRParaQuote"/>
      </w:pPr>
      <w:r w:rsidRPr="00E213BA">
        <w:t xml:space="preserve">“1. The enjoyment of any right set forth by law shall be secured without discrimination on any ground such as sex, race, </w:t>
      </w:r>
      <w:proofErr w:type="spellStart"/>
      <w:r w:rsidRPr="00E213BA">
        <w:t>colour</w:t>
      </w:r>
      <w:proofErr w:type="spellEnd"/>
      <w:r w:rsidRPr="00E213BA">
        <w:t>, language, religion, political or other opinion, national or social origin, association with a national minority, property, birth or other status.</w:t>
      </w:r>
    </w:p>
    <w:p w:rsidRPr="00E213BA" w:rsidR="002F7854" w:rsidP="00FE08E5" w:rsidRDefault="00EC20D0">
      <w:pPr>
        <w:pStyle w:val="ECHRParaQuote"/>
      </w:pPr>
      <w:r w:rsidRPr="00E213BA">
        <w:t>2. No one shall be discriminated against by any public authority on any ground such as those mentioned in paragraph 1.”</w:t>
      </w:r>
    </w:p>
    <w:p w:rsidRPr="00E213BA" w:rsidR="0022762A" w:rsidP="00027241" w:rsidRDefault="0022762A">
      <w:pPr>
        <w:pStyle w:val="ECHRHeading1"/>
      </w:pPr>
      <w:r w:rsidRPr="00E213BA">
        <w:t>I.  THE SCOPE OF THE GRAND CHAMBER</w:t>
      </w:r>
      <w:r w:rsidR="001F25A4">
        <w:t>’</w:t>
      </w:r>
      <w:r w:rsidRPr="00E213BA">
        <w:t>S JURISDICTION</w:t>
      </w:r>
    </w:p>
    <w:p w:rsidRPr="00E213BA" w:rsidR="0022762A" w:rsidP="00420A26" w:rsidRDefault="0005783C">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56</w:t>
      </w:r>
      <w:r w:rsidRPr="00E213BA">
        <w:rPr>
          <w:lang w:val="en-GB"/>
        </w:rPr>
        <w:fldChar w:fldCharType="end"/>
      </w:r>
      <w:r w:rsidRPr="00E213BA">
        <w:rPr>
          <w:lang w:val="en-GB"/>
        </w:rPr>
        <w:t>.  </w:t>
      </w:r>
      <w:r w:rsidRPr="00E213BA" w:rsidR="0022762A">
        <w:rPr>
          <w:lang w:val="en-GB"/>
        </w:rPr>
        <w:t>The Court reiterates its well-established case-law that “the case” referred to the Grand Chamber necessarily embraces all aspects of the application or applications previously examined by the Chamber in its judgment, the scope of its jurisdiction in “the case” being limited only by the Chamber</w:t>
      </w:r>
      <w:r w:rsidR="001F25A4">
        <w:rPr>
          <w:lang w:val="en-GB"/>
        </w:rPr>
        <w:t>’</w:t>
      </w:r>
      <w:r w:rsidRPr="00E213BA" w:rsidR="0022762A">
        <w:rPr>
          <w:lang w:val="en-GB"/>
        </w:rPr>
        <w:t xml:space="preserve">s decision on admissibility. </w:t>
      </w:r>
      <w:r w:rsidRPr="00E213BA">
        <w:rPr>
          <w:lang w:val="en-GB"/>
        </w:rPr>
        <w:t xml:space="preserve">Within these limits, </w:t>
      </w:r>
      <w:r w:rsidRPr="00E213BA" w:rsidR="0022762A">
        <w:rPr>
          <w:lang w:val="en-GB"/>
        </w:rPr>
        <w:t>the Grand Chamber may also examine, where appropriate, issues relating to the admissibility of the application in the same manner as this is possible in normal Chamber proceedings</w:t>
      </w:r>
      <w:r w:rsidRPr="00E213BA" w:rsidR="00F25689">
        <w:rPr>
          <w:lang w:val="en-GB"/>
        </w:rPr>
        <w:t xml:space="preserve">. </w:t>
      </w:r>
      <w:r w:rsidRPr="00E213BA">
        <w:rPr>
          <w:lang w:val="en-GB"/>
        </w:rPr>
        <w:t xml:space="preserve">It may do so for example </w:t>
      </w:r>
      <w:r w:rsidRPr="00E213BA" w:rsidR="0022762A">
        <w:rPr>
          <w:lang w:val="en-GB"/>
        </w:rPr>
        <w:t xml:space="preserve">by virtue of Article 35 § 4 </w:t>
      </w:r>
      <w:r w:rsidRPr="00E213BA" w:rsidR="0022762A">
        <w:rPr>
          <w:i/>
          <w:lang w:val="en-GB"/>
        </w:rPr>
        <w:t>in fine</w:t>
      </w:r>
      <w:r w:rsidRPr="00E213BA" w:rsidR="0022762A">
        <w:rPr>
          <w:lang w:val="en-GB"/>
        </w:rPr>
        <w:t xml:space="preserve"> of the Convention (which empowers the Court to “reject any application which it considers inadmissible ... at any stage of the proceedings”), </w:t>
      </w:r>
      <w:r w:rsidRPr="00E213BA" w:rsidR="008C00D2">
        <w:rPr>
          <w:lang w:val="en-GB"/>
        </w:rPr>
        <w:t xml:space="preserve">or </w:t>
      </w:r>
      <w:r w:rsidRPr="00E213BA" w:rsidR="0022762A">
        <w:rPr>
          <w:lang w:val="en-GB"/>
        </w:rPr>
        <w:t xml:space="preserve">where such issues have been joined to the merits or where they are otherwise relevant at the merits stage (see </w:t>
      </w:r>
      <w:r w:rsidRPr="00E213BA" w:rsidR="0022762A">
        <w:rPr>
          <w:i/>
          <w:lang w:val="en-GB"/>
        </w:rPr>
        <w:t>K. and T. v. Finland</w:t>
      </w:r>
      <w:r w:rsidRPr="00E213BA" w:rsidR="0022762A">
        <w:rPr>
          <w:lang w:val="en-GB"/>
        </w:rPr>
        <w:t xml:space="preserve"> [GC], no. 25702/94, §§ 140-41, ECHR 2001-VII, and </w:t>
      </w:r>
      <w:proofErr w:type="spellStart"/>
      <w:r w:rsidRPr="00E213BA" w:rsidR="0022762A">
        <w:rPr>
          <w:i/>
          <w:lang w:val="en-GB"/>
        </w:rPr>
        <w:t>Perna</w:t>
      </w:r>
      <w:proofErr w:type="spellEnd"/>
      <w:r w:rsidRPr="00E213BA" w:rsidR="0022762A">
        <w:rPr>
          <w:i/>
          <w:lang w:val="en-GB"/>
        </w:rPr>
        <w:t xml:space="preserve"> v. Italy</w:t>
      </w:r>
      <w:r w:rsidRPr="00E213BA" w:rsidR="0022762A">
        <w:rPr>
          <w:lang w:val="en-GB"/>
        </w:rPr>
        <w:t xml:space="preserve"> [GC], </w:t>
      </w:r>
      <w:r w:rsidRPr="00E213BA" w:rsidR="0022762A">
        <w:rPr>
          <w:lang w:val="en-GB"/>
        </w:rPr>
        <w:lastRenderedPageBreak/>
        <w:t xml:space="preserve">no. 48898/99, §§ 23-24, ECHR 2003-V). Thus, even at the merits stage and subject to Rule 55 of the Rules of Court, the Court may reconsider a decision to declare an application admissible where it concludes that it should have been declared inadmissible for one of the reasons given in the first three paragraphs of Article 35 of the Convention (see, </w:t>
      </w:r>
      <w:r w:rsidRPr="00E213BA" w:rsidR="0022762A">
        <w:rPr>
          <w:i/>
          <w:lang w:val="en-GB"/>
        </w:rPr>
        <w:t>mutatis mutandis</w:t>
      </w:r>
      <w:r w:rsidRPr="00E213BA" w:rsidR="0022762A">
        <w:rPr>
          <w:lang w:val="en-GB"/>
        </w:rPr>
        <w:t xml:space="preserve">, </w:t>
      </w:r>
      <w:proofErr w:type="spellStart"/>
      <w:r w:rsidRPr="00E213BA" w:rsidR="0022762A">
        <w:rPr>
          <w:i/>
          <w:lang w:val="en-GB"/>
        </w:rPr>
        <w:t>Odièvre</w:t>
      </w:r>
      <w:proofErr w:type="spellEnd"/>
      <w:r w:rsidRPr="00E213BA" w:rsidR="0022762A">
        <w:rPr>
          <w:i/>
          <w:lang w:val="en-GB"/>
        </w:rPr>
        <w:t xml:space="preserve"> v. France</w:t>
      </w:r>
      <w:r w:rsidRPr="00E213BA" w:rsidR="0022762A">
        <w:rPr>
          <w:lang w:val="en-GB"/>
        </w:rPr>
        <w:t xml:space="preserve"> [GC], no. 42326/98, § 22, ECHR 2003-III</w:t>
      </w:r>
      <w:r w:rsidRPr="00E213BA" w:rsidR="008128D7">
        <w:rPr>
          <w:lang w:val="en-GB"/>
        </w:rPr>
        <w:t>,</w:t>
      </w:r>
      <w:r w:rsidRPr="00E213BA" w:rsidR="0022762A">
        <w:rPr>
          <w:lang w:val="en-GB"/>
        </w:rPr>
        <w:t xml:space="preserve"> and </w:t>
      </w:r>
      <w:proofErr w:type="spellStart"/>
      <w:r w:rsidRPr="00E213BA" w:rsidR="0022762A">
        <w:rPr>
          <w:i/>
          <w:lang w:val="en-GB"/>
        </w:rPr>
        <w:t>Azinas</w:t>
      </w:r>
      <w:proofErr w:type="spellEnd"/>
      <w:r w:rsidRPr="00E213BA" w:rsidR="0022762A">
        <w:rPr>
          <w:i/>
          <w:lang w:val="en-GB"/>
        </w:rPr>
        <w:t xml:space="preserve"> v. Cyprus</w:t>
      </w:r>
      <w:r w:rsidRPr="00E213BA" w:rsidR="0022762A">
        <w:rPr>
          <w:lang w:val="en-GB"/>
        </w:rPr>
        <w:t xml:space="preserve"> [GC], no. 56679/00, § 32, ECHR 2004</w:t>
      </w:r>
      <w:r w:rsidRPr="00E213BA" w:rsidR="0022762A">
        <w:rPr>
          <w:lang w:val="en-GB"/>
        </w:rPr>
        <w:noBreakHyphen/>
        <w:t>III).</w:t>
      </w:r>
    </w:p>
    <w:p w:rsidRPr="00E213BA" w:rsidR="0022762A" w:rsidP="00027241" w:rsidRDefault="0022762A">
      <w:pPr>
        <w:pStyle w:val="ECHRHeading1"/>
      </w:pPr>
      <w:r w:rsidRPr="00E213BA">
        <w:t>II.</w:t>
      </w:r>
      <w:proofErr w:type="gramStart"/>
      <w:r w:rsidRPr="00E213BA">
        <w:t>  THE</w:t>
      </w:r>
      <w:proofErr w:type="gramEnd"/>
      <w:r w:rsidRPr="00E213BA">
        <w:t xml:space="preserve"> GOVERNMENT</w:t>
      </w:r>
      <w:r w:rsidR="001F25A4">
        <w:t>’</w:t>
      </w:r>
      <w:r w:rsidRPr="00E213BA">
        <w:t>S PRELIMINARY OBJECTIONS</w:t>
      </w:r>
    </w:p>
    <w:p w:rsidRPr="00E213BA" w:rsidR="0022762A" w:rsidP="00420A26" w:rsidRDefault="0022762A">
      <w:pPr>
        <w:pStyle w:val="ECHRHeading2"/>
      </w:pPr>
      <w:r w:rsidRPr="00E213BA">
        <w:t>A.  </w:t>
      </w:r>
      <w:r w:rsidRPr="00E213BA" w:rsidR="007F531D">
        <w:t>N</w:t>
      </w:r>
      <w:r w:rsidRPr="00E213BA">
        <w:t>on-exhaustion of domestic remedies</w:t>
      </w:r>
    </w:p>
    <w:p w:rsidRPr="00E213BA" w:rsidR="0022762A" w:rsidP="00420A26" w:rsidRDefault="0022762A">
      <w:pPr>
        <w:pStyle w:val="ECHRHeading3"/>
      </w:pPr>
      <w:r w:rsidRPr="00E213BA">
        <w:t>1.  The Government</w:t>
      </w:r>
      <w:r w:rsidR="001F25A4">
        <w:t>’</w:t>
      </w:r>
      <w:r w:rsidRPr="00E213BA">
        <w:t>s submissions to the Grand Chamber</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57</w:t>
      </w:r>
      <w:r w:rsidRPr="00E213BA">
        <w:rPr>
          <w:lang w:val="en-GB"/>
        </w:rPr>
        <w:fldChar w:fldCharType="end"/>
      </w:r>
      <w:r w:rsidR="00AF263E">
        <w:rPr>
          <w:lang w:val="en-GB"/>
        </w:rPr>
        <w:t>.  </w:t>
      </w:r>
      <w:r w:rsidRPr="00E213BA">
        <w:rPr>
          <w:lang w:val="en-GB"/>
        </w:rPr>
        <w:t>The Government pointed out that the applicants had failed to exhaust the relevant domestic remedies as regards their complaints of discrimination.</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58</w:t>
      </w:r>
      <w:r w:rsidRPr="00E213BA">
        <w:rPr>
          <w:lang w:val="en-GB"/>
        </w:rPr>
        <w:fldChar w:fldCharType="end"/>
      </w:r>
      <w:r w:rsidRPr="00E213BA">
        <w:rPr>
          <w:lang w:val="en-GB"/>
        </w:rPr>
        <w:t>.  The civil claim brought by them, despite mentioning the Agreement, concerned the Government</w:t>
      </w:r>
      <w:r w:rsidR="001F25A4">
        <w:rPr>
          <w:lang w:val="en-GB"/>
        </w:rPr>
        <w:t>’</w:t>
      </w:r>
      <w:r w:rsidRPr="00E213BA">
        <w:rPr>
          <w:lang w:val="en-GB"/>
        </w:rPr>
        <w:t xml:space="preserve">s alleged debt in respect of the </w:t>
      </w:r>
      <w:r w:rsidRPr="00E213BA">
        <w:rPr>
          <w:i/>
          <w:lang w:val="en-GB"/>
        </w:rPr>
        <w:t>per diems</w:t>
      </w:r>
      <w:r w:rsidRPr="00E213BA">
        <w:rPr>
          <w:lang w:val="en-GB"/>
        </w:rPr>
        <w:t xml:space="preserve"> and was rejected on the basis of the applicable prescription periods. The applicants should, instead, have filed a civil case based on section 43 of the Prohibition of Discrimination Act, or relied on </w:t>
      </w:r>
      <w:r w:rsidRPr="00E213BA" w:rsidR="00C420B0">
        <w:rPr>
          <w:lang w:val="en-GB"/>
        </w:rPr>
        <w:t xml:space="preserve">that </w:t>
      </w:r>
      <w:r w:rsidRPr="00E213BA">
        <w:rPr>
          <w:lang w:val="en-GB"/>
        </w:rPr>
        <w:t xml:space="preserve">provision in the civil case which they had already brought, </w:t>
      </w:r>
      <w:r w:rsidRPr="00E213BA" w:rsidR="00C420B0">
        <w:rPr>
          <w:lang w:val="en-GB"/>
        </w:rPr>
        <w:t xml:space="preserve">as it </w:t>
      </w:r>
      <w:r w:rsidRPr="00E213BA">
        <w:rPr>
          <w:lang w:val="en-GB"/>
        </w:rPr>
        <w:t>offered various forms of redress including injunctive and declaratory relief as well as compensation where appropriate (see, also, the relevant provisions of the Obligations Act, as well as the relevant case-law, summarised at paragraph 4</w:t>
      </w:r>
      <w:r w:rsidRPr="00E213BA" w:rsidR="007F5AD8">
        <w:rPr>
          <w:lang w:val="en-GB"/>
        </w:rPr>
        <w:t>5</w:t>
      </w:r>
      <w:r w:rsidRPr="00E213BA">
        <w:rPr>
          <w:lang w:val="en-GB"/>
        </w:rPr>
        <w:t xml:space="preserve"> above).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59</w:t>
      </w:r>
      <w:r w:rsidRPr="00E213BA">
        <w:rPr>
          <w:lang w:val="en-GB"/>
        </w:rPr>
        <w:fldChar w:fldCharType="end"/>
      </w:r>
      <w:r w:rsidR="00AF263E">
        <w:rPr>
          <w:lang w:val="en-GB"/>
        </w:rPr>
        <w:t>.  </w:t>
      </w:r>
      <w:r w:rsidRPr="00E213BA" w:rsidR="009F064F">
        <w:rPr>
          <w:lang w:val="en-GB"/>
        </w:rPr>
        <w:t>Nor had t</w:t>
      </w:r>
      <w:r w:rsidRPr="00E213BA">
        <w:rPr>
          <w:lang w:val="en-GB"/>
        </w:rPr>
        <w:t>he applicants properly exhaust</w:t>
      </w:r>
      <w:r w:rsidRPr="00E213BA" w:rsidR="009F064F">
        <w:rPr>
          <w:lang w:val="en-GB"/>
        </w:rPr>
        <w:t>ed</w:t>
      </w:r>
      <w:r w:rsidRPr="00E213BA">
        <w:rPr>
          <w:lang w:val="en-GB"/>
        </w:rPr>
        <w:t xml:space="preserve"> the constitutional avenue either. Admittedly, they </w:t>
      </w:r>
      <w:r w:rsidRPr="00E213BA" w:rsidR="00621D72">
        <w:rPr>
          <w:lang w:val="en-GB"/>
        </w:rPr>
        <w:t xml:space="preserve">had </w:t>
      </w:r>
      <w:r w:rsidRPr="00E213BA">
        <w:rPr>
          <w:lang w:val="en-GB"/>
        </w:rPr>
        <w:t>referred to the Agreement in their constitutional appeal</w:t>
      </w:r>
      <w:r w:rsidRPr="00E213BA" w:rsidR="00621D72">
        <w:rPr>
          <w:lang w:val="en-GB"/>
        </w:rPr>
        <w:t>,</w:t>
      </w:r>
      <w:r w:rsidRPr="00E213BA">
        <w:rPr>
          <w:lang w:val="en-GB"/>
        </w:rPr>
        <w:t xml:space="preserve"> but </w:t>
      </w:r>
      <w:r w:rsidRPr="00E213BA" w:rsidR="00621D72">
        <w:rPr>
          <w:lang w:val="en-GB"/>
        </w:rPr>
        <w:t xml:space="preserve">they had </w:t>
      </w:r>
      <w:r w:rsidRPr="00E213BA">
        <w:rPr>
          <w:lang w:val="en-GB"/>
        </w:rPr>
        <w:t xml:space="preserve">not </w:t>
      </w:r>
      <w:r w:rsidRPr="00E213BA" w:rsidR="00621D72">
        <w:rPr>
          <w:lang w:val="en-GB"/>
        </w:rPr>
        <w:t xml:space="preserve">sought </w:t>
      </w:r>
      <w:r w:rsidRPr="00E213BA">
        <w:rPr>
          <w:lang w:val="en-GB"/>
        </w:rPr>
        <w:t xml:space="preserve">“protection from discrimination”. Moreover, the applicants </w:t>
      </w:r>
      <w:r w:rsidRPr="00E213BA" w:rsidR="00621D72">
        <w:rPr>
          <w:lang w:val="en-GB"/>
        </w:rPr>
        <w:t xml:space="preserve">had </w:t>
      </w:r>
      <w:r w:rsidRPr="00E213BA">
        <w:rPr>
          <w:lang w:val="en-GB"/>
        </w:rPr>
        <w:t xml:space="preserve">specifically relied on Articles 32 and 36 of the Constitution, guaranteeing respectively the right to a fair hearing and the right to equal protection before the courts, but </w:t>
      </w:r>
      <w:r w:rsidRPr="00E213BA" w:rsidR="00621D72">
        <w:rPr>
          <w:lang w:val="en-GB"/>
        </w:rPr>
        <w:t xml:space="preserve">had </w:t>
      </w:r>
      <w:r w:rsidRPr="00E213BA">
        <w:rPr>
          <w:lang w:val="en-GB"/>
        </w:rPr>
        <w:t>made no reference to Article 21 of the Constitution</w:t>
      </w:r>
      <w:r w:rsidRPr="00E213BA" w:rsidR="0022408D">
        <w:rPr>
          <w:lang w:val="en-GB"/>
        </w:rPr>
        <w:t>, which</w:t>
      </w:r>
      <w:r w:rsidRPr="00E213BA">
        <w:rPr>
          <w:lang w:val="en-GB"/>
        </w:rPr>
        <w:t xml:space="preserve"> contain</w:t>
      </w:r>
      <w:r w:rsidRPr="00E213BA" w:rsidR="0022408D">
        <w:rPr>
          <w:lang w:val="en-GB"/>
        </w:rPr>
        <w:t>ed</w:t>
      </w:r>
      <w:r w:rsidRPr="00E213BA">
        <w:rPr>
          <w:lang w:val="en-GB"/>
        </w:rPr>
        <w:t xml:space="preserve"> a general prohibition of discrimination. In such circumstances, being bound by the applicants</w:t>
      </w:r>
      <w:r w:rsidR="001F25A4">
        <w:rPr>
          <w:lang w:val="en-GB"/>
        </w:rPr>
        <w:t>’</w:t>
      </w:r>
      <w:r w:rsidRPr="00E213BA">
        <w:rPr>
          <w:lang w:val="en-GB"/>
        </w:rPr>
        <w:t xml:space="preserve"> complaints, the Constitutional Court could not have </w:t>
      </w:r>
      <w:r w:rsidRPr="00E213BA" w:rsidR="00621D72">
        <w:rPr>
          <w:lang w:val="en-GB"/>
        </w:rPr>
        <w:t xml:space="preserve">examined </w:t>
      </w:r>
      <w:r w:rsidRPr="00E213BA">
        <w:rPr>
          <w:lang w:val="en-GB"/>
        </w:rPr>
        <w:t xml:space="preserve">the </w:t>
      </w:r>
      <w:r w:rsidRPr="00E213BA" w:rsidR="00621D72">
        <w:rPr>
          <w:lang w:val="en-GB"/>
        </w:rPr>
        <w:t xml:space="preserve">alleged </w:t>
      </w:r>
      <w:r w:rsidRPr="00E213BA">
        <w:rPr>
          <w:lang w:val="en-GB"/>
        </w:rPr>
        <w:t>discrimination.</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60</w:t>
      </w:r>
      <w:r w:rsidRPr="00E213BA">
        <w:rPr>
          <w:lang w:val="en-GB"/>
        </w:rPr>
        <w:fldChar w:fldCharType="end"/>
      </w:r>
      <w:r w:rsidR="00AF263E">
        <w:rPr>
          <w:lang w:val="en-GB"/>
        </w:rPr>
        <w:t>.  </w:t>
      </w:r>
      <w:r w:rsidRPr="00E213BA">
        <w:rPr>
          <w:lang w:val="en-GB"/>
        </w:rPr>
        <w:t>The Constitutional Court</w:t>
      </w:r>
      <w:r w:rsidR="001F25A4">
        <w:rPr>
          <w:lang w:val="en-GB"/>
        </w:rPr>
        <w:t>’</w:t>
      </w:r>
      <w:r w:rsidRPr="00E213BA">
        <w:rPr>
          <w:lang w:val="en-GB"/>
        </w:rPr>
        <w:t>s decision of 17 February 2</w:t>
      </w:r>
      <w:r w:rsidR="003516F4">
        <w:rPr>
          <w:lang w:val="en-GB"/>
        </w:rPr>
        <w:t>011 (</w:t>
      </w:r>
      <w:proofErr w:type="spellStart"/>
      <w:r w:rsidR="003516F4">
        <w:rPr>
          <w:lang w:val="en-GB"/>
        </w:rPr>
        <w:t>Už</w:t>
      </w:r>
      <w:proofErr w:type="spellEnd"/>
      <w:r w:rsidR="003516F4">
        <w:rPr>
          <w:lang w:val="en-GB"/>
        </w:rPr>
        <w:t>. </w:t>
      </w:r>
      <w:r w:rsidRPr="00E213BA">
        <w:rPr>
          <w:lang w:val="en-GB"/>
        </w:rPr>
        <w:t>2901</w:t>
      </w:r>
      <w:r w:rsidRPr="003B61ED" w:rsidR="003B61ED">
        <w:t>∕</w:t>
      </w:r>
      <w:r w:rsidRPr="00E213BA">
        <w:rPr>
          <w:lang w:val="en-GB"/>
        </w:rPr>
        <w:t>10) dismissed (</w:t>
      </w:r>
      <w:proofErr w:type="spellStart"/>
      <w:r w:rsidRPr="00E213BA">
        <w:rPr>
          <w:i/>
          <w:lang w:val="en-GB"/>
        </w:rPr>
        <w:t>odbacila</w:t>
      </w:r>
      <w:proofErr w:type="spellEnd"/>
      <w:r w:rsidRPr="00E213BA">
        <w:rPr>
          <w:lang w:val="en-GB"/>
        </w:rPr>
        <w:t>) the constitutional appeal “on procedural grounds”, which was why the discrimination complaint was never discussed on its merits (see paragraph 37 above).</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61</w:t>
      </w:r>
      <w:r w:rsidRPr="00E213BA">
        <w:rPr>
          <w:lang w:val="en-GB"/>
        </w:rPr>
        <w:fldChar w:fldCharType="end"/>
      </w:r>
      <w:r w:rsidR="00AF263E">
        <w:rPr>
          <w:lang w:val="en-GB"/>
        </w:rPr>
        <w:t>.  </w:t>
      </w:r>
      <w:r w:rsidRPr="00E213BA">
        <w:rPr>
          <w:lang w:val="en-GB"/>
        </w:rPr>
        <w:t xml:space="preserve">In any event, in </w:t>
      </w:r>
      <w:proofErr w:type="spellStart"/>
      <w:r w:rsidRPr="00E213BA">
        <w:rPr>
          <w:i/>
          <w:lang w:val="en-GB"/>
        </w:rPr>
        <w:t>Vinčić</w:t>
      </w:r>
      <w:proofErr w:type="spellEnd"/>
      <w:r w:rsidRPr="00E213BA">
        <w:rPr>
          <w:i/>
          <w:lang w:val="en-GB"/>
        </w:rPr>
        <w:t xml:space="preserve"> </w:t>
      </w:r>
      <w:r w:rsidRPr="00E213BA">
        <w:rPr>
          <w:lang w:val="en-GB"/>
        </w:rPr>
        <w:t xml:space="preserve">the Court held that a constitutional appeal should, in principle, be considered as an effective domestic remedy within the meaning of Article 35 § 1 of the Convention in respect of all </w:t>
      </w:r>
      <w:r w:rsidRPr="00E213BA">
        <w:rPr>
          <w:lang w:val="en-GB"/>
        </w:rPr>
        <w:lastRenderedPageBreak/>
        <w:t xml:space="preserve">applications introduced as of 7 August 2008 (see </w:t>
      </w:r>
      <w:bookmarkStart w:name="File10" w:id="9"/>
      <w:proofErr w:type="spellStart"/>
      <w:r w:rsidR="003516F4">
        <w:rPr>
          <w:i/>
          <w:lang w:val="en-GB"/>
        </w:rPr>
        <w:t>Vinčić</w:t>
      </w:r>
      <w:proofErr w:type="spellEnd"/>
      <w:r w:rsidR="003516F4">
        <w:rPr>
          <w:i/>
          <w:lang w:val="en-GB"/>
        </w:rPr>
        <w:t xml:space="preserve"> and Others v. </w:t>
      </w:r>
      <w:r w:rsidRPr="00E213BA">
        <w:rPr>
          <w:i/>
          <w:lang w:val="en-GB"/>
        </w:rPr>
        <w:t>Serbia</w:t>
      </w:r>
      <w:bookmarkEnd w:id="9"/>
      <w:r w:rsidRPr="00E213BA">
        <w:rPr>
          <w:lang w:val="en-GB"/>
        </w:rPr>
        <w:t>, nos. 44698/06 and others, § 51, 1 December 2009).</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62</w:t>
      </w:r>
      <w:r w:rsidRPr="00E213BA">
        <w:rPr>
          <w:lang w:val="en-GB"/>
        </w:rPr>
        <w:fldChar w:fldCharType="end"/>
      </w:r>
      <w:r w:rsidRPr="00E213BA">
        <w:rPr>
          <w:lang w:val="en-GB"/>
        </w:rPr>
        <w:t>.  </w:t>
      </w:r>
      <w:r w:rsidRPr="00E213BA" w:rsidR="00D011EB">
        <w:rPr>
          <w:lang w:val="en-GB"/>
        </w:rPr>
        <w:t>Lastly, t</w:t>
      </w:r>
      <w:r w:rsidRPr="00E213BA">
        <w:rPr>
          <w:lang w:val="en-GB"/>
        </w:rPr>
        <w:t>he Government argued that ever since the Constitutional Court</w:t>
      </w:r>
      <w:r w:rsidR="001F25A4">
        <w:rPr>
          <w:lang w:val="en-GB"/>
        </w:rPr>
        <w:t>’</w:t>
      </w:r>
      <w:r w:rsidRPr="00E213BA">
        <w:rPr>
          <w:lang w:val="en-GB"/>
        </w:rPr>
        <w:t>s decision of 7 November 2012 (</w:t>
      </w:r>
      <w:proofErr w:type="spellStart"/>
      <w:r w:rsidRPr="00E213BA">
        <w:rPr>
          <w:lang w:val="en-GB"/>
        </w:rPr>
        <w:t>Už</w:t>
      </w:r>
      <w:proofErr w:type="spellEnd"/>
      <w:r w:rsidRPr="00E213BA">
        <w:rPr>
          <w:lang w:val="en-GB"/>
        </w:rPr>
        <w:t>. no. 2157</w:t>
      </w:r>
      <w:r w:rsidRPr="003B61ED" w:rsidR="003B61ED">
        <w:t>∕</w:t>
      </w:r>
      <w:r w:rsidRPr="00E213BA">
        <w:rPr>
          <w:lang w:val="en-GB"/>
        </w:rPr>
        <w:t>11)</w:t>
      </w:r>
      <w:r w:rsidRPr="00E213BA" w:rsidR="00D011EB">
        <w:rPr>
          <w:lang w:val="en-GB"/>
        </w:rPr>
        <w:t>,</w:t>
      </w:r>
      <w:r w:rsidRPr="00E213BA">
        <w:rPr>
          <w:lang w:val="en-GB"/>
        </w:rPr>
        <w:t xml:space="preserve"> and especially following the decision in the applicants</w:t>
      </w:r>
      <w:r w:rsidR="001F25A4">
        <w:rPr>
          <w:lang w:val="en-GB"/>
        </w:rPr>
        <w:t>’</w:t>
      </w:r>
      <w:r w:rsidRPr="00E213BA">
        <w:rPr>
          <w:lang w:val="en-GB"/>
        </w:rPr>
        <w:t xml:space="preserve"> favour </w:t>
      </w:r>
      <w:r w:rsidRPr="00E213BA" w:rsidR="00D011EB">
        <w:rPr>
          <w:lang w:val="en-GB"/>
        </w:rPr>
        <w:t xml:space="preserve">given by that court </w:t>
      </w:r>
      <w:r w:rsidRPr="00E213BA">
        <w:rPr>
          <w:lang w:val="en-GB"/>
        </w:rPr>
        <w:t xml:space="preserve">on </w:t>
      </w:r>
      <w:r w:rsidRPr="00E213BA" w:rsidR="004D5EBD">
        <w:rPr>
          <w:lang w:val="en-GB"/>
        </w:rPr>
        <w:t>5 </w:t>
      </w:r>
      <w:r w:rsidRPr="00E213BA">
        <w:rPr>
          <w:lang w:val="en-GB"/>
        </w:rPr>
        <w:t>December 2012</w:t>
      </w:r>
      <w:r w:rsidRPr="00E213BA" w:rsidR="004D5EBD">
        <w:rPr>
          <w:lang w:val="en-GB"/>
        </w:rPr>
        <w:t>,</w:t>
      </w:r>
      <w:r w:rsidRPr="00E213BA">
        <w:rPr>
          <w:lang w:val="en-GB"/>
        </w:rPr>
        <w:t xml:space="preserve"> </w:t>
      </w:r>
      <w:r w:rsidRPr="00E213BA" w:rsidR="004D5EBD">
        <w:rPr>
          <w:lang w:val="en-GB"/>
        </w:rPr>
        <w:t>the applicants</w:t>
      </w:r>
      <w:r w:rsidRPr="00E213BA" w:rsidDel="004D5EBD" w:rsidR="004D5EBD">
        <w:rPr>
          <w:lang w:val="en-GB"/>
        </w:rPr>
        <w:t xml:space="preserve"> </w:t>
      </w:r>
      <w:r w:rsidRPr="00E213BA">
        <w:rPr>
          <w:lang w:val="en-GB"/>
        </w:rPr>
        <w:t>could have lodged a request seeking the reopening of their civil suit</w:t>
      </w:r>
      <w:r w:rsidRPr="00E213BA" w:rsidR="004D5EBD">
        <w:rPr>
          <w:lang w:val="en-GB"/>
        </w:rPr>
        <w:t>, based on the relevant provisions of the Constitutional Court Act or the Civil Procedure Act</w:t>
      </w:r>
      <w:r w:rsidRPr="00E213BA">
        <w:rPr>
          <w:lang w:val="en-GB"/>
        </w:rPr>
        <w:t xml:space="preserve"> (see paragraphs 22, 23, 34 and 42 above).</w:t>
      </w:r>
    </w:p>
    <w:p w:rsidRPr="00E213BA" w:rsidR="0022762A" w:rsidP="00420A26" w:rsidRDefault="0022762A">
      <w:pPr>
        <w:pStyle w:val="ECHRHeading3"/>
      </w:pPr>
      <w:r w:rsidRPr="00E213BA">
        <w:t>2.  The applicants</w:t>
      </w:r>
      <w:r w:rsidR="001F25A4">
        <w:t>’</w:t>
      </w:r>
      <w:r w:rsidRPr="00E213BA">
        <w:t xml:space="preserve"> submissions to the Grand Chamber</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63</w:t>
      </w:r>
      <w:r w:rsidRPr="00E213BA">
        <w:rPr>
          <w:lang w:val="en-GB"/>
        </w:rPr>
        <w:fldChar w:fldCharType="end"/>
      </w:r>
      <w:r w:rsidRPr="00E213BA">
        <w:rPr>
          <w:lang w:val="en-GB"/>
        </w:rPr>
        <w:t>.  The applicants maintained that they had complied with the exhaustion requirement. The Court itself ha</w:t>
      </w:r>
      <w:r w:rsidRPr="00E213BA" w:rsidR="00EB43A7">
        <w:rPr>
          <w:lang w:val="en-GB"/>
        </w:rPr>
        <w:t>d</w:t>
      </w:r>
      <w:r w:rsidRPr="00E213BA">
        <w:rPr>
          <w:lang w:val="en-GB"/>
        </w:rPr>
        <w:t xml:space="preserve"> long held that the principle of subsidiarity </w:t>
      </w:r>
      <w:r w:rsidRPr="00E213BA" w:rsidR="00EB43A7">
        <w:rPr>
          <w:lang w:val="en-GB"/>
        </w:rPr>
        <w:t xml:space="preserve">was </w:t>
      </w:r>
      <w:r w:rsidRPr="00E213BA">
        <w:rPr>
          <w:lang w:val="en-GB"/>
        </w:rPr>
        <w:t>not absolute, meaning that remedies which are not adequate or effective in the particular circumstances of a case need not be exhausted.</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64</w:t>
      </w:r>
      <w:r w:rsidRPr="00E213BA">
        <w:rPr>
          <w:lang w:val="en-GB"/>
        </w:rPr>
        <w:fldChar w:fldCharType="end"/>
      </w:r>
      <w:r w:rsidRPr="00E213BA">
        <w:rPr>
          <w:lang w:val="en-GB"/>
        </w:rPr>
        <w:t xml:space="preserve">.  As regards civil redress, when the applicants realised that the Agreement would not apply to them they </w:t>
      </w:r>
      <w:r w:rsidRPr="00E213BA" w:rsidR="00962826">
        <w:rPr>
          <w:lang w:val="en-GB"/>
        </w:rPr>
        <w:t xml:space="preserve">had </w:t>
      </w:r>
      <w:r w:rsidRPr="00E213BA">
        <w:rPr>
          <w:lang w:val="en-GB"/>
        </w:rPr>
        <w:t xml:space="preserve">filed a civil claim. In so doing they </w:t>
      </w:r>
      <w:r w:rsidRPr="00E213BA" w:rsidR="00962826">
        <w:rPr>
          <w:lang w:val="en-GB"/>
        </w:rPr>
        <w:t xml:space="preserve">had </w:t>
      </w:r>
      <w:r w:rsidRPr="00E213BA">
        <w:rPr>
          <w:lang w:val="en-GB"/>
        </w:rPr>
        <w:t>raised in substance the issue of discrimination before the Court of First Instance, as well as the Court</w:t>
      </w:r>
      <w:r w:rsidRPr="00E213BA" w:rsidR="00D41E65">
        <w:rPr>
          <w:lang w:val="en-GB"/>
        </w:rPr>
        <w:t xml:space="preserve"> of Appeal</w:t>
      </w:r>
      <w:r w:rsidRPr="00E213BA">
        <w:rPr>
          <w:lang w:val="en-GB"/>
        </w:rPr>
        <w:t xml:space="preserve">, and sought </w:t>
      </w:r>
      <w:r w:rsidRPr="00E213BA" w:rsidR="00D41E65">
        <w:rPr>
          <w:lang w:val="en-GB"/>
        </w:rPr>
        <w:t>to</w:t>
      </w:r>
      <w:r w:rsidRPr="00E213BA">
        <w:rPr>
          <w:lang w:val="en-GB"/>
        </w:rPr>
        <w:t xml:space="preserve"> be placed on an equal footing with th</w:t>
      </w:r>
      <w:r w:rsidRPr="00E213BA" w:rsidR="00D41E65">
        <w:rPr>
          <w:lang w:val="en-GB"/>
        </w:rPr>
        <w:t>os</w:t>
      </w:r>
      <w:r w:rsidRPr="00E213BA">
        <w:rPr>
          <w:lang w:val="en-GB"/>
        </w:rPr>
        <w:t xml:space="preserve">e reservists who </w:t>
      </w:r>
      <w:r w:rsidRPr="00E213BA" w:rsidR="00D41E65">
        <w:rPr>
          <w:lang w:val="en-GB"/>
        </w:rPr>
        <w:t xml:space="preserve">did </w:t>
      </w:r>
      <w:r w:rsidRPr="00E213BA">
        <w:rPr>
          <w:lang w:val="en-GB"/>
        </w:rPr>
        <w:t>benefit from the Agreement. But that “would have cost the State a lot of money” and “it was an opportunity for the judges who survived the 2009 judicial reforms” to “serve the interest” of the Government who had “spared them from dismissal”. The relevant domestic courts thus completely disregarded the purpose of the applicants</w:t>
      </w:r>
      <w:r w:rsidR="001F25A4">
        <w:rPr>
          <w:lang w:val="en-GB"/>
        </w:rPr>
        <w:t>’</w:t>
      </w:r>
      <w:r w:rsidRPr="00E213BA">
        <w:rPr>
          <w:lang w:val="en-GB"/>
        </w:rPr>
        <w:t xml:space="preserve"> claim and dismissed it as out of time without ever ruling on the alleged discrimination. The applicants noted that the discrimination in question had occurred in 2008, when the Agreement was reached.</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65</w:t>
      </w:r>
      <w:r w:rsidRPr="00E213BA">
        <w:rPr>
          <w:lang w:val="en-GB"/>
        </w:rPr>
        <w:fldChar w:fldCharType="end"/>
      </w:r>
      <w:r w:rsidRPr="00E213BA">
        <w:rPr>
          <w:lang w:val="en-GB"/>
        </w:rPr>
        <w:t>.  </w:t>
      </w:r>
      <w:r w:rsidRPr="00E213BA" w:rsidR="00000189">
        <w:rPr>
          <w:lang w:val="en-GB"/>
        </w:rPr>
        <w:t xml:space="preserve">Concerning </w:t>
      </w:r>
      <w:r w:rsidRPr="00E213BA">
        <w:rPr>
          <w:lang w:val="en-GB"/>
        </w:rPr>
        <w:t>the constitutional appeal</w:t>
      </w:r>
      <w:r w:rsidRPr="00E213BA" w:rsidR="00000189">
        <w:rPr>
          <w:lang w:val="en-GB"/>
        </w:rPr>
        <w:t>,</w:t>
      </w:r>
      <w:r w:rsidRPr="00E213BA">
        <w:rPr>
          <w:lang w:val="en-GB"/>
        </w:rPr>
        <w:t xml:space="preserve"> the applicants endorsed the Chamber</w:t>
      </w:r>
      <w:r w:rsidR="001F25A4">
        <w:rPr>
          <w:lang w:val="en-GB"/>
        </w:rPr>
        <w:t>’</w:t>
      </w:r>
      <w:r w:rsidRPr="00E213BA">
        <w:rPr>
          <w:lang w:val="en-GB"/>
        </w:rPr>
        <w:t xml:space="preserve">s finding </w:t>
      </w:r>
      <w:r w:rsidRPr="00E213BA" w:rsidR="00751584">
        <w:rPr>
          <w:lang w:val="en-GB"/>
        </w:rPr>
        <w:t>in</w:t>
      </w:r>
      <w:r w:rsidRPr="00E213BA">
        <w:rPr>
          <w:lang w:val="en-GB"/>
        </w:rPr>
        <w:t xml:space="preserve"> paragraphs</w:t>
      </w:r>
      <w:r w:rsidRPr="00E213BA" w:rsidR="007F5AD8">
        <w:rPr>
          <w:lang w:val="en-GB"/>
        </w:rPr>
        <w:t xml:space="preserve"> 71-75 </w:t>
      </w:r>
      <w:r w:rsidRPr="00E213BA">
        <w:rPr>
          <w:lang w:val="en-GB"/>
        </w:rPr>
        <w:t xml:space="preserve">of </w:t>
      </w:r>
      <w:r w:rsidRPr="00E213BA" w:rsidR="00751584">
        <w:rPr>
          <w:lang w:val="en-GB"/>
        </w:rPr>
        <w:t>its</w:t>
      </w:r>
      <w:r w:rsidRPr="00E213BA">
        <w:rPr>
          <w:lang w:val="en-GB"/>
        </w:rPr>
        <w:t xml:space="preserve"> judgment</w:t>
      </w:r>
      <w:r w:rsidRPr="00E213BA" w:rsidR="00751584">
        <w:rPr>
          <w:lang w:val="en-GB"/>
        </w:rPr>
        <w:t xml:space="preserve">. </w:t>
      </w:r>
      <w:r w:rsidRPr="00E213BA" w:rsidR="006A6E98">
        <w:rPr>
          <w:lang w:val="en-GB"/>
        </w:rPr>
        <w:t>The</w:t>
      </w:r>
      <w:r w:rsidRPr="00E213BA" w:rsidR="00751584">
        <w:rPr>
          <w:lang w:val="en-GB"/>
        </w:rPr>
        <w:t>y</w:t>
      </w:r>
      <w:r w:rsidRPr="00E213BA" w:rsidR="006A6E98">
        <w:rPr>
          <w:lang w:val="en-GB"/>
        </w:rPr>
        <w:t xml:space="preserve"> </w:t>
      </w:r>
      <w:r w:rsidRPr="00E213BA">
        <w:rPr>
          <w:lang w:val="en-GB"/>
        </w:rPr>
        <w:t>admitted that they had not awaited the outcome of those proceedings before lodging their applications with the Court. However, this should not be held against them given the kind of decisions handed down by the Constitutional Court prior to and after that date. The</w:t>
      </w:r>
      <w:r w:rsidRPr="00E213BA" w:rsidR="00751584">
        <w:rPr>
          <w:lang w:val="en-GB"/>
        </w:rPr>
        <w:t>se</w:t>
      </w:r>
      <w:r w:rsidRPr="00E213BA">
        <w:rPr>
          <w:lang w:val="en-GB"/>
        </w:rPr>
        <w:t xml:space="preserve"> included, </w:t>
      </w:r>
      <w:r w:rsidRPr="00E213BA">
        <w:rPr>
          <w:i/>
          <w:lang w:val="en-GB"/>
        </w:rPr>
        <w:t>inter alia</w:t>
      </w:r>
      <w:r w:rsidRPr="00E213BA">
        <w:rPr>
          <w:lang w:val="en-GB"/>
        </w:rPr>
        <w:t>, the decision of 5</w:t>
      </w:r>
      <w:r w:rsidR="005D5624">
        <w:rPr>
          <w:lang w:val="en-GB"/>
        </w:rPr>
        <w:t> </w:t>
      </w:r>
      <w:r w:rsidRPr="00E213BA">
        <w:rPr>
          <w:lang w:val="en-GB"/>
        </w:rPr>
        <w:t>December</w:t>
      </w:r>
      <w:r w:rsidR="005D5624">
        <w:rPr>
          <w:lang w:val="en-GB"/>
        </w:rPr>
        <w:t> </w:t>
      </w:r>
      <w:r w:rsidRPr="00E213BA">
        <w:rPr>
          <w:lang w:val="en-GB"/>
        </w:rPr>
        <w:t>2012</w:t>
      </w:r>
      <w:r w:rsidRPr="00E213BA" w:rsidR="006A6E98">
        <w:rPr>
          <w:lang w:val="en-GB"/>
        </w:rPr>
        <w:t xml:space="preserve"> </w:t>
      </w:r>
      <w:r w:rsidRPr="00E213BA">
        <w:rPr>
          <w:lang w:val="en-GB"/>
        </w:rPr>
        <w:t xml:space="preserve">in the present case, where the applicants were </w:t>
      </w:r>
      <w:r w:rsidRPr="00E213BA" w:rsidR="00BD4588">
        <w:rPr>
          <w:lang w:val="en-GB"/>
        </w:rPr>
        <w:t>given</w:t>
      </w:r>
      <w:r w:rsidRPr="00E213BA">
        <w:rPr>
          <w:lang w:val="en-GB"/>
        </w:rPr>
        <w:t xml:space="preserve"> no redress capable of placing them in the same situation as reservists who had benefitted from the Agreement. While it was true that the applicants had not relied on Article 21 of the Constitution in their appeal, the Constitutional Court could have examined the discrimination issue since there was information </w:t>
      </w:r>
      <w:r w:rsidRPr="00E213BA" w:rsidR="00580A27">
        <w:rPr>
          <w:lang w:val="en-GB"/>
        </w:rPr>
        <w:t xml:space="preserve">relevant </w:t>
      </w:r>
      <w:r w:rsidRPr="00E213BA">
        <w:rPr>
          <w:lang w:val="en-GB"/>
        </w:rPr>
        <w:t xml:space="preserve">to </w:t>
      </w:r>
      <w:r w:rsidRPr="00E213BA" w:rsidR="00580A27">
        <w:rPr>
          <w:lang w:val="en-GB"/>
        </w:rPr>
        <w:t>it</w:t>
      </w:r>
      <w:r w:rsidRPr="00E213BA">
        <w:rPr>
          <w:lang w:val="en-GB"/>
        </w:rPr>
        <w:t xml:space="preserve"> in the case</w:t>
      </w:r>
      <w:r w:rsidRPr="00E213BA" w:rsidR="00BD4588">
        <w:rPr>
          <w:lang w:val="en-GB"/>
        </w:rPr>
        <w:t xml:space="preserve"> </w:t>
      </w:r>
      <w:r w:rsidRPr="00E213BA">
        <w:rPr>
          <w:lang w:val="en-GB"/>
        </w:rPr>
        <w:t>file (in support of this argument the applicants referred to the Constitutional Court</w:t>
      </w:r>
      <w:r w:rsidR="001F25A4">
        <w:rPr>
          <w:lang w:val="en-GB"/>
        </w:rPr>
        <w:t>’</w:t>
      </w:r>
      <w:r w:rsidRPr="00E213BA">
        <w:rPr>
          <w:lang w:val="en-GB"/>
        </w:rPr>
        <w:t xml:space="preserve">s decision </w:t>
      </w:r>
      <w:proofErr w:type="spellStart"/>
      <w:r w:rsidRPr="00E213BA">
        <w:rPr>
          <w:lang w:val="en-GB"/>
        </w:rPr>
        <w:t>Už</w:t>
      </w:r>
      <w:proofErr w:type="spellEnd"/>
      <w:r w:rsidRPr="00E213BA">
        <w:rPr>
          <w:lang w:val="en-GB"/>
        </w:rPr>
        <w:t>. no. 2156</w:t>
      </w:r>
      <w:r w:rsidRPr="003B61ED" w:rsidR="003B61ED">
        <w:t>∕</w:t>
      </w:r>
      <w:r w:rsidRPr="00E213BA">
        <w:rPr>
          <w:lang w:val="en-GB"/>
        </w:rPr>
        <w:t>11; see paragraph 23 above). In other cases, however, where reservists had specifically raised the issue of discrimination stemming from the Agreement and relied on Article</w:t>
      </w:r>
      <w:r w:rsidRPr="00E213BA" w:rsidR="00ED20BC">
        <w:rPr>
          <w:lang w:val="en-GB"/>
        </w:rPr>
        <w:t> </w:t>
      </w:r>
      <w:r w:rsidRPr="00E213BA">
        <w:rPr>
          <w:lang w:val="en-GB"/>
        </w:rPr>
        <w:t xml:space="preserve">21 of the Constitution in so doing, the Constitutional Court had done the opposite and felt no obligation to even consider it (see, </w:t>
      </w:r>
      <w:r w:rsidRPr="00E213BA">
        <w:rPr>
          <w:lang w:val="en-GB"/>
        </w:rPr>
        <w:lastRenderedPageBreak/>
        <w:t xml:space="preserve">for example, </w:t>
      </w:r>
      <w:proofErr w:type="spellStart"/>
      <w:r w:rsidRPr="00E213BA">
        <w:rPr>
          <w:lang w:val="en-GB"/>
        </w:rPr>
        <w:t>Už</w:t>
      </w:r>
      <w:proofErr w:type="spellEnd"/>
      <w:r w:rsidRPr="00E213BA">
        <w:rPr>
          <w:lang w:val="en-GB"/>
        </w:rPr>
        <w:t>. 43</w:t>
      </w:r>
      <w:r w:rsidRPr="003B61ED" w:rsidR="003B61ED">
        <w:t>∕</w:t>
      </w:r>
      <w:r w:rsidRPr="00E213BA">
        <w:rPr>
          <w:lang w:val="en-GB"/>
        </w:rPr>
        <w:t xml:space="preserve">11 described at paragraph 39 above). The reasoning in all decisions concerning cases </w:t>
      </w:r>
      <w:r w:rsidRPr="00E213BA" w:rsidR="00BD4588">
        <w:rPr>
          <w:lang w:val="en-GB"/>
        </w:rPr>
        <w:t>like</w:t>
      </w:r>
      <w:r w:rsidRPr="00E213BA">
        <w:rPr>
          <w:lang w:val="en-GB"/>
        </w:rPr>
        <w:t xml:space="preserve"> the applicants</w:t>
      </w:r>
      <w:r w:rsidR="001F25A4">
        <w:rPr>
          <w:lang w:val="en-GB"/>
        </w:rPr>
        <w:t>’</w:t>
      </w:r>
      <w:r w:rsidRPr="00E213BA">
        <w:rPr>
          <w:lang w:val="en-GB"/>
        </w:rPr>
        <w:t xml:space="preserve"> had been practically identical and had consisted of ready-made formulas. In some cases though, the Constitutional Court had found that there had been differential treatment in breach of the Constitution based on the judicial inconsistency aspect of the case, but had merely ordered the publication of its decisions in the Official Gazette of the Republic of </w:t>
      </w:r>
      <w:bookmarkStart w:name="File11" w:id="10"/>
      <w:r w:rsidRPr="00E213BA">
        <w:rPr>
          <w:lang w:val="en-GB"/>
        </w:rPr>
        <w:t>Serbia</w:t>
      </w:r>
      <w:bookmarkEnd w:id="10"/>
      <w:r w:rsidRPr="00E213BA">
        <w:rPr>
          <w:lang w:val="en-GB"/>
        </w:rPr>
        <w:t xml:space="preserve"> as a form of compensation.</w:t>
      </w:r>
    </w:p>
    <w:p w:rsidRPr="00E213BA" w:rsidR="0022762A" w:rsidP="00420A26" w:rsidRDefault="00603BD6">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66</w:t>
      </w:r>
      <w:r w:rsidRPr="00E213BA">
        <w:rPr>
          <w:lang w:val="en-GB"/>
        </w:rPr>
        <w:fldChar w:fldCharType="end"/>
      </w:r>
      <w:r w:rsidRPr="00E213BA">
        <w:rPr>
          <w:lang w:val="en-GB"/>
        </w:rPr>
        <w:t>.  </w:t>
      </w:r>
      <w:r w:rsidRPr="00E213BA" w:rsidR="0022762A">
        <w:rPr>
          <w:lang w:val="en-GB"/>
        </w:rPr>
        <w:t xml:space="preserve">In view of the above, there could be no doubt that the constitutional appeal was a purely theoretical remedy, given the overall legal and political context </w:t>
      </w:r>
      <w:r w:rsidRPr="00E213BA" w:rsidR="00DA60F0">
        <w:rPr>
          <w:lang w:val="en-GB"/>
        </w:rPr>
        <w:t>and</w:t>
      </w:r>
      <w:r w:rsidRPr="00E213BA" w:rsidR="0022762A">
        <w:rPr>
          <w:lang w:val="en-GB"/>
        </w:rPr>
        <w:t xml:space="preserve"> the situation of the reservists in particular (see paragraphs 30</w:t>
      </w:r>
      <w:r w:rsidRPr="00E213BA" w:rsidR="007F5AD8">
        <w:rPr>
          <w:lang w:val="en-GB"/>
        </w:rPr>
        <w:t xml:space="preserve"> and </w:t>
      </w:r>
      <w:r w:rsidRPr="00E213BA" w:rsidR="0022762A">
        <w:rPr>
          <w:lang w:val="en-GB"/>
        </w:rPr>
        <w:t>32 of the Chamber</w:t>
      </w:r>
      <w:r w:rsidR="001F25A4">
        <w:rPr>
          <w:lang w:val="en-GB"/>
        </w:rPr>
        <w:t>’</w:t>
      </w:r>
      <w:r w:rsidRPr="00E213BA" w:rsidR="0022762A">
        <w:rPr>
          <w:lang w:val="en-GB"/>
        </w:rPr>
        <w:t xml:space="preserve">s judgment, </w:t>
      </w:r>
      <w:r w:rsidRPr="00E213BA" w:rsidR="00DA60F0">
        <w:rPr>
          <w:lang w:val="en-GB"/>
        </w:rPr>
        <w:t>and also</w:t>
      </w:r>
      <w:r w:rsidRPr="00E213BA" w:rsidR="0022762A">
        <w:rPr>
          <w:lang w:val="en-GB"/>
        </w:rPr>
        <w:t xml:space="preserve"> the Constitutional Court</w:t>
      </w:r>
      <w:r w:rsidR="001F25A4">
        <w:rPr>
          <w:lang w:val="en-GB"/>
        </w:rPr>
        <w:t>’</w:t>
      </w:r>
      <w:r w:rsidRPr="00E213BA" w:rsidR="0022762A">
        <w:rPr>
          <w:lang w:val="en-GB"/>
        </w:rPr>
        <w:t xml:space="preserve">s decisions </w:t>
      </w:r>
      <w:proofErr w:type="spellStart"/>
      <w:r w:rsidRPr="00E213BA" w:rsidR="0022762A">
        <w:rPr>
          <w:lang w:val="en-GB"/>
        </w:rPr>
        <w:t>Už</w:t>
      </w:r>
      <w:proofErr w:type="spellEnd"/>
      <w:r w:rsidRPr="00E213BA" w:rsidR="0022762A">
        <w:rPr>
          <w:lang w:val="en-GB"/>
        </w:rPr>
        <w:t>. nos. 2156</w:t>
      </w:r>
      <w:r w:rsidRPr="003B61ED" w:rsidR="003B61ED">
        <w:t>∕</w:t>
      </w:r>
      <w:r w:rsidRPr="00E213BA" w:rsidR="0022762A">
        <w:rPr>
          <w:lang w:val="en-GB"/>
        </w:rPr>
        <w:t>11, 43</w:t>
      </w:r>
      <w:r w:rsidRPr="003B61ED" w:rsidR="003B61ED">
        <w:t>∕</w:t>
      </w:r>
      <w:r w:rsidRPr="00E213BA" w:rsidR="0022762A">
        <w:rPr>
          <w:lang w:val="en-GB"/>
        </w:rPr>
        <w:t>11, 2886</w:t>
      </w:r>
      <w:r w:rsidRPr="003B61ED" w:rsidR="003B61ED">
        <w:t>∕</w:t>
      </w:r>
      <w:r w:rsidRPr="00E213BA" w:rsidR="0022762A">
        <w:rPr>
          <w:lang w:val="en-GB"/>
        </w:rPr>
        <w:t>10, 649</w:t>
      </w:r>
      <w:r w:rsidRPr="003B61ED" w:rsidR="003B61ED">
        <w:t>∕</w:t>
      </w:r>
      <w:r w:rsidRPr="00E213BA" w:rsidR="0022762A">
        <w:rPr>
          <w:lang w:val="en-GB"/>
        </w:rPr>
        <w:t>11 and 2021</w:t>
      </w:r>
      <w:r w:rsidRPr="003B61ED" w:rsidR="003B61ED">
        <w:t>∕</w:t>
      </w:r>
      <w:r w:rsidRPr="00E213BA" w:rsidR="0022762A">
        <w:rPr>
          <w:lang w:val="en-GB"/>
        </w:rPr>
        <w:t>11</w:t>
      </w:r>
      <w:r w:rsidRPr="00E213BA" w:rsidR="00ED20BC">
        <w:rPr>
          <w:lang w:val="en-GB"/>
        </w:rPr>
        <w:t>,</w:t>
      </w:r>
      <w:r w:rsidRPr="00E213BA" w:rsidR="0022762A">
        <w:rPr>
          <w:lang w:val="en-GB"/>
        </w:rPr>
        <w:t xml:space="preserve"> referred to in paragraphs 23, 38 and 39 above).</w:t>
      </w:r>
    </w:p>
    <w:p w:rsidRPr="00E213BA" w:rsidR="0022762A" w:rsidP="00420A26" w:rsidRDefault="0022762A">
      <w:pPr>
        <w:pStyle w:val="ECHRHeading3"/>
      </w:pPr>
      <w:r w:rsidRPr="00E213BA">
        <w:t>3.  The Chamber</w:t>
      </w:r>
      <w:r w:rsidR="001F25A4">
        <w:t>’</w:t>
      </w:r>
      <w:r w:rsidRPr="00E213BA">
        <w:t xml:space="preserve">s </w:t>
      </w:r>
      <w:r w:rsidRPr="00E213BA" w:rsidR="002C41EA">
        <w:t>ruling</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67</w:t>
      </w:r>
      <w:r w:rsidRPr="00E213BA">
        <w:rPr>
          <w:lang w:val="en-GB"/>
        </w:rPr>
        <w:fldChar w:fldCharType="end"/>
      </w:r>
      <w:r w:rsidR="00483959">
        <w:rPr>
          <w:lang w:val="en-GB"/>
        </w:rPr>
        <w:t>.  </w:t>
      </w:r>
      <w:r w:rsidRPr="00E213BA">
        <w:rPr>
          <w:lang w:val="en-GB"/>
        </w:rPr>
        <w:t xml:space="preserve">The Chamber noted, </w:t>
      </w:r>
      <w:r w:rsidRPr="00E213BA">
        <w:rPr>
          <w:i/>
          <w:lang w:val="en-GB"/>
        </w:rPr>
        <w:t>inter alia</w:t>
      </w:r>
      <w:r w:rsidRPr="00E213BA">
        <w:rPr>
          <w:lang w:val="en-GB"/>
        </w:rPr>
        <w:t xml:space="preserve">, that discrimination complaints </w:t>
      </w:r>
      <w:r w:rsidRPr="00E213BA" w:rsidR="00A576AC">
        <w:rPr>
          <w:lang w:val="en-GB"/>
        </w:rPr>
        <w:t>similar to</w:t>
      </w:r>
      <w:r w:rsidRPr="00E213BA">
        <w:rPr>
          <w:lang w:val="en-GB"/>
        </w:rPr>
        <w:t xml:space="preserve"> the applicants</w:t>
      </w:r>
      <w:r w:rsidR="001F25A4">
        <w:rPr>
          <w:lang w:val="en-GB"/>
        </w:rPr>
        <w:t>’</w:t>
      </w:r>
      <w:r w:rsidRPr="00E213BA">
        <w:rPr>
          <w:lang w:val="en-GB"/>
        </w:rPr>
        <w:t xml:space="preserve"> </w:t>
      </w:r>
      <w:r w:rsidRPr="00E213BA" w:rsidR="00A427B2">
        <w:rPr>
          <w:lang w:val="en-GB"/>
        </w:rPr>
        <w:t xml:space="preserve">had been </w:t>
      </w:r>
      <w:r w:rsidRPr="00E213BA">
        <w:rPr>
          <w:lang w:val="en-GB"/>
        </w:rPr>
        <w:t>mad</w:t>
      </w:r>
      <w:r w:rsidR="002F0C60">
        <w:rPr>
          <w:lang w:val="en-GB"/>
        </w:rPr>
        <w:t xml:space="preserve">e by the appellants in case </w:t>
      </w:r>
      <w:proofErr w:type="spellStart"/>
      <w:r w:rsidR="002F0C60">
        <w:rPr>
          <w:lang w:val="en-GB"/>
        </w:rPr>
        <w:t>Už</w:t>
      </w:r>
      <w:proofErr w:type="spellEnd"/>
      <w:r w:rsidR="002F0C60">
        <w:rPr>
          <w:lang w:val="en-GB"/>
        </w:rPr>
        <w:t>. </w:t>
      </w:r>
      <w:r w:rsidRPr="00E213BA">
        <w:rPr>
          <w:lang w:val="en-GB"/>
        </w:rPr>
        <w:t>2901</w:t>
      </w:r>
      <w:r w:rsidRPr="003B61ED" w:rsidR="003B61ED">
        <w:t>∕</w:t>
      </w:r>
      <w:r w:rsidRPr="00E213BA">
        <w:rPr>
          <w:lang w:val="en-GB"/>
        </w:rPr>
        <w:t xml:space="preserve">10, but that on 17 February 2011 the Constitutional Court </w:t>
      </w:r>
      <w:r w:rsidRPr="00E213BA" w:rsidR="00A427B2">
        <w:rPr>
          <w:lang w:val="en-GB"/>
        </w:rPr>
        <w:t xml:space="preserve">had </w:t>
      </w:r>
      <w:r w:rsidRPr="00E213BA">
        <w:rPr>
          <w:lang w:val="en-GB"/>
        </w:rPr>
        <w:t xml:space="preserve">effectively ignored them, offering no substantive assessment of the issue </w:t>
      </w:r>
      <w:proofErr w:type="gramStart"/>
      <w:r w:rsidRPr="00E213BA">
        <w:rPr>
          <w:lang w:val="en-GB"/>
        </w:rPr>
        <w:t>whatsoever</w:t>
      </w:r>
      <w:proofErr w:type="gramEnd"/>
      <w:r w:rsidRPr="00E213BA">
        <w:rPr>
          <w:lang w:val="en-GB"/>
        </w:rPr>
        <w:t xml:space="preserve"> (see paragraph 37 above). Indeed, in their observations before the Chamber </w:t>
      </w:r>
      <w:r w:rsidRPr="00E213BA" w:rsidR="00E8651E">
        <w:rPr>
          <w:lang w:val="en-GB"/>
        </w:rPr>
        <w:t xml:space="preserve">the Government </w:t>
      </w:r>
      <w:r w:rsidRPr="00E213BA">
        <w:rPr>
          <w:lang w:val="en-GB"/>
        </w:rPr>
        <w:t xml:space="preserve">admitted as much, but maintained that there was no evidence that the appellants in </w:t>
      </w:r>
      <w:r w:rsidRPr="00E213BA" w:rsidR="00A427B2">
        <w:rPr>
          <w:lang w:val="en-GB"/>
        </w:rPr>
        <w:t xml:space="preserve">that </w:t>
      </w:r>
      <w:r w:rsidRPr="00E213BA">
        <w:rPr>
          <w:lang w:val="en-GB"/>
        </w:rPr>
        <w:t xml:space="preserve">case had ever sought to conclude an agreement </w:t>
      </w:r>
      <w:r w:rsidRPr="00E213BA" w:rsidR="00A427B2">
        <w:rPr>
          <w:lang w:val="en-GB"/>
        </w:rPr>
        <w:t>like that</w:t>
      </w:r>
      <w:r w:rsidRPr="00E213BA">
        <w:rPr>
          <w:lang w:val="en-GB"/>
        </w:rPr>
        <w:t xml:space="preserve"> of 11 January 2008. However, </w:t>
      </w:r>
      <w:r w:rsidRPr="00E213BA" w:rsidR="007878A2">
        <w:rPr>
          <w:lang w:val="en-GB"/>
        </w:rPr>
        <w:t xml:space="preserve">the Chamber found that </w:t>
      </w:r>
      <w:r w:rsidRPr="00E213BA">
        <w:rPr>
          <w:lang w:val="en-GB"/>
        </w:rPr>
        <w:t xml:space="preserve">this assertion, even assuming it </w:t>
      </w:r>
      <w:r w:rsidRPr="00E213BA" w:rsidR="006B4A2A">
        <w:rPr>
          <w:lang w:val="en-GB"/>
        </w:rPr>
        <w:t xml:space="preserve">was </w:t>
      </w:r>
      <w:r w:rsidRPr="00E213BA">
        <w:rPr>
          <w:lang w:val="en-GB"/>
        </w:rPr>
        <w:t xml:space="preserve">relevant to the present applicants, was not borne out by the facts since there had been extensive negotiations between the Government and the reservists in general, albeit to no avail, on extending the principles accepted on </w:t>
      </w:r>
      <w:r w:rsidRPr="00E213BA" w:rsidR="00705392">
        <w:rPr>
          <w:lang w:val="en-GB"/>
        </w:rPr>
        <w:t>11 </w:t>
      </w:r>
      <w:r w:rsidRPr="00E213BA">
        <w:rPr>
          <w:lang w:val="en-GB"/>
        </w:rPr>
        <w:t xml:space="preserve">January 2008 to everyone else, and the applicants personally had clearly shown their adherence to this position by bringing their own civil case on </w:t>
      </w:r>
      <w:r w:rsidRPr="00E213BA" w:rsidR="00705392">
        <w:rPr>
          <w:lang w:val="en-GB"/>
        </w:rPr>
        <w:t>26 </w:t>
      </w:r>
      <w:r w:rsidRPr="00E213BA">
        <w:rPr>
          <w:lang w:val="en-GB"/>
        </w:rPr>
        <w:t>March 2009.</w:t>
      </w:r>
    </w:p>
    <w:p w:rsidRPr="00E213BA" w:rsidR="0022762A" w:rsidP="00420A26"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68</w:t>
      </w:r>
      <w:r w:rsidRPr="00E213BA">
        <w:rPr>
          <w:lang w:val="en-GB"/>
        </w:rPr>
        <w:fldChar w:fldCharType="end"/>
      </w:r>
      <w:r w:rsidR="00483959">
        <w:rPr>
          <w:lang w:val="en-GB"/>
        </w:rPr>
        <w:t>.  </w:t>
      </w:r>
      <w:r w:rsidRPr="00E213BA">
        <w:rPr>
          <w:lang w:val="en-GB"/>
        </w:rPr>
        <w:t xml:space="preserve">In such circumstances, the Chamber deemed it clear that notwithstanding the fact that “a constitutional appeal should, in principle, be considered as an effective domestic remedy within the meaning of Article 35 § 1 of the Convention in respect of all applications introduced [against </w:t>
      </w:r>
      <w:bookmarkStart w:name="File12" w:id="11"/>
      <w:r w:rsidRPr="00E213BA">
        <w:rPr>
          <w:lang w:val="en-GB"/>
        </w:rPr>
        <w:t>Serbia</w:t>
      </w:r>
      <w:bookmarkEnd w:id="11"/>
      <w:r w:rsidRPr="00E213BA">
        <w:rPr>
          <w:lang w:val="en-GB"/>
        </w:rPr>
        <w:t xml:space="preserve">] as of 7 August 2008” (see </w:t>
      </w:r>
      <w:proofErr w:type="spellStart"/>
      <w:r w:rsidRPr="00E213BA">
        <w:rPr>
          <w:i/>
          <w:lang w:val="en-GB"/>
        </w:rPr>
        <w:t>Vinčić</w:t>
      </w:r>
      <w:proofErr w:type="spellEnd"/>
      <w:r w:rsidRPr="00E213BA">
        <w:rPr>
          <w:lang w:val="en-GB"/>
        </w:rPr>
        <w:t>, cited above, § 51), this particular avenue of redress could not be</w:t>
      </w:r>
      <w:r w:rsidRPr="00E213BA" w:rsidR="00000189">
        <w:rPr>
          <w:lang w:val="en-GB"/>
        </w:rPr>
        <w:t xml:space="preserve"> considered </w:t>
      </w:r>
      <w:r w:rsidRPr="00E213BA">
        <w:rPr>
          <w:lang w:val="en-GB"/>
        </w:rPr>
        <w:t>effective as regards cases involving complaints such as the ones put forth by the applicants.</w:t>
      </w:r>
    </w:p>
    <w:p w:rsidRPr="00E213BA" w:rsidR="0022762A" w:rsidP="00420A26" w:rsidRDefault="0022762A">
      <w:pPr>
        <w:pStyle w:val="ECHRHeading3"/>
      </w:pPr>
      <w:r w:rsidRPr="00E213BA">
        <w:t>4.  The Court</w:t>
      </w:r>
      <w:r w:rsidR="001F25A4">
        <w:t>’</w:t>
      </w:r>
      <w:r w:rsidRPr="00E213BA">
        <w:t>s assessment</w:t>
      </w:r>
    </w:p>
    <w:p w:rsidRPr="00E213BA" w:rsidR="0022762A" w:rsidP="00420A26" w:rsidRDefault="0022762A">
      <w:pPr>
        <w:pStyle w:val="ECHRHeading4"/>
      </w:pPr>
      <w:r w:rsidRPr="00E213BA">
        <w:t>(a)  General principles of the Court</w:t>
      </w:r>
      <w:r w:rsidR="001F25A4">
        <w:t>’</w:t>
      </w:r>
      <w:r w:rsidRPr="00E213BA">
        <w:t>s case-law</w:t>
      </w:r>
    </w:p>
    <w:p w:rsidR="001753CB"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69</w:t>
      </w:r>
      <w:r w:rsidRPr="00E213BA">
        <w:rPr>
          <w:lang w:val="en-GB"/>
        </w:rPr>
        <w:fldChar w:fldCharType="end"/>
      </w:r>
      <w:r w:rsidRPr="00E213BA">
        <w:rPr>
          <w:lang w:val="en-GB"/>
        </w:rPr>
        <w:t xml:space="preserve">.  It is </w:t>
      </w:r>
      <w:r w:rsidRPr="00E213BA" w:rsidR="00222FC8">
        <w:rPr>
          <w:lang w:val="en-GB"/>
        </w:rPr>
        <w:t xml:space="preserve">a </w:t>
      </w:r>
      <w:r w:rsidRPr="00E213BA" w:rsidR="00B6439C">
        <w:rPr>
          <w:lang w:val="en-GB"/>
        </w:rPr>
        <w:t>fundamental</w:t>
      </w:r>
      <w:r w:rsidRPr="00E213BA" w:rsidR="00222FC8">
        <w:rPr>
          <w:lang w:val="en-GB"/>
        </w:rPr>
        <w:t xml:space="preserve"> feature of the </w:t>
      </w:r>
      <w:r w:rsidRPr="00E213BA">
        <w:rPr>
          <w:lang w:val="en-GB"/>
        </w:rPr>
        <w:t>machinery of protection established by the Convention</w:t>
      </w:r>
      <w:r w:rsidRPr="00E213BA" w:rsidR="00222FC8">
        <w:rPr>
          <w:lang w:val="en-GB"/>
        </w:rPr>
        <w:t xml:space="preserve"> that it is </w:t>
      </w:r>
      <w:r w:rsidRPr="00E213BA">
        <w:rPr>
          <w:lang w:val="en-GB"/>
        </w:rPr>
        <w:t xml:space="preserve">subsidiary to the national systems safeguarding human rights. This Court is concerned with the supervision of the implementation by Contracting States of their obligations under the </w:t>
      </w:r>
      <w:r w:rsidRPr="00E213BA">
        <w:rPr>
          <w:lang w:val="en-GB"/>
        </w:rPr>
        <w:lastRenderedPageBreak/>
        <w:t xml:space="preserve">Convention. It should not </w:t>
      </w:r>
      <w:r w:rsidRPr="00E213BA" w:rsidR="007878A2">
        <w:rPr>
          <w:lang w:val="en-GB"/>
        </w:rPr>
        <w:t xml:space="preserve">take on </w:t>
      </w:r>
      <w:r w:rsidRPr="00E213BA">
        <w:rPr>
          <w:lang w:val="en-GB"/>
        </w:rPr>
        <w:t>the role of Contracting States</w:t>
      </w:r>
      <w:r w:rsidRPr="00E213BA" w:rsidR="00931DF7">
        <w:rPr>
          <w:lang w:val="en-GB"/>
        </w:rPr>
        <w:t>,</w:t>
      </w:r>
      <w:r w:rsidRPr="00E213BA">
        <w:rPr>
          <w:lang w:val="en-GB"/>
        </w:rPr>
        <w:t xml:space="preserve"> whose responsibility it is to ensure that the fundamental rights and freedoms enshrined therein are respected and protected on a domestic level. The rule of exhaustion of domestic remedies is based on the assumption</w:t>
      </w:r>
      <w:r w:rsidRPr="00E213BA" w:rsidR="00931DF7">
        <w:rPr>
          <w:lang w:val="en-GB"/>
        </w:rPr>
        <w:t xml:space="preserve"> –</w:t>
      </w:r>
      <w:r w:rsidRPr="00E213BA">
        <w:rPr>
          <w:lang w:val="en-GB"/>
        </w:rPr>
        <w:t xml:space="preserve"> reflected in Article 13 of the Convention</w:t>
      </w:r>
      <w:r w:rsidRPr="00E213BA" w:rsidR="00931DF7">
        <w:rPr>
          <w:lang w:val="en-GB"/>
        </w:rPr>
        <w:t>,</w:t>
      </w:r>
      <w:r w:rsidRPr="00E213BA">
        <w:rPr>
          <w:lang w:val="en-GB"/>
        </w:rPr>
        <w:t xml:space="preserve"> with which it has close affinity</w:t>
      </w:r>
      <w:r w:rsidRPr="00E213BA" w:rsidR="00931DF7">
        <w:rPr>
          <w:lang w:val="en-GB"/>
        </w:rPr>
        <w:t xml:space="preserve"> –</w:t>
      </w:r>
      <w:r w:rsidRPr="00E213BA">
        <w:rPr>
          <w:lang w:val="en-GB"/>
        </w:rPr>
        <w:t xml:space="preserve"> that there is an effective remedy available in respect of the alleged violation. The rule is therefore an indispensable part of the functioning of this system of protection.</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70</w:t>
      </w:r>
      <w:r w:rsidRPr="00E213BA">
        <w:rPr>
          <w:lang w:val="en-GB"/>
        </w:rPr>
        <w:fldChar w:fldCharType="end"/>
      </w:r>
      <w:r w:rsidRPr="00E213BA">
        <w:rPr>
          <w:lang w:val="en-GB"/>
        </w:rPr>
        <w:t>.  States are dispensed from answering before an international body for their acts before they have had an opportunity to put matters right through their own legal system</w:t>
      </w:r>
      <w:r w:rsidRPr="00E213BA" w:rsidR="00112B74">
        <w:rPr>
          <w:lang w:val="en-GB"/>
        </w:rPr>
        <w:t>,</w:t>
      </w:r>
      <w:r w:rsidRPr="00E213BA">
        <w:rPr>
          <w:lang w:val="en-GB"/>
        </w:rPr>
        <w:t xml:space="preserve"> and those who wish to invoke the supervisory jurisdiction of the Court as concerns complaints against a State are thus obliged to use first the remedies provided by the national legal system (see, among many authorities, </w:t>
      </w:r>
      <w:proofErr w:type="spellStart"/>
      <w:r w:rsidRPr="00E213BA">
        <w:rPr>
          <w:i/>
          <w:lang w:val="en-GB"/>
        </w:rPr>
        <w:t>Akdivar</w:t>
      </w:r>
      <w:proofErr w:type="spellEnd"/>
      <w:r w:rsidRPr="00E213BA">
        <w:rPr>
          <w:i/>
          <w:lang w:val="en-GB"/>
        </w:rPr>
        <w:t xml:space="preserve"> and Others v. Turkey</w:t>
      </w:r>
      <w:r w:rsidRPr="00E213BA">
        <w:rPr>
          <w:lang w:val="en-GB"/>
        </w:rPr>
        <w:t xml:space="preserve">, 16 September 1996, § 65, </w:t>
      </w:r>
      <w:r w:rsidRPr="00E213BA">
        <w:rPr>
          <w:i/>
          <w:lang w:val="en-GB"/>
        </w:rPr>
        <w:t xml:space="preserve">Reports </w:t>
      </w:r>
      <w:r w:rsidRPr="00E213BA">
        <w:rPr>
          <w:lang w:val="en-GB"/>
        </w:rPr>
        <w:t>1996</w:t>
      </w:r>
      <w:r w:rsidRPr="00E213BA">
        <w:rPr>
          <w:lang w:val="en-GB"/>
        </w:rPr>
        <w:noBreakHyphen/>
        <w:t xml:space="preserve">IV). It should be emphasised that the Court is not a court of first instance; it does not have the capacity, nor is it appropriate to its function as an international court, to adjudicate on large numbers of cases which require the finding of basic facts or the calculation of monetary compensation – both of which should, as a matter of principle and effective practice, be the domain of domestic jurisdictions (see </w:t>
      </w:r>
      <w:r w:rsidRPr="00E213BA">
        <w:rPr>
          <w:i/>
          <w:snapToGrid w:val="0"/>
          <w:lang w:val="en-GB"/>
        </w:rPr>
        <w:t xml:space="preserve">Demopoulos and Others v. Turkey </w:t>
      </w:r>
      <w:r w:rsidRPr="00E213BA">
        <w:rPr>
          <w:snapToGrid w:val="0"/>
          <w:lang w:val="en-GB"/>
        </w:rPr>
        <w:t>(dec.) [GC], nos. 46113/99, 3843/02, 13751/02, 13466/03, 10200/04, 14163/04, 19993/04 and 21819/04</w:t>
      </w:r>
      <w:r w:rsidRPr="00E213BA">
        <w:rPr>
          <w:lang w:val="en-GB"/>
        </w:rPr>
        <w:t xml:space="preserve">, § 69, ECHR 2010, where the Court in addition quoted the comprehensive statement of principles set out in §§ 66 to 69 of the </w:t>
      </w:r>
      <w:proofErr w:type="spellStart"/>
      <w:r w:rsidRPr="00E213BA">
        <w:rPr>
          <w:i/>
          <w:lang w:val="en-GB"/>
        </w:rPr>
        <w:t>Akdivar</w:t>
      </w:r>
      <w:proofErr w:type="spellEnd"/>
      <w:r w:rsidRPr="00E213BA">
        <w:rPr>
          <w:lang w:val="en-GB"/>
        </w:rPr>
        <w:t xml:space="preserve"> </w:t>
      </w:r>
      <w:r w:rsidRPr="00E213BA">
        <w:rPr>
          <w:i/>
          <w:lang w:val="en-GB"/>
        </w:rPr>
        <w:t>and Ot</w:t>
      </w:r>
      <w:r w:rsidRPr="00E213BA" w:rsidR="000F2DD3">
        <w:rPr>
          <w:i/>
          <w:lang w:val="en-GB"/>
        </w:rPr>
        <w:t xml:space="preserve">hers </w:t>
      </w:r>
      <w:r w:rsidRPr="00E213BA">
        <w:rPr>
          <w:lang w:val="en-GB"/>
        </w:rPr>
        <w:t>judgment, which in so far as relevant are reiterated here below).</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71</w:t>
      </w:r>
      <w:r w:rsidRPr="00E213BA">
        <w:rPr>
          <w:lang w:val="en-GB"/>
        </w:rPr>
        <w:fldChar w:fldCharType="end"/>
      </w:r>
      <w:r w:rsidRPr="00E213BA">
        <w:rPr>
          <w:lang w:val="en-GB"/>
        </w:rPr>
        <w:t xml:space="preserve">.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proofErr w:type="spellStart"/>
      <w:r w:rsidRPr="00E213BA">
        <w:rPr>
          <w:i/>
          <w:lang w:val="en-GB"/>
        </w:rPr>
        <w:t>Akdivar</w:t>
      </w:r>
      <w:proofErr w:type="spellEnd"/>
      <w:r w:rsidRPr="00E213BA">
        <w:rPr>
          <w:i/>
          <w:lang w:val="en-GB"/>
        </w:rPr>
        <w:t xml:space="preserve"> and Others</w:t>
      </w:r>
      <w:r w:rsidRPr="00E213BA">
        <w:rPr>
          <w:lang w:val="en-GB"/>
        </w:rPr>
        <w:t>, cited above, § 66).</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72</w:t>
      </w:r>
      <w:r w:rsidRPr="00E213BA">
        <w:rPr>
          <w:lang w:val="en-GB"/>
        </w:rPr>
        <w:fldChar w:fldCharType="end"/>
      </w:r>
      <w:r w:rsidRPr="00E213BA">
        <w:rPr>
          <w:lang w:val="en-GB"/>
        </w:rPr>
        <w:t xml:space="preserve">.  Article 35 § 1 also requires that the complaints intended to be made subsequently </w:t>
      </w:r>
      <w:r w:rsidRPr="00E213BA" w:rsidR="00000189">
        <w:rPr>
          <w:lang w:val="en-GB"/>
        </w:rPr>
        <w:t>in</w:t>
      </w:r>
      <w:r w:rsidRPr="00E213BA">
        <w:rPr>
          <w:lang w:val="en-GB"/>
        </w:rPr>
        <w:t xml:space="preserve"> Strasbourg should have been made to the appropriate domestic body, at least in substance (see, for instance, </w:t>
      </w:r>
      <w:r w:rsidRPr="00E213BA">
        <w:rPr>
          <w:i/>
          <w:lang w:val="en-GB"/>
        </w:rPr>
        <w:t>Castells v. Spain</w:t>
      </w:r>
      <w:r w:rsidRPr="00E213BA">
        <w:rPr>
          <w:lang w:val="en-GB"/>
        </w:rPr>
        <w:t xml:space="preserve">, </w:t>
      </w:r>
      <w:r w:rsidRPr="00E213BA" w:rsidR="008A6499">
        <w:rPr>
          <w:lang w:val="en-GB"/>
        </w:rPr>
        <w:t>23 </w:t>
      </w:r>
      <w:r w:rsidRPr="00E213BA">
        <w:rPr>
          <w:lang w:val="en-GB"/>
        </w:rPr>
        <w:t>April 1992, § 32, Series A no. 236</w:t>
      </w:r>
      <w:r w:rsidRPr="00E213BA" w:rsidR="001E31C0">
        <w:rPr>
          <w:lang w:val="en-GB"/>
        </w:rPr>
        <w:t>;</w:t>
      </w:r>
      <w:r w:rsidRPr="00E213BA">
        <w:rPr>
          <w:lang w:val="en-GB"/>
        </w:rPr>
        <w:t xml:space="preserve"> </w:t>
      </w:r>
      <w:proofErr w:type="spellStart"/>
      <w:r w:rsidRPr="00E213BA">
        <w:rPr>
          <w:i/>
          <w:lang w:val="en-GB"/>
        </w:rPr>
        <w:t>Gäfgen</w:t>
      </w:r>
      <w:proofErr w:type="spellEnd"/>
      <w:r w:rsidRPr="00E213BA">
        <w:rPr>
          <w:i/>
          <w:lang w:val="en-GB"/>
        </w:rPr>
        <w:t xml:space="preserve"> v. Germany</w:t>
      </w:r>
      <w:r w:rsidR="00840120">
        <w:rPr>
          <w:lang w:val="en-GB"/>
        </w:rPr>
        <w:t xml:space="preserve"> [GC], no. </w:t>
      </w:r>
      <w:r w:rsidRPr="00E213BA">
        <w:rPr>
          <w:lang w:val="en-GB"/>
        </w:rPr>
        <w:t>22978/05, §§ 144 and 146, ECHR 2010</w:t>
      </w:r>
      <w:r w:rsidRPr="00E213BA" w:rsidR="001E31C0">
        <w:rPr>
          <w:lang w:val="en-GB"/>
        </w:rPr>
        <w:t xml:space="preserve">; and </w:t>
      </w:r>
      <w:proofErr w:type="spellStart"/>
      <w:r w:rsidRPr="00E213BA" w:rsidR="001E31C0">
        <w:rPr>
          <w:i/>
        </w:rPr>
        <w:t>Fressoz</w:t>
      </w:r>
      <w:proofErr w:type="spellEnd"/>
      <w:r w:rsidRPr="00E213BA" w:rsidR="001E31C0">
        <w:rPr>
          <w:i/>
        </w:rPr>
        <w:t xml:space="preserve"> and </w:t>
      </w:r>
      <w:proofErr w:type="spellStart"/>
      <w:r w:rsidRPr="00E213BA" w:rsidR="001E31C0">
        <w:rPr>
          <w:i/>
        </w:rPr>
        <w:t>Roire</w:t>
      </w:r>
      <w:proofErr w:type="spellEnd"/>
      <w:r w:rsidRPr="00E213BA" w:rsidR="001E31C0">
        <w:rPr>
          <w:i/>
        </w:rPr>
        <w:t xml:space="preserve"> v. France</w:t>
      </w:r>
      <w:r w:rsidRPr="00E213BA" w:rsidR="001E31C0">
        <w:t xml:space="preserve"> [GC], no. 29183/95, § 37, ECHR 1999</w:t>
      </w:r>
      <w:r w:rsidRPr="00E213BA" w:rsidR="001E31C0">
        <w:noBreakHyphen/>
        <w:t>I</w:t>
      </w:r>
      <w:r w:rsidRPr="00E213BA">
        <w:rPr>
          <w:lang w:val="en-GB"/>
        </w:rPr>
        <w:t>) and in compliance with the formal requirements and time-limits laid down in domestic law and, further, that any procedural means that might prevent a breach of the Convention should have been used (</w:t>
      </w:r>
      <w:proofErr w:type="spellStart"/>
      <w:r w:rsidRPr="00E213BA">
        <w:rPr>
          <w:i/>
          <w:lang w:val="en-GB"/>
        </w:rPr>
        <w:t>Akdivar</w:t>
      </w:r>
      <w:proofErr w:type="spellEnd"/>
      <w:r w:rsidRPr="00E213BA">
        <w:rPr>
          <w:i/>
          <w:lang w:val="en-GB"/>
        </w:rPr>
        <w:t xml:space="preserve"> and Others</w:t>
      </w:r>
      <w:r w:rsidRPr="00E213BA">
        <w:rPr>
          <w:lang w:val="en-GB"/>
        </w:rPr>
        <w:t xml:space="preserve">, cited above, § 66). </w:t>
      </w:r>
      <w:r w:rsidRPr="00E213BA" w:rsidR="00AC3A9B">
        <w:rPr>
          <w:lang w:val="en-GB"/>
        </w:rPr>
        <w:t>W</w:t>
      </w:r>
      <w:r w:rsidRPr="00E213BA">
        <w:rPr>
          <w:lang w:val="en-GB"/>
        </w:rPr>
        <w:t xml:space="preserve">here an applicant has failed to comply with these requirements, his or her application should in principle be declared inadmissible for failure to exhaust domestic remedies (see, for example, </w:t>
      </w:r>
      <w:proofErr w:type="spellStart"/>
      <w:r w:rsidRPr="00E213BA">
        <w:rPr>
          <w:i/>
          <w:lang w:val="en-GB"/>
        </w:rPr>
        <w:t>Cardot</w:t>
      </w:r>
      <w:proofErr w:type="spellEnd"/>
      <w:r w:rsidRPr="00E213BA">
        <w:rPr>
          <w:i/>
          <w:lang w:val="en-GB"/>
        </w:rPr>
        <w:t xml:space="preserve"> v. France</w:t>
      </w:r>
      <w:r w:rsidRPr="00E213BA">
        <w:rPr>
          <w:lang w:val="en-GB"/>
        </w:rPr>
        <w:t xml:space="preserve">, 19 March </w:t>
      </w:r>
      <w:r w:rsidRPr="00E213BA">
        <w:rPr>
          <w:lang w:val="en-GB"/>
        </w:rPr>
        <w:lastRenderedPageBreak/>
        <w:t xml:space="preserve">1991, § 34, Series </w:t>
      </w:r>
      <w:proofErr w:type="gramStart"/>
      <w:r w:rsidRPr="00E213BA">
        <w:rPr>
          <w:lang w:val="en-GB"/>
        </w:rPr>
        <w:t>A</w:t>
      </w:r>
      <w:proofErr w:type="gramEnd"/>
      <w:r w:rsidRPr="00E213BA">
        <w:rPr>
          <w:lang w:val="en-GB"/>
        </w:rPr>
        <w:t xml:space="preserve"> no. 200</w:t>
      </w:r>
      <w:r w:rsidRPr="00E213BA" w:rsidR="008A6499">
        <w:rPr>
          <w:lang w:val="en-GB"/>
        </w:rPr>
        <w:t>,</w:t>
      </w:r>
      <w:r w:rsidRPr="00E213BA">
        <w:rPr>
          <w:lang w:val="en-GB"/>
        </w:rPr>
        <w:t xml:space="preserve"> and </w:t>
      </w:r>
      <w:proofErr w:type="spellStart"/>
      <w:r w:rsidRPr="00E213BA">
        <w:rPr>
          <w:i/>
          <w:lang w:val="en-GB"/>
        </w:rPr>
        <w:t>Thiermann</w:t>
      </w:r>
      <w:proofErr w:type="spellEnd"/>
      <w:r w:rsidRPr="00E213BA">
        <w:rPr>
          <w:i/>
          <w:lang w:val="en-GB"/>
        </w:rPr>
        <w:t xml:space="preserve"> and Others v. Norway</w:t>
      </w:r>
      <w:r w:rsidRPr="00E213BA">
        <w:rPr>
          <w:lang w:val="en-GB"/>
        </w:rPr>
        <w:t xml:space="preserve"> (dec.), no. 18712/03, 8</w:t>
      </w:r>
      <w:r w:rsidRPr="00E213BA" w:rsidR="00AE701F">
        <w:rPr>
          <w:lang w:val="en-GB"/>
        </w:rPr>
        <w:t> </w:t>
      </w:r>
      <w:r w:rsidRPr="00E213BA">
        <w:rPr>
          <w:lang w:val="en-GB"/>
        </w:rPr>
        <w:t>March 2007).</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73</w:t>
      </w:r>
      <w:r w:rsidRPr="00E213BA">
        <w:rPr>
          <w:lang w:val="en-GB"/>
        </w:rPr>
        <w:fldChar w:fldCharType="end"/>
      </w:r>
      <w:r w:rsidRPr="00E213BA">
        <w:rPr>
          <w:lang w:val="en-GB"/>
        </w:rPr>
        <w:t xml:space="preserve">.  However, there is, as indicated above, no obligation to have recourse to remedies which are inadequate or ineffective. In addition, according to the </w:t>
      </w:r>
      <w:r w:rsidRPr="00E213BA" w:rsidR="00000189">
        <w:rPr>
          <w:lang w:val="en-GB"/>
        </w:rPr>
        <w:t>“</w:t>
      </w:r>
      <w:r w:rsidRPr="00E213BA">
        <w:rPr>
          <w:lang w:val="en-GB"/>
        </w:rPr>
        <w:t>generally recognised rules of international law</w:t>
      </w:r>
      <w:r w:rsidRPr="00E213BA" w:rsidR="00000189">
        <w:rPr>
          <w:lang w:val="en-GB"/>
        </w:rPr>
        <w:t>”</w:t>
      </w:r>
      <w:r w:rsidRPr="00E213BA">
        <w:rPr>
          <w:lang w:val="en-GB"/>
        </w:rPr>
        <w:t xml:space="preserve"> there may be special circumstances which absolve the applicant from the obligation to exhaust the domestic remedies at his</w:t>
      </w:r>
      <w:r w:rsidRPr="00E213BA" w:rsidR="00000189">
        <w:rPr>
          <w:lang w:val="en-GB"/>
        </w:rPr>
        <w:t xml:space="preserve"> or her </w:t>
      </w:r>
      <w:r w:rsidRPr="00E213BA">
        <w:rPr>
          <w:lang w:val="en-GB"/>
        </w:rPr>
        <w:t xml:space="preserve">disposal. The rule is also inapplicable where an administrative practice consisting of a repetition of acts incompatible with the Convention and official tolerance by the State authorities has been shown to exist, and is of such a nature as to make proceedings futile or ineffective (see </w:t>
      </w:r>
      <w:proofErr w:type="spellStart"/>
      <w:r w:rsidRPr="00E213BA">
        <w:rPr>
          <w:i/>
          <w:lang w:val="en-GB"/>
        </w:rPr>
        <w:t>Akdivar</w:t>
      </w:r>
      <w:proofErr w:type="spellEnd"/>
      <w:r w:rsidRPr="00E213BA">
        <w:rPr>
          <w:i/>
          <w:lang w:val="en-GB"/>
        </w:rPr>
        <w:t xml:space="preserve"> and Others</w:t>
      </w:r>
      <w:r w:rsidRPr="00E213BA">
        <w:rPr>
          <w:lang w:val="en-GB"/>
        </w:rPr>
        <w:t xml:space="preserve">, cited above, </w:t>
      </w:r>
      <w:r w:rsidRPr="00E213BA" w:rsidR="007A663D">
        <w:rPr>
          <w:lang w:val="en-GB"/>
        </w:rPr>
        <w:t>§ </w:t>
      </w:r>
      <w:r w:rsidRPr="00E213BA">
        <w:rPr>
          <w:lang w:val="en-GB"/>
        </w:rPr>
        <w:t>67).</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74</w:t>
      </w:r>
      <w:r w:rsidRPr="00E213BA">
        <w:rPr>
          <w:lang w:val="en-GB"/>
        </w:rPr>
        <w:fldChar w:fldCharType="end"/>
      </w:r>
      <w:r w:rsidRPr="00E213BA">
        <w:rPr>
          <w:lang w:val="en-GB"/>
        </w:rPr>
        <w:t xml:space="preserve">.  To be effective, a remedy must be capable of remedying directly the impugned state of affairs and must offer reasonable prospects of success (see </w:t>
      </w:r>
      <w:proofErr w:type="spellStart"/>
      <w:r w:rsidRPr="00E213BA">
        <w:rPr>
          <w:i/>
          <w:lang w:val="en-GB"/>
        </w:rPr>
        <w:t>Balogh</w:t>
      </w:r>
      <w:proofErr w:type="spellEnd"/>
      <w:r w:rsidRPr="00E213BA">
        <w:rPr>
          <w:i/>
          <w:lang w:val="en-GB"/>
        </w:rPr>
        <w:t xml:space="preserve"> v. Hungary</w:t>
      </w:r>
      <w:r w:rsidRPr="00E213BA">
        <w:rPr>
          <w:lang w:val="en-GB"/>
        </w:rPr>
        <w:t>, no. 47940/99, § 30, 20 July 2004</w:t>
      </w:r>
      <w:r w:rsidRPr="00E213BA" w:rsidR="004D0439">
        <w:rPr>
          <w:lang w:val="en-GB"/>
        </w:rPr>
        <w:t>,</w:t>
      </w:r>
      <w:r w:rsidRPr="00E213BA">
        <w:rPr>
          <w:lang w:val="en-GB"/>
        </w:rPr>
        <w:t xml:space="preserve"> and </w:t>
      </w:r>
      <w:proofErr w:type="spellStart"/>
      <w:r w:rsidR="00840120">
        <w:rPr>
          <w:i/>
          <w:lang w:val="en-GB"/>
        </w:rPr>
        <w:t>Sejdovic</w:t>
      </w:r>
      <w:proofErr w:type="spellEnd"/>
      <w:r w:rsidR="00840120">
        <w:rPr>
          <w:i/>
          <w:lang w:val="en-GB"/>
        </w:rPr>
        <w:t xml:space="preserve"> v. </w:t>
      </w:r>
      <w:r w:rsidRPr="00E213BA">
        <w:rPr>
          <w:i/>
          <w:lang w:val="en-GB"/>
        </w:rPr>
        <w:t xml:space="preserve">Italy </w:t>
      </w:r>
      <w:r w:rsidRPr="00E213BA">
        <w:rPr>
          <w:lang w:val="en-GB"/>
        </w:rPr>
        <w:t>[GC], no. 56581/00, § 46, ECHR 2006</w:t>
      </w:r>
      <w:r w:rsidRPr="00E213BA">
        <w:rPr>
          <w:lang w:val="en-GB"/>
        </w:rPr>
        <w:noBreakHyphen/>
        <w:t xml:space="preserve">II). However, the existence of mere doubts as to the prospects of success of a particular remedy which is not obviously futile is not a valid reason for failing to exhaust that avenue of redress (see </w:t>
      </w:r>
      <w:proofErr w:type="spellStart"/>
      <w:r w:rsidRPr="00E213BA">
        <w:rPr>
          <w:i/>
          <w:iCs/>
          <w:lang w:val="en-GB"/>
        </w:rPr>
        <w:t>Akdivar</w:t>
      </w:r>
      <w:proofErr w:type="spellEnd"/>
      <w:r w:rsidRPr="00E213BA">
        <w:rPr>
          <w:i/>
          <w:iCs/>
          <w:lang w:val="en-GB"/>
        </w:rPr>
        <w:t xml:space="preserve"> and Others</w:t>
      </w:r>
      <w:r w:rsidRPr="00E213BA">
        <w:rPr>
          <w:iCs/>
          <w:lang w:val="en-GB"/>
        </w:rPr>
        <w:t xml:space="preserve">, cited above, </w:t>
      </w:r>
      <w:r w:rsidRPr="00E213BA">
        <w:rPr>
          <w:lang w:val="en-GB"/>
        </w:rPr>
        <w:t>§ 71</w:t>
      </w:r>
      <w:r w:rsidRPr="00E213BA" w:rsidR="00464105">
        <w:rPr>
          <w:lang w:val="en-GB"/>
        </w:rPr>
        <w:t>, and</w:t>
      </w:r>
      <w:r w:rsidRPr="00E213BA">
        <w:rPr>
          <w:lang w:val="en-GB"/>
        </w:rPr>
        <w:t xml:space="preserve"> </w:t>
      </w:r>
      <w:proofErr w:type="spellStart"/>
      <w:r w:rsidR="00840120">
        <w:rPr>
          <w:i/>
          <w:lang w:val="en-GB"/>
        </w:rPr>
        <w:t>Scoppola</w:t>
      </w:r>
      <w:proofErr w:type="spellEnd"/>
      <w:r w:rsidR="00840120">
        <w:rPr>
          <w:i/>
          <w:lang w:val="en-GB"/>
        </w:rPr>
        <w:t xml:space="preserve"> v. </w:t>
      </w:r>
      <w:r w:rsidRPr="00E213BA">
        <w:rPr>
          <w:i/>
          <w:lang w:val="en-GB"/>
        </w:rPr>
        <w:t>Italy</w:t>
      </w:r>
      <w:r w:rsidR="00840120">
        <w:rPr>
          <w:lang w:val="en-GB"/>
        </w:rPr>
        <w:t> </w:t>
      </w:r>
      <w:r w:rsidRPr="00E213BA">
        <w:rPr>
          <w:i/>
          <w:lang w:val="en-GB"/>
        </w:rPr>
        <w:t xml:space="preserve">(no. 2) </w:t>
      </w:r>
      <w:r w:rsidRPr="00E213BA">
        <w:rPr>
          <w:lang w:val="en-GB"/>
        </w:rPr>
        <w:t>[GC], no. 10249/03, § 70, 17 September 2009).</w:t>
      </w:r>
    </w:p>
    <w:p w:rsidR="001753CB"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75</w:t>
      </w:r>
      <w:r w:rsidRPr="00E213BA">
        <w:rPr>
          <w:lang w:val="en-GB"/>
        </w:rPr>
        <w:fldChar w:fldCharType="end"/>
      </w:r>
      <w:r w:rsidRPr="00E213BA">
        <w:rPr>
          <w:lang w:val="en-GB"/>
        </w:rPr>
        <w:t xml:space="preserve">.  In so far as there exists at the national level a remedy enabling the domestic courts to address, at least in substance, the argument of a violation of a given Convention right, it is that remedy which should be exhausted (see </w:t>
      </w:r>
      <w:proofErr w:type="spellStart"/>
      <w:r w:rsidRPr="00E213BA">
        <w:rPr>
          <w:i/>
          <w:lang w:val="en-GB"/>
        </w:rPr>
        <w:t>Azinas</w:t>
      </w:r>
      <w:proofErr w:type="spellEnd"/>
      <w:r w:rsidRPr="00E213BA">
        <w:rPr>
          <w:lang w:val="en-GB"/>
        </w:rPr>
        <w:t xml:space="preserve">, cited above, § 38). It is not sufficient that the applicant may have unsuccessfully exercised another remedy which could have overturned the impugned measure on other grounds not connected with the complaint of a violation of a Convention right. It is the Convention complaint which must have been aired at national level for there to have been exhaustion of “effective remedies”.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w:t>
      </w:r>
      <w:r w:rsidRPr="00E213BA">
        <w:rPr>
          <w:i/>
          <w:lang w:val="en-GB"/>
        </w:rPr>
        <w:t xml:space="preserve">Van </w:t>
      </w:r>
      <w:proofErr w:type="spellStart"/>
      <w:r w:rsidRPr="00E213BA">
        <w:rPr>
          <w:i/>
          <w:lang w:val="en-GB"/>
        </w:rPr>
        <w:t>Oosterwijck</w:t>
      </w:r>
      <w:proofErr w:type="spellEnd"/>
      <w:r w:rsidRPr="00E213BA">
        <w:rPr>
          <w:lang w:val="en-GB"/>
        </w:rPr>
        <w:t xml:space="preserve">, </w:t>
      </w:r>
      <w:r w:rsidRPr="00E213BA" w:rsidR="00AA0BDB">
        <w:rPr>
          <w:lang w:val="en-GB"/>
        </w:rPr>
        <w:t xml:space="preserve">judgment of 6 November 1980, Series </w:t>
      </w:r>
      <w:r w:rsidRPr="00E213BA" w:rsidR="001D12C4">
        <w:rPr>
          <w:lang w:val="en-GB"/>
        </w:rPr>
        <w:t xml:space="preserve">A </w:t>
      </w:r>
      <w:r w:rsidRPr="00E213BA" w:rsidR="00AA0BDB">
        <w:rPr>
          <w:lang w:val="en-GB"/>
        </w:rPr>
        <w:t xml:space="preserve">no. 40, pp. 16-17, </w:t>
      </w:r>
      <w:r w:rsidRPr="00E213BA">
        <w:rPr>
          <w:lang w:val="en-GB"/>
        </w:rPr>
        <w:t>§§ 33-34</w:t>
      </w:r>
      <w:r w:rsidRPr="00E213BA" w:rsidR="001D12C4">
        <w:rPr>
          <w:lang w:val="en-GB"/>
        </w:rPr>
        <w:t>,</w:t>
      </w:r>
      <w:r w:rsidRPr="00E213BA">
        <w:rPr>
          <w:lang w:val="en-GB"/>
        </w:rPr>
        <w:t xml:space="preserve"> and </w:t>
      </w:r>
      <w:proofErr w:type="spellStart"/>
      <w:r w:rsidRPr="00E213BA">
        <w:rPr>
          <w:i/>
          <w:lang w:val="en-GB"/>
        </w:rPr>
        <w:t>Azinas</w:t>
      </w:r>
      <w:proofErr w:type="spellEnd"/>
      <w:r w:rsidRPr="00E213BA">
        <w:rPr>
          <w:lang w:val="en-GB"/>
        </w:rPr>
        <w:t>, cited above, § 38).</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76</w:t>
      </w:r>
      <w:r w:rsidRPr="00E213BA">
        <w:rPr>
          <w:lang w:val="en-GB"/>
        </w:rPr>
        <w:fldChar w:fldCharType="end"/>
      </w:r>
      <w:r w:rsidRPr="00E213BA">
        <w:rPr>
          <w:lang w:val="en-GB"/>
        </w:rPr>
        <w:t xml:space="preserve">.  The Court has, however, also frequently underlined the need to apply the exhaustion rule with some degree of flexibility and without excessive formalism (see </w:t>
      </w:r>
      <w:proofErr w:type="spellStart"/>
      <w:r w:rsidRPr="00E213BA">
        <w:rPr>
          <w:i/>
          <w:lang w:val="en-GB"/>
        </w:rPr>
        <w:t>Ringeisen</w:t>
      </w:r>
      <w:proofErr w:type="spellEnd"/>
      <w:r w:rsidRPr="00E213BA">
        <w:rPr>
          <w:i/>
          <w:lang w:val="en-GB"/>
        </w:rPr>
        <w:t xml:space="preserve"> v. Austria</w:t>
      </w:r>
      <w:r w:rsidRPr="00E213BA">
        <w:rPr>
          <w:lang w:val="en-GB"/>
        </w:rPr>
        <w:t xml:space="preserve">, 16 July 1971, § 89, Series </w:t>
      </w:r>
      <w:proofErr w:type="gramStart"/>
      <w:r w:rsidRPr="00E213BA">
        <w:rPr>
          <w:lang w:val="en-GB"/>
        </w:rPr>
        <w:t>A</w:t>
      </w:r>
      <w:proofErr w:type="gramEnd"/>
      <w:r w:rsidRPr="00E213BA">
        <w:rPr>
          <w:lang w:val="en-GB"/>
        </w:rPr>
        <w:t xml:space="preserve"> no. 13</w:t>
      </w:r>
      <w:r w:rsidRPr="00E213BA" w:rsidR="00B82BD1">
        <w:rPr>
          <w:lang w:val="en-GB"/>
        </w:rPr>
        <w:t>,</w:t>
      </w:r>
      <w:r w:rsidRPr="00E213BA">
        <w:rPr>
          <w:lang w:val="en-GB"/>
        </w:rPr>
        <w:t xml:space="preserve"> and </w:t>
      </w:r>
      <w:proofErr w:type="spellStart"/>
      <w:r w:rsidRPr="00E213BA">
        <w:rPr>
          <w:i/>
          <w:lang w:val="en-GB"/>
        </w:rPr>
        <w:t>Akdivar</w:t>
      </w:r>
      <w:proofErr w:type="spellEnd"/>
      <w:r w:rsidRPr="00E213BA">
        <w:rPr>
          <w:i/>
          <w:lang w:val="en-GB"/>
        </w:rPr>
        <w:t xml:space="preserve"> and Others</w:t>
      </w:r>
      <w:r w:rsidRPr="00E213BA">
        <w:rPr>
          <w:lang w:val="en-GB"/>
        </w:rPr>
        <w:t xml:space="preserve">, cited above, § 69). It would, for example, be unduly formalistic to require the applicants to exercise a remedy which even the highest court of their country would not oblige them to exhaust (see </w:t>
      </w:r>
      <w:r w:rsidRPr="00E213BA">
        <w:rPr>
          <w:i/>
          <w:lang w:val="en-GB"/>
        </w:rPr>
        <w:t xml:space="preserve">D.H. and Others v. the Czech Republic </w:t>
      </w:r>
      <w:r w:rsidRPr="00E213BA">
        <w:rPr>
          <w:lang w:val="en-GB"/>
        </w:rPr>
        <w:t>[GC], no. 57325/00, §§ 117 and 118, ECHR 2007</w:t>
      </w:r>
      <w:r w:rsidRPr="00E213BA">
        <w:rPr>
          <w:lang w:val="en-GB"/>
        </w:rPr>
        <w:noBreakHyphen/>
        <w:t>IV).</w:t>
      </w:r>
    </w:p>
    <w:p w:rsidRPr="00E213BA" w:rsidR="0022762A" w:rsidP="003D29A0" w:rsidRDefault="0022762A">
      <w:pPr>
        <w:pStyle w:val="ECHRPara"/>
        <w:rPr>
          <w:lang w:val="en-GB"/>
        </w:rPr>
      </w:pPr>
      <w:r w:rsidRPr="00E213BA">
        <w:rPr>
          <w:lang w:val="en-GB"/>
        </w:rPr>
        <w:lastRenderedPageBreak/>
        <w:fldChar w:fldCharType="begin"/>
      </w:r>
      <w:r w:rsidRPr="00E213BA">
        <w:rPr>
          <w:lang w:val="en-GB"/>
        </w:rPr>
        <w:instrText xml:space="preserve"> SEQ level0 \*arabic </w:instrText>
      </w:r>
      <w:r w:rsidRPr="00E213BA">
        <w:rPr>
          <w:lang w:val="en-GB"/>
        </w:rPr>
        <w:fldChar w:fldCharType="separate"/>
      </w:r>
      <w:r w:rsidR="002B6D2B">
        <w:rPr>
          <w:noProof/>
          <w:lang w:val="en-GB"/>
        </w:rPr>
        <w:t>77</w:t>
      </w:r>
      <w:r w:rsidRPr="00E213BA">
        <w:rPr>
          <w:lang w:val="en-GB"/>
        </w:rPr>
        <w:fldChar w:fldCharType="end"/>
      </w:r>
      <w:r w:rsidR="000C37BD">
        <w:rPr>
          <w:lang w:val="en-GB"/>
        </w:rPr>
        <w:t>.  </w:t>
      </w:r>
      <w:r w:rsidRPr="00E213BA">
        <w:rPr>
          <w:lang w:val="en-GB"/>
        </w:rPr>
        <w:t xml:space="preserve">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w:t>
      </w:r>
      <w:proofErr w:type="spellStart"/>
      <w:r w:rsidRPr="00E213BA">
        <w:rPr>
          <w:i/>
          <w:lang w:val="en-GB"/>
        </w:rPr>
        <w:t>Akdivar</w:t>
      </w:r>
      <w:proofErr w:type="spellEnd"/>
      <w:r w:rsidRPr="00E213BA">
        <w:rPr>
          <w:i/>
          <w:lang w:val="en-GB"/>
        </w:rPr>
        <w:t xml:space="preserve"> and Others</w:t>
      </w:r>
      <w:r w:rsidRPr="00E213BA">
        <w:rPr>
          <w:lang w:val="en-GB"/>
        </w:rPr>
        <w:t>, cited above, § 68</w:t>
      </w:r>
      <w:r w:rsidRPr="00E213BA" w:rsidR="00B6439C">
        <w:rPr>
          <w:lang w:val="en-GB"/>
        </w:rPr>
        <w:t xml:space="preserve">; </w:t>
      </w:r>
      <w:r w:rsidRPr="00E213BA">
        <w:rPr>
          <w:i/>
          <w:snapToGrid w:val="0"/>
          <w:lang w:val="en-GB"/>
        </w:rPr>
        <w:t>Demopoulos and Others</w:t>
      </w:r>
      <w:r w:rsidRPr="00E213BA">
        <w:rPr>
          <w:snapToGrid w:val="0"/>
          <w:lang w:val="en-GB"/>
        </w:rPr>
        <w:t>, cited above, § 69</w:t>
      </w:r>
      <w:r w:rsidRPr="00E213BA" w:rsidR="00B6439C">
        <w:rPr>
          <w:snapToGrid w:val="0"/>
          <w:lang w:val="en-GB"/>
        </w:rPr>
        <w:t xml:space="preserve">; and </w:t>
      </w:r>
      <w:r w:rsidRPr="00E213BA" w:rsidR="00B6439C">
        <w:rPr>
          <w:i/>
          <w:snapToGrid w:val="0"/>
        </w:rPr>
        <w:t xml:space="preserve">McFarlane v. Ireland </w:t>
      </w:r>
      <w:r w:rsidRPr="00E213BA" w:rsidR="00B6439C">
        <w:rPr>
          <w:snapToGrid w:val="0"/>
        </w:rPr>
        <w:t>[GC]</w:t>
      </w:r>
      <w:r w:rsidRPr="00E213BA" w:rsidR="00B6439C">
        <w:rPr>
          <w:snapToGrid w:val="0"/>
          <w:szCs w:val="24"/>
        </w:rPr>
        <w:t xml:space="preserve">, </w:t>
      </w:r>
      <w:r w:rsidRPr="00E213BA" w:rsidR="00B6439C">
        <w:t>no. 31333/06, §</w:t>
      </w:r>
      <w:r w:rsidRPr="00E213BA" w:rsidR="007526C2">
        <w:t xml:space="preserve"> 107</w:t>
      </w:r>
      <w:r w:rsidRPr="00E213BA" w:rsidR="00B6439C">
        <w:t>, 10 September 2010</w:t>
      </w:r>
      <w:r w:rsidRPr="00E213BA">
        <w:rPr>
          <w:lang w:val="en-GB"/>
        </w:rPr>
        <w:t>).</w:t>
      </w:r>
    </w:p>
    <w:p w:rsidRPr="00E213BA" w:rsidR="0022762A" w:rsidP="00420A26" w:rsidRDefault="0022762A">
      <w:pPr>
        <w:pStyle w:val="ECHRHeading4"/>
      </w:pPr>
      <w:r w:rsidRPr="00E213BA">
        <w:t>(b)  Application of these principles to the present case</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78</w:t>
      </w:r>
      <w:r w:rsidRPr="00E213BA">
        <w:rPr>
          <w:lang w:val="en-GB"/>
        </w:rPr>
        <w:fldChar w:fldCharType="end"/>
      </w:r>
      <w:r w:rsidRPr="00E213BA">
        <w:rPr>
          <w:lang w:val="en-GB"/>
        </w:rPr>
        <w:t xml:space="preserve">.  The Court observes that under sections 199 and 200 of </w:t>
      </w:r>
      <w:r w:rsidRPr="00E213BA" w:rsidR="009E64DF">
        <w:rPr>
          <w:lang w:val="en-GB"/>
        </w:rPr>
        <w:t xml:space="preserve">the </w:t>
      </w:r>
      <w:r w:rsidRPr="00E213BA">
        <w:rPr>
          <w:lang w:val="en-GB"/>
        </w:rPr>
        <w:t xml:space="preserve">Obligations Act a reservist who had served in the army between March and June 1999 could institute proceedings before the civil courts against the authorities of the respondent State and on certain conditions claim compensation on account of any non-payment of </w:t>
      </w:r>
      <w:r w:rsidRPr="00E213BA">
        <w:rPr>
          <w:i/>
          <w:lang w:val="en-GB"/>
        </w:rPr>
        <w:t>per diems</w:t>
      </w:r>
      <w:r w:rsidRPr="00E213BA">
        <w:rPr>
          <w:lang w:val="en-GB"/>
        </w:rPr>
        <w:t xml:space="preserve"> due by </w:t>
      </w:r>
      <w:r w:rsidRPr="00E213BA" w:rsidR="009E64DF">
        <w:rPr>
          <w:lang w:val="en-GB"/>
        </w:rPr>
        <w:t>those authorities</w:t>
      </w:r>
      <w:r w:rsidRPr="00E213BA">
        <w:rPr>
          <w:lang w:val="en-GB"/>
        </w:rPr>
        <w:t xml:space="preserve"> under the Rules on Travel and Other Expenses in the Yugoslav Army (see paragraphs 4</w:t>
      </w:r>
      <w:r w:rsidRPr="00E213BA" w:rsidR="007F5AD8">
        <w:rPr>
          <w:lang w:val="en-GB"/>
        </w:rPr>
        <w:t xml:space="preserve">4 and </w:t>
      </w:r>
      <w:r w:rsidRPr="00E213BA">
        <w:rPr>
          <w:lang w:val="en-GB"/>
        </w:rPr>
        <w:t>4</w:t>
      </w:r>
      <w:r w:rsidRPr="00E213BA" w:rsidR="007F5AD8">
        <w:rPr>
          <w:lang w:val="en-GB"/>
        </w:rPr>
        <w:t xml:space="preserve">5 </w:t>
      </w:r>
      <w:r w:rsidRPr="00E213BA">
        <w:rPr>
          <w:lang w:val="en-GB"/>
        </w:rPr>
        <w:t xml:space="preserve">above) and the two separate decisions </w:t>
      </w:r>
      <w:r w:rsidRPr="00E213BA" w:rsidR="005B34EB">
        <w:rPr>
          <w:lang w:val="en-GB"/>
        </w:rPr>
        <w:t>(nos.</w:t>
      </w:r>
      <w:r w:rsidR="00C807DE">
        <w:rPr>
          <w:lang w:val="en-GB"/>
        </w:rPr>
        <w:t> </w:t>
      </w:r>
      <w:r w:rsidRPr="00E213BA" w:rsidR="005B34EB">
        <w:rPr>
          <w:lang w:val="en-GB"/>
        </w:rPr>
        <w:t xml:space="preserve">03/825-2 and 06/691-1) </w:t>
      </w:r>
      <w:r w:rsidRPr="00E213BA">
        <w:rPr>
          <w:lang w:val="en-GB"/>
        </w:rPr>
        <w:t xml:space="preserve">adopted by its Chief of Staff on 1 </w:t>
      </w:r>
      <w:r w:rsidRPr="00E213BA" w:rsidR="005B34EB">
        <w:rPr>
          <w:lang w:val="en-GB"/>
        </w:rPr>
        <w:t xml:space="preserve">and 3 </w:t>
      </w:r>
      <w:r w:rsidRPr="00E213BA">
        <w:rPr>
          <w:lang w:val="en-GB"/>
        </w:rPr>
        <w:t>April 1999 respectively. It was also possible to challenge any discriminatory practices in respect of such payments as would run counter to the prohibition o</w:t>
      </w:r>
      <w:r w:rsidRPr="00E213BA" w:rsidR="00904549">
        <w:rPr>
          <w:lang w:val="en-GB"/>
        </w:rPr>
        <w:t>f</w:t>
      </w:r>
      <w:r w:rsidRPr="00E213BA">
        <w:rPr>
          <w:lang w:val="en-GB"/>
        </w:rPr>
        <w:t xml:space="preserve"> discrimination under Article 21 of the Constitution (see paragraph 32 above). As from </w:t>
      </w:r>
      <w:r w:rsidRPr="00E213BA" w:rsidR="00603BD6">
        <w:rPr>
          <w:lang w:val="en-GB"/>
        </w:rPr>
        <w:t>7</w:t>
      </w:r>
      <w:r w:rsidRPr="00E213BA">
        <w:rPr>
          <w:lang w:val="en-GB"/>
        </w:rPr>
        <w:t xml:space="preserve"> April 2009 a victim of discrimination could in addition pray in aid section 43 of the Prohibition of Discrimination Act, which provided for various forms of injunctive and/or declaratory relief to victims of discrimination (see paragraph 40 above). The civil courts thus had full jurisdiction to examine claims such as those that were </w:t>
      </w:r>
      <w:r w:rsidRPr="00E213BA" w:rsidR="005414E7">
        <w:rPr>
          <w:lang w:val="en-GB"/>
        </w:rPr>
        <w:t xml:space="preserve">in </w:t>
      </w:r>
      <w:r w:rsidRPr="00E213BA">
        <w:rPr>
          <w:lang w:val="en-GB"/>
        </w:rPr>
        <w:t>issue in the present case. Indeed, in a number of comparable cases adjudicated between 2002 and early March 2009, where the claims in question had not been deemed time-barred, the first</w:t>
      </w:r>
      <w:r w:rsidRPr="00E213BA" w:rsidR="00A30BEC">
        <w:rPr>
          <w:lang w:val="en-GB"/>
        </w:rPr>
        <w:t>-</w:t>
      </w:r>
      <w:r w:rsidRPr="00E213BA">
        <w:rPr>
          <w:lang w:val="en-GB"/>
        </w:rPr>
        <w:t xml:space="preserve">instance and appellate courts across </w:t>
      </w:r>
      <w:bookmarkStart w:name="File13" w:id="12"/>
      <w:r w:rsidRPr="00E213BA">
        <w:rPr>
          <w:lang w:val="en-GB"/>
        </w:rPr>
        <w:t>Serbia</w:t>
      </w:r>
      <w:bookmarkEnd w:id="12"/>
      <w:r w:rsidRPr="00E213BA">
        <w:rPr>
          <w:lang w:val="en-GB"/>
        </w:rPr>
        <w:t xml:space="preserve"> had upheld the reservists</w:t>
      </w:r>
      <w:r w:rsidR="001F25A4">
        <w:rPr>
          <w:lang w:val="en-GB"/>
        </w:rPr>
        <w:t>’</w:t>
      </w:r>
      <w:r w:rsidRPr="00E213BA">
        <w:rPr>
          <w:lang w:val="en-GB"/>
        </w:rPr>
        <w:t xml:space="preserve"> claims (see paragraph 24 above). Accordingly, the Court is satisfied that at the material time an appeal to the civil courts constituted an effective remedy for the purposes of Article</w:t>
      </w:r>
      <w:r w:rsidR="00C807DE">
        <w:rPr>
          <w:lang w:val="en-GB"/>
        </w:rPr>
        <w:t> </w:t>
      </w:r>
      <w:r w:rsidRPr="00E213BA">
        <w:rPr>
          <w:lang w:val="en-GB"/>
        </w:rPr>
        <w:t>35</w:t>
      </w:r>
      <w:r w:rsidR="00C807DE">
        <w:rPr>
          <w:lang w:val="en-GB"/>
        </w:rPr>
        <w:t> </w:t>
      </w:r>
      <w:r w:rsidRPr="00E213BA">
        <w:rPr>
          <w:lang w:val="en-GB"/>
        </w:rPr>
        <w:t>§</w:t>
      </w:r>
      <w:r w:rsidR="00C807DE">
        <w:rPr>
          <w:lang w:val="en-GB"/>
        </w:rPr>
        <w:t> </w:t>
      </w:r>
      <w:r w:rsidRPr="00E213BA">
        <w:rPr>
          <w:lang w:val="en-GB"/>
        </w:rPr>
        <w:t>1 of the Convention.</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79</w:t>
      </w:r>
      <w:r w:rsidRPr="00E213BA">
        <w:rPr>
          <w:lang w:val="en-GB"/>
        </w:rPr>
        <w:fldChar w:fldCharType="end"/>
      </w:r>
      <w:r w:rsidRPr="00E213BA">
        <w:rPr>
          <w:lang w:val="en-GB"/>
        </w:rPr>
        <w:t>.  In the case under consideration, on 26 March 2009 the applicants filed a civil claim against the respondent State based on the above</w:t>
      </w:r>
      <w:r w:rsidR="00C807DE">
        <w:rPr>
          <w:lang w:val="en-GB"/>
        </w:rPr>
        <w:noBreakHyphen/>
      </w:r>
      <w:r w:rsidRPr="00E213BA">
        <w:rPr>
          <w:lang w:val="en-GB"/>
        </w:rPr>
        <w:t xml:space="preserve">mentioned Rules on Travel and Other Expenses in the Yugoslav Army and the decisions adopted by its Chief of Staff (see paragraph </w:t>
      </w:r>
      <w:r w:rsidRPr="00E213BA" w:rsidR="00904546">
        <w:rPr>
          <w:lang w:val="en-GB"/>
        </w:rPr>
        <w:t>78</w:t>
      </w:r>
      <w:r w:rsidRPr="00E213BA" w:rsidR="00812A46">
        <w:rPr>
          <w:lang w:val="en-GB"/>
        </w:rPr>
        <w:t xml:space="preserve"> </w:t>
      </w:r>
      <w:r w:rsidRPr="00E213BA">
        <w:rPr>
          <w:lang w:val="en-GB"/>
        </w:rPr>
        <w:t xml:space="preserve">above). By way of redress they sought the payment of specific sums on account of the allegedly unpaid </w:t>
      </w:r>
      <w:r w:rsidRPr="00E213BA">
        <w:rPr>
          <w:i/>
          <w:lang w:val="en-GB"/>
        </w:rPr>
        <w:t>per diems</w:t>
      </w:r>
      <w:r w:rsidRPr="00E213BA">
        <w:rPr>
          <w:lang w:val="en-GB"/>
        </w:rPr>
        <w:t xml:space="preserve"> </w:t>
      </w:r>
      <w:r w:rsidRPr="00E213BA" w:rsidR="005414E7">
        <w:rPr>
          <w:lang w:val="en-GB"/>
        </w:rPr>
        <w:t xml:space="preserve">in </w:t>
      </w:r>
      <w:r w:rsidRPr="00E213BA">
        <w:rPr>
          <w:lang w:val="en-GB"/>
        </w:rPr>
        <w:t xml:space="preserve">issue and also certain other benefits. The applicants did not rely on the prohibition of discrimination in Article 21 of the Constitution, or on the non-discrimination clauses in Article 14 of the Convention and Article 1 of Protocol No. 12, although </w:t>
      </w:r>
      <w:r w:rsidRPr="00E213BA">
        <w:rPr>
          <w:lang w:val="en-GB"/>
        </w:rPr>
        <w:lastRenderedPageBreak/>
        <w:t xml:space="preserve">these were directly applicable according to Article 18 of the Constitution (see paragraphs 17, 19, 32, 40 and 41 above). Nor did they invoke the Prohibition of Discrimination Act, which entered into force with immediate effect on </w:t>
      </w:r>
      <w:r w:rsidRPr="00E213BA" w:rsidR="00603BD6">
        <w:rPr>
          <w:lang w:val="en-GB"/>
        </w:rPr>
        <w:t>7</w:t>
      </w:r>
      <w:r w:rsidRPr="00E213BA" w:rsidR="004B5692">
        <w:rPr>
          <w:lang w:val="en-GB"/>
        </w:rPr>
        <w:t> </w:t>
      </w:r>
      <w:r w:rsidRPr="00E213BA">
        <w:rPr>
          <w:lang w:val="en-GB"/>
        </w:rPr>
        <w:t>April 2009, shortly after the</w:t>
      </w:r>
      <w:r w:rsidRPr="00E213BA" w:rsidR="007526C2">
        <w:rPr>
          <w:lang w:val="en-GB"/>
        </w:rPr>
        <w:t xml:space="preserve"> above</w:t>
      </w:r>
      <w:r w:rsidRPr="00E213BA" w:rsidR="00106E9B">
        <w:rPr>
          <w:lang w:val="en-GB"/>
        </w:rPr>
        <w:t>-mentioned</w:t>
      </w:r>
      <w:r w:rsidRPr="00E213BA" w:rsidR="007526C2">
        <w:rPr>
          <w:lang w:val="en-GB"/>
        </w:rPr>
        <w:t xml:space="preserve"> civil claim</w:t>
      </w:r>
      <w:r w:rsidRPr="00E213BA" w:rsidR="00106E9B">
        <w:rPr>
          <w:lang w:val="en-GB"/>
        </w:rPr>
        <w:t xml:space="preserve"> had been filed</w:t>
      </w:r>
      <w:r w:rsidRPr="00E213BA">
        <w:rPr>
          <w:lang w:val="en-GB"/>
        </w:rPr>
        <w:t>. In their submissions made in support of their claim, the applicants did however refer to the alleged discrimination stemming from the Agreement.</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80</w:t>
      </w:r>
      <w:r w:rsidRPr="00E213BA">
        <w:rPr>
          <w:lang w:val="en-GB"/>
        </w:rPr>
        <w:fldChar w:fldCharType="end"/>
      </w:r>
      <w:r w:rsidRPr="00E213BA">
        <w:rPr>
          <w:lang w:val="en-GB"/>
        </w:rPr>
        <w:t>.  While acknowledging that the applicants</w:t>
      </w:r>
      <w:r w:rsidR="001F25A4">
        <w:rPr>
          <w:lang w:val="en-GB"/>
        </w:rPr>
        <w:t>’</w:t>
      </w:r>
      <w:r w:rsidRPr="00E213BA">
        <w:rPr>
          <w:lang w:val="en-GB"/>
        </w:rPr>
        <w:t xml:space="preserve"> claim had a valid legal basis, on 8 July 2010 the Court of First Instance dismissed </w:t>
      </w:r>
      <w:r w:rsidRPr="00E213BA" w:rsidR="00000189">
        <w:rPr>
          <w:lang w:val="en-GB"/>
        </w:rPr>
        <w:t xml:space="preserve">it </w:t>
      </w:r>
      <w:r w:rsidRPr="00E213BA">
        <w:rPr>
          <w:lang w:val="en-GB"/>
        </w:rPr>
        <w:t>as being time</w:t>
      </w:r>
      <w:r w:rsidR="00C807DE">
        <w:rPr>
          <w:lang w:val="en-GB"/>
        </w:rPr>
        <w:noBreakHyphen/>
      </w:r>
      <w:r w:rsidRPr="00E213BA">
        <w:rPr>
          <w:lang w:val="en-GB"/>
        </w:rPr>
        <w:t>barred due to the expiry of the three</w:t>
      </w:r>
      <w:r w:rsidRPr="00E213BA" w:rsidR="00646D8C">
        <w:rPr>
          <w:lang w:val="en-GB"/>
        </w:rPr>
        <w:t>-</w:t>
      </w:r>
      <w:r w:rsidRPr="00E213BA">
        <w:rPr>
          <w:lang w:val="en-GB"/>
        </w:rPr>
        <w:t>year limitation period laid down in section 376 § 1 of the Obligations Act, considering that the time-limit had started to run from the moment of their demobilisation. The Appeals Court rejected their appeal on 16 November 2010 on similar grounds, namely that both the three-year and the five-year prescription periods provided for in section 376 §§ 1 and 2 (see paragraph 4</w:t>
      </w:r>
      <w:r w:rsidRPr="00E213BA" w:rsidR="007F5AD8">
        <w:rPr>
          <w:lang w:val="en-GB"/>
        </w:rPr>
        <w:t>9</w:t>
      </w:r>
      <w:r w:rsidRPr="00E213BA">
        <w:rPr>
          <w:lang w:val="en-GB"/>
        </w:rPr>
        <w:t xml:space="preserve"> above) had expired. </w:t>
      </w:r>
      <w:r w:rsidRPr="00E213BA" w:rsidR="0081425B">
        <w:rPr>
          <w:lang w:val="en-GB"/>
        </w:rPr>
        <w:t>The Court</w:t>
      </w:r>
      <w:r w:rsidRPr="00E213BA" w:rsidR="008C00D2">
        <w:rPr>
          <w:lang w:val="en-GB"/>
        </w:rPr>
        <w:t xml:space="preserve"> would </w:t>
      </w:r>
      <w:r w:rsidRPr="00E213BA" w:rsidR="000B0C50">
        <w:rPr>
          <w:lang w:val="en-GB"/>
        </w:rPr>
        <w:t>reiterate</w:t>
      </w:r>
      <w:r w:rsidRPr="00E213BA" w:rsidR="0081425B">
        <w:rPr>
          <w:lang w:val="en-GB"/>
        </w:rPr>
        <w:t xml:space="preserve"> that it is </w:t>
      </w:r>
      <w:r w:rsidRPr="00E213BA">
        <w:rPr>
          <w:lang w:val="en-GB"/>
        </w:rPr>
        <w:t xml:space="preserve">primarily for the national authorities, notably the courts, to resolve problems of interpretation of domestic legislation (see </w:t>
      </w:r>
      <w:r w:rsidRPr="00E213BA">
        <w:rPr>
          <w:i/>
          <w:lang w:val="en-GB"/>
        </w:rPr>
        <w:t xml:space="preserve">Pérez de </w:t>
      </w:r>
      <w:proofErr w:type="spellStart"/>
      <w:r w:rsidRPr="00E213BA">
        <w:rPr>
          <w:i/>
          <w:lang w:val="en-GB"/>
        </w:rPr>
        <w:t>Rada</w:t>
      </w:r>
      <w:proofErr w:type="spellEnd"/>
      <w:r w:rsidRPr="00E213BA">
        <w:rPr>
          <w:i/>
          <w:lang w:val="en-GB"/>
        </w:rPr>
        <w:t xml:space="preserve"> </w:t>
      </w:r>
      <w:proofErr w:type="spellStart"/>
      <w:r w:rsidRPr="00E213BA">
        <w:rPr>
          <w:i/>
          <w:lang w:val="en-GB"/>
        </w:rPr>
        <w:t>Cavanilles</w:t>
      </w:r>
      <w:proofErr w:type="spellEnd"/>
      <w:r w:rsidRPr="00E213BA">
        <w:rPr>
          <w:i/>
          <w:lang w:val="en-GB"/>
        </w:rPr>
        <w:t xml:space="preserve"> v. Spain</w:t>
      </w:r>
      <w:r w:rsidRPr="00E213BA">
        <w:rPr>
          <w:lang w:val="en-GB"/>
        </w:rPr>
        <w:t xml:space="preserve">, 28 October 1998, § 43, </w:t>
      </w:r>
      <w:r w:rsidRPr="00E213BA">
        <w:rPr>
          <w:i/>
          <w:lang w:val="en-GB"/>
        </w:rPr>
        <w:t>Reports of Judgments and Decisions</w:t>
      </w:r>
      <w:r w:rsidRPr="00E213BA">
        <w:rPr>
          <w:lang w:val="en-GB"/>
        </w:rPr>
        <w:t xml:space="preserve"> 1998</w:t>
      </w:r>
      <w:r w:rsidRPr="00E213BA">
        <w:rPr>
          <w:lang w:val="en-GB"/>
        </w:rPr>
        <w:noBreakHyphen/>
        <w:t>VIII</w:t>
      </w:r>
      <w:r w:rsidRPr="00E213BA" w:rsidR="00EC58D8">
        <w:rPr>
          <w:lang w:val="en-GB"/>
        </w:rPr>
        <w:t xml:space="preserve">; </w:t>
      </w:r>
      <w:r w:rsidRPr="00E213BA" w:rsidR="00EC58D8">
        <w:rPr>
          <w:i/>
          <w:lang w:val="en-GB"/>
        </w:rPr>
        <w:t>Waite and Kennedy v. Germany</w:t>
      </w:r>
      <w:r w:rsidRPr="00E213BA" w:rsidR="00EC58D8">
        <w:rPr>
          <w:lang w:val="en-GB"/>
        </w:rPr>
        <w:t xml:space="preserve"> [GC], no. 26083/94, § 54, ECHR 1999</w:t>
      </w:r>
      <w:r w:rsidRPr="00E213BA" w:rsidR="00EC58D8">
        <w:rPr>
          <w:lang w:val="en-GB"/>
        </w:rPr>
        <w:noBreakHyphen/>
        <w:t>I;</w:t>
      </w:r>
      <w:r w:rsidRPr="00E213BA" w:rsidR="00B2492E">
        <w:rPr>
          <w:lang w:val="en-GB"/>
        </w:rPr>
        <w:t xml:space="preserve"> and </w:t>
      </w:r>
      <w:proofErr w:type="spellStart"/>
      <w:r w:rsidRPr="00E213BA" w:rsidR="00B2492E">
        <w:rPr>
          <w:i/>
          <w:lang w:val="en-GB"/>
        </w:rPr>
        <w:t>Anđelković</w:t>
      </w:r>
      <w:proofErr w:type="spellEnd"/>
      <w:r w:rsidRPr="00E213BA" w:rsidR="00B2492E">
        <w:rPr>
          <w:i/>
          <w:lang w:val="en-GB"/>
        </w:rPr>
        <w:t xml:space="preserve"> v. Serbia</w:t>
      </w:r>
      <w:r w:rsidRPr="00E213BA" w:rsidR="00B2492E">
        <w:rPr>
          <w:lang w:val="en-GB"/>
        </w:rPr>
        <w:t>, no. 1401/08</w:t>
      </w:r>
      <w:r w:rsidR="00E506A4">
        <w:rPr>
          <w:snapToGrid w:val="0"/>
          <w:lang w:val="en-GB"/>
        </w:rPr>
        <w:t>, § </w:t>
      </w:r>
      <w:r w:rsidRPr="00E213BA" w:rsidR="00B2492E">
        <w:rPr>
          <w:snapToGrid w:val="0"/>
          <w:lang w:val="en-GB"/>
        </w:rPr>
        <w:t>24, 9 April 2013</w:t>
      </w:r>
      <w:r w:rsidRPr="00E213BA">
        <w:rPr>
          <w:lang w:val="en-GB"/>
        </w:rPr>
        <w:t xml:space="preserve">). According to the interpretation </w:t>
      </w:r>
      <w:r w:rsidRPr="00E213BA" w:rsidR="007F5AD8">
        <w:rPr>
          <w:lang w:val="en-GB"/>
        </w:rPr>
        <w:t xml:space="preserve">given </w:t>
      </w:r>
      <w:r w:rsidRPr="00E213BA">
        <w:rPr>
          <w:lang w:val="en-GB"/>
        </w:rPr>
        <w:t xml:space="preserve">by the civil courts, the applicants had failed to comply with the applicable national prescription rules, which is one of the conditions that </w:t>
      </w:r>
      <w:r w:rsidRPr="00E213BA" w:rsidR="00F22EAD">
        <w:rPr>
          <w:lang w:val="en-GB"/>
        </w:rPr>
        <w:t xml:space="preserve">should </w:t>
      </w:r>
      <w:r w:rsidRPr="00E213BA">
        <w:rPr>
          <w:lang w:val="en-GB"/>
        </w:rPr>
        <w:t xml:space="preserve">normally be fulfilled in order to meet the requirement of exhaustion of domestic remedies under Article 35 § 1 of the Convention (see paragraph </w:t>
      </w:r>
      <w:r w:rsidRPr="00E213BA" w:rsidR="001C12E9">
        <w:rPr>
          <w:lang w:val="en-GB"/>
        </w:rPr>
        <w:t>7</w:t>
      </w:r>
      <w:r w:rsidRPr="00E213BA" w:rsidR="00904546">
        <w:rPr>
          <w:lang w:val="en-GB"/>
        </w:rPr>
        <w:t>2</w:t>
      </w:r>
      <w:r w:rsidRPr="00E213BA">
        <w:rPr>
          <w:lang w:val="en-GB"/>
        </w:rPr>
        <w:t xml:space="preserve"> above).</w:t>
      </w:r>
    </w:p>
    <w:p w:rsidR="00451995"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81</w:t>
      </w:r>
      <w:r w:rsidRPr="00E213BA">
        <w:rPr>
          <w:lang w:val="en-GB"/>
        </w:rPr>
        <w:fldChar w:fldCharType="end"/>
      </w:r>
      <w:r w:rsidRPr="00E213BA">
        <w:rPr>
          <w:lang w:val="en-GB"/>
        </w:rPr>
        <w:t>.  Thereafter, the applicants lodged a</w:t>
      </w:r>
      <w:r w:rsidRPr="00E213BA" w:rsidR="00000189">
        <w:rPr>
          <w:lang w:val="en-GB"/>
        </w:rPr>
        <w:t xml:space="preserve">n </w:t>
      </w:r>
      <w:r w:rsidRPr="00E213BA">
        <w:rPr>
          <w:lang w:val="en-GB"/>
        </w:rPr>
        <w:t xml:space="preserve">appeal with the Constitutional Court, in which they challenged under Articles 32 and 36 of the Constitution and Article </w:t>
      </w:r>
      <w:r w:rsidRPr="00E213BA" w:rsidR="00582BE9">
        <w:rPr>
          <w:lang w:val="en-GB"/>
        </w:rPr>
        <w:t xml:space="preserve">6 </w:t>
      </w:r>
      <w:r w:rsidRPr="00E213BA">
        <w:rPr>
          <w:lang w:val="en-GB"/>
        </w:rPr>
        <w:t>of the Convention the civil courts</w:t>
      </w:r>
      <w:r w:rsidR="001F25A4">
        <w:rPr>
          <w:lang w:val="en-GB"/>
        </w:rPr>
        <w:t>’</w:t>
      </w:r>
      <w:r w:rsidRPr="00E213BA">
        <w:rPr>
          <w:lang w:val="en-GB"/>
        </w:rPr>
        <w:t xml:space="preserve"> above-mentioned application of the rules on statut</w:t>
      </w:r>
      <w:r w:rsidRPr="00E213BA" w:rsidR="0073554D">
        <w:rPr>
          <w:lang w:val="en-GB"/>
        </w:rPr>
        <w:t>ory</w:t>
      </w:r>
      <w:r w:rsidRPr="00E213BA">
        <w:rPr>
          <w:lang w:val="en-GB"/>
        </w:rPr>
        <w:t xml:space="preserve"> limitation, </w:t>
      </w:r>
      <w:r w:rsidRPr="00E213BA" w:rsidR="00D87918">
        <w:rPr>
          <w:lang w:val="en-GB"/>
        </w:rPr>
        <w:t xml:space="preserve">specifically in the judgment of 16 November 2010, </w:t>
      </w:r>
      <w:r w:rsidRPr="00E213BA">
        <w:rPr>
          <w:lang w:val="en-GB"/>
        </w:rPr>
        <w:t>which in their view had been erroneous and inconsistent with that made by certain other national courts</w:t>
      </w:r>
      <w:r w:rsidRPr="00E213BA" w:rsidR="00C22D81">
        <w:rPr>
          <w:lang w:val="en-GB"/>
        </w:rPr>
        <w:t>,</w:t>
      </w:r>
      <w:r w:rsidRPr="00E213BA">
        <w:rPr>
          <w:lang w:val="en-GB"/>
        </w:rPr>
        <w:t xml:space="preserve"> </w:t>
      </w:r>
      <w:r w:rsidRPr="00E213BA" w:rsidR="00C22D81">
        <w:rPr>
          <w:lang w:val="en-GB"/>
        </w:rPr>
        <w:t xml:space="preserve">which had </w:t>
      </w:r>
      <w:r w:rsidRPr="00E213BA">
        <w:rPr>
          <w:lang w:val="en-GB"/>
        </w:rPr>
        <w:t>correctly appl</w:t>
      </w:r>
      <w:r w:rsidRPr="00E213BA" w:rsidR="00C22D81">
        <w:rPr>
          <w:lang w:val="en-GB"/>
        </w:rPr>
        <w:t>ied</w:t>
      </w:r>
      <w:r w:rsidRPr="00E213BA">
        <w:rPr>
          <w:lang w:val="en-GB"/>
        </w:rPr>
        <w:t xml:space="preserve"> the ten</w:t>
      </w:r>
      <w:r w:rsidRPr="00E213BA" w:rsidR="00C22D81">
        <w:rPr>
          <w:lang w:val="en-GB"/>
        </w:rPr>
        <w:t>-</w:t>
      </w:r>
      <w:r w:rsidRPr="00E213BA">
        <w:rPr>
          <w:lang w:val="en-GB"/>
        </w:rPr>
        <w:t>year rule under section 371 of the Obligations Act (see paragraph 4</w:t>
      </w:r>
      <w:r w:rsidRPr="00E213BA" w:rsidR="007F5AD8">
        <w:rPr>
          <w:lang w:val="en-GB"/>
        </w:rPr>
        <w:t>8</w:t>
      </w:r>
      <w:r w:rsidRPr="00E213BA">
        <w:rPr>
          <w:lang w:val="en-GB"/>
        </w:rPr>
        <w:t xml:space="preserve"> above).</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82</w:t>
      </w:r>
      <w:r w:rsidRPr="00E213BA">
        <w:rPr>
          <w:lang w:val="en-GB"/>
        </w:rPr>
        <w:fldChar w:fldCharType="end"/>
      </w:r>
      <w:r w:rsidRPr="00E213BA">
        <w:rPr>
          <w:lang w:val="en-GB"/>
        </w:rPr>
        <w:t xml:space="preserve">.  The Court cannot but note that, although the applicants mentioned the Agreement in their constitutional appeal, and did </w:t>
      </w:r>
      <w:r w:rsidRPr="00E213BA" w:rsidR="005E6167">
        <w:rPr>
          <w:lang w:val="en-GB"/>
        </w:rPr>
        <w:t xml:space="preserve">so </w:t>
      </w:r>
      <w:r w:rsidRPr="00E213BA">
        <w:rPr>
          <w:lang w:val="en-GB"/>
        </w:rPr>
        <w:t>against the background of their previous proceedings before the civil courts in which they had alleged discrimination, they did not raise their discrimination complaint before the Constitutional Court</w:t>
      </w:r>
      <w:r w:rsidRPr="00E213BA" w:rsidR="008C6409">
        <w:rPr>
          <w:lang w:val="en-GB"/>
        </w:rPr>
        <w:t>, either expressly or in substance</w:t>
      </w:r>
      <w:r w:rsidRPr="00E213BA">
        <w:rPr>
          <w:lang w:val="en-GB"/>
        </w:rPr>
        <w:t xml:space="preserve">. It is also quite understandable that the </w:t>
      </w:r>
      <w:r w:rsidRPr="00E213BA" w:rsidR="00DC0103">
        <w:rPr>
          <w:lang w:val="en-GB"/>
        </w:rPr>
        <w:t>Constitutional Court</w:t>
      </w:r>
      <w:r w:rsidRPr="00E213BA" w:rsidDel="00DC0103" w:rsidR="00DC0103">
        <w:rPr>
          <w:lang w:val="en-GB"/>
        </w:rPr>
        <w:t xml:space="preserve"> </w:t>
      </w:r>
      <w:r w:rsidRPr="00E213BA">
        <w:rPr>
          <w:lang w:val="en-GB"/>
        </w:rPr>
        <w:t>did not examine the matter of its own motion (see paragraph 35 above).</w:t>
      </w:r>
    </w:p>
    <w:p w:rsidRPr="00E213BA" w:rsidR="0022762A" w:rsidP="003D29A0" w:rsidRDefault="0022762A">
      <w:pPr>
        <w:pStyle w:val="ECHRPara"/>
        <w:rPr>
          <w:color w:val="000000"/>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83</w:t>
      </w:r>
      <w:r w:rsidRPr="00E213BA">
        <w:rPr>
          <w:lang w:val="en-GB"/>
        </w:rPr>
        <w:fldChar w:fldCharType="end"/>
      </w:r>
      <w:r w:rsidRPr="00E213BA">
        <w:rPr>
          <w:lang w:val="en-GB"/>
        </w:rPr>
        <w:t>.  The Grand Chamber, unlike the Chamber (see paragraphs 7</w:t>
      </w:r>
      <w:r w:rsidRPr="00E213BA" w:rsidR="007F5AD8">
        <w:rPr>
          <w:lang w:val="en-GB"/>
        </w:rPr>
        <w:t>1</w:t>
      </w:r>
      <w:r w:rsidRPr="00E213BA">
        <w:rPr>
          <w:lang w:val="en-GB"/>
        </w:rPr>
        <w:t xml:space="preserve"> to 7</w:t>
      </w:r>
      <w:r w:rsidRPr="00E213BA" w:rsidR="007F5AD8">
        <w:rPr>
          <w:lang w:val="en-GB"/>
        </w:rPr>
        <w:t>5</w:t>
      </w:r>
      <w:r w:rsidRPr="00E213BA">
        <w:rPr>
          <w:lang w:val="en-GB"/>
        </w:rPr>
        <w:t xml:space="preserve"> of the Chamber judgment), is not convinced that the constitutional remedy would not have been effective in the applicants</w:t>
      </w:r>
      <w:r w:rsidR="001F25A4">
        <w:rPr>
          <w:lang w:val="en-GB"/>
        </w:rPr>
        <w:t>’</w:t>
      </w:r>
      <w:r w:rsidRPr="00E213BA">
        <w:rPr>
          <w:lang w:val="en-GB"/>
        </w:rPr>
        <w:t xml:space="preserve"> case. </w:t>
      </w:r>
      <w:r w:rsidRPr="00E213BA">
        <w:rPr>
          <w:snapToGrid w:val="0"/>
          <w:szCs w:val="24"/>
          <w:lang w:val="en-GB"/>
        </w:rPr>
        <w:t>In this connection, t</w:t>
      </w:r>
      <w:r w:rsidRPr="00E213BA">
        <w:rPr>
          <w:lang w:val="en-GB"/>
        </w:rPr>
        <w:t>he Grand Chamber has taken note of</w:t>
      </w:r>
      <w:r w:rsidRPr="00E213BA">
        <w:rPr>
          <w:snapToGrid w:val="0"/>
          <w:szCs w:val="24"/>
          <w:lang w:val="en-GB"/>
        </w:rPr>
        <w:t xml:space="preserve"> three decisions by the Constitutional </w:t>
      </w:r>
      <w:r w:rsidRPr="00E213BA">
        <w:rPr>
          <w:snapToGrid w:val="0"/>
          <w:szCs w:val="24"/>
          <w:lang w:val="en-GB"/>
        </w:rPr>
        <w:lastRenderedPageBreak/>
        <w:t>Court in comparable cases, the first two (</w:t>
      </w:r>
      <w:r w:rsidRPr="00E213BA" w:rsidR="00215E50">
        <w:rPr>
          <w:snapToGrid w:val="0"/>
          <w:szCs w:val="24"/>
          <w:lang w:val="en-GB"/>
        </w:rPr>
        <w:t xml:space="preserve">of </w:t>
      </w:r>
      <w:r w:rsidRPr="00E213BA">
        <w:rPr>
          <w:snapToGrid w:val="0"/>
          <w:szCs w:val="24"/>
          <w:lang w:val="en-GB"/>
        </w:rPr>
        <w:t>17 February 2011 and 8</w:t>
      </w:r>
      <w:r w:rsidR="005D5624">
        <w:rPr>
          <w:snapToGrid w:val="0"/>
          <w:szCs w:val="24"/>
          <w:lang w:val="en-GB"/>
        </w:rPr>
        <w:t> </w:t>
      </w:r>
      <w:r w:rsidRPr="00E213BA">
        <w:rPr>
          <w:snapToGrid w:val="0"/>
          <w:szCs w:val="24"/>
          <w:lang w:val="en-GB"/>
        </w:rPr>
        <w:t>March</w:t>
      </w:r>
      <w:r w:rsidR="005D5624">
        <w:rPr>
          <w:snapToGrid w:val="0"/>
          <w:szCs w:val="24"/>
          <w:lang w:val="en-GB"/>
        </w:rPr>
        <w:t> </w:t>
      </w:r>
      <w:r w:rsidRPr="00E213BA">
        <w:rPr>
          <w:snapToGrid w:val="0"/>
          <w:szCs w:val="24"/>
          <w:lang w:val="en-GB"/>
        </w:rPr>
        <w:t xml:space="preserve">2012) </w:t>
      </w:r>
      <w:r w:rsidRPr="00E213BA" w:rsidR="00215E50">
        <w:rPr>
          <w:snapToGrid w:val="0"/>
          <w:szCs w:val="24"/>
          <w:lang w:val="en-GB"/>
        </w:rPr>
        <w:t xml:space="preserve">pre-dating </w:t>
      </w:r>
      <w:r w:rsidRPr="00E213BA">
        <w:rPr>
          <w:snapToGrid w:val="0"/>
          <w:szCs w:val="24"/>
          <w:lang w:val="en-GB"/>
        </w:rPr>
        <w:t>and the third (</w:t>
      </w:r>
      <w:r w:rsidRPr="00E213BA" w:rsidR="00215E50">
        <w:rPr>
          <w:snapToGrid w:val="0"/>
          <w:szCs w:val="24"/>
          <w:lang w:val="en-GB"/>
        </w:rPr>
        <w:t xml:space="preserve">of </w:t>
      </w:r>
      <w:r w:rsidRPr="00E213BA">
        <w:rPr>
          <w:snapToGrid w:val="0"/>
          <w:szCs w:val="24"/>
          <w:lang w:val="en-GB"/>
        </w:rPr>
        <w:t xml:space="preserve">20 February 2013) </w:t>
      </w:r>
      <w:r w:rsidRPr="00E213BA" w:rsidR="00215E50">
        <w:rPr>
          <w:snapToGrid w:val="0"/>
          <w:szCs w:val="24"/>
          <w:lang w:val="en-GB"/>
        </w:rPr>
        <w:t xml:space="preserve">post-dating </w:t>
      </w:r>
      <w:r w:rsidRPr="00E213BA">
        <w:rPr>
          <w:snapToGrid w:val="0"/>
          <w:szCs w:val="24"/>
          <w:lang w:val="en-GB"/>
        </w:rPr>
        <w:t>its judgment of 5 December 2012 in the applicants</w:t>
      </w:r>
      <w:r w:rsidR="001F25A4">
        <w:rPr>
          <w:snapToGrid w:val="0"/>
          <w:szCs w:val="24"/>
          <w:lang w:val="en-GB"/>
        </w:rPr>
        <w:t>’</w:t>
      </w:r>
      <w:r w:rsidRPr="00E213BA">
        <w:rPr>
          <w:snapToGrid w:val="0"/>
          <w:szCs w:val="24"/>
          <w:lang w:val="en-GB"/>
        </w:rPr>
        <w:t xml:space="preserve"> case</w:t>
      </w:r>
      <w:r w:rsidRPr="00E213BA" w:rsidR="00A935FC">
        <w:rPr>
          <w:snapToGrid w:val="0"/>
          <w:szCs w:val="24"/>
          <w:lang w:val="en-GB"/>
        </w:rPr>
        <w:t xml:space="preserve">. </w:t>
      </w:r>
      <w:r w:rsidRPr="00E213BA" w:rsidR="00AE2EC4">
        <w:rPr>
          <w:snapToGrid w:val="0"/>
          <w:szCs w:val="24"/>
          <w:lang w:val="en-GB"/>
        </w:rPr>
        <w:t>These</w:t>
      </w:r>
      <w:r w:rsidRPr="00E213BA" w:rsidR="00A935FC">
        <w:rPr>
          <w:snapToGrid w:val="0"/>
          <w:szCs w:val="24"/>
          <w:lang w:val="en-GB"/>
        </w:rPr>
        <w:t xml:space="preserve"> decision</w:t>
      </w:r>
      <w:r w:rsidRPr="00E213BA" w:rsidR="00AE2EC4">
        <w:rPr>
          <w:snapToGrid w:val="0"/>
          <w:szCs w:val="24"/>
          <w:lang w:val="en-GB"/>
        </w:rPr>
        <w:t>s</w:t>
      </w:r>
      <w:r w:rsidRPr="00E213BA" w:rsidR="00A935FC">
        <w:rPr>
          <w:snapToGrid w:val="0"/>
          <w:szCs w:val="24"/>
          <w:lang w:val="en-GB"/>
        </w:rPr>
        <w:t xml:space="preserve"> </w:t>
      </w:r>
      <w:r w:rsidRPr="00E213BA" w:rsidR="00AE2EC4">
        <w:rPr>
          <w:snapToGrid w:val="0"/>
          <w:szCs w:val="24"/>
          <w:lang w:val="en-GB"/>
        </w:rPr>
        <w:t>may</w:t>
      </w:r>
      <w:r w:rsidRPr="00E213BA">
        <w:rPr>
          <w:snapToGrid w:val="0"/>
          <w:szCs w:val="24"/>
          <w:lang w:val="en-GB"/>
        </w:rPr>
        <w:t xml:space="preserve"> shed some light on the effectiveness of this remedy in such matters. In none of these cases did the Constitutional Court decline jurisdiction to examine the complaints made under Article 21 of the Constitution in relation to the allegedly discriminatory effects of the Agreement. In two of them it omitted to deal with the issue but upheld the constitutional appeals in question on other grounds (see paragraphs 38 and 39 above). In the </w:t>
      </w:r>
      <w:r w:rsidRPr="00E213BA" w:rsidR="00B93B11">
        <w:rPr>
          <w:snapToGrid w:val="0"/>
          <w:szCs w:val="24"/>
          <w:lang w:val="en-GB"/>
        </w:rPr>
        <w:t xml:space="preserve">remaining </w:t>
      </w:r>
      <w:r w:rsidRPr="00E213BA">
        <w:rPr>
          <w:snapToGrid w:val="0"/>
          <w:szCs w:val="24"/>
          <w:lang w:val="en-GB"/>
        </w:rPr>
        <w:t>ruling, pre-dating the case now under review, the</w:t>
      </w:r>
      <w:r w:rsidRPr="00E213BA">
        <w:rPr>
          <w:lang w:val="en-GB"/>
        </w:rPr>
        <w:t xml:space="preserve"> Constitutional Court</w:t>
      </w:r>
      <w:r w:rsidRPr="00E213BA" w:rsidR="00B93B11">
        <w:rPr>
          <w:lang w:val="en-GB"/>
        </w:rPr>
        <w:t xml:space="preserve"> did not determine the complaint</w:t>
      </w:r>
      <w:r w:rsidRPr="00E213BA">
        <w:rPr>
          <w:lang w:val="en-GB"/>
        </w:rPr>
        <w:t xml:space="preserve">, referring to the “accessory character” of Article 21 and noting that the appellants had invoked no other constitutional provision to be applied in conjunction with that Article </w:t>
      </w:r>
      <w:r w:rsidRPr="00E213BA">
        <w:rPr>
          <w:snapToGrid w:val="0"/>
          <w:szCs w:val="24"/>
          <w:lang w:val="en-GB"/>
        </w:rPr>
        <w:t>(see paragraph 37 above</w:t>
      </w:r>
      <w:r w:rsidRPr="00E213BA">
        <w:rPr>
          <w:snapToGrid w:val="0"/>
          <w:color w:val="000000"/>
          <w:szCs w:val="24"/>
          <w:lang w:val="en-GB"/>
        </w:rPr>
        <w:t>).</w:t>
      </w:r>
    </w:p>
    <w:p w:rsidRPr="00E213BA" w:rsidR="0022762A" w:rsidP="003D29A0" w:rsidRDefault="0022762A">
      <w:pPr>
        <w:pStyle w:val="ECHRPara"/>
        <w:rPr>
          <w:snapToGrid w:val="0"/>
          <w:szCs w:val="24"/>
          <w:lang w:val="en-GB"/>
        </w:rPr>
      </w:pPr>
      <w:r w:rsidRPr="00E213BA">
        <w:rPr>
          <w:color w:val="000000"/>
          <w:lang w:val="en-GB"/>
        </w:rPr>
        <w:fldChar w:fldCharType="begin"/>
      </w:r>
      <w:r w:rsidRPr="00E213BA">
        <w:rPr>
          <w:color w:val="000000"/>
          <w:lang w:val="en-GB"/>
        </w:rPr>
        <w:instrText xml:space="preserve"> SEQ level0 \*arabic </w:instrText>
      </w:r>
      <w:r w:rsidRPr="00E213BA">
        <w:rPr>
          <w:color w:val="000000"/>
          <w:lang w:val="en-GB"/>
        </w:rPr>
        <w:fldChar w:fldCharType="separate"/>
      </w:r>
      <w:r w:rsidR="002B6D2B">
        <w:rPr>
          <w:noProof/>
          <w:color w:val="000000"/>
          <w:lang w:val="en-GB"/>
        </w:rPr>
        <w:t>84</w:t>
      </w:r>
      <w:r w:rsidRPr="00E213BA">
        <w:rPr>
          <w:color w:val="000000"/>
          <w:lang w:val="en-GB"/>
        </w:rPr>
        <w:fldChar w:fldCharType="end"/>
      </w:r>
      <w:r w:rsidRPr="00E213BA">
        <w:rPr>
          <w:color w:val="000000"/>
          <w:lang w:val="en-GB"/>
        </w:rPr>
        <w:t>.  In the Grand Chamber</w:t>
      </w:r>
      <w:r w:rsidR="001F25A4">
        <w:rPr>
          <w:color w:val="000000"/>
          <w:lang w:val="en-GB"/>
        </w:rPr>
        <w:t>’</w:t>
      </w:r>
      <w:r w:rsidRPr="00E213BA">
        <w:rPr>
          <w:color w:val="000000"/>
          <w:lang w:val="en-GB"/>
        </w:rPr>
        <w:t xml:space="preserve">s view, the above does not show that </w:t>
      </w:r>
      <w:r w:rsidRPr="00E213BA">
        <w:rPr>
          <w:snapToGrid w:val="0"/>
          <w:color w:val="000000"/>
          <w:szCs w:val="24"/>
          <w:lang w:val="en-GB"/>
        </w:rPr>
        <w:t>the constitutional remedy would have offered no reasonable prospect of success in respect of the applicants</w:t>
      </w:r>
      <w:r w:rsidR="001F25A4">
        <w:rPr>
          <w:snapToGrid w:val="0"/>
          <w:color w:val="000000"/>
          <w:szCs w:val="24"/>
          <w:lang w:val="en-GB"/>
        </w:rPr>
        <w:t>’</w:t>
      </w:r>
      <w:r w:rsidRPr="00E213BA">
        <w:rPr>
          <w:snapToGrid w:val="0"/>
          <w:color w:val="000000"/>
          <w:szCs w:val="24"/>
          <w:lang w:val="en-GB"/>
        </w:rPr>
        <w:t xml:space="preserve"> discrimination complaint had they sought to properly raise it before the Constitutional Court. On a number of previous occasions when examining applications lodged against the same respondent S</w:t>
      </w:r>
      <w:r w:rsidRPr="00E213BA" w:rsidR="00812A46">
        <w:rPr>
          <w:snapToGrid w:val="0"/>
          <w:color w:val="000000"/>
          <w:szCs w:val="24"/>
          <w:lang w:val="en-GB"/>
        </w:rPr>
        <w:t>t</w:t>
      </w:r>
      <w:r w:rsidRPr="00E213BA">
        <w:rPr>
          <w:snapToGrid w:val="0"/>
          <w:color w:val="000000"/>
          <w:szCs w:val="24"/>
          <w:lang w:val="en-GB"/>
        </w:rPr>
        <w:t>ate, the Court has</w:t>
      </w:r>
      <w:r w:rsidRPr="00E213BA">
        <w:rPr>
          <w:color w:val="000000"/>
          <w:lang w:val="en-GB"/>
        </w:rPr>
        <w:t xml:space="preserve"> held that “a constitutional appeal should, in principle, be considered as an effective domestic remedy within the meaning of Article 35 § 1 of the Convention in respect of all applications introduced [against </w:t>
      </w:r>
      <w:bookmarkStart w:name="File14" w:id="13"/>
      <w:r w:rsidRPr="00E213BA">
        <w:rPr>
          <w:color w:val="000000"/>
          <w:lang w:val="en-GB"/>
        </w:rPr>
        <w:t>Serbia</w:t>
      </w:r>
      <w:bookmarkEnd w:id="13"/>
      <w:r w:rsidRPr="00E213BA">
        <w:rPr>
          <w:color w:val="000000"/>
          <w:lang w:val="en-GB"/>
        </w:rPr>
        <w:t xml:space="preserve">] as of 7 August 2008” (see </w:t>
      </w:r>
      <w:proofErr w:type="spellStart"/>
      <w:r w:rsidRPr="00E213BA">
        <w:rPr>
          <w:i/>
          <w:color w:val="000000"/>
          <w:lang w:val="en-GB"/>
        </w:rPr>
        <w:t>Vinčić</w:t>
      </w:r>
      <w:proofErr w:type="spellEnd"/>
      <w:r w:rsidRPr="00E213BA">
        <w:rPr>
          <w:color w:val="000000"/>
          <w:lang w:val="en-GB"/>
        </w:rPr>
        <w:t xml:space="preserve">, cited above, § 51; see also </w:t>
      </w:r>
      <w:proofErr w:type="spellStart"/>
      <w:r w:rsidRPr="00E213BA">
        <w:rPr>
          <w:i/>
          <w:color w:val="000000"/>
          <w:lang w:val="en-GB"/>
        </w:rPr>
        <w:t>Rakić</w:t>
      </w:r>
      <w:proofErr w:type="spellEnd"/>
      <w:r w:rsidRPr="00E213BA">
        <w:rPr>
          <w:i/>
          <w:color w:val="000000"/>
          <w:lang w:val="en-GB"/>
        </w:rPr>
        <w:t xml:space="preserve"> and Others v. Serbia</w:t>
      </w:r>
      <w:r w:rsidRPr="00E213BA">
        <w:rPr>
          <w:color w:val="000000"/>
          <w:lang w:val="en-GB"/>
        </w:rPr>
        <w:t>, no. 47460/07 and others, § 39, 5 October 2010</w:t>
      </w:r>
      <w:r w:rsidRPr="00E213BA" w:rsidR="0003001C">
        <w:rPr>
          <w:color w:val="000000"/>
          <w:lang w:val="en-GB"/>
        </w:rPr>
        <w:t>,</w:t>
      </w:r>
      <w:r w:rsidRPr="00E213BA">
        <w:rPr>
          <w:color w:val="000000"/>
          <w:lang w:val="en-GB"/>
        </w:rPr>
        <w:t xml:space="preserve"> and </w:t>
      </w:r>
      <w:proofErr w:type="spellStart"/>
      <w:r w:rsidRPr="00E213BA">
        <w:rPr>
          <w:i/>
          <w:color w:val="000000"/>
          <w:lang w:val="en-GB"/>
        </w:rPr>
        <w:t>Hajnal</w:t>
      </w:r>
      <w:proofErr w:type="spellEnd"/>
      <w:r w:rsidRPr="00E213BA">
        <w:rPr>
          <w:i/>
          <w:color w:val="000000"/>
          <w:lang w:val="en-GB"/>
        </w:rPr>
        <w:t xml:space="preserve"> v. Serbia</w:t>
      </w:r>
      <w:r w:rsidRPr="00E213BA">
        <w:rPr>
          <w:color w:val="000000"/>
          <w:lang w:val="en-GB"/>
        </w:rPr>
        <w:t>, no. 36937/06</w:t>
      </w:r>
      <w:r w:rsidRPr="00E213BA">
        <w:rPr>
          <w:snapToGrid w:val="0"/>
          <w:color w:val="000000"/>
          <w:szCs w:val="24"/>
          <w:lang w:val="en-GB"/>
        </w:rPr>
        <w:t>, §§ 122 and 123, 19 June 2012). The Grand Chamber</w:t>
      </w:r>
      <w:r w:rsidRPr="00E213BA">
        <w:rPr>
          <w:snapToGrid w:val="0"/>
          <w:szCs w:val="24"/>
          <w:lang w:val="en-GB"/>
        </w:rPr>
        <w:t xml:space="preserve"> sees no reason for holding otherwise in </w:t>
      </w:r>
      <w:r w:rsidRPr="00E213BA" w:rsidR="00AA1D75">
        <w:rPr>
          <w:snapToGrid w:val="0"/>
          <w:szCs w:val="24"/>
          <w:lang w:val="en-GB"/>
        </w:rPr>
        <w:t xml:space="preserve">the </w:t>
      </w:r>
      <w:r w:rsidRPr="00E213BA">
        <w:rPr>
          <w:snapToGrid w:val="0"/>
          <w:szCs w:val="24"/>
          <w:lang w:val="en-GB"/>
        </w:rPr>
        <w:t xml:space="preserve">present instance. </w:t>
      </w:r>
      <w:r w:rsidRPr="00E213BA">
        <w:rPr>
          <w:lang w:val="en-GB"/>
        </w:rPr>
        <w:t xml:space="preserve">Indeed, </w:t>
      </w:r>
      <w:r w:rsidRPr="00E213BA" w:rsidR="008D75BF">
        <w:rPr>
          <w:lang w:val="en-GB"/>
        </w:rPr>
        <w:t>where</w:t>
      </w:r>
      <w:r w:rsidRPr="00E213BA">
        <w:rPr>
          <w:lang w:val="en-GB"/>
        </w:rPr>
        <w:t xml:space="preserve"> legal systems provide constitutional protection of fundamental human rights and freedoms, it is in principle incumbent on the aggrieved individual to test the extent of that protection and allow the domestic courts to develop those rights by way of interpretation (see </w:t>
      </w:r>
      <w:proofErr w:type="spellStart"/>
      <w:r w:rsidRPr="00E213BA">
        <w:rPr>
          <w:i/>
          <w:lang w:val="en-GB"/>
        </w:rPr>
        <w:t>Vinčić</w:t>
      </w:r>
      <w:proofErr w:type="spellEnd"/>
      <w:r w:rsidRPr="00E213BA">
        <w:rPr>
          <w:lang w:val="en-GB"/>
        </w:rPr>
        <w:t xml:space="preserve">, cited above, § 51; see also, </w:t>
      </w:r>
      <w:r w:rsidRPr="00E213BA">
        <w:rPr>
          <w:i/>
          <w:lang w:val="en-GB"/>
        </w:rPr>
        <w:t>mutatis mutandis</w:t>
      </w:r>
      <w:r w:rsidRPr="00E213BA">
        <w:rPr>
          <w:lang w:val="en-GB"/>
        </w:rPr>
        <w:t xml:space="preserve"> and in the common law context, </w:t>
      </w:r>
      <w:r w:rsidRPr="00E213BA" w:rsidR="004910AB">
        <w:rPr>
          <w:i/>
          <w:lang w:val="en-GB"/>
        </w:rPr>
        <w:t>D v. Ireland</w:t>
      </w:r>
      <w:r w:rsidRPr="00E213BA" w:rsidR="004910AB">
        <w:rPr>
          <w:lang w:val="en-GB"/>
        </w:rPr>
        <w:t xml:space="preserve"> (dec.), no. 26499/02, § 85, 28 June 2006</w:t>
      </w:r>
      <w:r w:rsidRPr="00E213BA" w:rsidR="007431DE">
        <w:rPr>
          <w:lang w:val="en-GB"/>
        </w:rPr>
        <w:t>,</w:t>
      </w:r>
      <w:r w:rsidRPr="00E213BA" w:rsidR="004910AB">
        <w:rPr>
          <w:lang w:val="en-GB"/>
        </w:rPr>
        <w:t xml:space="preserve"> and </w:t>
      </w:r>
      <w:r w:rsidR="00CE4347">
        <w:rPr>
          <w:i/>
          <w:lang w:val="en-GB"/>
        </w:rPr>
        <w:t>A, B and </w:t>
      </w:r>
      <w:r w:rsidRPr="00E213BA">
        <w:rPr>
          <w:i/>
          <w:lang w:val="en-GB"/>
        </w:rPr>
        <w:t>C v. Ireland</w:t>
      </w:r>
      <w:r w:rsidRPr="00E213BA">
        <w:rPr>
          <w:lang w:val="en-GB"/>
        </w:rPr>
        <w:t xml:space="preserve"> [GC], no. 25579/05, § 142, ECHR 2010). </w:t>
      </w:r>
      <w:r w:rsidRPr="00E213BA">
        <w:rPr>
          <w:snapToGrid w:val="0"/>
          <w:szCs w:val="24"/>
          <w:lang w:val="en-GB"/>
        </w:rPr>
        <w:t xml:space="preserve">As already stated above, the existence of mere doubts as to the prospects of success of a particular remedy which is not obviously futile is not a valid reason for failing to exhaust that avenue of redress (see paragraph </w:t>
      </w:r>
      <w:r w:rsidRPr="00E213BA" w:rsidR="001C12E9">
        <w:rPr>
          <w:snapToGrid w:val="0"/>
          <w:szCs w:val="24"/>
          <w:lang w:val="en-GB"/>
        </w:rPr>
        <w:t>7</w:t>
      </w:r>
      <w:r w:rsidRPr="00E213BA" w:rsidR="00904546">
        <w:rPr>
          <w:snapToGrid w:val="0"/>
          <w:szCs w:val="24"/>
          <w:lang w:val="en-GB"/>
        </w:rPr>
        <w:t>4</w:t>
      </w:r>
      <w:r w:rsidRPr="00E213BA">
        <w:rPr>
          <w:snapToGrid w:val="0"/>
          <w:szCs w:val="24"/>
          <w:lang w:val="en-GB"/>
        </w:rPr>
        <w:t xml:space="preserve"> above).</w:t>
      </w:r>
    </w:p>
    <w:p w:rsidR="001753CB"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85</w:t>
      </w:r>
      <w:r w:rsidRPr="00E213BA">
        <w:rPr>
          <w:lang w:val="en-GB"/>
        </w:rPr>
        <w:fldChar w:fldCharType="end"/>
      </w:r>
      <w:r w:rsidRPr="00E213BA">
        <w:rPr>
          <w:lang w:val="en-GB"/>
        </w:rPr>
        <w:t xml:space="preserve">.  Against this background, the Court finds that, although the civil and constitutional remedies were sufficient and available to afford redress in respect of the breaches alleged, the applicants failed to exhaust </w:t>
      </w:r>
      <w:r w:rsidRPr="00E213BA" w:rsidR="00D01478">
        <w:rPr>
          <w:lang w:val="en-GB"/>
        </w:rPr>
        <w:t xml:space="preserve">these </w:t>
      </w:r>
      <w:r w:rsidRPr="00E213BA">
        <w:rPr>
          <w:lang w:val="en-GB"/>
        </w:rPr>
        <w:t>remedies</w:t>
      </w:r>
      <w:r w:rsidRPr="00E213BA" w:rsidR="00D01478">
        <w:rPr>
          <w:lang w:val="en-GB"/>
        </w:rPr>
        <w:t>.</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proofErr w:type="gramStart"/>
      <w:r w:rsidR="002B6D2B">
        <w:rPr>
          <w:noProof/>
          <w:lang w:val="en-GB"/>
        </w:rPr>
        <w:t>86</w:t>
      </w:r>
      <w:r w:rsidRPr="00E213BA">
        <w:rPr>
          <w:lang w:val="en-GB"/>
        </w:rPr>
        <w:fldChar w:fldCharType="end"/>
      </w:r>
      <w:r w:rsidRPr="00E213BA">
        <w:rPr>
          <w:lang w:val="en-GB"/>
        </w:rPr>
        <w:t>.</w:t>
      </w:r>
      <w:proofErr w:type="gramEnd"/>
      <w:r w:rsidRPr="00E213BA">
        <w:rPr>
          <w:lang w:val="en-GB"/>
        </w:rPr>
        <w:t>  </w:t>
      </w:r>
      <w:r w:rsidRPr="00E213BA" w:rsidR="00D01478">
        <w:rPr>
          <w:lang w:val="en-GB"/>
        </w:rPr>
        <w:t xml:space="preserve">It remains to be considered whether </w:t>
      </w:r>
      <w:r w:rsidRPr="00E213BA">
        <w:rPr>
          <w:lang w:val="en-GB"/>
        </w:rPr>
        <w:t>there were any special circumstances that could</w:t>
      </w:r>
      <w:r w:rsidRPr="00E213BA" w:rsidR="00F92A20">
        <w:rPr>
          <w:lang w:val="en-GB"/>
        </w:rPr>
        <w:t xml:space="preserve"> have</w:t>
      </w:r>
      <w:r w:rsidRPr="00E213BA">
        <w:rPr>
          <w:lang w:val="en-GB"/>
        </w:rPr>
        <w:t xml:space="preserve"> dispense</w:t>
      </w:r>
      <w:r w:rsidRPr="00E213BA" w:rsidR="00F92A20">
        <w:rPr>
          <w:lang w:val="en-GB"/>
        </w:rPr>
        <w:t>d</w:t>
      </w:r>
      <w:r w:rsidRPr="00E213BA">
        <w:rPr>
          <w:lang w:val="en-GB"/>
        </w:rPr>
        <w:t xml:space="preserve"> the applicants from their above</w:t>
      </w:r>
      <w:r w:rsidR="00C807DE">
        <w:rPr>
          <w:lang w:val="en-GB"/>
        </w:rPr>
        <w:noBreakHyphen/>
      </w:r>
      <w:r w:rsidRPr="00E213BA">
        <w:rPr>
          <w:lang w:val="en-GB"/>
        </w:rPr>
        <w:t xml:space="preserve">mentioned </w:t>
      </w:r>
      <w:r w:rsidRPr="00E213BA" w:rsidR="008C00D2">
        <w:rPr>
          <w:lang w:val="en-GB"/>
        </w:rPr>
        <w:t>requirement</w:t>
      </w:r>
      <w:r w:rsidRPr="00E213BA">
        <w:rPr>
          <w:lang w:val="en-GB"/>
        </w:rPr>
        <w:t>.</w:t>
      </w:r>
    </w:p>
    <w:p w:rsidRPr="00E213BA" w:rsidR="0022762A" w:rsidP="003D29A0" w:rsidRDefault="0022762A">
      <w:pPr>
        <w:pStyle w:val="ECHRPara"/>
        <w:rPr>
          <w:lang w:val="en-GB"/>
        </w:rPr>
      </w:pPr>
      <w:r w:rsidRPr="00E213BA">
        <w:rPr>
          <w:lang w:val="en-GB"/>
        </w:rPr>
        <w:lastRenderedPageBreak/>
        <w:fldChar w:fldCharType="begin"/>
      </w:r>
      <w:r w:rsidRPr="00E213BA">
        <w:rPr>
          <w:lang w:val="en-GB"/>
        </w:rPr>
        <w:instrText xml:space="preserve"> SEQ level0 \*arabic </w:instrText>
      </w:r>
      <w:r w:rsidRPr="00E213BA">
        <w:rPr>
          <w:lang w:val="en-GB"/>
        </w:rPr>
        <w:fldChar w:fldCharType="separate"/>
      </w:r>
      <w:r w:rsidR="002B6D2B">
        <w:rPr>
          <w:noProof/>
          <w:lang w:val="en-GB"/>
        </w:rPr>
        <w:t>87</w:t>
      </w:r>
      <w:r w:rsidRPr="00E213BA">
        <w:rPr>
          <w:lang w:val="en-GB"/>
        </w:rPr>
        <w:fldChar w:fldCharType="end"/>
      </w:r>
      <w:r w:rsidRPr="00E213BA" w:rsidR="00812A46">
        <w:rPr>
          <w:lang w:val="en-GB"/>
        </w:rPr>
        <w:t>.  </w:t>
      </w:r>
      <w:r w:rsidRPr="00E213BA">
        <w:rPr>
          <w:lang w:val="en-GB"/>
        </w:rPr>
        <w:t xml:space="preserve">On this point, </w:t>
      </w:r>
      <w:r w:rsidRPr="00E213BA" w:rsidR="001F139C">
        <w:rPr>
          <w:lang w:val="en-GB"/>
        </w:rPr>
        <w:t xml:space="preserve">the Court </w:t>
      </w:r>
      <w:r w:rsidRPr="00E213BA">
        <w:rPr>
          <w:lang w:val="en-GB"/>
        </w:rPr>
        <w:t>observes that</w:t>
      </w:r>
      <w:r w:rsidRPr="00E213BA" w:rsidR="00812A46">
        <w:rPr>
          <w:lang w:val="en-GB"/>
        </w:rPr>
        <w:t xml:space="preserve">, </w:t>
      </w:r>
      <w:r w:rsidRPr="00E213BA">
        <w:rPr>
          <w:lang w:val="en-GB"/>
        </w:rPr>
        <w:t>although the applicants</w:t>
      </w:r>
      <w:r w:rsidR="001F25A4">
        <w:rPr>
          <w:lang w:val="en-GB"/>
        </w:rPr>
        <w:t>’</w:t>
      </w:r>
      <w:r w:rsidRPr="00E213BA">
        <w:rPr>
          <w:lang w:val="en-GB"/>
        </w:rPr>
        <w:t xml:space="preserve"> claim to the </w:t>
      </w:r>
      <w:r w:rsidRPr="00E213BA">
        <w:rPr>
          <w:i/>
          <w:lang w:val="en-GB"/>
        </w:rPr>
        <w:t>per diems</w:t>
      </w:r>
      <w:r w:rsidRPr="00E213BA">
        <w:rPr>
          <w:lang w:val="en-GB"/>
        </w:rPr>
        <w:t xml:space="preserve"> in question dated as far back as 1999, no </w:t>
      </w:r>
      <w:r w:rsidRPr="00E213BA" w:rsidR="00812A46">
        <w:rPr>
          <w:lang w:val="en-GB"/>
        </w:rPr>
        <w:t xml:space="preserve">convincing </w:t>
      </w:r>
      <w:r w:rsidRPr="00E213BA">
        <w:rPr>
          <w:lang w:val="en-GB"/>
        </w:rPr>
        <w:t xml:space="preserve">explanation has been </w:t>
      </w:r>
      <w:r w:rsidRPr="00E213BA" w:rsidR="00597317">
        <w:rPr>
          <w:lang w:val="en-GB"/>
        </w:rPr>
        <w:t xml:space="preserve">provided </w:t>
      </w:r>
      <w:r w:rsidRPr="00E213BA">
        <w:rPr>
          <w:lang w:val="en-GB"/>
        </w:rPr>
        <w:t>as to why they did not institute proceedings to obtain recovery of the alleged debts earlier.</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88</w:t>
      </w:r>
      <w:r w:rsidRPr="00E213BA">
        <w:rPr>
          <w:lang w:val="en-GB"/>
        </w:rPr>
        <w:fldChar w:fldCharType="end"/>
      </w:r>
      <w:r w:rsidRPr="00E213BA">
        <w:rPr>
          <w:lang w:val="en-GB"/>
        </w:rPr>
        <w:t>.  The Court also note</w:t>
      </w:r>
      <w:r w:rsidRPr="00E213BA" w:rsidR="00D01478">
        <w:rPr>
          <w:lang w:val="en-GB"/>
        </w:rPr>
        <w:t>s</w:t>
      </w:r>
      <w:r w:rsidRPr="00E213BA">
        <w:rPr>
          <w:lang w:val="en-GB"/>
        </w:rPr>
        <w:t xml:space="preserve"> that the Constitutional Court did review and </w:t>
      </w:r>
      <w:r w:rsidRPr="00E213BA" w:rsidR="009B18D9">
        <w:rPr>
          <w:lang w:val="en-GB"/>
        </w:rPr>
        <w:t xml:space="preserve">indeed </w:t>
      </w:r>
      <w:r w:rsidRPr="00E213BA">
        <w:rPr>
          <w:lang w:val="en-GB"/>
        </w:rPr>
        <w:t>uph</w:t>
      </w:r>
      <w:r w:rsidRPr="00E213BA" w:rsidR="009B18D9">
        <w:rPr>
          <w:lang w:val="en-GB"/>
        </w:rPr>
        <w:t>o</w:t>
      </w:r>
      <w:r w:rsidRPr="00E213BA">
        <w:rPr>
          <w:lang w:val="en-GB"/>
        </w:rPr>
        <w:t>ld the applicants</w:t>
      </w:r>
      <w:r w:rsidR="001F25A4">
        <w:rPr>
          <w:lang w:val="en-GB"/>
        </w:rPr>
        <w:t>’</w:t>
      </w:r>
      <w:r w:rsidRPr="00E213BA">
        <w:rPr>
          <w:lang w:val="en-GB"/>
        </w:rPr>
        <w:t xml:space="preserve"> complaint that the civil courts</w:t>
      </w:r>
      <w:r w:rsidR="001F25A4">
        <w:rPr>
          <w:lang w:val="en-GB"/>
        </w:rPr>
        <w:t>’</w:t>
      </w:r>
      <w:r w:rsidRPr="00E213BA">
        <w:rPr>
          <w:lang w:val="en-GB"/>
        </w:rPr>
        <w:t xml:space="preserve"> case-law on the application of the statutory prescription rules had been inconsistent and, albeit founded on a “constitutionally acceptable interpretation”, entailed a violation of the reservists</w:t>
      </w:r>
      <w:r w:rsidR="001F25A4">
        <w:rPr>
          <w:lang w:val="en-GB"/>
        </w:rPr>
        <w:t>’</w:t>
      </w:r>
      <w:r w:rsidRPr="00E213BA">
        <w:rPr>
          <w:lang w:val="en-GB"/>
        </w:rPr>
        <w:t xml:space="preserve"> right to equal protection before the courts. </w:t>
      </w:r>
      <w:r w:rsidRPr="00E213BA" w:rsidR="009B18D9">
        <w:rPr>
          <w:lang w:val="en-GB"/>
        </w:rPr>
        <w:t xml:space="preserve">In </w:t>
      </w:r>
      <w:r w:rsidRPr="00E213BA">
        <w:rPr>
          <w:lang w:val="en-GB"/>
        </w:rPr>
        <w:t>the Court</w:t>
      </w:r>
      <w:r w:rsidR="001F25A4">
        <w:rPr>
          <w:lang w:val="en-GB"/>
        </w:rPr>
        <w:t>’</w:t>
      </w:r>
      <w:r w:rsidRPr="00E213BA">
        <w:rPr>
          <w:lang w:val="en-GB"/>
        </w:rPr>
        <w:t xml:space="preserve">s understanding this finding indicated that, whilst the interpretation of the </w:t>
      </w:r>
      <w:r w:rsidRPr="00E213BA" w:rsidR="004368FB">
        <w:rPr>
          <w:lang w:val="en-GB"/>
        </w:rPr>
        <w:t xml:space="preserve">statutory </w:t>
      </w:r>
      <w:r w:rsidRPr="00E213BA">
        <w:rPr>
          <w:lang w:val="en-GB"/>
        </w:rPr>
        <w:t xml:space="preserve">limitation rules in the instant case had been deemed “acceptable” when considered </w:t>
      </w:r>
      <w:r w:rsidRPr="00E213BA" w:rsidR="009B18D9">
        <w:rPr>
          <w:lang w:val="en-GB"/>
        </w:rPr>
        <w:t>in isolation</w:t>
      </w:r>
      <w:r w:rsidRPr="00E213BA">
        <w:rPr>
          <w:lang w:val="en-GB"/>
        </w:rPr>
        <w:t>, what was incompatible with the constitutional right in question was the national civil courts</w:t>
      </w:r>
      <w:r w:rsidR="001F25A4">
        <w:rPr>
          <w:lang w:val="en-GB"/>
        </w:rPr>
        <w:t>’</w:t>
      </w:r>
      <w:r w:rsidRPr="00E213BA">
        <w:rPr>
          <w:lang w:val="en-GB"/>
        </w:rPr>
        <w:t xml:space="preserve"> differing practices in this area. Moreover, it appears that the applicants could </w:t>
      </w:r>
      <w:r w:rsidRPr="00E213BA" w:rsidR="00812A46">
        <w:rPr>
          <w:lang w:val="en-GB"/>
        </w:rPr>
        <w:t xml:space="preserve">have </w:t>
      </w:r>
      <w:r w:rsidRPr="00E213BA" w:rsidR="005074EC">
        <w:rPr>
          <w:lang w:val="en-GB"/>
        </w:rPr>
        <w:t xml:space="preserve">relied on </w:t>
      </w:r>
      <w:r w:rsidRPr="00E213BA">
        <w:rPr>
          <w:lang w:val="en-GB"/>
        </w:rPr>
        <w:t>the said ruling as a ground for seeking the reopening of their case before the civil courts (see paragraph</w:t>
      </w:r>
      <w:r w:rsidRPr="00E213BA" w:rsidR="009332B5">
        <w:rPr>
          <w:lang w:val="en-GB"/>
        </w:rPr>
        <w:t>s</w:t>
      </w:r>
      <w:r w:rsidRPr="00E213BA">
        <w:rPr>
          <w:lang w:val="en-GB"/>
        </w:rPr>
        <w:t xml:space="preserve"> 42</w:t>
      </w:r>
      <w:r w:rsidRPr="00E213BA" w:rsidR="007F5AD8">
        <w:rPr>
          <w:lang w:val="en-GB"/>
        </w:rPr>
        <w:t xml:space="preserve"> and 43</w:t>
      </w:r>
      <w:r w:rsidRPr="00E213BA">
        <w:rPr>
          <w:lang w:val="en-GB"/>
        </w:rPr>
        <w:t xml:space="preserve"> above).</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89</w:t>
      </w:r>
      <w:r w:rsidRPr="00E213BA">
        <w:rPr>
          <w:lang w:val="en-GB"/>
        </w:rPr>
        <w:fldChar w:fldCharType="end"/>
      </w:r>
      <w:r w:rsidRPr="00E213BA">
        <w:rPr>
          <w:lang w:val="en-GB"/>
        </w:rPr>
        <w:t>.  </w:t>
      </w:r>
      <w:r w:rsidRPr="00E213BA" w:rsidR="00D01478">
        <w:rPr>
          <w:lang w:val="en-GB"/>
        </w:rPr>
        <w:t xml:space="preserve">In any event, </w:t>
      </w:r>
      <w:r w:rsidRPr="00E213BA">
        <w:rPr>
          <w:lang w:val="en-GB"/>
        </w:rPr>
        <w:t>before the Constitutional Court adjudicated the matter the Chamber had examined a corresponding complaint</w:t>
      </w:r>
      <w:r w:rsidRPr="00E213BA" w:rsidR="000F069E">
        <w:rPr>
          <w:lang w:val="en-GB"/>
        </w:rPr>
        <w:t>,</w:t>
      </w:r>
      <w:r w:rsidRPr="00E213BA">
        <w:rPr>
          <w:lang w:val="en-GB"/>
        </w:rPr>
        <w:t xml:space="preserve"> lodged by the applicants under Article 6 § 1 of the Convention</w:t>
      </w:r>
      <w:r w:rsidRPr="00E213BA" w:rsidR="000F069E">
        <w:rPr>
          <w:lang w:val="en-GB"/>
        </w:rPr>
        <w:t>,</w:t>
      </w:r>
      <w:r w:rsidRPr="00E213BA">
        <w:rPr>
          <w:lang w:val="en-GB"/>
        </w:rPr>
        <w:t xml:space="preserve"> about the inconsistent case-law of the </w:t>
      </w:r>
      <w:bookmarkStart w:name="File15" w:id="14"/>
      <w:r w:rsidRPr="00E213BA">
        <w:rPr>
          <w:lang w:val="en-GB"/>
        </w:rPr>
        <w:t>Serbia</w:t>
      </w:r>
      <w:bookmarkEnd w:id="14"/>
      <w:r w:rsidRPr="00E213BA">
        <w:rPr>
          <w:lang w:val="en-GB"/>
        </w:rPr>
        <w:t>n courts, on account of the rejection of their own claims by the Appeals Court and the acceptance by other civil courts of identical claims filed by other reservists based on a different interpretation of the applicable prescription periods. In</w:t>
      </w:r>
      <w:r w:rsidR="00E506A4">
        <w:rPr>
          <w:lang w:val="en-GB"/>
        </w:rPr>
        <w:t xml:space="preserve"> its above-cited judgment of 28 </w:t>
      </w:r>
      <w:r w:rsidRPr="00E213BA">
        <w:rPr>
          <w:lang w:val="en-GB"/>
        </w:rPr>
        <w:t xml:space="preserve">August 2012, the Chamber carried out a detailed review of the relevant circumstances and, considering that the relevant appellate case-law had been harmonised at the material time (see paragraphs 54 to 60 of the judgment), declared the complaint inadmissible as being manifestly ill-founded in a decision which delimits the case referred to the Grand Chamber and which is thus final (see paragraph </w:t>
      </w:r>
      <w:r w:rsidRPr="00E213BA" w:rsidR="001C12E9">
        <w:rPr>
          <w:lang w:val="en-GB"/>
        </w:rPr>
        <w:t>5</w:t>
      </w:r>
      <w:r w:rsidRPr="00E213BA" w:rsidR="00904546">
        <w:rPr>
          <w:lang w:val="en-GB"/>
        </w:rPr>
        <w:t>6</w:t>
      </w:r>
      <w:r w:rsidRPr="00E213BA">
        <w:rPr>
          <w:lang w:val="en-GB"/>
        </w:rPr>
        <w:t xml:space="preserve"> above).</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90</w:t>
      </w:r>
      <w:r w:rsidRPr="00E213BA">
        <w:rPr>
          <w:lang w:val="en-GB"/>
        </w:rPr>
        <w:fldChar w:fldCharType="end"/>
      </w:r>
      <w:r w:rsidRPr="00E213BA">
        <w:rPr>
          <w:lang w:val="en-GB"/>
        </w:rPr>
        <w:t xml:space="preserve">.  In view of the above and having regard to the circumstances of the case as a whole, the Court does not find that there were any special reasons for dispensing the applicants from the requirement to exhaust domestic remedies in accordance with the applicable rules and procedure of domestic law. On the contrary, had the applicants complied with this requirement, it would have given the domestic courts that opportunity which the rule of exhaustion of domestic remedies is designed to afford States, namely to determine the issue of compatibility of the impugned national measures, or omissions to act, with the Convention and, should the applicants nonetheless have pursued their complaint before the European Court, </w:t>
      </w:r>
      <w:r w:rsidRPr="00E213BA" w:rsidR="00A1421E">
        <w:rPr>
          <w:lang w:val="en-GB"/>
        </w:rPr>
        <w:t>this Court</w:t>
      </w:r>
      <w:r w:rsidRPr="00E213BA">
        <w:rPr>
          <w:lang w:val="en-GB"/>
        </w:rPr>
        <w:t xml:space="preserve"> would have </w:t>
      </w:r>
      <w:r w:rsidRPr="00E213BA" w:rsidR="00506B76">
        <w:rPr>
          <w:lang w:val="en-GB"/>
        </w:rPr>
        <w:t>had</w:t>
      </w:r>
      <w:r w:rsidRPr="00E213BA">
        <w:rPr>
          <w:lang w:val="en-GB"/>
        </w:rPr>
        <w:t xml:space="preserve"> the benefit of the views of the national courts (see, among other authorities, </w:t>
      </w:r>
      <w:r w:rsidRPr="00E213BA">
        <w:rPr>
          <w:i/>
          <w:lang w:val="en-GB"/>
        </w:rPr>
        <w:t xml:space="preserve">Van </w:t>
      </w:r>
      <w:proofErr w:type="spellStart"/>
      <w:r w:rsidRPr="00E213BA">
        <w:rPr>
          <w:i/>
          <w:lang w:val="en-GB"/>
        </w:rPr>
        <w:t>Oosterwijck</w:t>
      </w:r>
      <w:proofErr w:type="spellEnd"/>
      <w:r w:rsidRPr="00E213BA">
        <w:rPr>
          <w:lang w:val="en-GB"/>
        </w:rPr>
        <w:t>, cited above, § 34</w:t>
      </w:r>
      <w:r w:rsidRPr="00E213BA" w:rsidR="00BE45EC">
        <w:rPr>
          <w:lang w:val="en-GB"/>
        </w:rPr>
        <w:t>,</w:t>
      </w:r>
      <w:r w:rsidRPr="00E213BA">
        <w:rPr>
          <w:lang w:val="en-GB"/>
        </w:rPr>
        <w:t xml:space="preserve"> and </w:t>
      </w:r>
      <w:r w:rsidRPr="00E213BA">
        <w:rPr>
          <w:i/>
          <w:lang w:val="en-GB"/>
        </w:rPr>
        <w:t>Burden v.</w:t>
      </w:r>
      <w:r w:rsidR="00C807DE">
        <w:rPr>
          <w:i/>
          <w:lang w:val="en-GB"/>
        </w:rPr>
        <w:t> </w:t>
      </w:r>
      <w:r w:rsidRPr="00E213BA">
        <w:rPr>
          <w:i/>
          <w:lang w:val="en-GB"/>
        </w:rPr>
        <w:t>the United Kingdom</w:t>
      </w:r>
      <w:r w:rsidRPr="00E213BA">
        <w:rPr>
          <w:lang w:val="en-GB"/>
        </w:rPr>
        <w:t xml:space="preserve"> [GC], no. 13378/05, § 42, ECHR 2008). Thus, the applicants failed to take appropriate steps to enable the national courts to fulfil their fundamental role in the Convention protection system, that of the </w:t>
      </w:r>
      <w:r w:rsidRPr="00E213BA">
        <w:rPr>
          <w:lang w:val="en-GB"/>
        </w:rPr>
        <w:lastRenderedPageBreak/>
        <w:t xml:space="preserve">European Court being subsidiary to theirs (see </w:t>
      </w:r>
      <w:r w:rsidRPr="00E213BA">
        <w:rPr>
          <w:i/>
          <w:lang w:val="en-GB"/>
        </w:rPr>
        <w:t>Burden</w:t>
      </w:r>
      <w:r w:rsidRPr="00E213BA">
        <w:rPr>
          <w:lang w:val="en-GB"/>
        </w:rPr>
        <w:t>, cited above, § 42</w:t>
      </w:r>
      <w:r w:rsidRPr="00E213BA" w:rsidR="00BE45EC">
        <w:rPr>
          <w:lang w:val="en-GB"/>
        </w:rPr>
        <w:t>,</w:t>
      </w:r>
      <w:r w:rsidRPr="00E213BA">
        <w:rPr>
          <w:lang w:val="en-GB"/>
        </w:rPr>
        <w:t xml:space="preserve"> and </w:t>
      </w:r>
      <w:proofErr w:type="spellStart"/>
      <w:r w:rsidRPr="00E213BA">
        <w:rPr>
          <w:i/>
          <w:lang w:val="en-GB"/>
        </w:rPr>
        <w:t>Akdivar</w:t>
      </w:r>
      <w:proofErr w:type="spellEnd"/>
      <w:r w:rsidRPr="00E213BA">
        <w:rPr>
          <w:i/>
          <w:lang w:val="en-GB"/>
        </w:rPr>
        <w:t xml:space="preserve"> and </w:t>
      </w:r>
      <w:proofErr w:type="gramStart"/>
      <w:r w:rsidRPr="00E213BA">
        <w:rPr>
          <w:i/>
          <w:lang w:val="en-GB"/>
        </w:rPr>
        <w:t>Others</w:t>
      </w:r>
      <w:proofErr w:type="gramEnd"/>
      <w:r w:rsidRPr="00E213BA">
        <w:rPr>
          <w:lang w:val="en-GB"/>
        </w:rPr>
        <w:t>, cited above, §§ 65-66).</w:t>
      </w:r>
    </w:p>
    <w:p w:rsidR="001753CB" w:rsidP="0051652E"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91</w:t>
      </w:r>
      <w:r w:rsidRPr="00E213BA">
        <w:rPr>
          <w:lang w:val="en-GB"/>
        </w:rPr>
        <w:fldChar w:fldCharType="end"/>
      </w:r>
      <w:r w:rsidRPr="00E213BA">
        <w:rPr>
          <w:lang w:val="en-GB"/>
        </w:rPr>
        <w:t xml:space="preserve">.  Accordingly, </w:t>
      </w:r>
      <w:r w:rsidRPr="00E213BA" w:rsidR="00D01478">
        <w:rPr>
          <w:lang w:val="en-GB"/>
        </w:rPr>
        <w:t>the Grand Chamber upholds th</w:t>
      </w:r>
      <w:r w:rsidRPr="00E213BA" w:rsidR="003D4729">
        <w:rPr>
          <w:lang w:val="en-GB"/>
        </w:rPr>
        <w:t xml:space="preserve">e </w:t>
      </w:r>
      <w:r w:rsidRPr="00E213BA" w:rsidR="00D01478">
        <w:rPr>
          <w:lang w:val="en-GB"/>
        </w:rPr>
        <w:t xml:space="preserve">preliminary objection </w:t>
      </w:r>
      <w:r w:rsidRPr="00E213BA" w:rsidR="00386D88">
        <w:rPr>
          <w:lang w:val="en-GB"/>
        </w:rPr>
        <w:t xml:space="preserve">of the Government </w:t>
      </w:r>
      <w:r w:rsidRPr="00E213BA" w:rsidR="003D4729">
        <w:rPr>
          <w:lang w:val="en-GB"/>
        </w:rPr>
        <w:t>as regards the applicants</w:t>
      </w:r>
      <w:r w:rsidR="001F25A4">
        <w:rPr>
          <w:lang w:val="en-GB"/>
        </w:rPr>
        <w:t>’</w:t>
      </w:r>
      <w:r w:rsidRPr="00E213BA">
        <w:rPr>
          <w:lang w:val="en-GB"/>
        </w:rPr>
        <w:t xml:space="preserve"> discrimination complaint</w:t>
      </w:r>
      <w:r w:rsidRPr="00E213BA" w:rsidR="007D33D9">
        <w:rPr>
          <w:lang w:val="en-GB"/>
        </w:rPr>
        <w:t xml:space="preserve">. It cannot </w:t>
      </w:r>
      <w:r w:rsidRPr="00E213BA" w:rsidR="00D01E36">
        <w:rPr>
          <w:lang w:val="en-GB"/>
        </w:rPr>
        <w:t xml:space="preserve">therefore consider </w:t>
      </w:r>
      <w:r w:rsidRPr="00E213BA" w:rsidR="007D33D9">
        <w:rPr>
          <w:lang w:val="en-GB"/>
        </w:rPr>
        <w:t xml:space="preserve">the </w:t>
      </w:r>
      <w:r w:rsidRPr="00E213BA" w:rsidR="00D01E36">
        <w:rPr>
          <w:lang w:val="en-GB"/>
        </w:rPr>
        <w:t>merits</w:t>
      </w:r>
      <w:r w:rsidRPr="00E213BA" w:rsidR="007D33D9">
        <w:rPr>
          <w:lang w:val="en-GB"/>
        </w:rPr>
        <w:t xml:space="preserve"> of this complaint.</w:t>
      </w:r>
    </w:p>
    <w:p w:rsidRPr="00E213BA" w:rsidR="0022762A" w:rsidP="00420A26" w:rsidRDefault="0022762A">
      <w:pPr>
        <w:pStyle w:val="ECHRHeading2"/>
      </w:pPr>
      <w:r w:rsidRPr="00E213BA">
        <w:t>B.  Other preliminary objections</w:t>
      </w:r>
    </w:p>
    <w:p w:rsidRPr="00E213BA" w:rsidR="0022762A" w:rsidP="003D29A0" w:rsidRDefault="0022762A">
      <w:pPr>
        <w:pStyle w:val="ECHRPara"/>
        <w:rPr>
          <w:lang w:val="en-GB"/>
        </w:rPr>
      </w:pPr>
      <w:r w:rsidRPr="00E213BA">
        <w:rPr>
          <w:lang w:val="en-GB"/>
        </w:rPr>
        <w:fldChar w:fldCharType="begin"/>
      </w:r>
      <w:r w:rsidRPr="00E213BA">
        <w:rPr>
          <w:lang w:val="en-GB"/>
        </w:rPr>
        <w:instrText xml:space="preserve"> SEQ level0 \*arabic </w:instrText>
      </w:r>
      <w:r w:rsidRPr="00E213BA">
        <w:rPr>
          <w:lang w:val="en-GB"/>
        </w:rPr>
        <w:fldChar w:fldCharType="separate"/>
      </w:r>
      <w:r w:rsidR="002B6D2B">
        <w:rPr>
          <w:noProof/>
          <w:lang w:val="en-GB"/>
        </w:rPr>
        <w:t>92</w:t>
      </w:r>
      <w:r w:rsidRPr="00E213BA">
        <w:rPr>
          <w:lang w:val="en-GB"/>
        </w:rPr>
        <w:fldChar w:fldCharType="end"/>
      </w:r>
      <w:r w:rsidRPr="00E213BA">
        <w:rPr>
          <w:lang w:val="en-GB"/>
        </w:rPr>
        <w:t>.  Given the above conclusion it is not necessary for the Court to examine the Government</w:t>
      </w:r>
      <w:r w:rsidR="001F25A4">
        <w:rPr>
          <w:lang w:val="en-GB"/>
        </w:rPr>
        <w:t>’</w:t>
      </w:r>
      <w:r w:rsidRPr="00E213BA">
        <w:rPr>
          <w:lang w:val="en-GB"/>
        </w:rPr>
        <w:t>s other preliminary objections regarding whether the applicants abused their right of individual application</w:t>
      </w:r>
      <w:r w:rsidRPr="00E213BA" w:rsidR="008703F2">
        <w:rPr>
          <w:lang w:val="en-GB"/>
        </w:rPr>
        <w:t xml:space="preserve"> or</w:t>
      </w:r>
      <w:r w:rsidRPr="00E213BA">
        <w:rPr>
          <w:lang w:val="en-GB"/>
        </w:rPr>
        <w:t xml:space="preserve"> could not claim to be victims of the violation alleged, or whether Article 14 of the Convention taken together with Article 1 of Protocol No 1, and Article 1 of Protocol No. 12 may be deemed applicable to the present case.</w:t>
      </w:r>
    </w:p>
    <w:p w:rsidRPr="00E213BA" w:rsidR="0022762A" w:rsidP="0022762A" w:rsidRDefault="0022762A">
      <w:pPr>
        <w:keepNext/>
        <w:keepLines/>
        <w:spacing w:before="720" w:after="240"/>
        <w:outlineLvl w:val="0"/>
        <w:rPr>
          <w:sz w:val="28"/>
        </w:rPr>
      </w:pPr>
      <w:r w:rsidRPr="00E213BA">
        <w:rPr>
          <w:sz w:val="28"/>
        </w:rPr>
        <w:t>FOR THESE REASONS, THE COURT</w:t>
      </w:r>
    </w:p>
    <w:p w:rsidR="001753CB" w:rsidP="00FE08E5" w:rsidRDefault="00544884">
      <w:pPr>
        <w:pStyle w:val="JuList"/>
      </w:pPr>
      <w:r w:rsidRPr="00E213BA">
        <w:t>1.  </w:t>
      </w:r>
      <w:r w:rsidRPr="00E213BA" w:rsidR="003D4729">
        <w:rPr>
          <w:i/>
        </w:rPr>
        <w:t>Upholds</w:t>
      </w:r>
      <w:r w:rsidRPr="00E213BA" w:rsidR="0022762A">
        <w:t>,</w:t>
      </w:r>
      <w:r w:rsidRPr="00E213BA" w:rsidR="0060165A">
        <w:t xml:space="preserve"> </w:t>
      </w:r>
      <w:r w:rsidRPr="00E213BA" w:rsidR="0022762A">
        <w:t>by</w:t>
      </w:r>
      <w:r w:rsidRPr="00E213BA" w:rsidR="0005783C">
        <w:t xml:space="preserve"> </w:t>
      </w:r>
      <w:r w:rsidRPr="00E213BA" w:rsidR="0095164A">
        <w:t xml:space="preserve">fourteen </w:t>
      </w:r>
      <w:r w:rsidRPr="00E213BA" w:rsidR="0005783C">
        <w:t>votes to</w:t>
      </w:r>
      <w:r w:rsidRPr="00E213BA" w:rsidR="0095164A">
        <w:t xml:space="preserve"> three</w:t>
      </w:r>
      <w:r w:rsidRPr="00E213BA" w:rsidR="0022762A">
        <w:t xml:space="preserve">, the </w:t>
      </w:r>
      <w:r w:rsidRPr="00E213BA" w:rsidR="003D4729">
        <w:t>preliminary objection</w:t>
      </w:r>
      <w:r w:rsidRPr="00E213BA" w:rsidR="00386D88">
        <w:t xml:space="preserve"> of the Government </w:t>
      </w:r>
      <w:r w:rsidRPr="00E213BA" w:rsidR="003D4729">
        <w:t>concerning the applicants</w:t>
      </w:r>
      <w:r w:rsidR="001F25A4">
        <w:t>’</w:t>
      </w:r>
      <w:r w:rsidRPr="00E213BA" w:rsidR="003D4729">
        <w:t xml:space="preserve"> failure to exhaust domestic remedies as regards their </w:t>
      </w:r>
      <w:r w:rsidRPr="00E213BA" w:rsidR="00F76308">
        <w:t xml:space="preserve">discrimination </w:t>
      </w:r>
      <w:r w:rsidRPr="00E213BA" w:rsidR="003D4729">
        <w:t xml:space="preserve">complaint </w:t>
      </w:r>
      <w:r w:rsidRPr="00E213BA" w:rsidR="00F76308">
        <w:t>under Article 14 of the Convention, taken together with Article 1 of Protocol No. 1, and Article 1 of Protocol No. 12, and consequently holds that it cannot consider</w:t>
      </w:r>
      <w:r w:rsidRPr="00E213BA" w:rsidR="00386D88">
        <w:t xml:space="preserve"> </w:t>
      </w:r>
      <w:r w:rsidRPr="00E213BA" w:rsidR="004E6E76">
        <w:t>the merits of this complaint</w:t>
      </w:r>
      <w:r w:rsidRPr="00E213BA" w:rsidR="00F76308">
        <w:t>; and</w:t>
      </w:r>
    </w:p>
    <w:p w:rsidRPr="00E213BA" w:rsidR="00F76308" w:rsidP="00FE08E5" w:rsidRDefault="00F76308">
      <w:pPr>
        <w:pStyle w:val="JuList"/>
      </w:pPr>
    </w:p>
    <w:p w:rsidR="001753CB" w:rsidP="00FE08E5" w:rsidRDefault="00544884">
      <w:pPr>
        <w:pStyle w:val="JuList"/>
      </w:pPr>
      <w:r w:rsidRPr="00E213BA">
        <w:t>2</w:t>
      </w:r>
      <w:r w:rsidRPr="00E213BA">
        <w:rPr>
          <w:i/>
        </w:rPr>
        <w:t>.  </w:t>
      </w:r>
      <w:r w:rsidRPr="00E213BA" w:rsidR="00F76308">
        <w:rPr>
          <w:i/>
        </w:rPr>
        <w:t>Holds</w:t>
      </w:r>
      <w:r w:rsidRPr="00E213BA" w:rsidR="00F76308">
        <w:t>,</w:t>
      </w:r>
      <w:r w:rsidRPr="00E213BA" w:rsidR="0060165A">
        <w:t xml:space="preserve"> </w:t>
      </w:r>
      <w:r w:rsidRPr="00E213BA" w:rsidR="00F76308">
        <w:t xml:space="preserve">by </w:t>
      </w:r>
      <w:r w:rsidRPr="00E213BA" w:rsidR="0095164A">
        <w:t>fourteen v</w:t>
      </w:r>
      <w:r w:rsidRPr="00E213BA" w:rsidR="0005783C">
        <w:t xml:space="preserve">otes to </w:t>
      </w:r>
      <w:r w:rsidRPr="00E213BA" w:rsidR="0095164A">
        <w:t>three</w:t>
      </w:r>
      <w:r w:rsidRPr="00E213BA" w:rsidR="00F76308">
        <w:t>,</w:t>
      </w:r>
      <w:r w:rsidRPr="00E213BA" w:rsidR="0060165A">
        <w:t xml:space="preserve"> </w:t>
      </w:r>
      <w:r w:rsidRPr="00E213BA" w:rsidR="00F76308">
        <w:t>that it is not necessary to examine the Government</w:t>
      </w:r>
      <w:r w:rsidR="001F25A4">
        <w:t>’</w:t>
      </w:r>
      <w:r w:rsidRPr="00E213BA" w:rsidR="00F76308">
        <w:t>s remaining preliminary objections.</w:t>
      </w:r>
    </w:p>
    <w:p w:rsidRPr="00E213BA" w:rsidR="0022762A" w:rsidP="0022762A" w:rsidRDefault="0022762A">
      <w:pPr>
        <w:keepNext/>
        <w:keepLines/>
        <w:spacing w:before="240"/>
        <w:ind w:firstLine="284"/>
      </w:pPr>
      <w:r w:rsidRPr="00E213BA">
        <w:t xml:space="preserve">Done in English and French, and delivered at a public hearing in the Human Rights Building, Strasbourg on </w:t>
      </w:r>
      <w:r w:rsidR="000C37BD">
        <w:t>25 March 2014</w:t>
      </w:r>
      <w:r w:rsidRPr="00E213BA">
        <w:t>.</w:t>
      </w:r>
    </w:p>
    <w:p w:rsidRPr="00E213BA" w:rsidR="0022762A" w:rsidP="0022762A" w:rsidRDefault="0022762A">
      <w:pPr>
        <w:keepNext/>
        <w:keepLines/>
        <w:tabs>
          <w:tab w:val="center" w:pos="851"/>
          <w:tab w:val="center" w:pos="6407"/>
        </w:tabs>
        <w:spacing w:before="720"/>
      </w:pPr>
      <w:r w:rsidRPr="00E213BA">
        <w:t>Michael O</w:t>
      </w:r>
      <w:r w:rsidR="001F25A4">
        <w:t>’</w:t>
      </w:r>
      <w:r w:rsidRPr="00E213BA">
        <w:t>Boyle</w:t>
      </w:r>
      <w:r w:rsidR="00514B26">
        <w:t xml:space="preserve"> </w:t>
      </w:r>
      <w:r w:rsidR="00514B26">
        <w:tab/>
        <w:t>Dean </w:t>
      </w:r>
      <w:proofErr w:type="spellStart"/>
      <w:r w:rsidRPr="00E213BA">
        <w:t>Spielmann</w:t>
      </w:r>
      <w:proofErr w:type="spellEnd"/>
      <w:r w:rsidR="001F25A4">
        <w:br/>
      </w:r>
      <w:r w:rsidRPr="00E213BA">
        <w:tab/>
        <w:t xml:space="preserve">Deputy </w:t>
      </w:r>
      <w:r w:rsidRPr="00E213BA">
        <w:rPr>
          <w:iCs/>
        </w:rPr>
        <w:t>Registrar</w:t>
      </w:r>
      <w:r w:rsidRPr="00E213BA">
        <w:tab/>
        <w:t>President</w:t>
      </w:r>
    </w:p>
    <w:p w:rsidRPr="009D2BC9" w:rsidR="00446C83" w:rsidP="00446C83" w:rsidRDefault="00446C83">
      <w:pPr>
        <w:pStyle w:val="JuParaLast"/>
      </w:pPr>
      <w:r w:rsidRPr="009D2BC9">
        <w:t xml:space="preserve">In accordance with Article 45 § 2 of the Convention and Rule 74 § 2 of </w:t>
      </w:r>
      <w:r>
        <w:t>the Rules of Court, the dissenting</w:t>
      </w:r>
      <w:r w:rsidRPr="009D2BC9">
        <w:t xml:space="preserve"> opinion of Judge</w:t>
      </w:r>
      <w:r>
        <w:t>s</w:t>
      </w:r>
      <w:r w:rsidRPr="009D2BC9">
        <w:t xml:space="preserve"> </w:t>
      </w:r>
      <w:proofErr w:type="spellStart"/>
      <w:r>
        <w:t>Popović</w:t>
      </w:r>
      <w:proofErr w:type="spellEnd"/>
      <w:r>
        <w:t xml:space="preserve">, </w:t>
      </w:r>
      <w:proofErr w:type="spellStart"/>
      <w:r>
        <w:t>Yudkivska</w:t>
      </w:r>
      <w:proofErr w:type="spellEnd"/>
      <w:r>
        <w:t xml:space="preserve"> and De Gaetano</w:t>
      </w:r>
      <w:r w:rsidRPr="009D2BC9">
        <w:t xml:space="preserve"> is annexed to this judgment.</w:t>
      </w:r>
    </w:p>
    <w:p w:rsidRPr="00E213BA" w:rsidR="0022762A" w:rsidP="00446C83" w:rsidRDefault="00446C83">
      <w:pPr>
        <w:keepNext/>
        <w:keepLines/>
        <w:spacing w:before="240"/>
        <w:jc w:val="right"/>
      </w:pPr>
      <w:r>
        <w:t>D. S</w:t>
      </w:r>
      <w:proofErr w:type="gramStart"/>
      <w:r>
        <w:t>.</w:t>
      </w:r>
      <w:proofErr w:type="gramEnd"/>
      <w:r w:rsidRPr="009D2BC9">
        <w:br/>
      </w:r>
      <w:r>
        <w:t>M. O</w:t>
      </w:r>
      <w:r w:rsidR="001F25A4">
        <w:t>’</w:t>
      </w:r>
      <w:r>
        <w:t>B.</w:t>
      </w:r>
    </w:p>
    <w:p w:rsidRPr="00E213BA" w:rsidR="0022762A" w:rsidP="0022762A" w:rsidRDefault="0022762A">
      <w:pPr>
        <w:jc w:val="center"/>
        <w:rPr>
          <w:sz w:val="28"/>
          <w:szCs w:val="28"/>
        </w:rPr>
      </w:pPr>
      <w:r w:rsidRPr="00E213BA">
        <w:rPr>
          <w:sz w:val="28"/>
          <w:szCs w:val="28"/>
        </w:rPr>
        <w:br w:type="page"/>
      </w:r>
      <w:r w:rsidRPr="00E213BA">
        <w:rPr>
          <w:sz w:val="28"/>
          <w:szCs w:val="28"/>
        </w:rPr>
        <w:lastRenderedPageBreak/>
        <w:t>Annex</w:t>
      </w:r>
    </w:p>
    <w:p w:rsidRPr="00E213BA" w:rsidR="0022762A" w:rsidP="0022762A" w:rsidRDefault="0022762A"/>
    <w:tbl>
      <w:tblPr>
        <w:tblW w:w="8421"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57" w:type="dxa"/>
          <w:left w:w="57" w:type="dxa"/>
          <w:bottom w:w="57" w:type="dxa"/>
          <w:right w:w="57" w:type="dxa"/>
        </w:tblCellMar>
        <w:tblLook w:val="01E0" w:firstRow="1" w:lastRow="1" w:firstColumn="1" w:lastColumn="1" w:noHBand="0" w:noVBand="0"/>
      </w:tblPr>
      <w:tblGrid>
        <w:gridCol w:w="507"/>
        <w:gridCol w:w="1203"/>
        <w:gridCol w:w="6711"/>
      </w:tblGrid>
      <w:tr w:rsidRPr="00E213BA" w:rsidR="0022762A" w:rsidTr="00FE0EE8">
        <w:trPr>
          <w:trHeight w:val="926"/>
        </w:trPr>
        <w:tc>
          <w:tcPr>
            <w:tcW w:w="507" w:type="dxa"/>
            <w:shd w:val="clear" w:color="auto" w:fill="E6E6E6"/>
            <w:tcMar>
              <w:left w:w="57" w:type="dxa"/>
              <w:right w:w="57" w:type="dxa"/>
            </w:tcMar>
            <w:vAlign w:val="center"/>
          </w:tcPr>
          <w:p w:rsidRPr="00E213BA" w:rsidR="0022762A" w:rsidP="0022762A" w:rsidRDefault="0022762A">
            <w:pPr>
              <w:jc w:val="center"/>
              <w:rPr>
                <w:b/>
                <w:sz w:val="20"/>
              </w:rPr>
            </w:pPr>
            <w:bookmarkStart w:name="TableStart" w:id="15"/>
            <w:bookmarkEnd w:id="15"/>
            <w:r w:rsidRPr="00E213BA">
              <w:rPr>
                <w:b/>
                <w:sz w:val="20"/>
              </w:rPr>
              <w:t>No.</w:t>
            </w:r>
          </w:p>
        </w:tc>
        <w:tc>
          <w:tcPr>
            <w:tcW w:w="1203" w:type="dxa"/>
            <w:shd w:val="clear" w:color="auto" w:fill="E6E6E6"/>
            <w:tcMar>
              <w:left w:w="57" w:type="dxa"/>
              <w:right w:w="57" w:type="dxa"/>
            </w:tcMar>
            <w:vAlign w:val="center"/>
          </w:tcPr>
          <w:p w:rsidRPr="00E213BA" w:rsidR="0022762A" w:rsidP="0022762A" w:rsidRDefault="0022762A">
            <w:pPr>
              <w:jc w:val="center"/>
              <w:rPr>
                <w:b/>
                <w:sz w:val="20"/>
              </w:rPr>
            </w:pPr>
            <w:r w:rsidRPr="00E213BA">
              <w:rPr>
                <w:b/>
                <w:sz w:val="20"/>
              </w:rPr>
              <w:t>Application</w:t>
            </w:r>
          </w:p>
          <w:p w:rsidRPr="00E213BA" w:rsidR="0022762A" w:rsidP="0022762A" w:rsidRDefault="0022762A">
            <w:pPr>
              <w:jc w:val="center"/>
              <w:rPr>
                <w:b/>
                <w:sz w:val="20"/>
              </w:rPr>
            </w:pPr>
            <w:r w:rsidRPr="00E213BA">
              <w:rPr>
                <w:b/>
                <w:sz w:val="20"/>
              </w:rPr>
              <w:t>nos.</w:t>
            </w:r>
          </w:p>
        </w:tc>
        <w:tc>
          <w:tcPr>
            <w:tcW w:w="6711" w:type="dxa"/>
            <w:shd w:val="clear" w:color="auto" w:fill="E6E6E6"/>
            <w:tcMar>
              <w:left w:w="57" w:type="dxa"/>
              <w:right w:w="57" w:type="dxa"/>
            </w:tcMar>
            <w:vAlign w:val="center"/>
          </w:tcPr>
          <w:p w:rsidRPr="00E213BA" w:rsidR="0022762A" w:rsidP="0022762A" w:rsidRDefault="0022762A">
            <w:pPr>
              <w:jc w:val="center"/>
              <w:rPr>
                <w:b/>
                <w:sz w:val="20"/>
              </w:rPr>
            </w:pPr>
            <w:r w:rsidRPr="00E213BA">
              <w:rPr>
                <w:b/>
                <w:sz w:val="20"/>
              </w:rPr>
              <w:t>Applicant</w:t>
            </w:r>
            <w:r w:rsidR="001F25A4">
              <w:rPr>
                <w:b/>
                <w:sz w:val="20"/>
              </w:rPr>
              <w:t>’</w:t>
            </w:r>
            <w:r w:rsidRPr="00E213BA">
              <w:rPr>
                <w:b/>
                <w:sz w:val="20"/>
              </w:rPr>
              <w:t>s name</w:t>
            </w:r>
          </w:p>
          <w:p w:rsidRPr="00E213BA" w:rsidR="0022762A" w:rsidP="0022762A" w:rsidRDefault="0022762A">
            <w:pPr>
              <w:jc w:val="center"/>
              <w:rPr>
                <w:b/>
                <w:sz w:val="20"/>
              </w:rPr>
            </w:pPr>
            <w:r w:rsidRPr="00E213BA">
              <w:rPr>
                <w:b/>
                <w:sz w:val="20"/>
              </w:rPr>
              <w:t>Date of birth</w:t>
            </w:r>
          </w:p>
          <w:p w:rsidRPr="00E213BA" w:rsidR="0022762A" w:rsidP="0022762A" w:rsidRDefault="0022762A">
            <w:pPr>
              <w:jc w:val="center"/>
              <w:rPr>
                <w:b/>
                <w:sz w:val="20"/>
              </w:rPr>
            </w:pPr>
            <w:r w:rsidRPr="00E213BA">
              <w:rPr>
                <w:b/>
                <w:sz w:val="20"/>
              </w:rPr>
              <w:t>Place of residence</w:t>
            </w: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17153/11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Boban</w:t>
            </w:r>
            <w:proofErr w:type="spellEnd"/>
            <w:r w:rsidRPr="00E213BA">
              <w:rPr>
                <w:b/>
                <w:sz w:val="16"/>
                <w:szCs w:val="16"/>
              </w:rPr>
              <w:t xml:space="preserve"> VUČKOVIĆ</w:t>
            </w:r>
          </w:p>
          <w:p w:rsidRPr="00E213BA" w:rsidR="0022762A" w:rsidP="0022762A" w:rsidRDefault="0022762A">
            <w:pPr>
              <w:rPr>
                <w:sz w:val="16"/>
                <w:szCs w:val="16"/>
              </w:rPr>
            </w:pPr>
            <w:r w:rsidRPr="00E213BA">
              <w:rPr>
                <w:sz w:val="16"/>
                <w:szCs w:val="16"/>
              </w:rPr>
              <w:t>27/09/1971</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17157/11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Ljubiša</w:t>
            </w:r>
            <w:proofErr w:type="spellEnd"/>
            <w:r w:rsidRPr="00E213BA">
              <w:rPr>
                <w:b/>
                <w:sz w:val="16"/>
                <w:szCs w:val="16"/>
              </w:rPr>
              <w:t xml:space="preserve"> VELIČKOVIĆ</w:t>
            </w:r>
          </w:p>
          <w:p w:rsidRPr="00E213BA" w:rsidR="0022762A" w:rsidP="0022762A" w:rsidRDefault="0022762A">
            <w:pPr>
              <w:rPr>
                <w:sz w:val="16"/>
                <w:szCs w:val="16"/>
              </w:rPr>
            </w:pPr>
            <w:r w:rsidRPr="00E213BA">
              <w:rPr>
                <w:sz w:val="16"/>
                <w:szCs w:val="16"/>
              </w:rPr>
              <w:t>24/08/1954</w:t>
            </w:r>
          </w:p>
          <w:p w:rsidRPr="00E213BA" w:rsidR="0022762A" w:rsidP="0022762A" w:rsidRDefault="0022762A">
            <w:pPr>
              <w:rPr>
                <w:sz w:val="16"/>
                <w:szCs w:val="16"/>
              </w:rPr>
            </w:pPr>
            <w:proofErr w:type="spellStart"/>
            <w:r w:rsidRPr="00E213BA">
              <w:rPr>
                <w:sz w:val="16"/>
                <w:szCs w:val="16"/>
              </w:rPr>
              <w:t>Selo</w:t>
            </w:r>
            <w:proofErr w:type="spellEnd"/>
            <w:r w:rsidRPr="00E213BA">
              <w:rPr>
                <w:sz w:val="16"/>
                <w:szCs w:val="16"/>
              </w:rPr>
              <w:t xml:space="preserve"> Prva </w:t>
            </w:r>
            <w:proofErr w:type="spellStart"/>
            <w:r w:rsidRPr="00E213BA">
              <w:rPr>
                <w:sz w:val="16"/>
                <w:szCs w:val="16"/>
              </w:rPr>
              <w:t>Kutina</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17160/11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r w:rsidRPr="00E213BA">
              <w:rPr>
                <w:b/>
                <w:sz w:val="16"/>
                <w:szCs w:val="16"/>
              </w:rPr>
              <w:t>Igor VELIČKOVIĆ</w:t>
            </w:r>
          </w:p>
          <w:p w:rsidRPr="00E213BA" w:rsidR="0022762A" w:rsidP="0022762A" w:rsidRDefault="0022762A">
            <w:pPr>
              <w:rPr>
                <w:sz w:val="16"/>
                <w:szCs w:val="16"/>
              </w:rPr>
            </w:pPr>
            <w:r w:rsidRPr="00E213BA">
              <w:rPr>
                <w:sz w:val="16"/>
                <w:szCs w:val="16"/>
              </w:rPr>
              <w:t>10/06/1979</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17163/11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Saša</w:t>
            </w:r>
            <w:proofErr w:type="spellEnd"/>
            <w:r w:rsidRPr="00E213BA">
              <w:rPr>
                <w:b/>
                <w:sz w:val="16"/>
                <w:szCs w:val="16"/>
              </w:rPr>
              <w:t xml:space="preserve"> GROZDANOVIĆ</w:t>
            </w:r>
          </w:p>
          <w:p w:rsidRPr="00E213BA" w:rsidR="0022762A" w:rsidP="0022762A" w:rsidRDefault="0022762A">
            <w:pPr>
              <w:rPr>
                <w:sz w:val="16"/>
                <w:szCs w:val="16"/>
              </w:rPr>
            </w:pPr>
            <w:r w:rsidRPr="00E213BA">
              <w:rPr>
                <w:sz w:val="16"/>
                <w:szCs w:val="16"/>
              </w:rPr>
              <w:t>29/04/1975</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17168/11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Dragan</w:t>
            </w:r>
            <w:proofErr w:type="spellEnd"/>
            <w:r w:rsidRPr="00E213BA">
              <w:rPr>
                <w:b/>
                <w:sz w:val="16"/>
                <w:szCs w:val="16"/>
              </w:rPr>
              <w:t xml:space="preserve"> GROZDANOVIĆ</w:t>
            </w:r>
          </w:p>
          <w:p w:rsidRPr="00E213BA" w:rsidR="0022762A" w:rsidP="0022762A" w:rsidRDefault="0022762A">
            <w:pPr>
              <w:rPr>
                <w:sz w:val="16"/>
                <w:szCs w:val="16"/>
              </w:rPr>
            </w:pPr>
            <w:r w:rsidRPr="00E213BA">
              <w:rPr>
                <w:sz w:val="16"/>
                <w:szCs w:val="16"/>
              </w:rPr>
              <w:t>05/12/1967</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17173/11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Ljubiša</w:t>
            </w:r>
            <w:proofErr w:type="spellEnd"/>
            <w:r w:rsidRPr="00E213BA">
              <w:rPr>
                <w:b/>
                <w:sz w:val="16"/>
                <w:szCs w:val="16"/>
              </w:rPr>
              <w:t xml:space="preserve"> MILOŠEVIĆ</w:t>
            </w:r>
          </w:p>
          <w:p w:rsidRPr="00E213BA" w:rsidR="0022762A" w:rsidP="0022762A" w:rsidRDefault="0022762A">
            <w:pPr>
              <w:rPr>
                <w:sz w:val="16"/>
                <w:szCs w:val="16"/>
              </w:rPr>
            </w:pPr>
            <w:r w:rsidRPr="00E213BA">
              <w:rPr>
                <w:sz w:val="16"/>
                <w:szCs w:val="16"/>
              </w:rPr>
              <w:t>03/10/1959</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17178/11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Miodrag</w:t>
            </w:r>
            <w:proofErr w:type="spellEnd"/>
            <w:r w:rsidRPr="00E213BA">
              <w:rPr>
                <w:b/>
                <w:sz w:val="16"/>
                <w:szCs w:val="16"/>
              </w:rPr>
              <w:t xml:space="preserve"> NIKOLIĆ</w:t>
            </w:r>
          </w:p>
          <w:p w:rsidRPr="00E213BA" w:rsidR="0022762A" w:rsidP="0022762A" w:rsidRDefault="0022762A">
            <w:pPr>
              <w:rPr>
                <w:sz w:val="16"/>
                <w:szCs w:val="16"/>
              </w:rPr>
            </w:pPr>
            <w:r w:rsidRPr="00E213BA">
              <w:rPr>
                <w:sz w:val="16"/>
                <w:szCs w:val="16"/>
              </w:rPr>
              <w:t>29/02/1956</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17181/11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Siniša</w:t>
            </w:r>
            <w:proofErr w:type="spellEnd"/>
            <w:r w:rsidRPr="00E213BA">
              <w:rPr>
                <w:b/>
                <w:sz w:val="16"/>
                <w:szCs w:val="16"/>
              </w:rPr>
              <w:t xml:space="preserve"> MILOŠEVIĆ</w:t>
            </w:r>
          </w:p>
          <w:p w:rsidRPr="00E213BA" w:rsidR="0022762A" w:rsidP="0022762A" w:rsidRDefault="0022762A">
            <w:pPr>
              <w:rPr>
                <w:sz w:val="16"/>
                <w:szCs w:val="16"/>
              </w:rPr>
            </w:pPr>
            <w:r w:rsidRPr="00E213BA">
              <w:rPr>
                <w:sz w:val="16"/>
                <w:szCs w:val="16"/>
              </w:rPr>
              <w:t>03/10/1958</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17182/11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Grujica</w:t>
            </w:r>
            <w:proofErr w:type="spellEnd"/>
            <w:r w:rsidRPr="00E213BA">
              <w:rPr>
                <w:b/>
                <w:sz w:val="16"/>
                <w:szCs w:val="16"/>
              </w:rPr>
              <w:t xml:space="preserve"> MARKOVIĆ</w:t>
            </w:r>
          </w:p>
          <w:p w:rsidRPr="00E213BA" w:rsidR="0022762A" w:rsidP="0022762A" w:rsidRDefault="0022762A">
            <w:pPr>
              <w:rPr>
                <w:sz w:val="16"/>
                <w:szCs w:val="16"/>
              </w:rPr>
            </w:pPr>
            <w:r w:rsidRPr="00E213BA">
              <w:rPr>
                <w:sz w:val="16"/>
                <w:szCs w:val="16"/>
              </w:rPr>
              <w:t>25/06/1965</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17186/11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Radomir</w:t>
            </w:r>
            <w:proofErr w:type="spellEnd"/>
            <w:r w:rsidRPr="00E213BA">
              <w:rPr>
                <w:b/>
                <w:sz w:val="16"/>
                <w:szCs w:val="16"/>
              </w:rPr>
              <w:t xml:space="preserve"> TODOROVIĆ</w:t>
            </w:r>
          </w:p>
          <w:p w:rsidRPr="00E213BA" w:rsidR="0022762A" w:rsidP="0022762A" w:rsidRDefault="0022762A">
            <w:pPr>
              <w:rPr>
                <w:sz w:val="16"/>
                <w:szCs w:val="16"/>
              </w:rPr>
            </w:pPr>
            <w:r w:rsidRPr="00E213BA">
              <w:rPr>
                <w:sz w:val="16"/>
                <w:szCs w:val="16"/>
              </w:rPr>
              <w:t>15/07/1958</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17343/11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Dejan</w:t>
            </w:r>
            <w:proofErr w:type="spellEnd"/>
            <w:r w:rsidRPr="00E213BA">
              <w:rPr>
                <w:b/>
                <w:sz w:val="16"/>
                <w:szCs w:val="16"/>
              </w:rPr>
              <w:t xml:space="preserve"> ZDRAVKOVIĆ</w:t>
            </w:r>
          </w:p>
          <w:p w:rsidRPr="00E213BA" w:rsidR="0022762A" w:rsidP="0022762A" w:rsidRDefault="0022762A">
            <w:pPr>
              <w:rPr>
                <w:sz w:val="16"/>
                <w:szCs w:val="16"/>
              </w:rPr>
            </w:pPr>
            <w:r w:rsidRPr="00E213BA">
              <w:rPr>
                <w:sz w:val="16"/>
                <w:szCs w:val="16"/>
              </w:rPr>
              <w:t>19/11/1971</w:t>
            </w:r>
          </w:p>
          <w:p w:rsidRPr="00E213BA" w:rsidR="0022762A" w:rsidP="0022762A" w:rsidRDefault="0022762A">
            <w:pPr>
              <w:rPr>
                <w:sz w:val="16"/>
                <w:szCs w:val="16"/>
              </w:rPr>
            </w:pPr>
            <w:proofErr w:type="spellStart"/>
            <w:r w:rsidRPr="00E213BA">
              <w:rPr>
                <w:sz w:val="16"/>
                <w:szCs w:val="16"/>
              </w:rPr>
              <w:t>Sićevo</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17344/11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Marjan</w:t>
            </w:r>
            <w:proofErr w:type="spellEnd"/>
            <w:r w:rsidRPr="00E213BA">
              <w:rPr>
                <w:b/>
                <w:sz w:val="16"/>
                <w:szCs w:val="16"/>
              </w:rPr>
              <w:t xml:space="preserve"> MITIĆ</w:t>
            </w:r>
          </w:p>
          <w:p w:rsidRPr="00E213BA" w:rsidR="0022762A" w:rsidP="0022762A" w:rsidRDefault="0022762A">
            <w:pPr>
              <w:rPr>
                <w:sz w:val="16"/>
                <w:szCs w:val="16"/>
              </w:rPr>
            </w:pPr>
            <w:r w:rsidRPr="00E213BA">
              <w:rPr>
                <w:sz w:val="16"/>
                <w:szCs w:val="16"/>
              </w:rPr>
              <w:t>10/02/1969</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17362/11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Branislav</w:t>
            </w:r>
            <w:proofErr w:type="spellEnd"/>
            <w:r w:rsidRPr="00E213BA">
              <w:rPr>
                <w:b/>
                <w:sz w:val="16"/>
                <w:szCs w:val="16"/>
              </w:rPr>
              <w:t xml:space="preserve"> MILIĆ</w:t>
            </w:r>
          </w:p>
          <w:p w:rsidRPr="00E213BA" w:rsidR="0022762A" w:rsidP="0022762A" w:rsidRDefault="0022762A">
            <w:pPr>
              <w:rPr>
                <w:sz w:val="16"/>
                <w:szCs w:val="16"/>
              </w:rPr>
            </w:pPr>
            <w:r w:rsidRPr="00E213BA">
              <w:rPr>
                <w:sz w:val="16"/>
                <w:szCs w:val="16"/>
              </w:rPr>
              <w:t>15/08/1944</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17364/11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Miroslav</w:t>
            </w:r>
            <w:proofErr w:type="spellEnd"/>
            <w:r w:rsidRPr="00E213BA">
              <w:rPr>
                <w:b/>
                <w:sz w:val="16"/>
                <w:szCs w:val="16"/>
              </w:rPr>
              <w:t xml:space="preserve"> STOJKOVIĆ</w:t>
            </w:r>
          </w:p>
          <w:p w:rsidRPr="00E213BA" w:rsidR="0022762A" w:rsidP="0022762A" w:rsidRDefault="0022762A">
            <w:pPr>
              <w:rPr>
                <w:sz w:val="16"/>
                <w:szCs w:val="16"/>
              </w:rPr>
            </w:pPr>
            <w:r w:rsidRPr="00E213BA">
              <w:rPr>
                <w:sz w:val="16"/>
                <w:szCs w:val="16"/>
              </w:rPr>
              <w:t>01/09/1947</w:t>
            </w:r>
          </w:p>
          <w:p w:rsidRPr="00E213BA" w:rsidR="0022762A" w:rsidP="0022762A" w:rsidRDefault="0022762A">
            <w:pPr>
              <w:rPr>
                <w:sz w:val="16"/>
                <w:szCs w:val="16"/>
              </w:rPr>
            </w:pPr>
            <w:proofErr w:type="spellStart"/>
            <w:r w:rsidRPr="00E213BA">
              <w:rPr>
                <w:sz w:val="16"/>
                <w:szCs w:val="16"/>
              </w:rPr>
              <w:t>Doljevac</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17367/11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Dejan</w:t>
            </w:r>
            <w:proofErr w:type="spellEnd"/>
            <w:r w:rsidRPr="00E213BA">
              <w:rPr>
                <w:b/>
                <w:sz w:val="16"/>
                <w:szCs w:val="16"/>
              </w:rPr>
              <w:t xml:space="preserve"> SEKULIĆ</w:t>
            </w:r>
          </w:p>
          <w:p w:rsidRPr="00E213BA" w:rsidR="0022762A" w:rsidP="0022762A" w:rsidRDefault="0022762A">
            <w:pPr>
              <w:rPr>
                <w:sz w:val="16"/>
                <w:szCs w:val="16"/>
              </w:rPr>
            </w:pPr>
            <w:r w:rsidRPr="00E213BA">
              <w:rPr>
                <w:sz w:val="16"/>
                <w:szCs w:val="16"/>
              </w:rPr>
              <w:t>09/08/1970</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17370/11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Slavoljub</w:t>
            </w:r>
            <w:proofErr w:type="spellEnd"/>
            <w:r w:rsidRPr="00E213BA">
              <w:rPr>
                <w:b/>
                <w:sz w:val="16"/>
                <w:szCs w:val="16"/>
              </w:rPr>
              <w:t xml:space="preserve"> LUČKOVIĆ</w:t>
            </w:r>
          </w:p>
          <w:p w:rsidRPr="00E213BA" w:rsidR="0022762A" w:rsidP="0022762A" w:rsidRDefault="0022762A">
            <w:pPr>
              <w:rPr>
                <w:sz w:val="16"/>
                <w:szCs w:val="16"/>
              </w:rPr>
            </w:pPr>
            <w:r w:rsidRPr="00E213BA">
              <w:rPr>
                <w:sz w:val="16"/>
                <w:szCs w:val="16"/>
              </w:rPr>
              <w:t>24/06/1955</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17372/11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r w:rsidRPr="00E213BA">
              <w:rPr>
                <w:b/>
                <w:sz w:val="16"/>
                <w:szCs w:val="16"/>
              </w:rPr>
              <w:t>Goran LAZAREVIĆ</w:t>
            </w:r>
          </w:p>
          <w:p w:rsidRPr="00E213BA" w:rsidR="0022762A" w:rsidP="0022762A" w:rsidRDefault="0022762A">
            <w:pPr>
              <w:rPr>
                <w:sz w:val="16"/>
                <w:szCs w:val="16"/>
              </w:rPr>
            </w:pPr>
            <w:r w:rsidRPr="00E213BA">
              <w:rPr>
                <w:sz w:val="16"/>
                <w:szCs w:val="16"/>
              </w:rPr>
              <w:t>17/08/1970</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17377/11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r w:rsidRPr="00E213BA">
              <w:rPr>
                <w:b/>
                <w:sz w:val="16"/>
                <w:szCs w:val="16"/>
              </w:rPr>
              <w:t>Goran MITIĆ</w:t>
            </w:r>
          </w:p>
          <w:p w:rsidRPr="00E213BA" w:rsidR="0022762A" w:rsidP="0022762A" w:rsidRDefault="0022762A">
            <w:pPr>
              <w:rPr>
                <w:sz w:val="16"/>
                <w:szCs w:val="16"/>
              </w:rPr>
            </w:pPr>
            <w:r w:rsidRPr="00E213BA">
              <w:rPr>
                <w:sz w:val="16"/>
                <w:szCs w:val="16"/>
              </w:rPr>
              <w:t>15/02/1979</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17380/11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Petar</w:t>
            </w:r>
            <w:proofErr w:type="spellEnd"/>
            <w:r w:rsidRPr="00E213BA">
              <w:rPr>
                <w:b/>
                <w:sz w:val="16"/>
                <w:szCs w:val="16"/>
              </w:rPr>
              <w:t xml:space="preserve"> ADAMOVIĆ</w:t>
            </w:r>
          </w:p>
          <w:p w:rsidRPr="00E213BA" w:rsidR="0022762A" w:rsidP="0022762A" w:rsidRDefault="0022762A">
            <w:pPr>
              <w:rPr>
                <w:sz w:val="16"/>
                <w:szCs w:val="16"/>
              </w:rPr>
            </w:pPr>
            <w:r w:rsidRPr="00E213BA">
              <w:rPr>
                <w:sz w:val="16"/>
                <w:szCs w:val="16"/>
              </w:rPr>
              <w:t>02/08/1952</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17382/11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Radisav</w:t>
            </w:r>
            <w:proofErr w:type="spellEnd"/>
            <w:r w:rsidRPr="00E213BA">
              <w:rPr>
                <w:b/>
                <w:sz w:val="16"/>
                <w:szCs w:val="16"/>
              </w:rPr>
              <w:t xml:space="preserve"> ZLATKOVIĆ</w:t>
            </w:r>
          </w:p>
          <w:p w:rsidRPr="00E213BA" w:rsidR="0022762A" w:rsidP="0022762A" w:rsidRDefault="0022762A">
            <w:pPr>
              <w:rPr>
                <w:sz w:val="16"/>
                <w:szCs w:val="16"/>
              </w:rPr>
            </w:pPr>
            <w:r w:rsidRPr="00E213BA">
              <w:rPr>
                <w:sz w:val="16"/>
                <w:szCs w:val="16"/>
              </w:rPr>
              <w:t>12/04/1952</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17386/11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r w:rsidRPr="00E213BA">
              <w:rPr>
                <w:b/>
                <w:sz w:val="16"/>
                <w:szCs w:val="16"/>
              </w:rPr>
              <w:t>Jovan RANĐELOVIĆ</w:t>
            </w:r>
          </w:p>
          <w:p w:rsidRPr="00E213BA" w:rsidR="0022762A" w:rsidP="0022762A" w:rsidRDefault="0022762A">
            <w:pPr>
              <w:rPr>
                <w:sz w:val="16"/>
                <w:szCs w:val="16"/>
              </w:rPr>
            </w:pPr>
            <w:r w:rsidRPr="00E213BA">
              <w:rPr>
                <w:sz w:val="16"/>
                <w:szCs w:val="16"/>
              </w:rPr>
              <w:t>25/02/1944</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17421/11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Bratislav</w:t>
            </w:r>
            <w:proofErr w:type="spellEnd"/>
            <w:r w:rsidRPr="00E213BA">
              <w:rPr>
                <w:b/>
                <w:sz w:val="16"/>
                <w:szCs w:val="16"/>
              </w:rPr>
              <w:t xml:space="preserve"> MARKOVIĆ</w:t>
            </w:r>
          </w:p>
          <w:p w:rsidRPr="00E213BA" w:rsidR="0022762A" w:rsidP="0022762A" w:rsidRDefault="0022762A">
            <w:pPr>
              <w:rPr>
                <w:sz w:val="16"/>
                <w:szCs w:val="16"/>
              </w:rPr>
            </w:pPr>
            <w:r w:rsidRPr="00E213BA">
              <w:rPr>
                <w:sz w:val="16"/>
                <w:szCs w:val="16"/>
              </w:rPr>
              <w:t>26/05/1949</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17424/11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Desimir</w:t>
            </w:r>
            <w:proofErr w:type="spellEnd"/>
            <w:r w:rsidRPr="00E213BA">
              <w:rPr>
                <w:b/>
                <w:sz w:val="16"/>
                <w:szCs w:val="16"/>
              </w:rPr>
              <w:t xml:space="preserve"> MARKOVIĆ</w:t>
            </w:r>
          </w:p>
          <w:p w:rsidRPr="00E213BA" w:rsidR="0022762A" w:rsidP="0022762A" w:rsidRDefault="0022762A">
            <w:pPr>
              <w:rPr>
                <w:sz w:val="16"/>
                <w:szCs w:val="16"/>
              </w:rPr>
            </w:pPr>
            <w:r w:rsidRPr="00E213BA">
              <w:rPr>
                <w:sz w:val="16"/>
                <w:szCs w:val="16"/>
              </w:rPr>
              <w:t>08/07/1965</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17428/11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Časlav</w:t>
            </w:r>
            <w:proofErr w:type="spellEnd"/>
            <w:r w:rsidRPr="00E213BA">
              <w:rPr>
                <w:b/>
                <w:sz w:val="16"/>
                <w:szCs w:val="16"/>
              </w:rPr>
              <w:t xml:space="preserve"> SPASIĆ</w:t>
            </w:r>
          </w:p>
          <w:p w:rsidRPr="00E213BA" w:rsidR="0022762A" w:rsidP="0022762A" w:rsidRDefault="0022762A">
            <w:pPr>
              <w:rPr>
                <w:sz w:val="16"/>
                <w:szCs w:val="16"/>
              </w:rPr>
            </w:pPr>
            <w:r w:rsidRPr="00E213BA">
              <w:rPr>
                <w:sz w:val="16"/>
                <w:szCs w:val="16"/>
              </w:rPr>
              <w:t>21/02/1960</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17431/11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Ljubiša</w:t>
            </w:r>
            <w:proofErr w:type="spellEnd"/>
            <w:r w:rsidRPr="00E213BA">
              <w:rPr>
                <w:b/>
                <w:sz w:val="16"/>
                <w:szCs w:val="16"/>
              </w:rPr>
              <w:t xml:space="preserve"> NIKOLIĆ</w:t>
            </w:r>
          </w:p>
          <w:p w:rsidRPr="00E213BA" w:rsidR="0022762A" w:rsidP="0022762A" w:rsidRDefault="0022762A">
            <w:pPr>
              <w:rPr>
                <w:sz w:val="16"/>
                <w:szCs w:val="16"/>
              </w:rPr>
            </w:pPr>
            <w:r w:rsidRPr="00E213BA">
              <w:rPr>
                <w:sz w:val="16"/>
                <w:szCs w:val="16"/>
              </w:rPr>
              <w:t>05/12/1958</w:t>
            </w:r>
          </w:p>
          <w:p w:rsidRPr="00E213BA" w:rsidR="0022762A" w:rsidP="0022762A" w:rsidRDefault="0022762A">
            <w:pPr>
              <w:rPr>
                <w:sz w:val="16"/>
                <w:szCs w:val="16"/>
              </w:rPr>
            </w:pPr>
            <w:proofErr w:type="spellStart"/>
            <w:r w:rsidRPr="00E213BA">
              <w:rPr>
                <w:sz w:val="16"/>
                <w:szCs w:val="16"/>
              </w:rPr>
              <w:t>Selo</w:t>
            </w:r>
            <w:proofErr w:type="spellEnd"/>
            <w:r w:rsidRPr="00E213BA">
              <w:rPr>
                <w:sz w:val="16"/>
                <w:szCs w:val="16"/>
              </w:rPr>
              <w:t xml:space="preserve"> </w:t>
            </w:r>
            <w:proofErr w:type="spellStart"/>
            <w:r w:rsidRPr="00E213BA">
              <w:rPr>
                <w:sz w:val="16"/>
                <w:szCs w:val="16"/>
              </w:rPr>
              <w:t>Jelašnica</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17435/11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Dragan</w:t>
            </w:r>
            <w:proofErr w:type="spellEnd"/>
            <w:r w:rsidRPr="00E213BA">
              <w:rPr>
                <w:b/>
                <w:sz w:val="16"/>
                <w:szCs w:val="16"/>
              </w:rPr>
              <w:t xml:space="preserve"> ĐORĐEVIĆ</w:t>
            </w:r>
          </w:p>
          <w:p w:rsidRPr="00E213BA" w:rsidR="0022762A" w:rsidP="0022762A" w:rsidRDefault="0022762A">
            <w:pPr>
              <w:rPr>
                <w:sz w:val="16"/>
                <w:szCs w:val="16"/>
              </w:rPr>
            </w:pPr>
            <w:r w:rsidRPr="00E213BA">
              <w:rPr>
                <w:sz w:val="16"/>
                <w:szCs w:val="16"/>
              </w:rPr>
              <w:t>19/02/1957</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17438/11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Radiša</w:t>
            </w:r>
            <w:proofErr w:type="spellEnd"/>
            <w:r w:rsidRPr="00E213BA">
              <w:rPr>
                <w:b/>
                <w:sz w:val="16"/>
                <w:szCs w:val="16"/>
              </w:rPr>
              <w:t xml:space="preserve"> ĆIRIĆ</w:t>
            </w:r>
          </w:p>
          <w:p w:rsidRPr="00E213BA" w:rsidR="0022762A" w:rsidP="0022762A" w:rsidRDefault="0022762A">
            <w:pPr>
              <w:rPr>
                <w:sz w:val="16"/>
                <w:szCs w:val="16"/>
              </w:rPr>
            </w:pPr>
            <w:r w:rsidRPr="00E213BA">
              <w:rPr>
                <w:sz w:val="16"/>
                <w:szCs w:val="16"/>
              </w:rPr>
              <w:t>10/02/1958</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17439/11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Siniša</w:t>
            </w:r>
            <w:proofErr w:type="spellEnd"/>
            <w:r w:rsidRPr="00E213BA">
              <w:rPr>
                <w:b/>
                <w:sz w:val="16"/>
                <w:szCs w:val="16"/>
              </w:rPr>
              <w:t xml:space="preserve"> PEŠIĆ</w:t>
            </w:r>
          </w:p>
          <w:p w:rsidRPr="00E213BA" w:rsidR="0022762A" w:rsidP="0022762A" w:rsidRDefault="0022762A">
            <w:pPr>
              <w:rPr>
                <w:sz w:val="16"/>
                <w:szCs w:val="16"/>
              </w:rPr>
            </w:pPr>
            <w:r w:rsidRPr="00E213BA">
              <w:rPr>
                <w:sz w:val="16"/>
                <w:szCs w:val="16"/>
              </w:rPr>
              <w:t>31/10/1961</w:t>
            </w:r>
          </w:p>
          <w:p w:rsidRPr="00E213BA" w:rsidR="0022762A" w:rsidP="0022762A" w:rsidRDefault="0022762A">
            <w:pPr>
              <w:rPr>
                <w:sz w:val="16"/>
                <w:szCs w:val="16"/>
              </w:rPr>
            </w:pPr>
            <w:proofErr w:type="spellStart"/>
            <w:r w:rsidRPr="00E213BA">
              <w:rPr>
                <w:sz w:val="16"/>
                <w:szCs w:val="16"/>
              </w:rPr>
              <w:t>Niš</w:t>
            </w:r>
            <w:proofErr w:type="spellEnd"/>
          </w:p>
          <w:p w:rsidRPr="00E213BA" w:rsidR="0022762A" w:rsidP="0022762A" w:rsidRDefault="0022762A">
            <w:pPr>
              <w:rPr>
                <w:sz w:val="16"/>
                <w:szCs w:val="16"/>
              </w:rPr>
            </w:pPr>
          </w:p>
        </w:tc>
      </w:tr>
      <w:tr w:rsidRPr="00E213BA"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17440/11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proofErr w:type="spellStart"/>
            <w:r w:rsidRPr="00E213BA">
              <w:rPr>
                <w:b/>
                <w:sz w:val="16"/>
                <w:szCs w:val="16"/>
              </w:rPr>
              <w:t>Boban</w:t>
            </w:r>
            <w:proofErr w:type="spellEnd"/>
            <w:r w:rsidRPr="00E213BA">
              <w:rPr>
                <w:b/>
                <w:sz w:val="16"/>
                <w:szCs w:val="16"/>
              </w:rPr>
              <w:t xml:space="preserve"> CVETKOVIĆ</w:t>
            </w:r>
          </w:p>
          <w:p w:rsidRPr="00E213BA" w:rsidR="0022762A" w:rsidP="0022762A" w:rsidRDefault="0022762A">
            <w:pPr>
              <w:rPr>
                <w:sz w:val="16"/>
                <w:szCs w:val="16"/>
              </w:rPr>
            </w:pPr>
            <w:r w:rsidRPr="00E213BA">
              <w:rPr>
                <w:sz w:val="16"/>
                <w:szCs w:val="16"/>
              </w:rPr>
              <w:t>28/08/1967</w:t>
            </w:r>
          </w:p>
          <w:p w:rsidRPr="00E213BA" w:rsidR="0022762A" w:rsidP="0022762A" w:rsidRDefault="0022762A">
            <w:pPr>
              <w:rPr>
                <w:sz w:val="16"/>
                <w:szCs w:val="16"/>
              </w:rPr>
            </w:pPr>
            <w:proofErr w:type="spellStart"/>
            <w:r w:rsidRPr="00E213BA">
              <w:rPr>
                <w:sz w:val="16"/>
                <w:szCs w:val="16"/>
              </w:rPr>
              <w:t>Niška</w:t>
            </w:r>
            <w:proofErr w:type="spellEnd"/>
            <w:r w:rsidRPr="00E213BA">
              <w:rPr>
                <w:sz w:val="16"/>
                <w:szCs w:val="16"/>
              </w:rPr>
              <w:t xml:space="preserve"> Banja</w:t>
            </w:r>
          </w:p>
          <w:p w:rsidRPr="00E213BA" w:rsidR="0022762A" w:rsidP="0022762A" w:rsidRDefault="0022762A">
            <w:pPr>
              <w:rPr>
                <w:sz w:val="16"/>
                <w:szCs w:val="16"/>
              </w:rPr>
            </w:pPr>
          </w:p>
        </w:tc>
      </w:tr>
      <w:tr w:rsidRPr="000F2DD3" w:rsidR="0022762A" w:rsidTr="00FE0EE8">
        <w:trPr>
          <w:trHeight w:val="711"/>
        </w:trPr>
        <w:tc>
          <w:tcPr>
            <w:tcW w:w="507" w:type="dxa"/>
            <w:shd w:val="clear" w:color="auto" w:fill="auto"/>
            <w:tcMar>
              <w:left w:w="57" w:type="dxa"/>
              <w:right w:w="57" w:type="dxa"/>
            </w:tcMar>
            <w:vAlign w:val="center"/>
          </w:tcPr>
          <w:p w:rsidRPr="00E213BA" w:rsidR="0022762A" w:rsidP="0022762A" w:rsidRDefault="0022762A">
            <w:pPr>
              <w:numPr>
                <w:ilvl w:val="0"/>
                <w:numId w:val="7"/>
              </w:numPr>
              <w:ind w:left="357" w:hanging="357"/>
              <w:rPr>
                <w:b/>
                <w:sz w:val="16"/>
                <w:szCs w:val="16"/>
              </w:rPr>
            </w:pPr>
          </w:p>
        </w:tc>
        <w:tc>
          <w:tcPr>
            <w:tcW w:w="1203" w:type="dxa"/>
            <w:shd w:val="clear" w:color="auto" w:fill="auto"/>
            <w:tcMar>
              <w:left w:w="57" w:type="dxa"/>
              <w:right w:w="57" w:type="dxa"/>
            </w:tcMar>
            <w:vAlign w:val="center"/>
          </w:tcPr>
          <w:p w:rsidRPr="00E213BA" w:rsidR="0022762A" w:rsidP="0022762A" w:rsidRDefault="0022762A">
            <w:pPr>
              <w:rPr>
                <w:sz w:val="16"/>
                <w:szCs w:val="16"/>
              </w:rPr>
            </w:pPr>
            <w:r w:rsidRPr="00E213BA">
              <w:rPr>
                <w:sz w:val="16"/>
                <w:szCs w:val="16"/>
              </w:rPr>
              <w:t>17443/11</w:t>
            </w:r>
          </w:p>
        </w:tc>
        <w:tc>
          <w:tcPr>
            <w:tcW w:w="6711" w:type="dxa"/>
            <w:shd w:val="clear" w:color="auto" w:fill="auto"/>
            <w:tcMar>
              <w:left w:w="57" w:type="dxa"/>
              <w:right w:w="57" w:type="dxa"/>
            </w:tcMar>
            <w:vAlign w:val="center"/>
          </w:tcPr>
          <w:p w:rsidRPr="00E213BA" w:rsidR="0022762A" w:rsidP="0022762A" w:rsidRDefault="0022762A">
            <w:pPr>
              <w:rPr>
                <w:b/>
                <w:sz w:val="16"/>
                <w:szCs w:val="16"/>
              </w:rPr>
            </w:pPr>
            <w:r w:rsidRPr="00E213BA">
              <w:rPr>
                <w:b/>
                <w:sz w:val="16"/>
                <w:szCs w:val="16"/>
              </w:rPr>
              <w:t>Goran JOVANOVIĆ</w:t>
            </w:r>
          </w:p>
          <w:p w:rsidRPr="00E213BA" w:rsidR="0022762A" w:rsidP="0022762A" w:rsidRDefault="0022762A">
            <w:pPr>
              <w:rPr>
                <w:sz w:val="16"/>
                <w:szCs w:val="16"/>
              </w:rPr>
            </w:pPr>
            <w:r w:rsidRPr="00E213BA">
              <w:rPr>
                <w:sz w:val="16"/>
                <w:szCs w:val="16"/>
              </w:rPr>
              <w:t>15/01/1965</w:t>
            </w:r>
          </w:p>
          <w:p w:rsidRPr="000F2DD3" w:rsidR="0022762A" w:rsidP="0022762A" w:rsidRDefault="0022762A">
            <w:pPr>
              <w:rPr>
                <w:sz w:val="16"/>
                <w:szCs w:val="16"/>
              </w:rPr>
            </w:pPr>
            <w:proofErr w:type="spellStart"/>
            <w:r w:rsidRPr="00E213BA">
              <w:rPr>
                <w:sz w:val="16"/>
                <w:szCs w:val="16"/>
              </w:rPr>
              <w:t>Suvi</w:t>
            </w:r>
            <w:proofErr w:type="spellEnd"/>
            <w:r w:rsidRPr="00E213BA">
              <w:rPr>
                <w:sz w:val="16"/>
                <w:szCs w:val="16"/>
              </w:rPr>
              <w:t xml:space="preserve"> Do</w:t>
            </w:r>
          </w:p>
          <w:p w:rsidRPr="000F2DD3" w:rsidR="0022762A" w:rsidP="0022762A" w:rsidRDefault="0022762A">
            <w:pPr>
              <w:rPr>
                <w:sz w:val="16"/>
                <w:szCs w:val="16"/>
              </w:rPr>
            </w:pPr>
          </w:p>
        </w:tc>
        <w:bookmarkStart w:name="TableEnd" w:id="16"/>
        <w:bookmarkEnd w:id="16"/>
      </w:tr>
    </w:tbl>
    <w:p w:rsidRPr="000F2DD3" w:rsidR="001753CB" w:rsidP="001753CB" w:rsidRDefault="001753CB">
      <w:pPr>
        <w:ind w:firstLine="284"/>
      </w:pPr>
    </w:p>
    <w:p w:rsidRPr="009D2BC9" w:rsidR="001753CB" w:rsidP="00446C83" w:rsidRDefault="001753CB">
      <w:pPr>
        <w:pStyle w:val="JuInitialled"/>
        <w:jc w:val="both"/>
      </w:pPr>
    </w:p>
    <w:p w:rsidR="001753CB" w:rsidP="001753CB" w:rsidRDefault="001753CB">
      <w:pPr>
        <w:ind w:firstLine="284"/>
        <w:sectPr w:rsidR="001753CB" w:rsidSect="00466D3D">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pPr>
    </w:p>
    <w:p w:rsidRPr="005850F7" w:rsidR="001753CB" w:rsidP="001753CB" w:rsidRDefault="001753CB">
      <w:pPr>
        <w:keepNext/>
        <w:keepLines/>
        <w:spacing w:after="240"/>
        <w:jc w:val="center"/>
        <w:outlineLvl w:val="0"/>
        <w:rPr>
          <w:sz w:val="28"/>
        </w:rPr>
      </w:pPr>
      <w:r w:rsidRPr="005850F7">
        <w:rPr>
          <w:sz w:val="28"/>
        </w:rPr>
        <w:lastRenderedPageBreak/>
        <w:t>JOINT DISSENTING OPINION OF JUDGES POPOVIĆ, YUDKIVSKA AND DE GAETANO</w:t>
      </w:r>
    </w:p>
    <w:p w:rsidRPr="005850F7" w:rsidR="001753CB" w:rsidP="00516455" w:rsidRDefault="001753CB">
      <w:pPr>
        <w:pStyle w:val="ECHRPara"/>
      </w:pPr>
      <w:r w:rsidRPr="005850F7">
        <w:t>1.</w:t>
      </w:r>
      <w:r w:rsidR="00C807DE">
        <w:t>  </w:t>
      </w:r>
      <w:r w:rsidRPr="005850F7">
        <w:t>We respectfully disagree with the majority ruling, expressed in paragraphs 82 and 83 of the judgment and repeated in paragraph 85, that the applicants in this case failed to exhaust domestic remedies.</w:t>
      </w:r>
    </w:p>
    <w:p w:rsidRPr="005850F7" w:rsidR="001753CB" w:rsidP="00516455" w:rsidRDefault="001753CB">
      <w:pPr>
        <w:pStyle w:val="ECHRPara"/>
      </w:pPr>
      <w:r w:rsidRPr="005850F7">
        <w:t xml:space="preserve">On 11 January 2008 the respondent Government entered into an agreement with a group of persons who were in a substantially identical situation to that of the applicants, that is to say persons who were claiming </w:t>
      </w:r>
      <w:r w:rsidRPr="005850F7">
        <w:rPr>
          <w:i/>
        </w:rPr>
        <w:t xml:space="preserve">per diems </w:t>
      </w:r>
      <w:r w:rsidRPr="005850F7">
        <w:t>for the same period of military service. By doing so, the Government applied differential treatment to Army reservists on the basis of their municipality of residence (see paragraph 15 of the judgment).</w:t>
      </w:r>
    </w:p>
    <w:p w:rsidRPr="005850F7" w:rsidR="001753CB" w:rsidP="00516455" w:rsidRDefault="001753CB">
      <w:pPr>
        <w:pStyle w:val="ECHRPara"/>
      </w:pPr>
      <w:r w:rsidRPr="005850F7">
        <w:t>On 26 March 2009 the applicants filed a civil claim against the State, pointing to the discrimination resulting from the agreement of 11 January 2008 (see paragraph 17).</w:t>
      </w:r>
    </w:p>
    <w:p w:rsidRPr="005850F7" w:rsidR="001753CB" w:rsidP="00516455" w:rsidRDefault="001753CB">
      <w:pPr>
        <w:pStyle w:val="ECHRPara"/>
      </w:pPr>
      <w:r w:rsidRPr="005850F7">
        <w:t>As the applicants lost their case before the ordinary courts they lodged a constitutional complaint on 21 January 2011 (see paragraph 21) complaining of differential treatment of Army reservists. The differential treatment stemmed in the first place from the inconsistent rulings of the ordinary courts in identical cases, as well as from the agreement of 11 January 2008, which was referred to in the applicants</w:t>
      </w:r>
      <w:r w:rsidR="001F25A4">
        <w:t>’</w:t>
      </w:r>
      <w:r w:rsidRPr="005850F7">
        <w:t xml:space="preserve"> constitutional complaint.</w:t>
      </w:r>
    </w:p>
    <w:p w:rsidRPr="005850F7" w:rsidR="001753CB" w:rsidP="00516455" w:rsidRDefault="001753CB">
      <w:pPr>
        <w:pStyle w:val="ECHRPara"/>
      </w:pPr>
      <w:r w:rsidRPr="005850F7">
        <w:t>2.</w:t>
      </w:r>
      <w:r w:rsidR="00C807DE">
        <w:t>  </w:t>
      </w:r>
      <w:r w:rsidRPr="005850F7">
        <w:t xml:space="preserve">The Constitutional Court of Serbia ruled on 5 December 2012 in </w:t>
      </w:r>
      <w:proofErr w:type="spellStart"/>
      <w:r w:rsidRPr="005850F7">
        <w:t>favour</w:t>
      </w:r>
      <w:proofErr w:type="spellEnd"/>
      <w:r w:rsidRPr="005850F7">
        <w:t xml:space="preserve"> of the applicants as regards their complaints of inconsistent domestic case-law, but made no mention whatsoever of the agreement of 11 January 2008 (see paragraphs 22 and 23 ). Besides, the Constitutional Court deemed the publication of its ruling in the </w:t>
      </w:r>
      <w:r w:rsidRPr="005850F7">
        <w:rPr>
          <w:i/>
        </w:rPr>
        <w:t>Official Herald</w:t>
      </w:r>
      <w:r w:rsidRPr="005850F7">
        <w:t xml:space="preserve"> to be sufficient redress for the violation found. The Constitutional Court </w:t>
      </w:r>
      <w:r w:rsidR="00CE4347">
        <w:t>found a violation of Article 36 </w:t>
      </w:r>
      <w:r w:rsidRPr="005850F7">
        <w:t>§ 1 of the Constitution of Serbia (equal protection of rights), but rejected the applicants</w:t>
      </w:r>
      <w:r w:rsidR="001F25A4">
        <w:t>’</w:t>
      </w:r>
      <w:r w:rsidRPr="005850F7">
        <w:t xml:space="preserve"> complaint under Article 21 of the Constitution (prohibition of discrimination).</w:t>
      </w:r>
    </w:p>
    <w:p w:rsidRPr="005850F7" w:rsidR="001753CB" w:rsidP="00516455" w:rsidRDefault="001753CB">
      <w:pPr>
        <w:pStyle w:val="ECHRPara"/>
      </w:pPr>
      <w:r w:rsidRPr="005850F7">
        <w:t>The majority</w:t>
      </w:r>
      <w:r w:rsidR="001F25A4">
        <w:t>’</w:t>
      </w:r>
      <w:r w:rsidRPr="005850F7">
        <w:t xml:space="preserve">s position in respect of the facts as outlined above is that the applicants “did not raise their discrimination complaint before the Constitutional Court, either expressly or in substance” (see paragraph 82); at the same time and in the same paragraph, however, it is acknowledged that “the applicants mentioned the Agreement [of 11 January 2008] in their constitutional appeal”. It is therefore evident that the applicants </w:t>
      </w:r>
      <w:r w:rsidRPr="005850F7">
        <w:rPr>
          <w:i/>
        </w:rPr>
        <w:t>did rely</w:t>
      </w:r>
      <w:r w:rsidRPr="005850F7">
        <w:t xml:space="preserve"> on the Agreement in question in their complaint before the Constitutional Court of Serbia. Moreover, the complaint </w:t>
      </w:r>
      <w:r w:rsidRPr="005850F7">
        <w:rPr>
          <w:i/>
        </w:rPr>
        <w:t>as a whole and in its very essence</w:t>
      </w:r>
      <w:r w:rsidRPr="005850F7">
        <w:t xml:space="preserve"> was based on the discrimination issue. The complaint about inconsistent case-law was in substance also a complaint about discriminatory practices existing at the national level.</w:t>
      </w:r>
    </w:p>
    <w:p w:rsidRPr="005850F7" w:rsidR="001753CB" w:rsidP="00516455" w:rsidRDefault="001753CB">
      <w:pPr>
        <w:pStyle w:val="ECHRPara"/>
      </w:pPr>
      <w:r w:rsidRPr="005850F7">
        <w:t>In our view, the core argument in support of the applicants</w:t>
      </w:r>
      <w:r w:rsidR="001F25A4">
        <w:t>’</w:t>
      </w:r>
      <w:r w:rsidRPr="005850F7">
        <w:t xml:space="preserve"> contention in this case is the fact that the Constitutional Court of Serbia found in their </w:t>
      </w:r>
      <w:proofErr w:type="spellStart"/>
      <w:r w:rsidRPr="005850F7">
        <w:lastRenderedPageBreak/>
        <w:t>favour</w:t>
      </w:r>
      <w:proofErr w:type="spellEnd"/>
      <w:r w:rsidRPr="005850F7">
        <w:t xml:space="preserve">. The approach taken by the Constitutional Court, when finding a violation of the Constitution, was to base its decision on one ground or argument – supporting the applicants (inconsistent case-law) – and in effect hold that it was unnecessary to take </w:t>
      </w:r>
      <w:proofErr w:type="spellStart"/>
      <w:r w:rsidRPr="005850F7">
        <w:t>cognisance</w:t>
      </w:r>
      <w:proofErr w:type="spellEnd"/>
      <w:r w:rsidRPr="005850F7">
        <w:t xml:space="preserve"> of any other argument (in this case the argument based on the Agreement). In applying the Convention, our Court adopts the same practice in many cases, the formula generally being that “... it is not necessary to examine the complaint under Article ...”</w:t>
      </w:r>
    </w:p>
    <w:p w:rsidRPr="005850F7" w:rsidR="001753CB" w:rsidP="00516455" w:rsidRDefault="001753CB">
      <w:pPr>
        <w:pStyle w:val="ECHRPara"/>
      </w:pPr>
      <w:r w:rsidRPr="005850F7">
        <w:t>3.</w:t>
      </w:r>
      <w:r w:rsidR="00C807DE">
        <w:t>  </w:t>
      </w:r>
      <w:r w:rsidRPr="005850F7">
        <w:t>Despite the above factors, the majority are of the view (see paragraph</w:t>
      </w:r>
      <w:r w:rsidR="00C807DE">
        <w:t> </w:t>
      </w:r>
      <w:r w:rsidRPr="005850F7">
        <w:t xml:space="preserve">85) that the applicants failed to exhaust civil and constitutional remedies. We disagree. In our view, the facts point in the opposite direction: the applicants filed a civil claim, and once they had lost their case before the ordinary courts they applied to the Constitutional Court for constitutional redress. The Constitutional Court ruled in their </w:t>
      </w:r>
      <w:proofErr w:type="spellStart"/>
      <w:r w:rsidRPr="005850F7">
        <w:t>favour</w:t>
      </w:r>
      <w:proofErr w:type="spellEnd"/>
      <w:r w:rsidRPr="005850F7">
        <w:t xml:space="preserve">, but did not properly redress the violation, which explains why the applicants lodged an application with our Court. With all due respect, we believe that the majority judgment suffers from an excess of formalism: the majority appear to have taken the view that the applicants did not plead (before the domestic courts, including the Constitutional Court) in a “form” that the majority consider </w:t>
      </w:r>
      <w:proofErr w:type="gramStart"/>
      <w:r w:rsidRPr="005850F7">
        <w:t>to be</w:t>
      </w:r>
      <w:proofErr w:type="gramEnd"/>
      <w:r w:rsidRPr="005850F7">
        <w:t xml:space="preserve"> the only acceptable one.</w:t>
      </w:r>
    </w:p>
    <w:p w:rsidRPr="005850F7" w:rsidR="001753CB" w:rsidP="00516455" w:rsidRDefault="001753CB">
      <w:pPr>
        <w:pStyle w:val="ECHRPara"/>
      </w:pPr>
      <w:r w:rsidRPr="005850F7">
        <w:t>4.</w:t>
      </w:r>
      <w:r w:rsidR="00C807DE">
        <w:t>  </w:t>
      </w:r>
      <w:r w:rsidRPr="005850F7">
        <w:t xml:space="preserve">Excessive formalism is frowned upon in the case-law of the Court. In a previous case (see </w:t>
      </w:r>
      <w:r w:rsidRPr="005850F7">
        <w:rPr>
          <w:i/>
        </w:rPr>
        <w:t xml:space="preserve">D.H. and Others v. the Czech Republic </w:t>
      </w:r>
      <w:r w:rsidR="00CE4347">
        <w:t>([GC], no. </w:t>
      </w:r>
      <w:r w:rsidRPr="005850F7">
        <w:t>57325/00, § 116, ECHR 2007</w:t>
      </w:r>
      <w:r w:rsidRPr="005850F7">
        <w:noBreakHyphen/>
        <w:t>IV), where the principal complaint was one of discrimination, the Court ruled that</w:t>
      </w:r>
    </w:p>
    <w:p w:rsidRPr="005850F7" w:rsidR="001753CB" w:rsidP="005060EA" w:rsidRDefault="001753CB">
      <w:pPr>
        <w:pStyle w:val="OpiQuot"/>
      </w:pPr>
      <w:r w:rsidRPr="005850F7">
        <w:t xml:space="preserve">“... Article 35 § 1 must be applied with some degree of flexibility and without excessive formalism. [The Court] has further </w:t>
      </w:r>
      <w:proofErr w:type="spellStart"/>
      <w:r w:rsidRPr="005850F7">
        <w:t>recognised</w:t>
      </w:r>
      <w:proofErr w:type="spellEnd"/>
      <w:r w:rsidRPr="005850F7">
        <w:t xml:space="preserve"> that the rule of exhaustion is neither absolute nor capable of being applied automatically; for the purposes of reviewing whether it has been observed, it is essential to have regard to the circumstances of the individual case.”</w:t>
      </w:r>
    </w:p>
    <w:p w:rsidRPr="005850F7" w:rsidR="001753CB" w:rsidP="00516455" w:rsidRDefault="001753CB">
      <w:pPr>
        <w:pStyle w:val="ECHRPara"/>
        <w:rPr>
          <w:i/>
        </w:rPr>
      </w:pPr>
      <w:r w:rsidRPr="005850F7">
        <w:t>The Court has gone even further along the lines of the flexibility rule. On certain occasions it has dismissed the respondent Government</w:t>
      </w:r>
      <w:r w:rsidR="001F25A4">
        <w:t>’</w:t>
      </w:r>
      <w:r w:rsidRPr="005850F7">
        <w:t xml:space="preserve">s objection of non-exhaustion of domestic remedies in a situation in which some of the applicants had not availed themselves of the possibility of lodging a constitutional complaint (see </w:t>
      </w:r>
      <w:r w:rsidRPr="005850F7">
        <w:rPr>
          <w:i/>
        </w:rPr>
        <w:t>S.H. and Others v. Austria, 57813 [GC],</w:t>
      </w:r>
      <w:r w:rsidR="00CE4347">
        <w:t xml:space="preserve"> no. </w:t>
      </w:r>
      <w:r w:rsidRPr="005850F7">
        <w:t>57813/00, § 47, ECHR 2011).</w:t>
      </w:r>
    </w:p>
    <w:p w:rsidRPr="005850F7" w:rsidR="001753CB" w:rsidP="00516455" w:rsidRDefault="001753CB">
      <w:pPr>
        <w:pStyle w:val="ECHRPara"/>
      </w:pPr>
      <w:r w:rsidRPr="005850F7">
        <w:t xml:space="preserve">In connection with an Article 6 complaint, in </w:t>
      </w:r>
      <w:r w:rsidRPr="005850F7">
        <w:rPr>
          <w:i/>
        </w:rPr>
        <w:t xml:space="preserve">M.D. and Others v. Malta </w:t>
      </w:r>
      <w:r w:rsidRPr="005850F7">
        <w:t>(no. 64791/10</w:t>
      </w:r>
      <w:r w:rsidRPr="005850F7">
        <w:rPr>
          <w:snapToGrid w:val="0"/>
        </w:rPr>
        <w:t>, §§ 34-38, 17 July 2012</w:t>
      </w:r>
      <w:r w:rsidRPr="005850F7">
        <w:t xml:space="preserve">), the Court castigated the very formalistic and blinkered approach of the Constitutional Court in handling an application for constitutional redress. In that judgment, the Court reproduced the quotation from </w:t>
      </w:r>
      <w:r w:rsidRPr="005850F7">
        <w:rPr>
          <w:i/>
        </w:rPr>
        <w:t>D.H. and Others</w:t>
      </w:r>
      <w:r w:rsidRPr="005850F7">
        <w:t>, without referring to it expressly, and provided further references in support of the same rule of flexibility, a rule firmly rooted in the Court</w:t>
      </w:r>
      <w:r w:rsidR="001F25A4">
        <w:t>’</w:t>
      </w:r>
      <w:r w:rsidRPr="005850F7">
        <w:t xml:space="preserve">s case-law. In the context of the fairness of proceedings at domestic level, in </w:t>
      </w:r>
      <w:proofErr w:type="spellStart"/>
      <w:r w:rsidRPr="005850F7">
        <w:rPr>
          <w:i/>
        </w:rPr>
        <w:t>Kadlec</w:t>
      </w:r>
      <w:proofErr w:type="spellEnd"/>
      <w:r w:rsidRPr="005850F7">
        <w:rPr>
          <w:i/>
        </w:rPr>
        <w:t xml:space="preserve"> v. the Czech Republic </w:t>
      </w:r>
      <w:r w:rsidRPr="005850F7">
        <w:t xml:space="preserve">(no. 49478/99, § 26, 25 May 2004) – a case concerning access to, and </w:t>
      </w:r>
      <w:r w:rsidRPr="005850F7">
        <w:lastRenderedPageBreak/>
        <w:t xml:space="preserve">pleadings before, the Constitutional Court – the Court found a violation of Article 6 of the Convention, stating, </w:t>
      </w:r>
      <w:r w:rsidRPr="005850F7">
        <w:rPr>
          <w:i/>
        </w:rPr>
        <w:t xml:space="preserve">inter alia, </w:t>
      </w:r>
      <w:r w:rsidRPr="005850F7">
        <w:t>that</w:t>
      </w:r>
    </w:p>
    <w:p w:rsidRPr="005850F7" w:rsidR="001753CB" w:rsidP="005060EA" w:rsidRDefault="001753CB">
      <w:pPr>
        <w:pStyle w:val="OpiQuot"/>
      </w:pPr>
      <w:r w:rsidRPr="005850F7">
        <w:t>“The courts must, in applying the rules of procedure, avoid both excessive formalism which would affect the fairness of the procedure, and excessive flexibility that would result in removing the procedural requirements established by law.”</w:t>
      </w:r>
    </w:p>
    <w:p w:rsidRPr="005850F7" w:rsidR="001753CB" w:rsidP="00516455" w:rsidRDefault="001753CB">
      <w:pPr>
        <w:pStyle w:val="ECHRPara"/>
      </w:pPr>
      <w:r w:rsidRPr="005850F7">
        <w:t>We see no reason why the Court</w:t>
      </w:r>
      <w:r w:rsidR="001F25A4">
        <w:t>’</w:t>
      </w:r>
      <w:r w:rsidRPr="005850F7">
        <w:t>s approach should have been different in the instant case.</w:t>
      </w:r>
    </w:p>
    <w:p w:rsidRPr="005850F7" w:rsidR="001753CB" w:rsidP="00516455" w:rsidRDefault="001753CB">
      <w:pPr>
        <w:pStyle w:val="ECHRPara"/>
      </w:pPr>
      <w:r w:rsidRPr="005850F7">
        <w:t xml:space="preserve">The Court also held, in </w:t>
      </w:r>
      <w:proofErr w:type="spellStart"/>
      <w:r w:rsidRPr="005850F7">
        <w:rPr>
          <w:i/>
        </w:rPr>
        <w:t>Walchli</w:t>
      </w:r>
      <w:proofErr w:type="spellEnd"/>
      <w:r w:rsidRPr="005850F7">
        <w:rPr>
          <w:i/>
        </w:rPr>
        <w:t xml:space="preserve"> v. France </w:t>
      </w:r>
      <w:r w:rsidRPr="005850F7">
        <w:t>(no. 35787/03, § 32, 26 July 2007),</w:t>
      </w:r>
      <w:r w:rsidRPr="005850F7">
        <w:rPr>
          <w:i/>
        </w:rPr>
        <w:t xml:space="preserve"> </w:t>
      </w:r>
      <w:r w:rsidRPr="005850F7">
        <w:t>that there had been a violation of Article 6 of the Convention because of the excessive formalism in the position taken by the national court on the issue at stake.</w:t>
      </w:r>
    </w:p>
    <w:p w:rsidRPr="005850F7" w:rsidR="001753CB" w:rsidP="00516455" w:rsidRDefault="001753CB">
      <w:pPr>
        <w:pStyle w:val="ECHRPara"/>
      </w:pPr>
      <w:r w:rsidRPr="005850F7">
        <w:t xml:space="preserve">The Court has recently reiterated its stance in the case of </w:t>
      </w:r>
      <w:proofErr w:type="spellStart"/>
      <w:r w:rsidRPr="005850F7">
        <w:rPr>
          <w:i/>
        </w:rPr>
        <w:t>Ateş</w:t>
      </w:r>
      <w:proofErr w:type="spellEnd"/>
      <w:r w:rsidRPr="005850F7">
        <w:rPr>
          <w:i/>
        </w:rPr>
        <w:t xml:space="preserve"> </w:t>
      </w:r>
      <w:proofErr w:type="spellStart"/>
      <w:r w:rsidRPr="005850F7">
        <w:rPr>
          <w:i/>
        </w:rPr>
        <w:t>Mimarlik</w:t>
      </w:r>
      <w:proofErr w:type="spellEnd"/>
      <w:r w:rsidRPr="005850F7">
        <w:rPr>
          <w:i/>
        </w:rPr>
        <w:t xml:space="preserve"> </w:t>
      </w:r>
      <w:proofErr w:type="spellStart"/>
      <w:r w:rsidRPr="005850F7">
        <w:rPr>
          <w:i/>
        </w:rPr>
        <w:t>Mühendislik</w:t>
      </w:r>
      <w:proofErr w:type="spellEnd"/>
      <w:r w:rsidRPr="005850F7">
        <w:rPr>
          <w:i/>
        </w:rPr>
        <w:t xml:space="preserve"> A.Ş.</w:t>
      </w:r>
      <w:r w:rsidRPr="005850F7" w:rsidDel="00924663">
        <w:rPr>
          <w:i/>
        </w:rPr>
        <w:t xml:space="preserve"> </w:t>
      </w:r>
      <w:r w:rsidRPr="005850F7">
        <w:rPr>
          <w:i/>
        </w:rPr>
        <w:t xml:space="preserve">v. Turkey </w:t>
      </w:r>
      <w:r w:rsidRPr="005850F7">
        <w:t>(no. 33275/05, § 39, 25 September 2012),</w:t>
      </w:r>
      <w:r w:rsidRPr="005850F7">
        <w:rPr>
          <w:i/>
        </w:rPr>
        <w:t xml:space="preserve"> </w:t>
      </w:r>
      <w:r w:rsidRPr="005850F7">
        <w:t xml:space="preserve">stating that excessive formalism must not represent a barrier to a claim being considered on the merits. It referred to its previous case-law on the subject, including </w:t>
      </w:r>
      <w:proofErr w:type="spellStart"/>
      <w:r w:rsidRPr="005850F7">
        <w:rPr>
          <w:i/>
        </w:rPr>
        <w:t>Walchli</w:t>
      </w:r>
      <w:proofErr w:type="spellEnd"/>
      <w:r w:rsidRPr="005850F7">
        <w:t>.</w:t>
      </w:r>
    </w:p>
    <w:p w:rsidRPr="005850F7" w:rsidR="001753CB" w:rsidP="00516455" w:rsidRDefault="001753CB">
      <w:pPr>
        <w:pStyle w:val="ECHRPara"/>
      </w:pPr>
      <w:r w:rsidRPr="005850F7">
        <w:t>5.</w:t>
      </w:r>
      <w:r w:rsidR="00C807DE">
        <w:t>  </w:t>
      </w:r>
      <w:r w:rsidRPr="005850F7">
        <w:t xml:space="preserve">The Court has unswervingly </w:t>
      </w:r>
      <w:proofErr w:type="spellStart"/>
      <w:r w:rsidRPr="005850F7">
        <w:t>favoured</w:t>
      </w:r>
      <w:proofErr w:type="spellEnd"/>
      <w:r w:rsidRPr="005850F7">
        <w:t xml:space="preserve"> a flexible application of Article</w:t>
      </w:r>
      <w:r w:rsidR="00C807DE">
        <w:t> </w:t>
      </w:r>
      <w:r w:rsidRPr="005850F7">
        <w:t xml:space="preserve">35 § 1 of the Convention. We therefore find it difficult to subscribe to the majority finding in this case, which basically amounts to telling the applicants that they should have pleaded their case at domestic level </w:t>
      </w:r>
      <w:r w:rsidRPr="005850F7">
        <w:rPr>
          <w:i/>
        </w:rPr>
        <w:t>in one particular and specific way and not another.</w:t>
      </w:r>
    </w:p>
    <w:p w:rsidR="001753CB" w:rsidP="00516455" w:rsidRDefault="001753CB">
      <w:pPr>
        <w:pStyle w:val="ECHRPara"/>
      </w:pPr>
      <w:r w:rsidRPr="005850F7">
        <w:t>6.</w:t>
      </w:r>
      <w:r w:rsidR="00C807DE">
        <w:t>  </w:t>
      </w:r>
      <w:r w:rsidRPr="005850F7">
        <w:t xml:space="preserve">Even if – which we do not believe should be the case – one were to hold that the applicants should have pleaded in a particular manner before the Constitutional Court, we wonder whether a more explicit reference to the agreement and to Article 21 of the Constitution would have had any reasonable prospect of success. The Constitutional Court, in its decision of 7 November 2012 (see paragraph 23), held in effect that discrimination on the basis of </w:t>
      </w:r>
      <w:r w:rsidRPr="005850F7">
        <w:rPr>
          <w:i/>
        </w:rPr>
        <w:t>personal qualities</w:t>
      </w:r>
      <w:r w:rsidRPr="005850F7">
        <w:t xml:space="preserve"> was a </w:t>
      </w:r>
      <w:r w:rsidRPr="005850F7">
        <w:rPr>
          <w:i/>
        </w:rPr>
        <w:t>precondition</w:t>
      </w:r>
      <w:r w:rsidRPr="005850F7">
        <w:t xml:space="preserve"> for determining the existence of a violation of the principle of non-discrimination. Since the applicants</w:t>
      </w:r>
      <w:r w:rsidR="001F25A4">
        <w:t>’</w:t>
      </w:r>
      <w:r w:rsidRPr="005850F7">
        <w:t xml:space="preserve"> claim is in essence that they were discriminated against on the basis of their </w:t>
      </w:r>
      <w:r w:rsidRPr="005850F7">
        <w:rPr>
          <w:i/>
        </w:rPr>
        <w:t>place of residence</w:t>
      </w:r>
      <w:r w:rsidRPr="005850F7">
        <w:t xml:space="preserve"> – which cannot be considered a “personal quality” – such a claim, no matter how it were pleaded before that domestic court, would have been dismissed.</w:t>
      </w:r>
    </w:p>
    <w:p w:rsidRPr="001753CB" w:rsidR="00470C25" w:rsidP="00516455" w:rsidRDefault="001753CB">
      <w:pPr>
        <w:pStyle w:val="ECHRPara"/>
      </w:pPr>
      <w:r w:rsidRPr="005850F7">
        <w:t>7.</w:t>
      </w:r>
      <w:r w:rsidR="00C807DE">
        <w:t>  </w:t>
      </w:r>
      <w:r w:rsidRPr="005850F7">
        <w:t>For the above reasons, and in the light of the clear and constant case</w:t>
      </w:r>
      <w:r w:rsidR="00C807DE">
        <w:noBreakHyphen/>
      </w:r>
      <w:r w:rsidRPr="005850F7">
        <w:t>law of the Court, we disagree with the majority finding that the applicants did not exhaust domestic remedies. In our opinion, such a finding can be drawn from the facts only by way of an excessively formalistic approach to Article 35 § 1, which is not allowed by the Court</w:t>
      </w:r>
      <w:r w:rsidR="001F25A4">
        <w:t>’</w:t>
      </w:r>
      <w:r w:rsidRPr="005850F7">
        <w:t>s case-law. Accordingly, we find that the Grand Chamber should have considered the merits of the case.</w:t>
      </w:r>
    </w:p>
    <w:sectPr w:rsidRPr="001753CB" w:rsidR="00470C25" w:rsidSect="00831826">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6" w:h="16838" w:code="9"/>
      <w:pgMar w:top="2274" w:right="2274" w:bottom="2274" w:left="2274" w:header="1701" w:footer="720"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4BB">
      <wne:wch wne:val="000000A7"/>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7DE" w:rsidRDefault="00C807DE">
      <w:r>
        <w:separator/>
      </w:r>
    </w:p>
  </w:endnote>
  <w:endnote w:type="continuationSeparator" w:id="0">
    <w:p w:rsidR="00C807DE" w:rsidRDefault="00C80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7DE" w:rsidRDefault="00C807DE">
      <w:r>
        <w:separator/>
      </w:r>
    </w:p>
  </w:footnote>
  <w:footnote w:type="continuationSeparator" w:id="0">
    <w:p w:rsidR="00C807DE" w:rsidRDefault="00C807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Pr="00466D3D" w:rsidRDefault="00C807DE" w:rsidP="00466D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Pr="00A45145" w:rsidRDefault="00C807DE" w:rsidP="00831826">
    <w:pPr>
      <w:jc w:val="center"/>
    </w:pPr>
    <w:r>
      <w:rPr>
        <w:noProof/>
      </w:rPr>
      <w:drawing>
        <wp:inline distT="0" distB="0" distL="0" distR="0" wp14:anchorId="7D65E140" wp14:editId="487F629D">
          <wp:extent cx="2960370" cy="1222375"/>
          <wp:effectExtent l="0" t="0" r="0" b="0"/>
          <wp:docPr id="5"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0370" cy="1222375"/>
                  </a:xfrm>
                  <a:prstGeom prst="rect">
                    <a:avLst/>
                  </a:prstGeom>
                  <a:noFill/>
                  <a:ln>
                    <a:noFill/>
                  </a:ln>
                </pic:spPr>
              </pic:pic>
            </a:graphicData>
          </a:graphic>
        </wp:inline>
      </w:drawing>
    </w:r>
  </w:p>
  <w:p w:rsidR="00C807DE" w:rsidRPr="00466D3D" w:rsidRDefault="00C807DE" w:rsidP="00466D3D">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ECHRHeader"/>
    </w:pPr>
    <w:r>
      <w:rPr>
        <w:rStyle w:val="PageNumber"/>
      </w:rPr>
      <w:fldChar w:fldCharType="begin"/>
    </w:r>
    <w:r>
      <w:rPr>
        <w:rStyle w:val="PageNumber"/>
      </w:rPr>
      <w:instrText xml:space="preserve"> PAGE </w:instrText>
    </w:r>
    <w:r>
      <w:rPr>
        <w:rStyle w:val="PageNumber"/>
      </w:rPr>
      <w:fldChar w:fldCharType="separate"/>
    </w:r>
    <w:r w:rsidR="00F25A85">
      <w:rPr>
        <w:rStyle w:val="PageNumber"/>
        <w:noProof/>
      </w:rPr>
      <w:t>26</w:t>
    </w:r>
    <w:r>
      <w:rPr>
        <w:rStyle w:val="PageNumber"/>
      </w:rPr>
      <w:fldChar w:fldCharType="end"/>
    </w:r>
    <w:r>
      <w:tab/>
      <w:t>VUČKOVIĆ AND OTHERS v. SERBIA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ECHRHeader"/>
    </w:pPr>
    <w:r>
      <w:tab/>
      <w:t>VUČKOVIĆ AND OTHERS v. SERBIA JUDGMENT</w:t>
    </w:r>
    <w:r>
      <w:tab/>
    </w:r>
    <w:r>
      <w:rPr>
        <w:rStyle w:val="PageNumber"/>
      </w:rPr>
      <w:fldChar w:fldCharType="begin"/>
    </w:r>
    <w:r>
      <w:rPr>
        <w:rStyle w:val="PageNumber"/>
      </w:rPr>
      <w:instrText xml:space="preserve"> PAGE </w:instrText>
    </w:r>
    <w:r>
      <w:rPr>
        <w:rStyle w:val="PageNumber"/>
      </w:rPr>
      <w:fldChar w:fldCharType="separate"/>
    </w:r>
    <w:r w:rsidR="00F25A85">
      <w:rPr>
        <w:rStyle w:val="PageNumber"/>
        <w:noProof/>
      </w:rPr>
      <w:t>25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ECHRHeader"/>
    </w:pPr>
    <w:r>
      <w:rPr>
        <w:rStyle w:val="PageNumber"/>
      </w:rPr>
      <w:fldChar w:fldCharType="begin"/>
    </w:r>
    <w:r>
      <w:rPr>
        <w:rStyle w:val="PageNumber"/>
      </w:rPr>
      <w:instrText xml:space="preserve"> PAGE </w:instrText>
    </w:r>
    <w:r>
      <w:rPr>
        <w:rStyle w:val="PageNumber"/>
      </w:rPr>
      <w:fldChar w:fldCharType="separate"/>
    </w:r>
    <w:r w:rsidR="003B61ED">
      <w:rPr>
        <w:rStyle w:val="PageNumber"/>
        <w:noProof/>
      </w:rPr>
      <w:t>28</w:t>
    </w:r>
    <w:r>
      <w:rPr>
        <w:rStyle w:val="PageNumber"/>
      </w:rPr>
      <w:fldChar w:fldCharType="end"/>
    </w:r>
    <w:r>
      <w:tab/>
      <w:t xml:space="preserve">VUČKOVIĆ AND OTHERS v. SERBIA – </w:t>
    </w:r>
    <w:r w:rsidRPr="00671CA5">
      <w:rPr>
        <w:noProof/>
      </w:rPr>
      <w:t>DISSENTING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ECHRHeader"/>
    </w:pPr>
    <w:r>
      <w:tab/>
      <w:t xml:space="preserve">VUČKOVIĆ AND OTHERS v. SERBIA – </w:t>
    </w:r>
    <w:r w:rsidRPr="00671CA5">
      <w:t>DISSENTING OPINION</w:t>
    </w:r>
    <w:r>
      <w:tab/>
    </w:r>
    <w:r>
      <w:rPr>
        <w:rStyle w:val="PageNumber"/>
      </w:rPr>
      <w:fldChar w:fldCharType="begin"/>
    </w:r>
    <w:r>
      <w:rPr>
        <w:rStyle w:val="PageNumber"/>
      </w:rPr>
      <w:instrText xml:space="preserve"> PAGE </w:instrText>
    </w:r>
    <w:r>
      <w:rPr>
        <w:rStyle w:val="PageNumber"/>
      </w:rPr>
      <w:fldChar w:fldCharType="separate"/>
    </w:r>
    <w:r w:rsidR="003B61ED">
      <w:rPr>
        <w:rStyle w:val="PageNumber"/>
        <w:noProof/>
      </w:rPr>
      <w:t>29</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DE" w:rsidRDefault="00C807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8CB2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2C52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AC92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0E8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B4EC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3CE7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CACC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A034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8AE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31570DD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5FAA524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6882AFB"/>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5"/>
  </w:num>
  <w:num w:numId="4">
    <w:abstractNumId w:val="15"/>
  </w:num>
  <w:num w:numId="5">
    <w:abstractNumId w:val="15"/>
  </w:num>
  <w:num w:numId="6">
    <w:abstractNumId w:val="15"/>
  </w:num>
  <w:num w:numId="7">
    <w:abstractNumId w:val="11"/>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0"/>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NotTrackFormatting/>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813AF"/>
    <w:rsid w:val="00000189"/>
    <w:rsid w:val="00001CC5"/>
    <w:rsid w:val="00002DD1"/>
    <w:rsid w:val="000042D1"/>
    <w:rsid w:val="000044FF"/>
    <w:rsid w:val="00005363"/>
    <w:rsid w:val="00007B38"/>
    <w:rsid w:val="00010BFB"/>
    <w:rsid w:val="00011629"/>
    <w:rsid w:val="00012867"/>
    <w:rsid w:val="00013894"/>
    <w:rsid w:val="00017214"/>
    <w:rsid w:val="00017F47"/>
    <w:rsid w:val="00025988"/>
    <w:rsid w:val="00026736"/>
    <w:rsid w:val="00027241"/>
    <w:rsid w:val="0003001C"/>
    <w:rsid w:val="000301E5"/>
    <w:rsid w:val="00030A23"/>
    <w:rsid w:val="00032F53"/>
    <w:rsid w:val="00033160"/>
    <w:rsid w:val="00033FD2"/>
    <w:rsid w:val="0003412D"/>
    <w:rsid w:val="0003679E"/>
    <w:rsid w:val="000427B5"/>
    <w:rsid w:val="00042867"/>
    <w:rsid w:val="00043C66"/>
    <w:rsid w:val="000450A6"/>
    <w:rsid w:val="000464C5"/>
    <w:rsid w:val="00047F19"/>
    <w:rsid w:val="00050F86"/>
    <w:rsid w:val="00051805"/>
    <w:rsid w:val="0005252B"/>
    <w:rsid w:val="0005522C"/>
    <w:rsid w:val="0005571E"/>
    <w:rsid w:val="00055AC1"/>
    <w:rsid w:val="000561F6"/>
    <w:rsid w:val="00056C3D"/>
    <w:rsid w:val="0005783C"/>
    <w:rsid w:val="00060E05"/>
    <w:rsid w:val="000629CC"/>
    <w:rsid w:val="00065AA6"/>
    <w:rsid w:val="00066620"/>
    <w:rsid w:val="00071476"/>
    <w:rsid w:val="00071E38"/>
    <w:rsid w:val="00072333"/>
    <w:rsid w:val="000726F6"/>
    <w:rsid w:val="00076A67"/>
    <w:rsid w:val="00077113"/>
    <w:rsid w:val="00080FF8"/>
    <w:rsid w:val="00082C3E"/>
    <w:rsid w:val="00083AB3"/>
    <w:rsid w:val="00084AFF"/>
    <w:rsid w:val="00085837"/>
    <w:rsid w:val="00085ADD"/>
    <w:rsid w:val="00085B3A"/>
    <w:rsid w:val="00090C82"/>
    <w:rsid w:val="00092C63"/>
    <w:rsid w:val="0009409F"/>
    <w:rsid w:val="000949CE"/>
    <w:rsid w:val="0009707C"/>
    <w:rsid w:val="000A1AA3"/>
    <w:rsid w:val="000A6716"/>
    <w:rsid w:val="000A7937"/>
    <w:rsid w:val="000B0C50"/>
    <w:rsid w:val="000B13BA"/>
    <w:rsid w:val="000B430F"/>
    <w:rsid w:val="000B678B"/>
    <w:rsid w:val="000C37BD"/>
    <w:rsid w:val="000C44A0"/>
    <w:rsid w:val="000D4C87"/>
    <w:rsid w:val="000D6108"/>
    <w:rsid w:val="000D6F5E"/>
    <w:rsid w:val="000E1449"/>
    <w:rsid w:val="000F05E6"/>
    <w:rsid w:val="000F069E"/>
    <w:rsid w:val="000F1788"/>
    <w:rsid w:val="000F2DD3"/>
    <w:rsid w:val="000F3884"/>
    <w:rsid w:val="000F4112"/>
    <w:rsid w:val="000F6305"/>
    <w:rsid w:val="000F699D"/>
    <w:rsid w:val="000F6F29"/>
    <w:rsid w:val="000F76DC"/>
    <w:rsid w:val="00100FA7"/>
    <w:rsid w:val="00101400"/>
    <w:rsid w:val="00104AD1"/>
    <w:rsid w:val="00106E9B"/>
    <w:rsid w:val="00107816"/>
    <w:rsid w:val="00111D99"/>
    <w:rsid w:val="00112B74"/>
    <w:rsid w:val="00113771"/>
    <w:rsid w:val="0011665B"/>
    <w:rsid w:val="00120F2F"/>
    <w:rsid w:val="0012270C"/>
    <w:rsid w:val="001249C1"/>
    <w:rsid w:val="00126213"/>
    <w:rsid w:val="001268B8"/>
    <w:rsid w:val="00126B22"/>
    <w:rsid w:val="001300F6"/>
    <w:rsid w:val="0013290F"/>
    <w:rsid w:val="0013570B"/>
    <w:rsid w:val="00136B5C"/>
    <w:rsid w:val="00137064"/>
    <w:rsid w:val="001374C5"/>
    <w:rsid w:val="00140195"/>
    <w:rsid w:val="00144659"/>
    <w:rsid w:val="001449AA"/>
    <w:rsid w:val="001467D8"/>
    <w:rsid w:val="001505AD"/>
    <w:rsid w:val="00151CCA"/>
    <w:rsid w:val="00152091"/>
    <w:rsid w:val="001544FE"/>
    <w:rsid w:val="001547A5"/>
    <w:rsid w:val="00157BD8"/>
    <w:rsid w:val="00157C0E"/>
    <w:rsid w:val="00161C9F"/>
    <w:rsid w:val="00162D84"/>
    <w:rsid w:val="00163D70"/>
    <w:rsid w:val="00164104"/>
    <w:rsid w:val="0016467F"/>
    <w:rsid w:val="00171FE2"/>
    <w:rsid w:val="0017306E"/>
    <w:rsid w:val="00173CED"/>
    <w:rsid w:val="001745B6"/>
    <w:rsid w:val="00174A6F"/>
    <w:rsid w:val="001753CB"/>
    <w:rsid w:val="0017622B"/>
    <w:rsid w:val="00180440"/>
    <w:rsid w:val="001812B2"/>
    <w:rsid w:val="0018245A"/>
    <w:rsid w:val="001829BA"/>
    <w:rsid w:val="00183946"/>
    <w:rsid w:val="00184B42"/>
    <w:rsid w:val="0019205F"/>
    <w:rsid w:val="00192B9E"/>
    <w:rsid w:val="0019326B"/>
    <w:rsid w:val="0019388B"/>
    <w:rsid w:val="00194409"/>
    <w:rsid w:val="00195378"/>
    <w:rsid w:val="00197A6E"/>
    <w:rsid w:val="00197C29"/>
    <w:rsid w:val="001A0EBE"/>
    <w:rsid w:val="001A1ED8"/>
    <w:rsid w:val="001A2CB2"/>
    <w:rsid w:val="001A4664"/>
    <w:rsid w:val="001B03B5"/>
    <w:rsid w:val="001B152B"/>
    <w:rsid w:val="001B248C"/>
    <w:rsid w:val="001B2EFC"/>
    <w:rsid w:val="001B32F1"/>
    <w:rsid w:val="001B62B1"/>
    <w:rsid w:val="001B74F7"/>
    <w:rsid w:val="001B78E9"/>
    <w:rsid w:val="001C12E9"/>
    <w:rsid w:val="001C4C4D"/>
    <w:rsid w:val="001D12C4"/>
    <w:rsid w:val="001D4424"/>
    <w:rsid w:val="001D7D72"/>
    <w:rsid w:val="001E2B3A"/>
    <w:rsid w:val="001E31C0"/>
    <w:rsid w:val="001E426B"/>
    <w:rsid w:val="001E664B"/>
    <w:rsid w:val="001F139C"/>
    <w:rsid w:val="001F25A4"/>
    <w:rsid w:val="001F483D"/>
    <w:rsid w:val="001F5586"/>
    <w:rsid w:val="001F5A5B"/>
    <w:rsid w:val="001F5F10"/>
    <w:rsid w:val="0020276F"/>
    <w:rsid w:val="002041E3"/>
    <w:rsid w:val="00204FA5"/>
    <w:rsid w:val="0021519C"/>
    <w:rsid w:val="00215E50"/>
    <w:rsid w:val="00215F81"/>
    <w:rsid w:val="00217C5F"/>
    <w:rsid w:val="002210FB"/>
    <w:rsid w:val="0022199D"/>
    <w:rsid w:val="00222FC8"/>
    <w:rsid w:val="0022408D"/>
    <w:rsid w:val="00225BE5"/>
    <w:rsid w:val="002266CD"/>
    <w:rsid w:val="0022678D"/>
    <w:rsid w:val="0022762A"/>
    <w:rsid w:val="0023123F"/>
    <w:rsid w:val="00231C3D"/>
    <w:rsid w:val="002320C6"/>
    <w:rsid w:val="00233775"/>
    <w:rsid w:val="00233BE0"/>
    <w:rsid w:val="0023619D"/>
    <w:rsid w:val="00242506"/>
    <w:rsid w:val="002432A6"/>
    <w:rsid w:val="002432CA"/>
    <w:rsid w:val="00243D32"/>
    <w:rsid w:val="00250CCC"/>
    <w:rsid w:val="00252B31"/>
    <w:rsid w:val="002563F5"/>
    <w:rsid w:val="002578C0"/>
    <w:rsid w:val="00261AF4"/>
    <w:rsid w:val="00262A71"/>
    <w:rsid w:val="00264037"/>
    <w:rsid w:val="002645BA"/>
    <w:rsid w:val="00265471"/>
    <w:rsid w:val="00265D0E"/>
    <w:rsid w:val="002671D4"/>
    <w:rsid w:val="0026789F"/>
    <w:rsid w:val="00267E01"/>
    <w:rsid w:val="00271789"/>
    <w:rsid w:val="00271A81"/>
    <w:rsid w:val="002728A9"/>
    <w:rsid w:val="00275168"/>
    <w:rsid w:val="00275D8B"/>
    <w:rsid w:val="00275EC6"/>
    <w:rsid w:val="00276A9B"/>
    <w:rsid w:val="00276D29"/>
    <w:rsid w:val="00280E91"/>
    <w:rsid w:val="002847B7"/>
    <w:rsid w:val="00285A3C"/>
    <w:rsid w:val="002908B4"/>
    <w:rsid w:val="00290E80"/>
    <w:rsid w:val="00296260"/>
    <w:rsid w:val="00296B76"/>
    <w:rsid w:val="002971B8"/>
    <w:rsid w:val="00297942"/>
    <w:rsid w:val="002A178F"/>
    <w:rsid w:val="002A2E17"/>
    <w:rsid w:val="002A3435"/>
    <w:rsid w:val="002A3A18"/>
    <w:rsid w:val="002A4296"/>
    <w:rsid w:val="002A5FBE"/>
    <w:rsid w:val="002A7ADF"/>
    <w:rsid w:val="002B18B7"/>
    <w:rsid w:val="002B6D2B"/>
    <w:rsid w:val="002C080C"/>
    <w:rsid w:val="002C2E9B"/>
    <w:rsid w:val="002C34BF"/>
    <w:rsid w:val="002C41EA"/>
    <w:rsid w:val="002C4622"/>
    <w:rsid w:val="002C48BB"/>
    <w:rsid w:val="002C4E55"/>
    <w:rsid w:val="002C5081"/>
    <w:rsid w:val="002C57DC"/>
    <w:rsid w:val="002C6D0B"/>
    <w:rsid w:val="002C6E1F"/>
    <w:rsid w:val="002C7D3E"/>
    <w:rsid w:val="002E04E7"/>
    <w:rsid w:val="002E0E1A"/>
    <w:rsid w:val="002E2264"/>
    <w:rsid w:val="002E2EAF"/>
    <w:rsid w:val="002E46F9"/>
    <w:rsid w:val="002E6A74"/>
    <w:rsid w:val="002F0C60"/>
    <w:rsid w:val="002F18B9"/>
    <w:rsid w:val="002F1CA5"/>
    <w:rsid w:val="002F341B"/>
    <w:rsid w:val="002F3BFB"/>
    <w:rsid w:val="002F4BCF"/>
    <w:rsid w:val="002F4CEB"/>
    <w:rsid w:val="002F6652"/>
    <w:rsid w:val="002F6FE9"/>
    <w:rsid w:val="002F7854"/>
    <w:rsid w:val="00301A19"/>
    <w:rsid w:val="00302008"/>
    <w:rsid w:val="003037CB"/>
    <w:rsid w:val="00305F11"/>
    <w:rsid w:val="003104E9"/>
    <w:rsid w:val="00312674"/>
    <w:rsid w:val="0031573C"/>
    <w:rsid w:val="0031728B"/>
    <w:rsid w:val="0032093A"/>
    <w:rsid w:val="00325C2B"/>
    <w:rsid w:val="003316D4"/>
    <w:rsid w:val="00332547"/>
    <w:rsid w:val="00333047"/>
    <w:rsid w:val="00335856"/>
    <w:rsid w:val="003359E7"/>
    <w:rsid w:val="0033645E"/>
    <w:rsid w:val="00336887"/>
    <w:rsid w:val="00337600"/>
    <w:rsid w:val="003403BB"/>
    <w:rsid w:val="00340667"/>
    <w:rsid w:val="003414B3"/>
    <w:rsid w:val="003455C0"/>
    <w:rsid w:val="0034580F"/>
    <w:rsid w:val="00346FBD"/>
    <w:rsid w:val="003506C9"/>
    <w:rsid w:val="00350A5B"/>
    <w:rsid w:val="003512D3"/>
    <w:rsid w:val="003516F4"/>
    <w:rsid w:val="0035303B"/>
    <w:rsid w:val="00355F8F"/>
    <w:rsid w:val="003561D6"/>
    <w:rsid w:val="00356AAA"/>
    <w:rsid w:val="003571E5"/>
    <w:rsid w:val="00361661"/>
    <w:rsid w:val="003640B0"/>
    <w:rsid w:val="00366287"/>
    <w:rsid w:val="00367B91"/>
    <w:rsid w:val="00370996"/>
    <w:rsid w:val="003711B8"/>
    <w:rsid w:val="00371277"/>
    <w:rsid w:val="0037228D"/>
    <w:rsid w:val="003727E6"/>
    <w:rsid w:val="00373231"/>
    <w:rsid w:val="0037548A"/>
    <w:rsid w:val="00375D6D"/>
    <w:rsid w:val="00377255"/>
    <w:rsid w:val="00382238"/>
    <w:rsid w:val="003846D3"/>
    <w:rsid w:val="00386D88"/>
    <w:rsid w:val="00390192"/>
    <w:rsid w:val="003963D4"/>
    <w:rsid w:val="003A2855"/>
    <w:rsid w:val="003A2932"/>
    <w:rsid w:val="003A52D9"/>
    <w:rsid w:val="003A5D92"/>
    <w:rsid w:val="003A64D3"/>
    <w:rsid w:val="003B0CA2"/>
    <w:rsid w:val="003B41C7"/>
    <w:rsid w:val="003B4807"/>
    <w:rsid w:val="003B4C8E"/>
    <w:rsid w:val="003B4E9A"/>
    <w:rsid w:val="003B50D7"/>
    <w:rsid w:val="003B61ED"/>
    <w:rsid w:val="003C022A"/>
    <w:rsid w:val="003C153E"/>
    <w:rsid w:val="003C3434"/>
    <w:rsid w:val="003D29A0"/>
    <w:rsid w:val="003D4729"/>
    <w:rsid w:val="003D6A13"/>
    <w:rsid w:val="003D6BA3"/>
    <w:rsid w:val="003E2006"/>
    <w:rsid w:val="003E319C"/>
    <w:rsid w:val="003E3A46"/>
    <w:rsid w:val="003E3C0E"/>
    <w:rsid w:val="003E69B2"/>
    <w:rsid w:val="003E7F65"/>
    <w:rsid w:val="003F0108"/>
    <w:rsid w:val="003F051B"/>
    <w:rsid w:val="003F17F5"/>
    <w:rsid w:val="003F19AF"/>
    <w:rsid w:val="003F2C39"/>
    <w:rsid w:val="003F3BFD"/>
    <w:rsid w:val="003F68E3"/>
    <w:rsid w:val="00400AF9"/>
    <w:rsid w:val="00401C5B"/>
    <w:rsid w:val="00403994"/>
    <w:rsid w:val="00406839"/>
    <w:rsid w:val="00412F5F"/>
    <w:rsid w:val="00413EFC"/>
    <w:rsid w:val="00417410"/>
    <w:rsid w:val="00417BF2"/>
    <w:rsid w:val="00420A26"/>
    <w:rsid w:val="00421F58"/>
    <w:rsid w:val="00426E6D"/>
    <w:rsid w:val="00433829"/>
    <w:rsid w:val="004368FB"/>
    <w:rsid w:val="004406AA"/>
    <w:rsid w:val="00441FD9"/>
    <w:rsid w:val="00443502"/>
    <w:rsid w:val="00446C83"/>
    <w:rsid w:val="00450904"/>
    <w:rsid w:val="004517E0"/>
    <w:rsid w:val="00451995"/>
    <w:rsid w:val="00452055"/>
    <w:rsid w:val="00452CF1"/>
    <w:rsid w:val="00453C41"/>
    <w:rsid w:val="00457A18"/>
    <w:rsid w:val="00460FAD"/>
    <w:rsid w:val="00464105"/>
    <w:rsid w:val="004646CC"/>
    <w:rsid w:val="00465AD7"/>
    <w:rsid w:val="00466D3D"/>
    <w:rsid w:val="0046773E"/>
    <w:rsid w:val="00470340"/>
    <w:rsid w:val="00470C25"/>
    <w:rsid w:val="00471505"/>
    <w:rsid w:val="00472465"/>
    <w:rsid w:val="00483959"/>
    <w:rsid w:val="00484011"/>
    <w:rsid w:val="00484FC2"/>
    <w:rsid w:val="00485A6F"/>
    <w:rsid w:val="0048725B"/>
    <w:rsid w:val="0048737C"/>
    <w:rsid w:val="004910AB"/>
    <w:rsid w:val="004920B1"/>
    <w:rsid w:val="00492B3E"/>
    <w:rsid w:val="00492CBF"/>
    <w:rsid w:val="004944B2"/>
    <w:rsid w:val="004953A6"/>
    <w:rsid w:val="004A0E06"/>
    <w:rsid w:val="004A257D"/>
    <w:rsid w:val="004A6ED8"/>
    <w:rsid w:val="004A7EF9"/>
    <w:rsid w:val="004B02E9"/>
    <w:rsid w:val="004B2214"/>
    <w:rsid w:val="004B3240"/>
    <w:rsid w:val="004B5692"/>
    <w:rsid w:val="004B6C68"/>
    <w:rsid w:val="004C0BE0"/>
    <w:rsid w:val="004C1B6F"/>
    <w:rsid w:val="004C61ED"/>
    <w:rsid w:val="004C768A"/>
    <w:rsid w:val="004D0439"/>
    <w:rsid w:val="004D2AD9"/>
    <w:rsid w:val="004D58E7"/>
    <w:rsid w:val="004D5EBD"/>
    <w:rsid w:val="004E20A4"/>
    <w:rsid w:val="004E5DFC"/>
    <w:rsid w:val="004E6E76"/>
    <w:rsid w:val="004F0A41"/>
    <w:rsid w:val="004F160A"/>
    <w:rsid w:val="004F4397"/>
    <w:rsid w:val="004F4399"/>
    <w:rsid w:val="004F6727"/>
    <w:rsid w:val="0050096C"/>
    <w:rsid w:val="00500C41"/>
    <w:rsid w:val="00500D4B"/>
    <w:rsid w:val="00501676"/>
    <w:rsid w:val="00502119"/>
    <w:rsid w:val="00503164"/>
    <w:rsid w:val="00505FB0"/>
    <w:rsid w:val="005060EA"/>
    <w:rsid w:val="00506461"/>
    <w:rsid w:val="00506B76"/>
    <w:rsid w:val="005074EC"/>
    <w:rsid w:val="005106BF"/>
    <w:rsid w:val="005126C5"/>
    <w:rsid w:val="00512888"/>
    <w:rsid w:val="00512B04"/>
    <w:rsid w:val="00513446"/>
    <w:rsid w:val="00514B26"/>
    <w:rsid w:val="00516455"/>
    <w:rsid w:val="0051652E"/>
    <w:rsid w:val="00516EBF"/>
    <w:rsid w:val="00517946"/>
    <w:rsid w:val="00520625"/>
    <w:rsid w:val="00522362"/>
    <w:rsid w:val="005243EC"/>
    <w:rsid w:val="00524FFC"/>
    <w:rsid w:val="005272B8"/>
    <w:rsid w:val="00540396"/>
    <w:rsid w:val="005414E7"/>
    <w:rsid w:val="005419B6"/>
    <w:rsid w:val="00541CFE"/>
    <w:rsid w:val="00544884"/>
    <w:rsid w:val="00546C09"/>
    <w:rsid w:val="00546F49"/>
    <w:rsid w:val="005516F3"/>
    <w:rsid w:val="00556FF4"/>
    <w:rsid w:val="00557600"/>
    <w:rsid w:val="00560131"/>
    <w:rsid w:val="005623F0"/>
    <w:rsid w:val="00565BC6"/>
    <w:rsid w:val="00566F56"/>
    <w:rsid w:val="0056771C"/>
    <w:rsid w:val="0057376A"/>
    <w:rsid w:val="005777BA"/>
    <w:rsid w:val="00577E6A"/>
    <w:rsid w:val="00580A27"/>
    <w:rsid w:val="00580B24"/>
    <w:rsid w:val="00582BE9"/>
    <w:rsid w:val="00582D1B"/>
    <w:rsid w:val="00584A11"/>
    <w:rsid w:val="005855A7"/>
    <w:rsid w:val="005874FF"/>
    <w:rsid w:val="00587DFE"/>
    <w:rsid w:val="00592B50"/>
    <w:rsid w:val="005940DB"/>
    <w:rsid w:val="005944D6"/>
    <w:rsid w:val="00595C5D"/>
    <w:rsid w:val="00597317"/>
    <w:rsid w:val="005A0A0E"/>
    <w:rsid w:val="005A2E3B"/>
    <w:rsid w:val="005A3D27"/>
    <w:rsid w:val="005A57F8"/>
    <w:rsid w:val="005B0023"/>
    <w:rsid w:val="005B16A8"/>
    <w:rsid w:val="005B34EB"/>
    <w:rsid w:val="005B4233"/>
    <w:rsid w:val="005B4AC7"/>
    <w:rsid w:val="005B7181"/>
    <w:rsid w:val="005C0804"/>
    <w:rsid w:val="005C1929"/>
    <w:rsid w:val="005C1956"/>
    <w:rsid w:val="005C2C88"/>
    <w:rsid w:val="005C41CB"/>
    <w:rsid w:val="005C4542"/>
    <w:rsid w:val="005C4983"/>
    <w:rsid w:val="005C59F5"/>
    <w:rsid w:val="005C7B44"/>
    <w:rsid w:val="005D1B72"/>
    <w:rsid w:val="005D29E0"/>
    <w:rsid w:val="005D3169"/>
    <w:rsid w:val="005D3ED4"/>
    <w:rsid w:val="005D49EA"/>
    <w:rsid w:val="005D5624"/>
    <w:rsid w:val="005E371E"/>
    <w:rsid w:val="005E384F"/>
    <w:rsid w:val="005E487C"/>
    <w:rsid w:val="005E4BFF"/>
    <w:rsid w:val="005E562E"/>
    <w:rsid w:val="005E6167"/>
    <w:rsid w:val="005F4712"/>
    <w:rsid w:val="005F4753"/>
    <w:rsid w:val="005F7A10"/>
    <w:rsid w:val="00600579"/>
    <w:rsid w:val="0060165A"/>
    <w:rsid w:val="00603BD6"/>
    <w:rsid w:val="006053AC"/>
    <w:rsid w:val="006068D0"/>
    <w:rsid w:val="006109DA"/>
    <w:rsid w:val="006111FF"/>
    <w:rsid w:val="0061156E"/>
    <w:rsid w:val="00612BBC"/>
    <w:rsid w:val="00612FA8"/>
    <w:rsid w:val="006138EA"/>
    <w:rsid w:val="00616D3C"/>
    <w:rsid w:val="00616DDF"/>
    <w:rsid w:val="00617A2F"/>
    <w:rsid w:val="00620C32"/>
    <w:rsid w:val="00621D72"/>
    <w:rsid w:val="00625699"/>
    <w:rsid w:val="006271BE"/>
    <w:rsid w:val="0062787C"/>
    <w:rsid w:val="00633478"/>
    <w:rsid w:val="00636C89"/>
    <w:rsid w:val="00640B82"/>
    <w:rsid w:val="00640DEC"/>
    <w:rsid w:val="00641D52"/>
    <w:rsid w:val="0064618E"/>
    <w:rsid w:val="00646D8C"/>
    <w:rsid w:val="00655126"/>
    <w:rsid w:val="00656A14"/>
    <w:rsid w:val="00656D3A"/>
    <w:rsid w:val="0065736A"/>
    <w:rsid w:val="00657D91"/>
    <w:rsid w:val="00660D28"/>
    <w:rsid w:val="00661F2C"/>
    <w:rsid w:val="006639B6"/>
    <w:rsid w:val="006643B5"/>
    <w:rsid w:val="00665FE0"/>
    <w:rsid w:val="006665C1"/>
    <w:rsid w:val="00673B04"/>
    <w:rsid w:val="00680CFA"/>
    <w:rsid w:val="00681377"/>
    <w:rsid w:val="00681E6F"/>
    <w:rsid w:val="00682A17"/>
    <w:rsid w:val="00690A61"/>
    <w:rsid w:val="00692128"/>
    <w:rsid w:val="006958D4"/>
    <w:rsid w:val="00697784"/>
    <w:rsid w:val="00697F14"/>
    <w:rsid w:val="006A09AC"/>
    <w:rsid w:val="006A3D9D"/>
    <w:rsid w:val="006A4DA5"/>
    <w:rsid w:val="006A6E98"/>
    <w:rsid w:val="006A7C48"/>
    <w:rsid w:val="006B4A2A"/>
    <w:rsid w:val="006B50DE"/>
    <w:rsid w:val="006C2B52"/>
    <w:rsid w:val="006C35C5"/>
    <w:rsid w:val="006C37EA"/>
    <w:rsid w:val="006C4A97"/>
    <w:rsid w:val="006D330E"/>
    <w:rsid w:val="006D5217"/>
    <w:rsid w:val="006D56C4"/>
    <w:rsid w:val="006D5E49"/>
    <w:rsid w:val="006D71BC"/>
    <w:rsid w:val="006E2294"/>
    <w:rsid w:val="006E3D35"/>
    <w:rsid w:val="006E42C4"/>
    <w:rsid w:val="006E6D33"/>
    <w:rsid w:val="006F23FD"/>
    <w:rsid w:val="006F43E6"/>
    <w:rsid w:val="006F4751"/>
    <w:rsid w:val="006F7F70"/>
    <w:rsid w:val="00701B22"/>
    <w:rsid w:val="00703CDF"/>
    <w:rsid w:val="007044C9"/>
    <w:rsid w:val="0070463A"/>
    <w:rsid w:val="00705392"/>
    <w:rsid w:val="007100C0"/>
    <w:rsid w:val="0071329C"/>
    <w:rsid w:val="00713BBA"/>
    <w:rsid w:val="00714754"/>
    <w:rsid w:val="007156E0"/>
    <w:rsid w:val="00720A18"/>
    <w:rsid w:val="0072169D"/>
    <w:rsid w:val="00730053"/>
    <w:rsid w:val="00730433"/>
    <w:rsid w:val="007324BB"/>
    <w:rsid w:val="00732FFE"/>
    <w:rsid w:val="007352DD"/>
    <w:rsid w:val="0073554D"/>
    <w:rsid w:val="007370FF"/>
    <w:rsid w:val="007431DE"/>
    <w:rsid w:val="00744AC0"/>
    <w:rsid w:val="007453AF"/>
    <w:rsid w:val="00747763"/>
    <w:rsid w:val="007477B8"/>
    <w:rsid w:val="00750E5E"/>
    <w:rsid w:val="00751584"/>
    <w:rsid w:val="007526C2"/>
    <w:rsid w:val="00753D5A"/>
    <w:rsid w:val="00754ABE"/>
    <w:rsid w:val="00756D5B"/>
    <w:rsid w:val="007603BB"/>
    <w:rsid w:val="00761414"/>
    <w:rsid w:val="00762528"/>
    <w:rsid w:val="007670AE"/>
    <w:rsid w:val="00767B55"/>
    <w:rsid w:val="00770349"/>
    <w:rsid w:val="00771B28"/>
    <w:rsid w:val="007727D2"/>
    <w:rsid w:val="0077314A"/>
    <w:rsid w:val="00774776"/>
    <w:rsid w:val="00774E43"/>
    <w:rsid w:val="00776807"/>
    <w:rsid w:val="0077789B"/>
    <w:rsid w:val="00777E7D"/>
    <w:rsid w:val="0078062F"/>
    <w:rsid w:val="007820E9"/>
    <w:rsid w:val="007827E7"/>
    <w:rsid w:val="007878A2"/>
    <w:rsid w:val="00790107"/>
    <w:rsid w:val="00790207"/>
    <w:rsid w:val="0079062E"/>
    <w:rsid w:val="0079163D"/>
    <w:rsid w:val="0079187F"/>
    <w:rsid w:val="00792F8F"/>
    <w:rsid w:val="00797836"/>
    <w:rsid w:val="007A14FA"/>
    <w:rsid w:val="007A1FFE"/>
    <w:rsid w:val="007A2074"/>
    <w:rsid w:val="007A357A"/>
    <w:rsid w:val="007A6053"/>
    <w:rsid w:val="007A663D"/>
    <w:rsid w:val="007A6DBA"/>
    <w:rsid w:val="007B03C9"/>
    <w:rsid w:val="007B2958"/>
    <w:rsid w:val="007B6CC2"/>
    <w:rsid w:val="007B7FCA"/>
    <w:rsid w:val="007C029F"/>
    <w:rsid w:val="007C064B"/>
    <w:rsid w:val="007C0901"/>
    <w:rsid w:val="007C090B"/>
    <w:rsid w:val="007C1CE3"/>
    <w:rsid w:val="007C21BD"/>
    <w:rsid w:val="007C6DF8"/>
    <w:rsid w:val="007D029C"/>
    <w:rsid w:val="007D0D75"/>
    <w:rsid w:val="007D16CD"/>
    <w:rsid w:val="007D33D9"/>
    <w:rsid w:val="007D46E5"/>
    <w:rsid w:val="007D6641"/>
    <w:rsid w:val="007D6B39"/>
    <w:rsid w:val="007E27F6"/>
    <w:rsid w:val="007E328F"/>
    <w:rsid w:val="007E603C"/>
    <w:rsid w:val="007E7B77"/>
    <w:rsid w:val="007F103E"/>
    <w:rsid w:val="007F2AB2"/>
    <w:rsid w:val="007F531D"/>
    <w:rsid w:val="007F5AD8"/>
    <w:rsid w:val="007F735A"/>
    <w:rsid w:val="00803BA2"/>
    <w:rsid w:val="00806E5F"/>
    <w:rsid w:val="0081010E"/>
    <w:rsid w:val="008111F2"/>
    <w:rsid w:val="008128D7"/>
    <w:rsid w:val="00812A46"/>
    <w:rsid w:val="0081425B"/>
    <w:rsid w:val="00814578"/>
    <w:rsid w:val="00820CF8"/>
    <w:rsid w:val="00821276"/>
    <w:rsid w:val="00821FAC"/>
    <w:rsid w:val="00831826"/>
    <w:rsid w:val="008341A5"/>
    <w:rsid w:val="0083460F"/>
    <w:rsid w:val="0083583F"/>
    <w:rsid w:val="00840120"/>
    <w:rsid w:val="00845D74"/>
    <w:rsid w:val="00846856"/>
    <w:rsid w:val="00846954"/>
    <w:rsid w:val="00846B86"/>
    <w:rsid w:val="008478C5"/>
    <w:rsid w:val="00853345"/>
    <w:rsid w:val="00854230"/>
    <w:rsid w:val="00856699"/>
    <w:rsid w:val="00857B6A"/>
    <w:rsid w:val="008601F7"/>
    <w:rsid w:val="00861740"/>
    <w:rsid w:val="00861898"/>
    <w:rsid w:val="0086207B"/>
    <w:rsid w:val="00864209"/>
    <w:rsid w:val="00865450"/>
    <w:rsid w:val="0086639B"/>
    <w:rsid w:val="008666EC"/>
    <w:rsid w:val="00866C63"/>
    <w:rsid w:val="008703F2"/>
    <w:rsid w:val="00872FBD"/>
    <w:rsid w:val="008730A1"/>
    <w:rsid w:val="00873403"/>
    <w:rsid w:val="00874485"/>
    <w:rsid w:val="008759DF"/>
    <w:rsid w:val="00875FE8"/>
    <w:rsid w:val="00880BE4"/>
    <w:rsid w:val="008824B9"/>
    <w:rsid w:val="0088315D"/>
    <w:rsid w:val="00884205"/>
    <w:rsid w:val="008867F3"/>
    <w:rsid w:val="00886BB5"/>
    <w:rsid w:val="0088723D"/>
    <w:rsid w:val="008873AF"/>
    <w:rsid w:val="008910D0"/>
    <w:rsid w:val="00893782"/>
    <w:rsid w:val="00894C56"/>
    <w:rsid w:val="008959EF"/>
    <w:rsid w:val="008961C9"/>
    <w:rsid w:val="008A0EE8"/>
    <w:rsid w:val="008A3B2A"/>
    <w:rsid w:val="008A6499"/>
    <w:rsid w:val="008A78C7"/>
    <w:rsid w:val="008B21D8"/>
    <w:rsid w:val="008B2FE2"/>
    <w:rsid w:val="008B5BFB"/>
    <w:rsid w:val="008B77CA"/>
    <w:rsid w:val="008B7FA7"/>
    <w:rsid w:val="008C00D2"/>
    <w:rsid w:val="008C170A"/>
    <w:rsid w:val="008C2FE4"/>
    <w:rsid w:val="008C39B5"/>
    <w:rsid w:val="008C60EE"/>
    <w:rsid w:val="008C6409"/>
    <w:rsid w:val="008C6F68"/>
    <w:rsid w:val="008D0D51"/>
    <w:rsid w:val="008D68CD"/>
    <w:rsid w:val="008D75BF"/>
    <w:rsid w:val="008D7BF2"/>
    <w:rsid w:val="008E05A3"/>
    <w:rsid w:val="008E241A"/>
    <w:rsid w:val="008E2F97"/>
    <w:rsid w:val="008E3EBE"/>
    <w:rsid w:val="008E458D"/>
    <w:rsid w:val="008E4A33"/>
    <w:rsid w:val="008E4BBE"/>
    <w:rsid w:val="008E4CAE"/>
    <w:rsid w:val="008E7587"/>
    <w:rsid w:val="008F2462"/>
    <w:rsid w:val="008F3789"/>
    <w:rsid w:val="008F5ED7"/>
    <w:rsid w:val="008F7715"/>
    <w:rsid w:val="00900F2B"/>
    <w:rsid w:val="00901475"/>
    <w:rsid w:val="0090316E"/>
    <w:rsid w:val="009040F7"/>
    <w:rsid w:val="00904546"/>
    <w:rsid w:val="00904549"/>
    <w:rsid w:val="009058D6"/>
    <w:rsid w:val="00905F2C"/>
    <w:rsid w:val="009060B6"/>
    <w:rsid w:val="0090684E"/>
    <w:rsid w:val="00910788"/>
    <w:rsid w:val="00912976"/>
    <w:rsid w:val="00913D66"/>
    <w:rsid w:val="00915D6F"/>
    <w:rsid w:val="009169BC"/>
    <w:rsid w:val="00916B3E"/>
    <w:rsid w:val="00916B60"/>
    <w:rsid w:val="0092356D"/>
    <w:rsid w:val="009250F0"/>
    <w:rsid w:val="00927277"/>
    <w:rsid w:val="00930CD7"/>
    <w:rsid w:val="00931DF7"/>
    <w:rsid w:val="00932C7B"/>
    <w:rsid w:val="009332B5"/>
    <w:rsid w:val="009406DD"/>
    <w:rsid w:val="0094239F"/>
    <w:rsid w:val="0095131E"/>
    <w:rsid w:val="00951648"/>
    <w:rsid w:val="0095164A"/>
    <w:rsid w:val="009517BD"/>
    <w:rsid w:val="00951B2A"/>
    <w:rsid w:val="0095298C"/>
    <w:rsid w:val="009537F6"/>
    <w:rsid w:val="009555E1"/>
    <w:rsid w:val="009562BA"/>
    <w:rsid w:val="00956501"/>
    <w:rsid w:val="0095676B"/>
    <w:rsid w:val="009606A3"/>
    <w:rsid w:val="009621FB"/>
    <w:rsid w:val="00962826"/>
    <w:rsid w:val="00962CF0"/>
    <w:rsid w:val="00963AD3"/>
    <w:rsid w:val="00965BD4"/>
    <w:rsid w:val="009678D5"/>
    <w:rsid w:val="00967B9A"/>
    <w:rsid w:val="0097539C"/>
    <w:rsid w:val="00975A10"/>
    <w:rsid w:val="00976FBE"/>
    <w:rsid w:val="00977252"/>
    <w:rsid w:val="00982382"/>
    <w:rsid w:val="00982685"/>
    <w:rsid w:val="0098535B"/>
    <w:rsid w:val="009864CF"/>
    <w:rsid w:val="0099013A"/>
    <w:rsid w:val="009947A6"/>
    <w:rsid w:val="0099561C"/>
    <w:rsid w:val="00995F44"/>
    <w:rsid w:val="009A0D25"/>
    <w:rsid w:val="009A5048"/>
    <w:rsid w:val="009A52CF"/>
    <w:rsid w:val="009A6925"/>
    <w:rsid w:val="009A6B69"/>
    <w:rsid w:val="009B039E"/>
    <w:rsid w:val="009B15A1"/>
    <w:rsid w:val="009B18D9"/>
    <w:rsid w:val="009B417F"/>
    <w:rsid w:val="009B593C"/>
    <w:rsid w:val="009C4AC7"/>
    <w:rsid w:val="009C5183"/>
    <w:rsid w:val="009C663C"/>
    <w:rsid w:val="009C7365"/>
    <w:rsid w:val="009D05F8"/>
    <w:rsid w:val="009D2645"/>
    <w:rsid w:val="009D2649"/>
    <w:rsid w:val="009D27AA"/>
    <w:rsid w:val="009D46D7"/>
    <w:rsid w:val="009D4B87"/>
    <w:rsid w:val="009D6AE1"/>
    <w:rsid w:val="009E30AD"/>
    <w:rsid w:val="009E4B32"/>
    <w:rsid w:val="009E583B"/>
    <w:rsid w:val="009E64DF"/>
    <w:rsid w:val="009F0055"/>
    <w:rsid w:val="009F064F"/>
    <w:rsid w:val="009F07CC"/>
    <w:rsid w:val="009F18CE"/>
    <w:rsid w:val="009F1D27"/>
    <w:rsid w:val="009F5625"/>
    <w:rsid w:val="00A012A5"/>
    <w:rsid w:val="00A04A1E"/>
    <w:rsid w:val="00A04E02"/>
    <w:rsid w:val="00A05198"/>
    <w:rsid w:val="00A05D0C"/>
    <w:rsid w:val="00A06A89"/>
    <w:rsid w:val="00A135BE"/>
    <w:rsid w:val="00A13D14"/>
    <w:rsid w:val="00A1421E"/>
    <w:rsid w:val="00A14969"/>
    <w:rsid w:val="00A14F87"/>
    <w:rsid w:val="00A22898"/>
    <w:rsid w:val="00A249BD"/>
    <w:rsid w:val="00A254A0"/>
    <w:rsid w:val="00A30832"/>
    <w:rsid w:val="00A30BEC"/>
    <w:rsid w:val="00A31436"/>
    <w:rsid w:val="00A32424"/>
    <w:rsid w:val="00A32B81"/>
    <w:rsid w:val="00A35C98"/>
    <w:rsid w:val="00A36290"/>
    <w:rsid w:val="00A366F0"/>
    <w:rsid w:val="00A41E6F"/>
    <w:rsid w:val="00A427B2"/>
    <w:rsid w:val="00A4296F"/>
    <w:rsid w:val="00A47DF7"/>
    <w:rsid w:val="00A50EEA"/>
    <w:rsid w:val="00A51A72"/>
    <w:rsid w:val="00A51A83"/>
    <w:rsid w:val="00A5331A"/>
    <w:rsid w:val="00A576AC"/>
    <w:rsid w:val="00A6665B"/>
    <w:rsid w:val="00A7049C"/>
    <w:rsid w:val="00A704E0"/>
    <w:rsid w:val="00A717BC"/>
    <w:rsid w:val="00A744B8"/>
    <w:rsid w:val="00A80135"/>
    <w:rsid w:val="00A82FF7"/>
    <w:rsid w:val="00A8381C"/>
    <w:rsid w:val="00A91903"/>
    <w:rsid w:val="00A935FC"/>
    <w:rsid w:val="00A95BFD"/>
    <w:rsid w:val="00A97747"/>
    <w:rsid w:val="00AA0A20"/>
    <w:rsid w:val="00AA0BDB"/>
    <w:rsid w:val="00AA1D75"/>
    <w:rsid w:val="00AA1EA5"/>
    <w:rsid w:val="00AA2B6A"/>
    <w:rsid w:val="00AA373E"/>
    <w:rsid w:val="00AA3CE6"/>
    <w:rsid w:val="00AA6CAF"/>
    <w:rsid w:val="00AA7CA2"/>
    <w:rsid w:val="00AB0594"/>
    <w:rsid w:val="00AB0999"/>
    <w:rsid w:val="00AB2166"/>
    <w:rsid w:val="00AB26FC"/>
    <w:rsid w:val="00AB43D9"/>
    <w:rsid w:val="00AB44E9"/>
    <w:rsid w:val="00AB788D"/>
    <w:rsid w:val="00AB7BA8"/>
    <w:rsid w:val="00AC134B"/>
    <w:rsid w:val="00AC3A9B"/>
    <w:rsid w:val="00AC4995"/>
    <w:rsid w:val="00AC4B9B"/>
    <w:rsid w:val="00AD4873"/>
    <w:rsid w:val="00AD57B2"/>
    <w:rsid w:val="00AD5D88"/>
    <w:rsid w:val="00AE119B"/>
    <w:rsid w:val="00AE1743"/>
    <w:rsid w:val="00AE2EC4"/>
    <w:rsid w:val="00AE2F4F"/>
    <w:rsid w:val="00AE65F1"/>
    <w:rsid w:val="00AE701F"/>
    <w:rsid w:val="00AF12F7"/>
    <w:rsid w:val="00AF263E"/>
    <w:rsid w:val="00AF4627"/>
    <w:rsid w:val="00B030BE"/>
    <w:rsid w:val="00B049CA"/>
    <w:rsid w:val="00B0561F"/>
    <w:rsid w:val="00B0594B"/>
    <w:rsid w:val="00B06DA4"/>
    <w:rsid w:val="00B073FF"/>
    <w:rsid w:val="00B1134A"/>
    <w:rsid w:val="00B122EA"/>
    <w:rsid w:val="00B12E89"/>
    <w:rsid w:val="00B13C3F"/>
    <w:rsid w:val="00B14361"/>
    <w:rsid w:val="00B148CF"/>
    <w:rsid w:val="00B153BE"/>
    <w:rsid w:val="00B20124"/>
    <w:rsid w:val="00B24129"/>
    <w:rsid w:val="00B2492E"/>
    <w:rsid w:val="00B259F7"/>
    <w:rsid w:val="00B31C77"/>
    <w:rsid w:val="00B324A5"/>
    <w:rsid w:val="00B32E37"/>
    <w:rsid w:val="00B330CE"/>
    <w:rsid w:val="00B331CB"/>
    <w:rsid w:val="00B33840"/>
    <w:rsid w:val="00B3598B"/>
    <w:rsid w:val="00B3608A"/>
    <w:rsid w:val="00B364F4"/>
    <w:rsid w:val="00B37728"/>
    <w:rsid w:val="00B40CD2"/>
    <w:rsid w:val="00B43C0D"/>
    <w:rsid w:val="00B4551C"/>
    <w:rsid w:val="00B455B7"/>
    <w:rsid w:val="00B460AF"/>
    <w:rsid w:val="00B52010"/>
    <w:rsid w:val="00B52E0E"/>
    <w:rsid w:val="00B574E7"/>
    <w:rsid w:val="00B60B0E"/>
    <w:rsid w:val="00B6108B"/>
    <w:rsid w:val="00B6439C"/>
    <w:rsid w:val="00B64488"/>
    <w:rsid w:val="00B65680"/>
    <w:rsid w:val="00B662B2"/>
    <w:rsid w:val="00B6763B"/>
    <w:rsid w:val="00B67CBD"/>
    <w:rsid w:val="00B70417"/>
    <w:rsid w:val="00B71550"/>
    <w:rsid w:val="00B743BC"/>
    <w:rsid w:val="00B74C35"/>
    <w:rsid w:val="00B777F3"/>
    <w:rsid w:val="00B8103C"/>
    <w:rsid w:val="00B81192"/>
    <w:rsid w:val="00B82BD1"/>
    <w:rsid w:val="00B83208"/>
    <w:rsid w:val="00B9155A"/>
    <w:rsid w:val="00B9180E"/>
    <w:rsid w:val="00B921A8"/>
    <w:rsid w:val="00B93B11"/>
    <w:rsid w:val="00BA1E0F"/>
    <w:rsid w:val="00BA5A8C"/>
    <w:rsid w:val="00BB33CD"/>
    <w:rsid w:val="00BB5925"/>
    <w:rsid w:val="00BB593F"/>
    <w:rsid w:val="00BB6D2F"/>
    <w:rsid w:val="00BB6D52"/>
    <w:rsid w:val="00BB74BA"/>
    <w:rsid w:val="00BC09CC"/>
    <w:rsid w:val="00BC1AF3"/>
    <w:rsid w:val="00BC40A8"/>
    <w:rsid w:val="00BC7D23"/>
    <w:rsid w:val="00BC7EEE"/>
    <w:rsid w:val="00BD0C99"/>
    <w:rsid w:val="00BD19AE"/>
    <w:rsid w:val="00BD407D"/>
    <w:rsid w:val="00BD4588"/>
    <w:rsid w:val="00BD6EA5"/>
    <w:rsid w:val="00BD7F6F"/>
    <w:rsid w:val="00BE2C43"/>
    <w:rsid w:val="00BE3B23"/>
    <w:rsid w:val="00BE45EC"/>
    <w:rsid w:val="00BE50FE"/>
    <w:rsid w:val="00BE5569"/>
    <w:rsid w:val="00BE5958"/>
    <w:rsid w:val="00BE7206"/>
    <w:rsid w:val="00BE7337"/>
    <w:rsid w:val="00BE7C94"/>
    <w:rsid w:val="00BF071D"/>
    <w:rsid w:val="00C01294"/>
    <w:rsid w:val="00C012E9"/>
    <w:rsid w:val="00C01E1C"/>
    <w:rsid w:val="00C0285F"/>
    <w:rsid w:val="00C02E48"/>
    <w:rsid w:val="00C05CD6"/>
    <w:rsid w:val="00C05F0C"/>
    <w:rsid w:val="00C11DA9"/>
    <w:rsid w:val="00C13275"/>
    <w:rsid w:val="00C1689A"/>
    <w:rsid w:val="00C1760E"/>
    <w:rsid w:val="00C21F4F"/>
    <w:rsid w:val="00C22D81"/>
    <w:rsid w:val="00C2329D"/>
    <w:rsid w:val="00C24F26"/>
    <w:rsid w:val="00C26A98"/>
    <w:rsid w:val="00C2766F"/>
    <w:rsid w:val="00C27EA5"/>
    <w:rsid w:val="00C27EF9"/>
    <w:rsid w:val="00C3018F"/>
    <w:rsid w:val="00C30671"/>
    <w:rsid w:val="00C30696"/>
    <w:rsid w:val="00C34BDF"/>
    <w:rsid w:val="00C35DBA"/>
    <w:rsid w:val="00C367A8"/>
    <w:rsid w:val="00C36B34"/>
    <w:rsid w:val="00C37C97"/>
    <w:rsid w:val="00C37E8D"/>
    <w:rsid w:val="00C41F4E"/>
    <w:rsid w:val="00C420B0"/>
    <w:rsid w:val="00C42865"/>
    <w:rsid w:val="00C42CD1"/>
    <w:rsid w:val="00C437E7"/>
    <w:rsid w:val="00C47696"/>
    <w:rsid w:val="00C53A9E"/>
    <w:rsid w:val="00C53BED"/>
    <w:rsid w:val="00C53F6C"/>
    <w:rsid w:val="00C542DE"/>
    <w:rsid w:val="00C57437"/>
    <w:rsid w:val="00C577C8"/>
    <w:rsid w:val="00C600B7"/>
    <w:rsid w:val="00C63E30"/>
    <w:rsid w:val="00C64874"/>
    <w:rsid w:val="00C6737C"/>
    <w:rsid w:val="00C71BF2"/>
    <w:rsid w:val="00C72B83"/>
    <w:rsid w:val="00C73967"/>
    <w:rsid w:val="00C807DE"/>
    <w:rsid w:val="00C84877"/>
    <w:rsid w:val="00C94023"/>
    <w:rsid w:val="00C95466"/>
    <w:rsid w:val="00C96EBF"/>
    <w:rsid w:val="00C97542"/>
    <w:rsid w:val="00C9791D"/>
    <w:rsid w:val="00CA1B1A"/>
    <w:rsid w:val="00CA5DC9"/>
    <w:rsid w:val="00CA6A99"/>
    <w:rsid w:val="00CA7083"/>
    <w:rsid w:val="00CA70CF"/>
    <w:rsid w:val="00CB4363"/>
    <w:rsid w:val="00CC03B3"/>
    <w:rsid w:val="00CC295E"/>
    <w:rsid w:val="00CC6623"/>
    <w:rsid w:val="00CD0D94"/>
    <w:rsid w:val="00CD1A42"/>
    <w:rsid w:val="00CD286F"/>
    <w:rsid w:val="00CD31A0"/>
    <w:rsid w:val="00CD5D90"/>
    <w:rsid w:val="00CD6D9B"/>
    <w:rsid w:val="00CD6FFF"/>
    <w:rsid w:val="00CE02FF"/>
    <w:rsid w:val="00CE0C84"/>
    <w:rsid w:val="00CE1C9D"/>
    <w:rsid w:val="00CE2096"/>
    <w:rsid w:val="00CE27A8"/>
    <w:rsid w:val="00CE2E61"/>
    <w:rsid w:val="00CE4347"/>
    <w:rsid w:val="00CE544B"/>
    <w:rsid w:val="00CE5750"/>
    <w:rsid w:val="00CE60E7"/>
    <w:rsid w:val="00CF0703"/>
    <w:rsid w:val="00CF166A"/>
    <w:rsid w:val="00CF2C2B"/>
    <w:rsid w:val="00CF2E09"/>
    <w:rsid w:val="00CF3BFB"/>
    <w:rsid w:val="00CF4CED"/>
    <w:rsid w:val="00D00569"/>
    <w:rsid w:val="00D011EB"/>
    <w:rsid w:val="00D01478"/>
    <w:rsid w:val="00D01E36"/>
    <w:rsid w:val="00D0439A"/>
    <w:rsid w:val="00D04617"/>
    <w:rsid w:val="00D102A7"/>
    <w:rsid w:val="00D1288A"/>
    <w:rsid w:val="00D14F31"/>
    <w:rsid w:val="00D15473"/>
    <w:rsid w:val="00D15944"/>
    <w:rsid w:val="00D170BC"/>
    <w:rsid w:val="00D17F42"/>
    <w:rsid w:val="00D21700"/>
    <w:rsid w:val="00D2174C"/>
    <w:rsid w:val="00D23327"/>
    <w:rsid w:val="00D26A7D"/>
    <w:rsid w:val="00D303C4"/>
    <w:rsid w:val="00D30F97"/>
    <w:rsid w:val="00D316D0"/>
    <w:rsid w:val="00D33169"/>
    <w:rsid w:val="00D333B8"/>
    <w:rsid w:val="00D3495B"/>
    <w:rsid w:val="00D34CC3"/>
    <w:rsid w:val="00D353F4"/>
    <w:rsid w:val="00D357B5"/>
    <w:rsid w:val="00D36768"/>
    <w:rsid w:val="00D372FD"/>
    <w:rsid w:val="00D40985"/>
    <w:rsid w:val="00D40A3F"/>
    <w:rsid w:val="00D41E65"/>
    <w:rsid w:val="00D4217D"/>
    <w:rsid w:val="00D42D87"/>
    <w:rsid w:val="00D434A7"/>
    <w:rsid w:val="00D4370A"/>
    <w:rsid w:val="00D44682"/>
    <w:rsid w:val="00D44EA3"/>
    <w:rsid w:val="00D46335"/>
    <w:rsid w:val="00D46F53"/>
    <w:rsid w:val="00D479EF"/>
    <w:rsid w:val="00D5176B"/>
    <w:rsid w:val="00D5312F"/>
    <w:rsid w:val="00D53D79"/>
    <w:rsid w:val="00D549B1"/>
    <w:rsid w:val="00D56B5D"/>
    <w:rsid w:val="00D63447"/>
    <w:rsid w:val="00D63793"/>
    <w:rsid w:val="00D66527"/>
    <w:rsid w:val="00D673FA"/>
    <w:rsid w:val="00D67722"/>
    <w:rsid w:val="00D708D2"/>
    <w:rsid w:val="00D73611"/>
    <w:rsid w:val="00D75FF7"/>
    <w:rsid w:val="00D76B5D"/>
    <w:rsid w:val="00D775FF"/>
    <w:rsid w:val="00D85F57"/>
    <w:rsid w:val="00D87918"/>
    <w:rsid w:val="00D90810"/>
    <w:rsid w:val="00D91AF3"/>
    <w:rsid w:val="00D9496B"/>
    <w:rsid w:val="00D953C3"/>
    <w:rsid w:val="00DA27B4"/>
    <w:rsid w:val="00DA3FB5"/>
    <w:rsid w:val="00DA60F0"/>
    <w:rsid w:val="00DB07CF"/>
    <w:rsid w:val="00DB0A0A"/>
    <w:rsid w:val="00DB0C2E"/>
    <w:rsid w:val="00DB22D9"/>
    <w:rsid w:val="00DB31EC"/>
    <w:rsid w:val="00DB5B90"/>
    <w:rsid w:val="00DB5EA3"/>
    <w:rsid w:val="00DB607A"/>
    <w:rsid w:val="00DB6380"/>
    <w:rsid w:val="00DB6D67"/>
    <w:rsid w:val="00DB74BA"/>
    <w:rsid w:val="00DC0103"/>
    <w:rsid w:val="00DC1D22"/>
    <w:rsid w:val="00DC2093"/>
    <w:rsid w:val="00DC5036"/>
    <w:rsid w:val="00DC5C22"/>
    <w:rsid w:val="00DD2083"/>
    <w:rsid w:val="00DE5E8F"/>
    <w:rsid w:val="00DE6D00"/>
    <w:rsid w:val="00DE7439"/>
    <w:rsid w:val="00DF06A0"/>
    <w:rsid w:val="00DF21CD"/>
    <w:rsid w:val="00DF2721"/>
    <w:rsid w:val="00DF4AD1"/>
    <w:rsid w:val="00DF52A5"/>
    <w:rsid w:val="00DF5E47"/>
    <w:rsid w:val="00DF7673"/>
    <w:rsid w:val="00E002D8"/>
    <w:rsid w:val="00E004F6"/>
    <w:rsid w:val="00E01A04"/>
    <w:rsid w:val="00E024A1"/>
    <w:rsid w:val="00E042E8"/>
    <w:rsid w:val="00E05120"/>
    <w:rsid w:val="00E05307"/>
    <w:rsid w:val="00E067CC"/>
    <w:rsid w:val="00E06BD5"/>
    <w:rsid w:val="00E11789"/>
    <w:rsid w:val="00E14964"/>
    <w:rsid w:val="00E150A3"/>
    <w:rsid w:val="00E17CD2"/>
    <w:rsid w:val="00E207E4"/>
    <w:rsid w:val="00E213BA"/>
    <w:rsid w:val="00E21E41"/>
    <w:rsid w:val="00E22C08"/>
    <w:rsid w:val="00E22C56"/>
    <w:rsid w:val="00E256C4"/>
    <w:rsid w:val="00E26B44"/>
    <w:rsid w:val="00E26FFC"/>
    <w:rsid w:val="00E27CF4"/>
    <w:rsid w:val="00E31073"/>
    <w:rsid w:val="00E32625"/>
    <w:rsid w:val="00E32871"/>
    <w:rsid w:val="00E32971"/>
    <w:rsid w:val="00E3504D"/>
    <w:rsid w:val="00E36003"/>
    <w:rsid w:val="00E36367"/>
    <w:rsid w:val="00E409EF"/>
    <w:rsid w:val="00E4128E"/>
    <w:rsid w:val="00E422D1"/>
    <w:rsid w:val="00E42CB5"/>
    <w:rsid w:val="00E466C8"/>
    <w:rsid w:val="00E46EE4"/>
    <w:rsid w:val="00E506A4"/>
    <w:rsid w:val="00E50968"/>
    <w:rsid w:val="00E526A4"/>
    <w:rsid w:val="00E54484"/>
    <w:rsid w:val="00E577F8"/>
    <w:rsid w:val="00E57DAE"/>
    <w:rsid w:val="00E60282"/>
    <w:rsid w:val="00E61EED"/>
    <w:rsid w:val="00E62EAC"/>
    <w:rsid w:val="00E6383B"/>
    <w:rsid w:val="00E64A7C"/>
    <w:rsid w:val="00E704D7"/>
    <w:rsid w:val="00E7239E"/>
    <w:rsid w:val="00E723B4"/>
    <w:rsid w:val="00E73388"/>
    <w:rsid w:val="00E746BC"/>
    <w:rsid w:val="00E7600C"/>
    <w:rsid w:val="00E76D11"/>
    <w:rsid w:val="00E813AF"/>
    <w:rsid w:val="00E81663"/>
    <w:rsid w:val="00E836F3"/>
    <w:rsid w:val="00E8651E"/>
    <w:rsid w:val="00E86AB6"/>
    <w:rsid w:val="00E86D4D"/>
    <w:rsid w:val="00E86DD3"/>
    <w:rsid w:val="00E904B2"/>
    <w:rsid w:val="00E90B37"/>
    <w:rsid w:val="00E90C90"/>
    <w:rsid w:val="00E9155E"/>
    <w:rsid w:val="00E9275B"/>
    <w:rsid w:val="00E94E23"/>
    <w:rsid w:val="00E969DF"/>
    <w:rsid w:val="00E973F5"/>
    <w:rsid w:val="00EA208C"/>
    <w:rsid w:val="00EA33B7"/>
    <w:rsid w:val="00EA33D4"/>
    <w:rsid w:val="00EA4C31"/>
    <w:rsid w:val="00EA792C"/>
    <w:rsid w:val="00EA7CEA"/>
    <w:rsid w:val="00EB0CCC"/>
    <w:rsid w:val="00EB1B89"/>
    <w:rsid w:val="00EB2A33"/>
    <w:rsid w:val="00EB39E8"/>
    <w:rsid w:val="00EB41E9"/>
    <w:rsid w:val="00EB43A7"/>
    <w:rsid w:val="00EB4AF2"/>
    <w:rsid w:val="00EB5EBC"/>
    <w:rsid w:val="00EB7287"/>
    <w:rsid w:val="00EC20D0"/>
    <w:rsid w:val="00EC320D"/>
    <w:rsid w:val="00EC3BD8"/>
    <w:rsid w:val="00EC58A8"/>
    <w:rsid w:val="00EC58D8"/>
    <w:rsid w:val="00EC5C28"/>
    <w:rsid w:val="00EC7979"/>
    <w:rsid w:val="00ED12C3"/>
    <w:rsid w:val="00ED20BC"/>
    <w:rsid w:val="00ED3AC7"/>
    <w:rsid w:val="00ED6855"/>
    <w:rsid w:val="00ED6924"/>
    <w:rsid w:val="00ED7081"/>
    <w:rsid w:val="00ED7B32"/>
    <w:rsid w:val="00EE05BD"/>
    <w:rsid w:val="00EE1252"/>
    <w:rsid w:val="00EE3930"/>
    <w:rsid w:val="00EE47FF"/>
    <w:rsid w:val="00EE4E31"/>
    <w:rsid w:val="00EE66C4"/>
    <w:rsid w:val="00EE72AF"/>
    <w:rsid w:val="00EE7911"/>
    <w:rsid w:val="00EF0D1E"/>
    <w:rsid w:val="00EF1EE0"/>
    <w:rsid w:val="00EF2384"/>
    <w:rsid w:val="00EF344A"/>
    <w:rsid w:val="00EF595D"/>
    <w:rsid w:val="00EF6E0A"/>
    <w:rsid w:val="00F01E9F"/>
    <w:rsid w:val="00F02D41"/>
    <w:rsid w:val="00F03845"/>
    <w:rsid w:val="00F049FA"/>
    <w:rsid w:val="00F04E05"/>
    <w:rsid w:val="00F05B80"/>
    <w:rsid w:val="00F06707"/>
    <w:rsid w:val="00F107BD"/>
    <w:rsid w:val="00F1723F"/>
    <w:rsid w:val="00F22E8B"/>
    <w:rsid w:val="00F22EAD"/>
    <w:rsid w:val="00F25689"/>
    <w:rsid w:val="00F25A85"/>
    <w:rsid w:val="00F262D6"/>
    <w:rsid w:val="00F324E0"/>
    <w:rsid w:val="00F348A8"/>
    <w:rsid w:val="00F4040D"/>
    <w:rsid w:val="00F40D8B"/>
    <w:rsid w:val="00F43FF3"/>
    <w:rsid w:val="00F44FE1"/>
    <w:rsid w:val="00F452E1"/>
    <w:rsid w:val="00F479F1"/>
    <w:rsid w:val="00F5124B"/>
    <w:rsid w:val="00F523D2"/>
    <w:rsid w:val="00F53595"/>
    <w:rsid w:val="00F53F66"/>
    <w:rsid w:val="00F56B66"/>
    <w:rsid w:val="00F57C95"/>
    <w:rsid w:val="00F62FA4"/>
    <w:rsid w:val="00F6333F"/>
    <w:rsid w:val="00F6631B"/>
    <w:rsid w:val="00F66B37"/>
    <w:rsid w:val="00F70D5B"/>
    <w:rsid w:val="00F71040"/>
    <w:rsid w:val="00F71244"/>
    <w:rsid w:val="00F71A6A"/>
    <w:rsid w:val="00F72148"/>
    <w:rsid w:val="00F73D18"/>
    <w:rsid w:val="00F76308"/>
    <w:rsid w:val="00F77AF0"/>
    <w:rsid w:val="00F77D36"/>
    <w:rsid w:val="00F80F87"/>
    <w:rsid w:val="00F84BF7"/>
    <w:rsid w:val="00F85753"/>
    <w:rsid w:val="00F85EC1"/>
    <w:rsid w:val="00F866DB"/>
    <w:rsid w:val="00F92A20"/>
    <w:rsid w:val="00F9339F"/>
    <w:rsid w:val="00F94742"/>
    <w:rsid w:val="00F95E98"/>
    <w:rsid w:val="00FA0B49"/>
    <w:rsid w:val="00FA1166"/>
    <w:rsid w:val="00FA2558"/>
    <w:rsid w:val="00FB12D8"/>
    <w:rsid w:val="00FB2619"/>
    <w:rsid w:val="00FB4B52"/>
    <w:rsid w:val="00FC0E32"/>
    <w:rsid w:val="00FC3F42"/>
    <w:rsid w:val="00FC53F1"/>
    <w:rsid w:val="00FC651A"/>
    <w:rsid w:val="00FD3E2F"/>
    <w:rsid w:val="00FD6C5B"/>
    <w:rsid w:val="00FE08E5"/>
    <w:rsid w:val="00FE09D0"/>
    <w:rsid w:val="00FE0EE8"/>
    <w:rsid w:val="00FE165B"/>
    <w:rsid w:val="00FE230F"/>
    <w:rsid w:val="00FE6E31"/>
    <w:rsid w:val="00FE7125"/>
    <w:rsid w:val="00FF1941"/>
    <w:rsid w:val="00FF42B5"/>
    <w:rsid w:val="00FF5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267">
    <w:lsdException w:name="Normal" w:qFormat="1"/>
    <w:lsdException w:name="heading 5" w:uiPriority="99" w:qFormat="1"/>
    <w:lsdException w:name="heading 7" w:uiPriority="99" w:qFormat="1"/>
    <w:lsdException w:name="heading 8" w:uiPriority="99" w:qFormat="1"/>
    <w:lsdException w:name="heading 9" w:uiPriority="99" w:qFormat="1"/>
    <w:lsdException w:name="header" w:uiPriority="48"/>
    <w:lsdException w:name="caption" w:semiHidden="1" w:uiPriority="99" w:qFormat="1"/>
    <w:lsdException w:name="Title" w:uiPriority="99" w:qFormat="1"/>
    <w:lsdException w:name="Subtitle" w:uiPriority="99" w:qFormat="1"/>
    <w:lsdException w:name="Strong" w:uiPriority="99" w:qFormat="1"/>
    <w:lsdException w:name="Emphasis" w:uiPriority="99"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516455"/>
    <w:pPr>
      <w:jc w:val="both"/>
    </w:pPr>
    <w:rPr>
      <w:rFonts w:eastAsiaTheme="minorEastAsia"/>
      <w:sz w:val="24"/>
    </w:rPr>
  </w:style>
  <w:style w:type="paragraph" w:styleId="Heading1">
    <w:name w:val="heading 1"/>
    <w:basedOn w:val="Normal"/>
    <w:next w:val="Normal"/>
    <w:semiHidden/>
    <w:rsid w:val="008824B9"/>
    <w:pPr>
      <w:keepNext/>
      <w:spacing w:before="360" w:after="240"/>
      <w:jc w:val="center"/>
      <w:outlineLvl w:val="0"/>
    </w:pPr>
    <w:rPr>
      <w:b/>
      <w:sz w:val="28"/>
    </w:rPr>
  </w:style>
  <w:style w:type="paragraph" w:styleId="Heading2">
    <w:name w:val="heading 2"/>
    <w:basedOn w:val="Normal"/>
    <w:next w:val="Normal"/>
    <w:semiHidden/>
    <w:rsid w:val="008824B9"/>
    <w:pPr>
      <w:keepNext/>
      <w:spacing w:before="240" w:after="120"/>
      <w:ind w:left="284" w:hanging="284"/>
      <w:outlineLvl w:val="1"/>
    </w:pPr>
    <w:rPr>
      <w:b/>
    </w:rPr>
  </w:style>
  <w:style w:type="paragraph" w:styleId="Heading3">
    <w:name w:val="heading 3"/>
    <w:basedOn w:val="Normal"/>
    <w:next w:val="Normal"/>
    <w:semiHidden/>
    <w:rsid w:val="008824B9"/>
    <w:pPr>
      <w:keepNext/>
      <w:spacing w:before="120" w:after="60"/>
      <w:ind w:left="1418" w:hanging="851"/>
      <w:outlineLvl w:val="2"/>
    </w:pPr>
    <w:rPr>
      <w:i/>
    </w:rPr>
  </w:style>
  <w:style w:type="paragraph" w:styleId="Heading4">
    <w:name w:val="heading 4"/>
    <w:basedOn w:val="Normal"/>
    <w:next w:val="Normal"/>
    <w:semiHidden/>
    <w:pPr>
      <w:widowControl w:val="0"/>
      <w:outlineLvl w:val="3"/>
    </w:pPr>
    <w:rPr>
      <w:rFonts w:ascii="Courier" w:hAnsi="Courier"/>
      <w:snapToGrid w:val="0"/>
    </w:rPr>
  </w:style>
  <w:style w:type="paragraph" w:styleId="Heading5">
    <w:name w:val="heading 5"/>
    <w:basedOn w:val="Normal"/>
    <w:next w:val="Normal"/>
    <w:link w:val="Heading5Char"/>
    <w:uiPriority w:val="99"/>
    <w:semiHidden/>
    <w:qFormat/>
    <w:rsid w:val="0051645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semiHidden/>
    <w:pPr>
      <w:widowControl w:val="0"/>
      <w:outlineLvl w:val="5"/>
    </w:pPr>
    <w:rPr>
      <w:rFonts w:ascii="Courier" w:hAnsi="Courier"/>
      <w:snapToGrid w:val="0"/>
    </w:rPr>
  </w:style>
  <w:style w:type="paragraph" w:styleId="Heading7">
    <w:name w:val="heading 7"/>
    <w:basedOn w:val="Normal"/>
    <w:next w:val="Normal"/>
    <w:link w:val="Heading7Char"/>
    <w:uiPriority w:val="99"/>
    <w:semiHidden/>
    <w:qFormat/>
    <w:rsid w:val="0051645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1645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645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ECHRHeading1"/>
    <w:next w:val="OpiPara"/>
    <w:uiPriority w:val="41"/>
    <w:qFormat/>
    <w:rsid w:val="00516455"/>
    <w:pPr>
      <w:tabs>
        <w:tab w:val="clear" w:pos="357"/>
      </w:tabs>
      <w:outlineLvl w:val="1"/>
    </w:pPr>
    <w:rPr>
      <w:b/>
    </w:rPr>
  </w:style>
  <w:style w:type="paragraph" w:customStyle="1" w:styleId="ECHRHeading1">
    <w:name w:val="ECHR_Heading_1"/>
    <w:aliases w:val="Ju_H_I_Roman"/>
    <w:basedOn w:val="Heading1"/>
    <w:next w:val="ECHRPara"/>
    <w:uiPriority w:val="19"/>
    <w:qFormat/>
    <w:rsid w:val="00516455"/>
    <w:pPr>
      <w:keepLines/>
      <w:tabs>
        <w:tab w:val="left" w:pos="357"/>
      </w:tabs>
      <w:ind w:left="357" w:hanging="357"/>
      <w:jc w:val="both"/>
    </w:pPr>
    <w:rPr>
      <w:rFonts w:asciiTheme="majorHAnsi" w:eastAsiaTheme="majorEastAsia" w:hAnsiTheme="majorHAnsi" w:cstheme="majorBidi"/>
      <w:b w:val="0"/>
      <w:bCs/>
      <w:sz w:val="24"/>
      <w:szCs w:val="28"/>
    </w:rPr>
  </w:style>
  <w:style w:type="paragraph" w:customStyle="1" w:styleId="ECHRTitle1">
    <w:name w:val="ECHR_Title_1"/>
    <w:aliases w:val="Ju_H_Head"/>
    <w:basedOn w:val="Normal"/>
    <w:next w:val="ECHRPara"/>
    <w:uiPriority w:val="18"/>
    <w:qFormat/>
    <w:rsid w:val="00516455"/>
    <w:pPr>
      <w:keepNext/>
      <w:keepLines/>
      <w:spacing w:before="720" w:after="240"/>
      <w:outlineLvl w:val="0"/>
    </w:pPr>
    <w:rPr>
      <w:rFonts w:asciiTheme="majorHAnsi" w:hAnsiTheme="majorHAnsi"/>
      <w:sz w:val="28"/>
    </w:rPr>
  </w:style>
  <w:style w:type="character" w:customStyle="1" w:styleId="DefaultTimesNewRoman">
    <w:name w:val="Default_TimesNewRoman"/>
    <w:rsid w:val="00D1288A"/>
    <w:rPr>
      <w:rFonts w:ascii="Times New Roman" w:hAnsi="Times New Roman"/>
    </w:rPr>
  </w:style>
  <w:style w:type="paragraph" w:customStyle="1" w:styleId="ECHRPara">
    <w:name w:val="ECHR_Para"/>
    <w:aliases w:val="Ju_Para"/>
    <w:basedOn w:val="Normal"/>
    <w:link w:val="JuParaChar"/>
    <w:uiPriority w:val="12"/>
    <w:qFormat/>
    <w:rsid w:val="00516455"/>
    <w:pPr>
      <w:ind w:firstLine="284"/>
    </w:pPr>
  </w:style>
  <w:style w:type="character" w:customStyle="1" w:styleId="JuParaChar">
    <w:name w:val="Ju_Para Char"/>
    <w:link w:val="ECHRPara"/>
    <w:uiPriority w:val="12"/>
    <w:rsid w:val="00B921A8"/>
    <w:rPr>
      <w:rFonts w:eastAsiaTheme="minorEastAsia"/>
      <w:sz w:val="24"/>
    </w:rPr>
  </w:style>
  <w:style w:type="paragraph" w:customStyle="1" w:styleId="OpiPara">
    <w:name w:val="Opi_Para"/>
    <w:basedOn w:val="ECHRPara"/>
    <w:uiPriority w:val="46"/>
    <w:qFormat/>
    <w:rsid w:val="00516455"/>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ECHRHeading3"/>
    <w:uiPriority w:val="43"/>
    <w:qFormat/>
    <w:rsid w:val="00516455"/>
    <w:pPr>
      <w:ind w:left="833" w:hanging="357"/>
      <w:outlineLvl w:val="3"/>
    </w:pPr>
    <w:rPr>
      <w:b/>
      <w:i w:val="0"/>
      <w:sz w:val="20"/>
    </w:rPr>
  </w:style>
  <w:style w:type="paragraph" w:customStyle="1" w:styleId="ECHRTitleCentre1">
    <w:name w:val="ECHR_Title_Centre_1"/>
    <w:aliases w:val="Opi_H_Head"/>
    <w:basedOn w:val="Normal"/>
    <w:next w:val="OpiPara"/>
    <w:uiPriority w:val="39"/>
    <w:qFormat/>
    <w:rsid w:val="00516455"/>
    <w:pPr>
      <w:keepNext/>
      <w:keepLines/>
      <w:spacing w:after="240"/>
      <w:jc w:val="center"/>
      <w:outlineLvl w:val="0"/>
    </w:pPr>
    <w:rPr>
      <w:rFonts w:asciiTheme="majorHAnsi" w:hAnsiTheme="majorHAnsi"/>
      <w:sz w:val="28"/>
    </w:rPr>
  </w:style>
  <w:style w:type="paragraph" w:customStyle="1" w:styleId="OpiHi">
    <w:name w:val="Opi_H_i"/>
    <w:basedOn w:val="ECHRHeading4"/>
    <w:uiPriority w:val="44"/>
    <w:qFormat/>
    <w:rsid w:val="00516455"/>
    <w:pPr>
      <w:ind w:left="1037" w:hanging="357"/>
      <w:outlineLvl w:val="4"/>
    </w:pPr>
    <w:rPr>
      <w:b w:val="0"/>
      <w:i/>
    </w:rPr>
  </w:style>
  <w:style w:type="paragraph" w:styleId="Footer">
    <w:name w:val="footer"/>
    <w:basedOn w:val="NormalTimesNewRoman"/>
    <w:semiHidden/>
    <w:rsid w:val="00D1288A"/>
    <w:pPr>
      <w:tabs>
        <w:tab w:val="center" w:pos="3686"/>
        <w:tab w:val="right" w:pos="7371"/>
      </w:tabs>
    </w:pPr>
    <w:rPr>
      <w:sz w:val="18"/>
    </w:rPr>
  </w:style>
  <w:style w:type="paragraph" w:customStyle="1" w:styleId="ECHRDecisionBody">
    <w:name w:val="ECHR_Decision_Body"/>
    <w:aliases w:val="Ju_Judges"/>
    <w:basedOn w:val="Normal"/>
    <w:link w:val="JuJudgesChar"/>
    <w:uiPriority w:val="11"/>
    <w:qFormat/>
    <w:rsid w:val="00516455"/>
    <w:pPr>
      <w:tabs>
        <w:tab w:val="left" w:pos="567"/>
        <w:tab w:val="left" w:pos="1134"/>
      </w:tabs>
      <w:jc w:val="left"/>
    </w:p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516455"/>
    <w:pPr>
      <w:keepLines/>
      <w:tabs>
        <w:tab w:val="left" w:pos="584"/>
      </w:tabs>
      <w:spacing w:before="360" w:after="240"/>
      <w:ind w:left="584" w:hanging="352"/>
    </w:pPr>
    <w:rPr>
      <w:rFonts w:asciiTheme="majorHAnsi" w:eastAsiaTheme="majorEastAsia" w:hAnsiTheme="majorHAnsi" w:cstheme="majorBidi"/>
      <w:bCs/>
      <w:szCs w:val="26"/>
    </w:rPr>
  </w:style>
  <w:style w:type="paragraph" w:customStyle="1" w:styleId="ECHRParaQuote">
    <w:name w:val="ECHR_Para_Quote"/>
    <w:aliases w:val="Ju_Quot"/>
    <w:basedOn w:val="Normal"/>
    <w:uiPriority w:val="14"/>
    <w:qFormat/>
    <w:rsid w:val="00516455"/>
    <w:pPr>
      <w:spacing w:before="120" w:after="120"/>
      <w:ind w:left="425" w:firstLine="142"/>
    </w:pPr>
    <w:rPr>
      <w:sz w:val="20"/>
    </w:rPr>
  </w:style>
  <w:style w:type="paragraph" w:customStyle="1" w:styleId="JuSigned">
    <w:name w:val="Ju_Signed"/>
    <w:basedOn w:val="Normal"/>
    <w:next w:val="JuParaLast"/>
    <w:link w:val="JuSignedChar"/>
    <w:uiPriority w:val="32"/>
    <w:qFormat/>
    <w:rsid w:val="00516455"/>
    <w:pPr>
      <w:tabs>
        <w:tab w:val="center" w:pos="851"/>
        <w:tab w:val="center" w:pos="6407"/>
      </w:tabs>
      <w:spacing w:before="720"/>
      <w:jc w:val="left"/>
    </w:pPr>
  </w:style>
  <w:style w:type="paragraph" w:customStyle="1" w:styleId="JuParaLast">
    <w:name w:val="Ju_Para_Last"/>
    <w:basedOn w:val="Normal"/>
    <w:next w:val="ECHRPara"/>
    <w:uiPriority w:val="30"/>
    <w:qFormat/>
    <w:rsid w:val="00516455"/>
    <w:pPr>
      <w:keepNext/>
      <w:keepLines/>
      <w:spacing w:before="240"/>
      <w:ind w:firstLine="284"/>
    </w:p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ECHRPara"/>
    <w:next w:val="ECHR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Normal"/>
    <w:link w:val="JuListChar"/>
    <w:uiPriority w:val="28"/>
    <w:qFormat/>
    <w:rsid w:val="00516455"/>
    <w:pPr>
      <w:ind w:left="340" w:hanging="340"/>
    </w:pPr>
  </w:style>
  <w:style w:type="character" w:customStyle="1" w:styleId="JuListChar">
    <w:name w:val="Ju_List Char"/>
    <w:link w:val="JuList"/>
    <w:uiPriority w:val="28"/>
    <w:rsid w:val="00930CD7"/>
    <w:rPr>
      <w:rFonts w:eastAsiaTheme="minorEastAsia"/>
      <w:sz w:val="24"/>
    </w:rPr>
  </w:style>
  <w:style w:type="paragraph" w:customStyle="1" w:styleId="ECHRTitleCentre3">
    <w:name w:val="ECHR_Title_Centre_3"/>
    <w:aliases w:val="Ju_H_Article"/>
    <w:basedOn w:val="Normal"/>
    <w:next w:val="ECHRParaQuote"/>
    <w:uiPriority w:val="27"/>
    <w:qFormat/>
    <w:rsid w:val="00516455"/>
    <w:pPr>
      <w:keepNext/>
      <w:keepLines/>
      <w:spacing w:before="240" w:after="120"/>
      <w:jc w:val="center"/>
      <w:outlineLvl w:val="3"/>
    </w:pPr>
    <w:rPr>
      <w:rFonts w:asciiTheme="majorHAnsi" w:hAnsiTheme="majorHAnsi"/>
      <w:b/>
      <w:sz w:val="20"/>
      <w:lang w:bidi="en-US"/>
    </w:rPr>
  </w:style>
  <w:style w:type="paragraph" w:customStyle="1" w:styleId="ECHRHeading4">
    <w:name w:val="ECHR_Heading_4"/>
    <w:aliases w:val="Ju_H_a"/>
    <w:basedOn w:val="Heading4"/>
    <w:next w:val="ECHRPara"/>
    <w:uiPriority w:val="22"/>
    <w:qFormat/>
    <w:rsid w:val="00516455"/>
    <w:pPr>
      <w:keepNext/>
      <w:keepLines/>
      <w:widowControl/>
      <w:tabs>
        <w:tab w:val="left" w:pos="975"/>
      </w:tabs>
      <w:spacing w:before="240" w:after="120"/>
      <w:ind w:left="975" w:hanging="340"/>
    </w:pPr>
    <w:rPr>
      <w:rFonts w:asciiTheme="majorHAnsi" w:eastAsiaTheme="majorEastAsia" w:hAnsiTheme="majorHAnsi" w:cstheme="majorBidi"/>
      <w:b/>
      <w:bCs/>
      <w:iCs/>
      <w:snapToGrid/>
      <w:sz w:val="20"/>
    </w:rPr>
  </w:style>
  <w:style w:type="paragraph" w:customStyle="1" w:styleId="ECHRHeading3">
    <w:name w:val="ECHR_Heading_3"/>
    <w:aliases w:val="Ju_H_1."/>
    <w:basedOn w:val="Heading3"/>
    <w:next w:val="ECHRPara"/>
    <w:uiPriority w:val="21"/>
    <w:qFormat/>
    <w:rsid w:val="00516455"/>
    <w:pPr>
      <w:keepLines/>
      <w:tabs>
        <w:tab w:val="left" w:pos="731"/>
      </w:tabs>
      <w:spacing w:before="240" w:after="120"/>
      <w:ind w:left="732" w:hanging="301"/>
    </w:pPr>
    <w:rPr>
      <w:rFonts w:asciiTheme="majorHAnsi" w:eastAsiaTheme="majorEastAsia" w:hAnsiTheme="majorHAnsi" w:cstheme="majorBidi"/>
      <w:bCs/>
    </w:rPr>
  </w:style>
  <w:style w:type="paragraph" w:customStyle="1" w:styleId="JuQuotList">
    <w:name w:val="Ju_Quot_List"/>
    <w:basedOn w:val="ECHRParaQuote"/>
    <w:pPr>
      <w:tabs>
        <w:tab w:val="left" w:pos="1021"/>
      </w:tabs>
      <w:ind w:left="567" w:firstLine="0"/>
    </w:pPr>
  </w:style>
  <w:style w:type="paragraph" w:customStyle="1" w:styleId="JuCourt">
    <w:name w:val="Ju_Court"/>
    <w:basedOn w:val="Normal"/>
    <w:next w:val="Normal"/>
    <w:uiPriority w:val="16"/>
    <w:qFormat/>
    <w:rsid w:val="00516455"/>
    <w:pPr>
      <w:tabs>
        <w:tab w:val="left" w:pos="907"/>
        <w:tab w:val="left" w:pos="1701"/>
        <w:tab w:val="right" w:pos="7371"/>
      </w:tabs>
      <w:spacing w:before="240"/>
      <w:ind w:left="397" w:hanging="397"/>
      <w:jc w:val="left"/>
    </w:pPr>
    <w:rPr>
      <w:lang w:bidi="en-US"/>
    </w:rPr>
  </w:style>
  <w:style w:type="paragraph" w:customStyle="1" w:styleId="OpiQuot">
    <w:name w:val="Opi_Quot"/>
    <w:basedOn w:val="ECHRParaQuote"/>
    <w:uiPriority w:val="48"/>
    <w:qFormat/>
    <w:rsid w:val="00516455"/>
  </w:style>
  <w:style w:type="paragraph" w:customStyle="1" w:styleId="OpiTranslation">
    <w:name w:val="Opi_Translation"/>
    <w:basedOn w:val="Normal"/>
    <w:next w:val="OpiPara"/>
    <w:uiPriority w:val="40"/>
    <w:qFormat/>
    <w:rsid w:val="00516455"/>
    <w:pPr>
      <w:jc w:val="center"/>
      <w:outlineLvl w:val="0"/>
    </w:pPr>
    <w:rPr>
      <w:i/>
    </w:rPr>
  </w:style>
  <w:style w:type="paragraph" w:styleId="FootnoteText">
    <w:name w:val="footnote text"/>
    <w:basedOn w:val="Normal"/>
    <w:semiHidden/>
    <w:rsid w:val="00D1288A"/>
    <w:rPr>
      <w:sz w:val="20"/>
    </w:rPr>
  </w:style>
  <w:style w:type="character" w:styleId="FootnoteReference">
    <w:name w:val="footnote reference"/>
    <w:semiHidden/>
    <w:rsid w:val="00D1288A"/>
    <w:rPr>
      <w:vertAlign w:val="superscript"/>
    </w:rPr>
  </w:style>
  <w:style w:type="paragraph" w:customStyle="1" w:styleId="ECHRHeading5">
    <w:name w:val="ECHR_Heading_5"/>
    <w:aliases w:val="Ju_H_i"/>
    <w:basedOn w:val="Heading5"/>
    <w:next w:val="ECHRPara"/>
    <w:uiPriority w:val="23"/>
    <w:qFormat/>
    <w:rsid w:val="00516455"/>
    <w:pPr>
      <w:keepNext/>
      <w:keepLines/>
      <w:tabs>
        <w:tab w:val="left" w:pos="1191"/>
      </w:tabs>
      <w:spacing w:before="240" w:after="120"/>
      <w:ind w:left="1190" w:hanging="357"/>
    </w:pPr>
    <w:rPr>
      <w:b w:val="0"/>
      <w:i/>
      <w:color w:val="auto"/>
      <w:sz w:val="20"/>
    </w:rPr>
  </w:style>
  <w:style w:type="paragraph" w:styleId="Header">
    <w:name w:val="header"/>
    <w:basedOn w:val="NormalTimesNewRoman"/>
    <w:link w:val="HeaderChar"/>
    <w:uiPriority w:val="48"/>
    <w:semiHidden/>
    <w:rsid w:val="00D1288A"/>
    <w:pPr>
      <w:tabs>
        <w:tab w:val="center" w:pos="3686"/>
        <w:tab w:val="right" w:pos="7371"/>
      </w:tabs>
    </w:pPr>
    <w:rPr>
      <w:sz w:val="18"/>
    </w:rPr>
  </w:style>
  <w:style w:type="character" w:styleId="PageNumber">
    <w:name w:val="page number"/>
    <w:semiHidden/>
    <w:rsid w:val="00D1288A"/>
    <w:rPr>
      <w:sz w:val="18"/>
    </w:rPr>
  </w:style>
  <w:style w:type="paragraph" w:customStyle="1" w:styleId="ECHRHeading7">
    <w:name w:val="ECHR_Heading_7"/>
    <w:aliases w:val="Ju_H_–"/>
    <w:basedOn w:val="Heading7"/>
    <w:next w:val="ECHRPara"/>
    <w:uiPriority w:val="25"/>
    <w:qFormat/>
    <w:rsid w:val="00516455"/>
    <w:pPr>
      <w:keepNext/>
      <w:keepLines/>
      <w:spacing w:before="240" w:after="120"/>
      <w:ind w:left="1236"/>
    </w:pPr>
    <w:rPr>
      <w:sz w:val="20"/>
    </w:rPr>
  </w:style>
  <w:style w:type="paragraph" w:customStyle="1" w:styleId="ECHRHeading6">
    <w:name w:val="ECHR_Heading_6"/>
    <w:aliases w:val="Ju_H_alpha"/>
    <w:basedOn w:val="Heading6"/>
    <w:next w:val="ECHRPara"/>
    <w:uiPriority w:val="24"/>
    <w:qFormat/>
    <w:rsid w:val="00516455"/>
    <w:pPr>
      <w:keepNext/>
      <w:keepLines/>
      <w:widowControl/>
      <w:tabs>
        <w:tab w:val="left" w:pos="1372"/>
      </w:tabs>
      <w:spacing w:before="240" w:after="120"/>
      <w:ind w:left="1373" w:hanging="335"/>
    </w:pPr>
    <w:rPr>
      <w:rFonts w:asciiTheme="majorHAnsi" w:eastAsiaTheme="majorEastAsia" w:hAnsiTheme="majorHAnsi" w:cstheme="majorBidi"/>
      <w:bCs/>
      <w:i/>
      <w:iCs/>
      <w:snapToGrid/>
      <w:sz w:val="20"/>
      <w:lang w:bidi="en-US"/>
    </w:rPr>
  </w:style>
  <w:style w:type="paragraph" w:customStyle="1" w:styleId="JuLista">
    <w:name w:val="Ju_List_a"/>
    <w:basedOn w:val="JuList"/>
    <w:uiPriority w:val="28"/>
    <w:qFormat/>
    <w:rsid w:val="00516455"/>
    <w:pPr>
      <w:ind w:left="346" w:firstLine="0"/>
    </w:pPr>
  </w:style>
  <w:style w:type="paragraph" w:customStyle="1" w:styleId="JuListi">
    <w:name w:val="Ju_List_i"/>
    <w:basedOn w:val="Normal"/>
    <w:next w:val="JuLista"/>
    <w:uiPriority w:val="28"/>
    <w:qFormat/>
    <w:rsid w:val="00516455"/>
    <w:pPr>
      <w:ind w:left="794"/>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customStyle="1" w:styleId="JuInitialled">
    <w:name w:val="Ju_Initialled"/>
    <w:basedOn w:val="Normal"/>
    <w:uiPriority w:val="31"/>
    <w:qFormat/>
    <w:rsid w:val="00516455"/>
    <w:pPr>
      <w:tabs>
        <w:tab w:val="center" w:pos="6407"/>
      </w:tabs>
      <w:spacing w:before="720"/>
      <w:jc w:val="right"/>
    </w:pPr>
  </w:style>
  <w:style w:type="paragraph" w:customStyle="1" w:styleId="ECHRHeader">
    <w:name w:val="ECHR_Header"/>
    <w:aliases w:val="Ju_Header"/>
    <w:basedOn w:val="Header"/>
    <w:uiPriority w:val="4"/>
    <w:qFormat/>
    <w:rsid w:val="00516455"/>
    <w:rPr>
      <w:lang w:val="en-US" w:eastAsia="en-US"/>
    </w:rPr>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ECHRPara"/>
    <w:rsid w:val="00302008"/>
    <w:rPr>
      <w:sz w:val="24"/>
    </w:rPr>
  </w:style>
  <w:style w:type="paragraph" w:customStyle="1" w:styleId="DecList">
    <w:name w:val="Dec_List"/>
    <w:basedOn w:val="Normal"/>
    <w:rsid w:val="0037228D"/>
    <w:pPr>
      <w:spacing w:before="240"/>
      <w:ind w:left="284"/>
    </w:pPr>
  </w:style>
  <w:style w:type="paragraph" w:customStyle="1" w:styleId="JuParaSub">
    <w:name w:val="Ju_Para_Sub"/>
    <w:basedOn w:val="ECHRPara"/>
    <w:uiPriority w:val="13"/>
    <w:qFormat/>
    <w:rsid w:val="00516455"/>
    <w:pPr>
      <w:ind w:left="284"/>
    </w:pPr>
  </w:style>
  <w:style w:type="paragraph" w:customStyle="1" w:styleId="JuQuotSub">
    <w:name w:val="Ju_Quot_Sub"/>
    <w:basedOn w:val="ECHRParaQuote"/>
    <w:uiPriority w:val="15"/>
    <w:qFormat/>
    <w:rsid w:val="00516455"/>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semiHidden/>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uiPriority w:val="47"/>
    <w:qFormat/>
    <w:rsid w:val="00516455"/>
  </w:style>
  <w:style w:type="paragraph" w:customStyle="1" w:styleId="OpiQuotSub">
    <w:name w:val="Opi_Quot_Sub"/>
    <w:basedOn w:val="JuQuotSub"/>
    <w:uiPriority w:val="49"/>
    <w:qFormat/>
    <w:rsid w:val="00516455"/>
  </w:style>
  <w:style w:type="character" w:styleId="Hyperlink">
    <w:name w:val="Hyperlink"/>
    <w:semiHidden/>
    <w:rsid w:val="00D1288A"/>
    <w:rPr>
      <w:color w:val="0000FF"/>
      <w:u w:val="single"/>
    </w:rPr>
  </w:style>
  <w:style w:type="character" w:styleId="Strong">
    <w:name w:val="Strong"/>
    <w:uiPriority w:val="99"/>
    <w:semiHidden/>
    <w:qFormat/>
    <w:rsid w:val="00516455"/>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style>
  <w:style w:type="paragraph" w:customStyle="1" w:styleId="JuAppQuestion">
    <w:name w:val="Ju_App_Question"/>
    <w:basedOn w:val="ListBullet"/>
    <w:rsid w:val="00D1288A"/>
    <w:pPr>
      <w:numPr>
        <w:numId w:val="6"/>
      </w:numPr>
    </w:pPr>
    <w:rPr>
      <w:b/>
      <w:color w:val="333333"/>
    </w:rPr>
  </w:style>
  <w:style w:type="paragraph" w:styleId="ListBullet">
    <w:name w:val="List Bullet"/>
    <w:basedOn w:val="Normal"/>
    <w:semiHidden/>
    <w:rsid w:val="008824B9"/>
    <w:pPr>
      <w:numPr>
        <w:numId w:val="2"/>
      </w:numPr>
    </w:pPr>
  </w:style>
  <w:style w:type="paragraph" w:customStyle="1" w:styleId="NormalTimesNewRoman">
    <w:name w:val="Normal_TimesNewRoman"/>
    <w:rsid w:val="00D1288A"/>
    <w:rPr>
      <w:sz w:val="24"/>
      <w:lang w:val="en-GB" w:eastAsia="fr-FR"/>
    </w:rPr>
  </w:style>
  <w:style w:type="character" w:customStyle="1" w:styleId="JuITMark">
    <w:name w:val="Ju_ITMark"/>
    <w:basedOn w:val="DefaultParagraphFont"/>
    <w:uiPriority w:val="38"/>
    <w:qFormat/>
    <w:rsid w:val="00516455"/>
    <w:rPr>
      <w:vanish/>
      <w:color w:val="339966"/>
      <w:sz w:val="14"/>
    </w:rPr>
  </w:style>
  <w:style w:type="paragraph" w:customStyle="1" w:styleId="JuTitle">
    <w:name w:val="Ju_Title"/>
    <w:basedOn w:val="ECHRTitle1"/>
    <w:next w:val="ECHRPara"/>
    <w:rsid w:val="00D1288A"/>
    <w:pPr>
      <w:jc w:val="center"/>
    </w:pPr>
    <w:rPr>
      <w:b/>
      <w:caps/>
      <w:sz w:val="24"/>
      <w:szCs w:val="24"/>
      <w:u w:val="single"/>
    </w:rPr>
  </w:style>
  <w:style w:type="character" w:customStyle="1" w:styleId="JuParaCar">
    <w:name w:val="Ju_Para Car"/>
    <w:uiPriority w:val="12"/>
    <w:rsid w:val="00A36290"/>
    <w:rPr>
      <w:sz w:val="24"/>
      <w:lang w:val="en-GB" w:eastAsia="fr-FR" w:bidi="ar-SA"/>
    </w:rPr>
  </w:style>
  <w:style w:type="table" w:customStyle="1" w:styleId="RepTable">
    <w:name w:val="Rep_Table"/>
    <w:basedOn w:val="TableNormal"/>
    <w:rsid w:val="00470C25"/>
    <w:rPr>
      <w:lang w:eastAsia="ja-JP"/>
    </w:rPr>
    <w:tblP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Pr>
    <w:tcPr>
      <w:tcMar>
        <w:left w:w="57" w:type="dxa"/>
        <w:right w:w="57" w:type="dxa"/>
      </w:tcMar>
      <w:vAlign w:val="center"/>
    </w:tcPr>
    <w:tblStylePr w:type="firstRow">
      <w:rPr>
        <w:b/>
      </w:rPr>
      <w:tblPr/>
      <w:tcPr>
        <w:shd w:val="clear" w:color="auto" w:fill="E6E6E6"/>
      </w:tcPr>
    </w:tblStylePr>
  </w:style>
  <w:style w:type="character" w:customStyle="1" w:styleId="sb8d990e2">
    <w:name w:val="sb8d990e2"/>
    <w:rsid w:val="00E60282"/>
  </w:style>
  <w:style w:type="character" w:customStyle="1" w:styleId="s6b621b36">
    <w:name w:val="s6b621b36"/>
    <w:rsid w:val="00E60282"/>
  </w:style>
  <w:style w:type="character" w:customStyle="1" w:styleId="s7d2086b4">
    <w:name w:val="s7d2086b4"/>
    <w:rsid w:val="001B78E9"/>
  </w:style>
  <w:style w:type="paragraph" w:customStyle="1" w:styleId="s30eec3f8">
    <w:name w:val="s30eec3f8"/>
    <w:basedOn w:val="Normal"/>
    <w:rsid w:val="00280E91"/>
    <w:pPr>
      <w:spacing w:before="100" w:beforeAutospacing="1" w:after="100" w:afterAutospacing="1"/>
    </w:pPr>
    <w:rPr>
      <w:szCs w:val="24"/>
    </w:rPr>
  </w:style>
  <w:style w:type="character" w:customStyle="1" w:styleId="CommentTextChar">
    <w:name w:val="Comment Text Char"/>
    <w:link w:val="CommentText"/>
    <w:semiHidden/>
    <w:rsid w:val="00280E91"/>
    <w:rPr>
      <w:lang w:eastAsia="fr-FR"/>
    </w:rPr>
  </w:style>
  <w:style w:type="character" w:customStyle="1" w:styleId="HeaderChar">
    <w:name w:val="Header Char"/>
    <w:link w:val="Header"/>
    <w:uiPriority w:val="48"/>
    <w:rsid w:val="00466D3D"/>
    <w:rPr>
      <w:sz w:val="18"/>
      <w:lang w:val="en-GB" w:eastAsia="fr-FR"/>
    </w:rPr>
  </w:style>
  <w:style w:type="character" w:customStyle="1" w:styleId="JUNAMES0">
    <w:name w:val="JU_NAMES"/>
    <w:uiPriority w:val="17"/>
    <w:qFormat/>
    <w:rsid w:val="00516455"/>
    <w:rPr>
      <w:caps w:val="0"/>
      <w:smallCaps/>
    </w:rPr>
  </w:style>
  <w:style w:type="paragraph" w:customStyle="1" w:styleId="OpiH10">
    <w:name w:val="Opi_H_1"/>
    <w:basedOn w:val="ECHRHeading2"/>
    <w:uiPriority w:val="42"/>
    <w:qFormat/>
    <w:rsid w:val="00516455"/>
    <w:pPr>
      <w:ind w:left="635" w:hanging="357"/>
      <w:outlineLvl w:val="2"/>
    </w:pPr>
  </w:style>
  <w:style w:type="paragraph" w:customStyle="1" w:styleId="DummyStyle">
    <w:name w:val="Dummy_Style"/>
    <w:basedOn w:val="Normal"/>
    <w:semiHidden/>
    <w:qFormat/>
    <w:rsid w:val="00516455"/>
    <w:rPr>
      <w:color w:val="00B050"/>
    </w:rPr>
  </w:style>
  <w:style w:type="character" w:customStyle="1" w:styleId="Heading5Char">
    <w:name w:val="Heading 5 Char"/>
    <w:basedOn w:val="DefaultParagraphFont"/>
    <w:link w:val="Heading5"/>
    <w:uiPriority w:val="99"/>
    <w:semiHidden/>
    <w:rsid w:val="0051645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51645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1645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1645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51645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645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51645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645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516455"/>
    <w:rPr>
      <w:b/>
      <w:bCs/>
      <w:i/>
      <w:iCs/>
      <w:spacing w:val="10"/>
      <w:bdr w:val="none" w:sz="0" w:space="0" w:color="auto"/>
      <w:shd w:val="clear" w:color="auto" w:fill="auto"/>
    </w:rPr>
  </w:style>
  <w:style w:type="paragraph" w:styleId="NoSpacing">
    <w:name w:val="No Spacing"/>
    <w:basedOn w:val="Normal"/>
    <w:link w:val="NoSpacingChar"/>
    <w:semiHidden/>
    <w:qFormat/>
    <w:rsid w:val="00516455"/>
    <w:rPr>
      <w:sz w:val="22"/>
    </w:rPr>
  </w:style>
  <w:style w:type="character" w:customStyle="1" w:styleId="NoSpacingChar">
    <w:name w:val="No Spacing Char"/>
    <w:basedOn w:val="DefaultParagraphFont"/>
    <w:link w:val="NoSpacing"/>
    <w:semiHidden/>
    <w:rsid w:val="00516455"/>
    <w:rPr>
      <w:rFonts w:eastAsiaTheme="minorEastAsia"/>
    </w:rPr>
  </w:style>
  <w:style w:type="paragraph" w:styleId="ListParagraph">
    <w:name w:val="List Paragraph"/>
    <w:basedOn w:val="Normal"/>
    <w:uiPriority w:val="99"/>
    <w:semiHidden/>
    <w:qFormat/>
    <w:rsid w:val="00516455"/>
    <w:pPr>
      <w:ind w:left="720"/>
      <w:contextualSpacing/>
    </w:pPr>
  </w:style>
  <w:style w:type="paragraph" w:styleId="Quote">
    <w:name w:val="Quote"/>
    <w:basedOn w:val="Normal"/>
    <w:next w:val="Normal"/>
    <w:link w:val="QuoteChar"/>
    <w:uiPriority w:val="99"/>
    <w:semiHidden/>
    <w:qFormat/>
    <w:rsid w:val="00516455"/>
    <w:pPr>
      <w:spacing w:before="200"/>
      <w:ind w:left="360" w:right="360"/>
    </w:pPr>
    <w:rPr>
      <w:i/>
      <w:iCs/>
      <w:sz w:val="22"/>
      <w:lang w:bidi="en-US"/>
    </w:rPr>
  </w:style>
  <w:style w:type="character" w:customStyle="1" w:styleId="QuoteChar">
    <w:name w:val="Quote Char"/>
    <w:basedOn w:val="DefaultParagraphFont"/>
    <w:link w:val="Quote"/>
    <w:uiPriority w:val="99"/>
    <w:semiHidden/>
    <w:rsid w:val="00516455"/>
    <w:rPr>
      <w:rFonts w:eastAsiaTheme="minorEastAsia"/>
      <w:i/>
      <w:iCs/>
      <w:lang w:bidi="en-US"/>
    </w:rPr>
  </w:style>
  <w:style w:type="paragraph" w:styleId="IntenseQuote">
    <w:name w:val="Intense Quote"/>
    <w:basedOn w:val="Normal"/>
    <w:next w:val="Normal"/>
    <w:link w:val="IntenseQuoteChar"/>
    <w:uiPriority w:val="99"/>
    <w:semiHidden/>
    <w:qFormat/>
    <w:rsid w:val="0051645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16455"/>
    <w:rPr>
      <w:rFonts w:eastAsiaTheme="minorEastAsia"/>
      <w:b/>
      <w:bCs/>
      <w:i/>
      <w:iCs/>
      <w:lang w:bidi="en-US"/>
    </w:rPr>
  </w:style>
  <w:style w:type="character" w:styleId="SubtleEmphasis">
    <w:name w:val="Subtle Emphasis"/>
    <w:uiPriority w:val="99"/>
    <w:semiHidden/>
    <w:qFormat/>
    <w:rsid w:val="00516455"/>
    <w:rPr>
      <w:i/>
      <w:iCs/>
    </w:rPr>
  </w:style>
  <w:style w:type="character" w:styleId="IntenseEmphasis">
    <w:name w:val="Intense Emphasis"/>
    <w:uiPriority w:val="99"/>
    <w:semiHidden/>
    <w:qFormat/>
    <w:rsid w:val="00516455"/>
    <w:rPr>
      <w:b/>
      <w:bCs/>
    </w:rPr>
  </w:style>
  <w:style w:type="character" w:styleId="SubtleReference">
    <w:name w:val="Subtle Reference"/>
    <w:uiPriority w:val="99"/>
    <w:semiHidden/>
    <w:qFormat/>
    <w:rsid w:val="00516455"/>
    <w:rPr>
      <w:smallCaps/>
    </w:rPr>
  </w:style>
  <w:style w:type="character" w:styleId="IntenseReference">
    <w:name w:val="Intense Reference"/>
    <w:uiPriority w:val="99"/>
    <w:semiHidden/>
    <w:qFormat/>
    <w:rsid w:val="00516455"/>
    <w:rPr>
      <w:smallCaps/>
      <w:spacing w:val="5"/>
      <w:u w:val="single"/>
    </w:rPr>
  </w:style>
  <w:style w:type="character" w:styleId="BookTitle">
    <w:name w:val="Book Title"/>
    <w:uiPriority w:val="99"/>
    <w:semiHidden/>
    <w:qFormat/>
    <w:rsid w:val="00516455"/>
    <w:rPr>
      <w:i/>
      <w:iCs/>
      <w:smallCaps/>
      <w:spacing w:val="5"/>
    </w:rPr>
  </w:style>
  <w:style w:type="paragraph" w:styleId="TOCHeading">
    <w:name w:val="TOC Heading"/>
    <w:basedOn w:val="Heading1"/>
    <w:next w:val="Normal"/>
    <w:uiPriority w:val="99"/>
    <w:semiHidden/>
    <w:qFormat/>
    <w:rsid w:val="00516455"/>
    <w:pPr>
      <w:keepNext w:val="0"/>
      <w:spacing w:before="480" w:after="0"/>
      <w:contextualSpacing/>
      <w:jc w:val="both"/>
      <w:outlineLvl w:val="9"/>
    </w:pPr>
    <w:rPr>
      <w:rFonts w:asciiTheme="majorHAnsi" w:eastAsiaTheme="majorEastAsia" w:hAnsiTheme="majorHAnsi" w:cstheme="majorBidi"/>
      <w:bCs/>
      <w:color w:val="474747" w:themeColor="accent3" w:themeShade="BF"/>
      <w:szCs w:val="28"/>
    </w:rPr>
  </w:style>
  <w:style w:type="numbering" w:styleId="111111">
    <w:name w:val="Outline List 2"/>
    <w:basedOn w:val="NoList"/>
    <w:semiHidden/>
    <w:rsid w:val="00516455"/>
    <w:pPr>
      <w:numPr>
        <w:numId w:val="17"/>
      </w:numPr>
    </w:pPr>
  </w:style>
  <w:style w:type="numbering" w:styleId="1ai">
    <w:name w:val="Outline List 1"/>
    <w:basedOn w:val="NoList"/>
    <w:semiHidden/>
    <w:rsid w:val="00516455"/>
    <w:pPr>
      <w:numPr>
        <w:numId w:val="18"/>
      </w:numPr>
    </w:pPr>
  </w:style>
  <w:style w:type="numbering" w:styleId="ArticleSection">
    <w:name w:val="Outline List 3"/>
    <w:basedOn w:val="NoList"/>
    <w:semiHidden/>
    <w:rsid w:val="00516455"/>
    <w:pPr>
      <w:numPr>
        <w:numId w:val="19"/>
      </w:numPr>
    </w:pPr>
  </w:style>
  <w:style w:type="paragraph" w:styleId="Bibliography">
    <w:name w:val="Bibliography"/>
    <w:basedOn w:val="Normal"/>
    <w:next w:val="Normal"/>
    <w:uiPriority w:val="37"/>
    <w:semiHidden/>
    <w:unhideWhenUsed/>
    <w:rsid w:val="00516455"/>
  </w:style>
  <w:style w:type="paragraph" w:styleId="BlockText">
    <w:name w:val="Block Text"/>
    <w:basedOn w:val="Normal"/>
    <w:semiHidden/>
    <w:rsid w:val="00516455"/>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semiHidden/>
    <w:rsid w:val="00516455"/>
    <w:pPr>
      <w:spacing w:after="120"/>
    </w:pPr>
  </w:style>
  <w:style w:type="character" w:customStyle="1" w:styleId="BodyTextChar">
    <w:name w:val="Body Text Char"/>
    <w:basedOn w:val="DefaultParagraphFont"/>
    <w:link w:val="BodyText"/>
    <w:rsid w:val="00516455"/>
    <w:rPr>
      <w:rFonts w:eastAsiaTheme="minorEastAsia"/>
      <w:sz w:val="24"/>
    </w:rPr>
  </w:style>
  <w:style w:type="paragraph" w:styleId="BodyText2">
    <w:name w:val="Body Text 2"/>
    <w:basedOn w:val="Normal"/>
    <w:link w:val="BodyText2Char"/>
    <w:semiHidden/>
    <w:rsid w:val="00516455"/>
    <w:pPr>
      <w:spacing w:after="120" w:line="480" w:lineRule="auto"/>
    </w:pPr>
  </w:style>
  <w:style w:type="character" w:customStyle="1" w:styleId="BodyText2Char">
    <w:name w:val="Body Text 2 Char"/>
    <w:basedOn w:val="DefaultParagraphFont"/>
    <w:link w:val="BodyText2"/>
    <w:rsid w:val="00516455"/>
    <w:rPr>
      <w:rFonts w:eastAsiaTheme="minorEastAsia"/>
      <w:sz w:val="24"/>
    </w:rPr>
  </w:style>
  <w:style w:type="paragraph" w:styleId="BodyText3">
    <w:name w:val="Body Text 3"/>
    <w:basedOn w:val="Normal"/>
    <w:link w:val="BodyText3Char"/>
    <w:semiHidden/>
    <w:rsid w:val="00516455"/>
    <w:pPr>
      <w:spacing w:after="120"/>
    </w:pPr>
    <w:rPr>
      <w:sz w:val="16"/>
      <w:szCs w:val="16"/>
    </w:rPr>
  </w:style>
  <w:style w:type="character" w:customStyle="1" w:styleId="BodyText3Char">
    <w:name w:val="Body Text 3 Char"/>
    <w:basedOn w:val="DefaultParagraphFont"/>
    <w:link w:val="BodyText3"/>
    <w:rsid w:val="00516455"/>
    <w:rPr>
      <w:rFonts w:eastAsiaTheme="minorEastAsia"/>
      <w:sz w:val="16"/>
      <w:szCs w:val="16"/>
    </w:rPr>
  </w:style>
  <w:style w:type="paragraph" w:styleId="BodyTextFirstIndent">
    <w:name w:val="Body Text First Indent"/>
    <w:basedOn w:val="BodyText"/>
    <w:link w:val="BodyTextFirstIndentChar"/>
    <w:semiHidden/>
    <w:rsid w:val="00516455"/>
    <w:pPr>
      <w:spacing w:after="0"/>
      <w:ind w:firstLine="360"/>
    </w:pPr>
  </w:style>
  <w:style w:type="character" w:customStyle="1" w:styleId="BodyTextFirstIndentChar">
    <w:name w:val="Body Text First Indent Char"/>
    <w:basedOn w:val="BodyTextChar"/>
    <w:link w:val="BodyTextFirstIndent"/>
    <w:rsid w:val="00516455"/>
    <w:rPr>
      <w:rFonts w:eastAsiaTheme="minorEastAsia"/>
      <w:sz w:val="24"/>
    </w:rPr>
  </w:style>
  <w:style w:type="paragraph" w:styleId="BodyTextIndent">
    <w:name w:val="Body Text Indent"/>
    <w:basedOn w:val="Normal"/>
    <w:link w:val="BodyTextIndentChar"/>
    <w:semiHidden/>
    <w:rsid w:val="00516455"/>
    <w:pPr>
      <w:spacing w:after="120"/>
      <w:ind w:left="283"/>
    </w:pPr>
  </w:style>
  <w:style w:type="character" w:customStyle="1" w:styleId="BodyTextIndentChar">
    <w:name w:val="Body Text Indent Char"/>
    <w:basedOn w:val="DefaultParagraphFont"/>
    <w:link w:val="BodyTextIndent"/>
    <w:rsid w:val="00516455"/>
    <w:rPr>
      <w:rFonts w:eastAsiaTheme="minorEastAsia"/>
      <w:sz w:val="24"/>
    </w:rPr>
  </w:style>
  <w:style w:type="paragraph" w:styleId="BodyTextFirstIndent2">
    <w:name w:val="Body Text First Indent 2"/>
    <w:basedOn w:val="BodyTextIndent"/>
    <w:link w:val="BodyTextFirstIndent2Char"/>
    <w:semiHidden/>
    <w:rsid w:val="00516455"/>
    <w:pPr>
      <w:spacing w:after="0"/>
      <w:ind w:left="360" w:firstLine="360"/>
    </w:pPr>
  </w:style>
  <w:style w:type="character" w:customStyle="1" w:styleId="BodyTextFirstIndent2Char">
    <w:name w:val="Body Text First Indent 2 Char"/>
    <w:basedOn w:val="BodyTextIndentChar"/>
    <w:link w:val="BodyTextFirstIndent2"/>
    <w:rsid w:val="00516455"/>
    <w:rPr>
      <w:rFonts w:eastAsiaTheme="minorEastAsia"/>
      <w:sz w:val="24"/>
    </w:rPr>
  </w:style>
  <w:style w:type="paragraph" w:styleId="BodyTextIndent2">
    <w:name w:val="Body Text Indent 2"/>
    <w:basedOn w:val="Normal"/>
    <w:link w:val="BodyTextIndent2Char"/>
    <w:semiHidden/>
    <w:rsid w:val="00516455"/>
    <w:pPr>
      <w:spacing w:after="120" w:line="480" w:lineRule="auto"/>
      <w:ind w:left="283"/>
    </w:pPr>
  </w:style>
  <w:style w:type="character" w:customStyle="1" w:styleId="BodyTextIndent2Char">
    <w:name w:val="Body Text Indent 2 Char"/>
    <w:basedOn w:val="DefaultParagraphFont"/>
    <w:link w:val="BodyTextIndent2"/>
    <w:rsid w:val="00516455"/>
    <w:rPr>
      <w:rFonts w:eastAsiaTheme="minorEastAsia"/>
      <w:sz w:val="24"/>
    </w:rPr>
  </w:style>
  <w:style w:type="paragraph" w:styleId="BodyTextIndent3">
    <w:name w:val="Body Text Indent 3"/>
    <w:basedOn w:val="Normal"/>
    <w:link w:val="BodyTextIndent3Char"/>
    <w:semiHidden/>
    <w:rsid w:val="00516455"/>
    <w:pPr>
      <w:spacing w:after="120"/>
      <w:ind w:left="283"/>
    </w:pPr>
    <w:rPr>
      <w:sz w:val="16"/>
      <w:szCs w:val="16"/>
    </w:rPr>
  </w:style>
  <w:style w:type="character" w:customStyle="1" w:styleId="BodyTextIndent3Char">
    <w:name w:val="Body Text Indent 3 Char"/>
    <w:basedOn w:val="DefaultParagraphFont"/>
    <w:link w:val="BodyTextIndent3"/>
    <w:rsid w:val="00516455"/>
    <w:rPr>
      <w:rFonts w:eastAsiaTheme="minorEastAsia"/>
      <w:sz w:val="16"/>
      <w:szCs w:val="16"/>
    </w:rPr>
  </w:style>
  <w:style w:type="paragraph" w:styleId="Caption">
    <w:name w:val="caption"/>
    <w:basedOn w:val="Normal"/>
    <w:next w:val="Normal"/>
    <w:uiPriority w:val="99"/>
    <w:semiHidden/>
    <w:qFormat/>
    <w:rsid w:val="00516455"/>
    <w:pPr>
      <w:spacing w:after="200"/>
    </w:pPr>
    <w:rPr>
      <w:b/>
      <w:bCs/>
      <w:color w:val="0072BC" w:themeColor="accent1"/>
      <w:sz w:val="18"/>
      <w:szCs w:val="18"/>
    </w:rPr>
  </w:style>
  <w:style w:type="paragraph" w:styleId="Closing">
    <w:name w:val="Closing"/>
    <w:basedOn w:val="Normal"/>
    <w:link w:val="ClosingChar"/>
    <w:semiHidden/>
    <w:rsid w:val="00516455"/>
    <w:pPr>
      <w:ind w:left="4252"/>
    </w:pPr>
  </w:style>
  <w:style w:type="character" w:customStyle="1" w:styleId="ClosingChar">
    <w:name w:val="Closing Char"/>
    <w:basedOn w:val="DefaultParagraphFont"/>
    <w:link w:val="Closing"/>
    <w:rsid w:val="00516455"/>
    <w:rPr>
      <w:rFonts w:eastAsiaTheme="minorEastAsia"/>
      <w:sz w:val="24"/>
    </w:rPr>
  </w:style>
  <w:style w:type="table" w:styleId="ColorfulGrid">
    <w:name w:val="Colorful Grid"/>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6455"/>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6455"/>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6455"/>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6455"/>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6455"/>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6455"/>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6455"/>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516455"/>
  </w:style>
  <w:style w:type="character" w:customStyle="1" w:styleId="DateChar">
    <w:name w:val="Date Char"/>
    <w:basedOn w:val="DefaultParagraphFont"/>
    <w:link w:val="Date"/>
    <w:rsid w:val="00516455"/>
    <w:rPr>
      <w:rFonts w:eastAsiaTheme="minorEastAsia"/>
      <w:sz w:val="24"/>
    </w:rPr>
  </w:style>
  <w:style w:type="paragraph" w:styleId="E-mailSignature">
    <w:name w:val="E-mail Signature"/>
    <w:basedOn w:val="Normal"/>
    <w:link w:val="E-mailSignatureChar"/>
    <w:semiHidden/>
    <w:rsid w:val="00516455"/>
  </w:style>
  <w:style w:type="character" w:customStyle="1" w:styleId="E-mailSignatureChar">
    <w:name w:val="E-mail Signature Char"/>
    <w:basedOn w:val="DefaultParagraphFont"/>
    <w:link w:val="E-mailSignature"/>
    <w:rsid w:val="00516455"/>
    <w:rPr>
      <w:rFonts w:eastAsiaTheme="minorEastAsia"/>
      <w:sz w:val="24"/>
    </w:rPr>
  </w:style>
  <w:style w:type="paragraph" w:styleId="EnvelopeAddress">
    <w:name w:val="envelope address"/>
    <w:basedOn w:val="Normal"/>
    <w:semiHidden/>
    <w:rsid w:val="0051645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semiHidden/>
    <w:rsid w:val="00516455"/>
    <w:rPr>
      <w:rFonts w:asciiTheme="majorHAnsi" w:eastAsiaTheme="majorEastAsia" w:hAnsiTheme="majorHAnsi" w:cstheme="majorBidi"/>
      <w:sz w:val="20"/>
      <w:szCs w:val="20"/>
    </w:rPr>
  </w:style>
  <w:style w:type="character" w:styleId="HTMLAcronym">
    <w:name w:val="HTML Acronym"/>
    <w:basedOn w:val="DefaultParagraphFont"/>
    <w:semiHidden/>
    <w:rsid w:val="00516455"/>
  </w:style>
  <w:style w:type="paragraph" w:styleId="HTMLAddress">
    <w:name w:val="HTML Address"/>
    <w:basedOn w:val="Normal"/>
    <w:link w:val="HTMLAddressChar"/>
    <w:semiHidden/>
    <w:rsid w:val="00516455"/>
    <w:rPr>
      <w:i/>
      <w:iCs/>
    </w:rPr>
  </w:style>
  <w:style w:type="character" w:customStyle="1" w:styleId="HTMLAddressChar">
    <w:name w:val="HTML Address Char"/>
    <w:basedOn w:val="DefaultParagraphFont"/>
    <w:link w:val="HTMLAddress"/>
    <w:rsid w:val="00516455"/>
    <w:rPr>
      <w:rFonts w:eastAsiaTheme="minorEastAsia"/>
      <w:i/>
      <w:iCs/>
      <w:sz w:val="24"/>
    </w:rPr>
  </w:style>
  <w:style w:type="character" w:styleId="HTMLCite">
    <w:name w:val="HTML Cite"/>
    <w:basedOn w:val="DefaultParagraphFont"/>
    <w:semiHidden/>
    <w:rsid w:val="00516455"/>
    <w:rPr>
      <w:i/>
      <w:iCs/>
    </w:rPr>
  </w:style>
  <w:style w:type="character" w:styleId="HTMLCode">
    <w:name w:val="HTML Code"/>
    <w:basedOn w:val="DefaultParagraphFont"/>
    <w:semiHidden/>
    <w:rsid w:val="00516455"/>
    <w:rPr>
      <w:rFonts w:ascii="Consolas" w:hAnsi="Consolas" w:cs="Consolas"/>
      <w:sz w:val="20"/>
      <w:szCs w:val="20"/>
    </w:rPr>
  </w:style>
  <w:style w:type="character" w:styleId="HTMLDefinition">
    <w:name w:val="HTML Definition"/>
    <w:basedOn w:val="DefaultParagraphFont"/>
    <w:semiHidden/>
    <w:rsid w:val="00516455"/>
    <w:rPr>
      <w:i/>
      <w:iCs/>
    </w:rPr>
  </w:style>
  <w:style w:type="character" w:styleId="HTMLKeyboard">
    <w:name w:val="HTML Keyboard"/>
    <w:basedOn w:val="DefaultParagraphFont"/>
    <w:semiHidden/>
    <w:rsid w:val="00516455"/>
    <w:rPr>
      <w:rFonts w:ascii="Consolas" w:hAnsi="Consolas" w:cs="Consolas"/>
      <w:sz w:val="20"/>
      <w:szCs w:val="20"/>
    </w:rPr>
  </w:style>
  <w:style w:type="paragraph" w:styleId="HTMLPreformatted">
    <w:name w:val="HTML Preformatted"/>
    <w:basedOn w:val="Normal"/>
    <w:link w:val="HTMLPreformattedChar"/>
    <w:semiHidden/>
    <w:rsid w:val="00516455"/>
    <w:rPr>
      <w:rFonts w:ascii="Consolas" w:hAnsi="Consolas" w:cs="Consolas"/>
      <w:sz w:val="20"/>
      <w:szCs w:val="20"/>
    </w:rPr>
  </w:style>
  <w:style w:type="character" w:customStyle="1" w:styleId="HTMLPreformattedChar">
    <w:name w:val="HTML Preformatted Char"/>
    <w:basedOn w:val="DefaultParagraphFont"/>
    <w:link w:val="HTMLPreformatted"/>
    <w:rsid w:val="00516455"/>
    <w:rPr>
      <w:rFonts w:ascii="Consolas" w:eastAsiaTheme="minorEastAsia" w:hAnsi="Consolas" w:cs="Consolas"/>
      <w:sz w:val="20"/>
      <w:szCs w:val="20"/>
    </w:rPr>
  </w:style>
  <w:style w:type="character" w:styleId="HTMLSample">
    <w:name w:val="HTML Sample"/>
    <w:basedOn w:val="DefaultParagraphFont"/>
    <w:semiHidden/>
    <w:rsid w:val="00516455"/>
    <w:rPr>
      <w:rFonts w:ascii="Consolas" w:hAnsi="Consolas" w:cs="Consolas"/>
      <w:sz w:val="24"/>
      <w:szCs w:val="24"/>
    </w:rPr>
  </w:style>
  <w:style w:type="character" w:styleId="HTMLTypewriter">
    <w:name w:val="HTML Typewriter"/>
    <w:basedOn w:val="DefaultParagraphFont"/>
    <w:semiHidden/>
    <w:rsid w:val="00516455"/>
    <w:rPr>
      <w:rFonts w:ascii="Consolas" w:hAnsi="Consolas" w:cs="Consolas"/>
      <w:sz w:val="20"/>
      <w:szCs w:val="20"/>
    </w:rPr>
  </w:style>
  <w:style w:type="character" w:styleId="HTMLVariable">
    <w:name w:val="HTML Variable"/>
    <w:basedOn w:val="DefaultParagraphFont"/>
    <w:semiHidden/>
    <w:rsid w:val="00516455"/>
    <w:rPr>
      <w:i/>
      <w:iCs/>
    </w:rPr>
  </w:style>
  <w:style w:type="paragraph" w:styleId="Index1">
    <w:name w:val="index 1"/>
    <w:basedOn w:val="Normal"/>
    <w:next w:val="Normal"/>
    <w:autoRedefine/>
    <w:semiHidden/>
    <w:rsid w:val="00516455"/>
    <w:pPr>
      <w:ind w:left="240" w:hanging="240"/>
    </w:pPr>
  </w:style>
  <w:style w:type="paragraph" w:styleId="Index2">
    <w:name w:val="index 2"/>
    <w:basedOn w:val="Normal"/>
    <w:next w:val="Normal"/>
    <w:autoRedefine/>
    <w:semiHidden/>
    <w:rsid w:val="00516455"/>
    <w:pPr>
      <w:ind w:left="480" w:hanging="240"/>
    </w:pPr>
  </w:style>
  <w:style w:type="paragraph" w:styleId="Index3">
    <w:name w:val="index 3"/>
    <w:basedOn w:val="Normal"/>
    <w:next w:val="Normal"/>
    <w:autoRedefine/>
    <w:semiHidden/>
    <w:rsid w:val="00516455"/>
    <w:pPr>
      <w:ind w:left="720" w:hanging="240"/>
    </w:pPr>
  </w:style>
  <w:style w:type="paragraph" w:styleId="Index4">
    <w:name w:val="index 4"/>
    <w:basedOn w:val="Normal"/>
    <w:next w:val="Normal"/>
    <w:autoRedefine/>
    <w:semiHidden/>
    <w:rsid w:val="00516455"/>
    <w:pPr>
      <w:ind w:left="960" w:hanging="240"/>
    </w:pPr>
  </w:style>
  <w:style w:type="paragraph" w:styleId="Index5">
    <w:name w:val="index 5"/>
    <w:basedOn w:val="Normal"/>
    <w:next w:val="Normal"/>
    <w:autoRedefine/>
    <w:semiHidden/>
    <w:rsid w:val="00516455"/>
    <w:pPr>
      <w:ind w:left="1200" w:hanging="240"/>
    </w:pPr>
  </w:style>
  <w:style w:type="paragraph" w:styleId="Index6">
    <w:name w:val="index 6"/>
    <w:basedOn w:val="Normal"/>
    <w:next w:val="Normal"/>
    <w:autoRedefine/>
    <w:semiHidden/>
    <w:rsid w:val="00516455"/>
    <w:pPr>
      <w:ind w:left="1440" w:hanging="240"/>
    </w:pPr>
  </w:style>
  <w:style w:type="paragraph" w:styleId="Index7">
    <w:name w:val="index 7"/>
    <w:basedOn w:val="Normal"/>
    <w:next w:val="Normal"/>
    <w:autoRedefine/>
    <w:semiHidden/>
    <w:rsid w:val="00516455"/>
    <w:pPr>
      <w:ind w:left="1680" w:hanging="240"/>
    </w:pPr>
  </w:style>
  <w:style w:type="paragraph" w:styleId="Index8">
    <w:name w:val="index 8"/>
    <w:basedOn w:val="Normal"/>
    <w:next w:val="Normal"/>
    <w:autoRedefine/>
    <w:semiHidden/>
    <w:rsid w:val="00516455"/>
    <w:pPr>
      <w:ind w:left="1920" w:hanging="240"/>
    </w:pPr>
  </w:style>
  <w:style w:type="paragraph" w:styleId="Index9">
    <w:name w:val="index 9"/>
    <w:basedOn w:val="Normal"/>
    <w:next w:val="Normal"/>
    <w:autoRedefine/>
    <w:semiHidden/>
    <w:rsid w:val="00516455"/>
    <w:pPr>
      <w:ind w:left="2160" w:hanging="240"/>
    </w:pPr>
  </w:style>
  <w:style w:type="paragraph" w:styleId="IndexHeading">
    <w:name w:val="index heading"/>
    <w:basedOn w:val="Normal"/>
    <w:next w:val="Index1"/>
    <w:semiHidden/>
    <w:rsid w:val="00516455"/>
    <w:rPr>
      <w:rFonts w:asciiTheme="majorHAnsi" w:eastAsiaTheme="majorEastAsia" w:hAnsiTheme="majorHAnsi" w:cstheme="majorBidi"/>
      <w:b/>
      <w:bCs/>
    </w:rPr>
  </w:style>
  <w:style w:type="table" w:styleId="LightGrid">
    <w:name w:val="Light Grid"/>
    <w:basedOn w:val="TableNormal"/>
    <w:uiPriority w:val="62"/>
    <w:semiHidden/>
    <w:rsid w:val="0051645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6455"/>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6455"/>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6455"/>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6455"/>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6455"/>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6455"/>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645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6455"/>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6455"/>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6455"/>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6455"/>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6455"/>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6455"/>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64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6455"/>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6455"/>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6455"/>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6455"/>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6455"/>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6455"/>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516455"/>
  </w:style>
  <w:style w:type="paragraph" w:styleId="List">
    <w:name w:val="List"/>
    <w:basedOn w:val="Normal"/>
    <w:semiHidden/>
    <w:rsid w:val="00516455"/>
    <w:pPr>
      <w:ind w:left="283" w:hanging="283"/>
      <w:contextualSpacing/>
    </w:pPr>
  </w:style>
  <w:style w:type="paragraph" w:styleId="List2">
    <w:name w:val="List 2"/>
    <w:basedOn w:val="Normal"/>
    <w:semiHidden/>
    <w:rsid w:val="00516455"/>
    <w:pPr>
      <w:ind w:left="566" w:hanging="283"/>
      <w:contextualSpacing/>
    </w:pPr>
  </w:style>
  <w:style w:type="paragraph" w:styleId="List3">
    <w:name w:val="List 3"/>
    <w:basedOn w:val="Normal"/>
    <w:semiHidden/>
    <w:rsid w:val="00516455"/>
    <w:pPr>
      <w:ind w:left="849" w:hanging="283"/>
      <w:contextualSpacing/>
    </w:pPr>
  </w:style>
  <w:style w:type="paragraph" w:styleId="List4">
    <w:name w:val="List 4"/>
    <w:basedOn w:val="Normal"/>
    <w:semiHidden/>
    <w:rsid w:val="00516455"/>
    <w:pPr>
      <w:ind w:left="1132" w:hanging="283"/>
      <w:contextualSpacing/>
    </w:pPr>
  </w:style>
  <w:style w:type="paragraph" w:styleId="List5">
    <w:name w:val="List 5"/>
    <w:basedOn w:val="Normal"/>
    <w:semiHidden/>
    <w:rsid w:val="00516455"/>
    <w:pPr>
      <w:ind w:left="1415" w:hanging="283"/>
      <w:contextualSpacing/>
    </w:pPr>
  </w:style>
  <w:style w:type="paragraph" w:styleId="ListBullet2">
    <w:name w:val="List Bullet 2"/>
    <w:basedOn w:val="Normal"/>
    <w:semiHidden/>
    <w:rsid w:val="00516455"/>
    <w:pPr>
      <w:numPr>
        <w:numId w:val="8"/>
      </w:numPr>
      <w:contextualSpacing/>
    </w:pPr>
  </w:style>
  <w:style w:type="paragraph" w:styleId="ListBullet3">
    <w:name w:val="List Bullet 3"/>
    <w:basedOn w:val="Normal"/>
    <w:semiHidden/>
    <w:rsid w:val="00516455"/>
    <w:pPr>
      <w:numPr>
        <w:numId w:val="9"/>
      </w:numPr>
      <w:contextualSpacing/>
    </w:pPr>
  </w:style>
  <w:style w:type="paragraph" w:styleId="ListBullet4">
    <w:name w:val="List Bullet 4"/>
    <w:basedOn w:val="Normal"/>
    <w:semiHidden/>
    <w:rsid w:val="00516455"/>
    <w:pPr>
      <w:numPr>
        <w:numId w:val="10"/>
      </w:numPr>
      <w:contextualSpacing/>
    </w:pPr>
  </w:style>
  <w:style w:type="paragraph" w:styleId="ListBullet5">
    <w:name w:val="List Bullet 5"/>
    <w:basedOn w:val="Normal"/>
    <w:semiHidden/>
    <w:rsid w:val="00516455"/>
    <w:pPr>
      <w:numPr>
        <w:numId w:val="11"/>
      </w:numPr>
      <w:contextualSpacing/>
    </w:pPr>
  </w:style>
  <w:style w:type="paragraph" w:styleId="ListContinue">
    <w:name w:val="List Continue"/>
    <w:basedOn w:val="Normal"/>
    <w:semiHidden/>
    <w:rsid w:val="00516455"/>
    <w:pPr>
      <w:spacing w:after="120"/>
      <w:ind w:left="283"/>
      <w:contextualSpacing/>
    </w:pPr>
  </w:style>
  <w:style w:type="paragraph" w:styleId="ListContinue2">
    <w:name w:val="List Continue 2"/>
    <w:basedOn w:val="Normal"/>
    <w:semiHidden/>
    <w:rsid w:val="00516455"/>
    <w:pPr>
      <w:spacing w:after="120"/>
      <w:ind w:left="566"/>
      <w:contextualSpacing/>
    </w:pPr>
  </w:style>
  <w:style w:type="paragraph" w:styleId="ListContinue3">
    <w:name w:val="List Continue 3"/>
    <w:basedOn w:val="Normal"/>
    <w:semiHidden/>
    <w:rsid w:val="00516455"/>
    <w:pPr>
      <w:spacing w:after="120"/>
      <w:ind w:left="849"/>
      <w:contextualSpacing/>
    </w:pPr>
  </w:style>
  <w:style w:type="paragraph" w:styleId="ListContinue4">
    <w:name w:val="List Continue 4"/>
    <w:basedOn w:val="Normal"/>
    <w:semiHidden/>
    <w:rsid w:val="00516455"/>
    <w:pPr>
      <w:spacing w:after="120"/>
      <w:ind w:left="1132"/>
      <w:contextualSpacing/>
    </w:pPr>
  </w:style>
  <w:style w:type="paragraph" w:styleId="ListContinue5">
    <w:name w:val="List Continue 5"/>
    <w:basedOn w:val="Normal"/>
    <w:semiHidden/>
    <w:rsid w:val="00516455"/>
    <w:pPr>
      <w:spacing w:after="120"/>
      <w:ind w:left="1415"/>
      <w:contextualSpacing/>
    </w:pPr>
  </w:style>
  <w:style w:type="paragraph" w:styleId="ListNumber">
    <w:name w:val="List Number"/>
    <w:basedOn w:val="Normal"/>
    <w:semiHidden/>
    <w:rsid w:val="00516455"/>
    <w:pPr>
      <w:numPr>
        <w:numId w:val="12"/>
      </w:numPr>
      <w:contextualSpacing/>
    </w:pPr>
  </w:style>
  <w:style w:type="paragraph" w:styleId="ListNumber2">
    <w:name w:val="List Number 2"/>
    <w:basedOn w:val="Normal"/>
    <w:semiHidden/>
    <w:rsid w:val="00516455"/>
    <w:pPr>
      <w:numPr>
        <w:numId w:val="13"/>
      </w:numPr>
      <w:contextualSpacing/>
    </w:pPr>
  </w:style>
  <w:style w:type="paragraph" w:styleId="ListNumber3">
    <w:name w:val="List Number 3"/>
    <w:basedOn w:val="Normal"/>
    <w:semiHidden/>
    <w:rsid w:val="00516455"/>
    <w:pPr>
      <w:numPr>
        <w:numId w:val="14"/>
      </w:numPr>
      <w:contextualSpacing/>
    </w:pPr>
  </w:style>
  <w:style w:type="paragraph" w:styleId="ListNumber4">
    <w:name w:val="List Number 4"/>
    <w:basedOn w:val="Normal"/>
    <w:semiHidden/>
    <w:rsid w:val="00516455"/>
    <w:pPr>
      <w:numPr>
        <w:numId w:val="15"/>
      </w:numPr>
      <w:contextualSpacing/>
    </w:pPr>
  </w:style>
  <w:style w:type="paragraph" w:styleId="ListNumber5">
    <w:name w:val="List Number 5"/>
    <w:basedOn w:val="Normal"/>
    <w:semiHidden/>
    <w:rsid w:val="00516455"/>
    <w:pPr>
      <w:numPr>
        <w:numId w:val="16"/>
      </w:numPr>
      <w:contextualSpacing/>
    </w:pPr>
  </w:style>
  <w:style w:type="paragraph" w:styleId="MacroText">
    <w:name w:val="macro"/>
    <w:link w:val="MacroTextChar"/>
    <w:semiHidden/>
    <w:rsid w:val="0051645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rsid w:val="00516455"/>
    <w:rPr>
      <w:rFonts w:ascii="Consolas" w:eastAsiaTheme="minorEastAsia" w:hAnsi="Consolas" w:cs="Consolas"/>
      <w:sz w:val="20"/>
      <w:szCs w:val="20"/>
    </w:rPr>
  </w:style>
  <w:style w:type="table" w:styleId="MediumGrid1">
    <w:name w:val="Medium Grid 1"/>
    <w:basedOn w:val="TableNormal"/>
    <w:uiPriority w:val="67"/>
    <w:semiHidden/>
    <w:rsid w:val="00516455"/>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6455"/>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6455"/>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6455"/>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6455"/>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6455"/>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6455"/>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6455"/>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6455"/>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6455"/>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6455"/>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6455"/>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6455"/>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6455"/>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6455"/>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6455"/>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6455"/>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6455"/>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6455"/>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6455"/>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6455"/>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51645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16455"/>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516455"/>
    <w:rPr>
      <w:rFonts w:ascii="Times New Roman" w:hAnsi="Times New Roman" w:cs="Times New Roman"/>
      <w:szCs w:val="24"/>
    </w:rPr>
  </w:style>
  <w:style w:type="paragraph" w:styleId="NormalIndent">
    <w:name w:val="Normal Indent"/>
    <w:basedOn w:val="Normal"/>
    <w:semiHidden/>
    <w:rsid w:val="00516455"/>
    <w:pPr>
      <w:ind w:left="720"/>
    </w:pPr>
  </w:style>
  <w:style w:type="paragraph" w:styleId="NoteHeading">
    <w:name w:val="Note Heading"/>
    <w:basedOn w:val="Normal"/>
    <w:next w:val="Normal"/>
    <w:link w:val="NoteHeadingChar"/>
    <w:semiHidden/>
    <w:rsid w:val="00516455"/>
  </w:style>
  <w:style w:type="character" w:customStyle="1" w:styleId="NoteHeadingChar">
    <w:name w:val="Note Heading Char"/>
    <w:basedOn w:val="DefaultParagraphFont"/>
    <w:link w:val="NoteHeading"/>
    <w:rsid w:val="00516455"/>
    <w:rPr>
      <w:rFonts w:eastAsiaTheme="minorEastAsia"/>
      <w:sz w:val="24"/>
    </w:rPr>
  </w:style>
  <w:style w:type="character" w:styleId="PlaceholderText">
    <w:name w:val="Placeholder Text"/>
    <w:basedOn w:val="DefaultParagraphFont"/>
    <w:uiPriority w:val="99"/>
    <w:semiHidden/>
    <w:rsid w:val="00516455"/>
    <w:rPr>
      <w:color w:val="808080"/>
    </w:rPr>
  </w:style>
  <w:style w:type="paragraph" w:styleId="PlainText">
    <w:name w:val="Plain Text"/>
    <w:basedOn w:val="Normal"/>
    <w:link w:val="PlainTextChar"/>
    <w:semiHidden/>
    <w:rsid w:val="00516455"/>
    <w:rPr>
      <w:rFonts w:ascii="Consolas" w:hAnsi="Consolas" w:cs="Consolas"/>
      <w:sz w:val="21"/>
      <w:szCs w:val="21"/>
    </w:rPr>
  </w:style>
  <w:style w:type="character" w:customStyle="1" w:styleId="PlainTextChar">
    <w:name w:val="Plain Text Char"/>
    <w:basedOn w:val="DefaultParagraphFont"/>
    <w:link w:val="PlainText"/>
    <w:rsid w:val="00516455"/>
    <w:rPr>
      <w:rFonts w:ascii="Consolas" w:eastAsiaTheme="minorEastAsia" w:hAnsi="Consolas" w:cs="Consolas"/>
      <w:sz w:val="21"/>
      <w:szCs w:val="21"/>
    </w:rPr>
  </w:style>
  <w:style w:type="paragraph" w:styleId="Salutation">
    <w:name w:val="Salutation"/>
    <w:basedOn w:val="Normal"/>
    <w:next w:val="Normal"/>
    <w:link w:val="SalutationChar"/>
    <w:semiHidden/>
    <w:rsid w:val="00516455"/>
  </w:style>
  <w:style w:type="character" w:customStyle="1" w:styleId="SalutationChar">
    <w:name w:val="Salutation Char"/>
    <w:basedOn w:val="DefaultParagraphFont"/>
    <w:link w:val="Salutation"/>
    <w:rsid w:val="00516455"/>
    <w:rPr>
      <w:rFonts w:eastAsiaTheme="minorEastAsia"/>
      <w:sz w:val="24"/>
    </w:rPr>
  </w:style>
  <w:style w:type="paragraph" w:styleId="Signature">
    <w:name w:val="Signature"/>
    <w:basedOn w:val="Normal"/>
    <w:link w:val="SignatureChar"/>
    <w:semiHidden/>
    <w:rsid w:val="00516455"/>
    <w:pPr>
      <w:ind w:left="4252"/>
    </w:pPr>
  </w:style>
  <w:style w:type="character" w:customStyle="1" w:styleId="SignatureChar">
    <w:name w:val="Signature Char"/>
    <w:basedOn w:val="DefaultParagraphFont"/>
    <w:link w:val="Signature"/>
    <w:rsid w:val="00516455"/>
    <w:rPr>
      <w:rFonts w:eastAsiaTheme="minorEastAsia"/>
      <w:sz w:val="24"/>
    </w:rPr>
  </w:style>
  <w:style w:type="table" w:styleId="Table3Deffects1">
    <w:name w:val="Table 3D effects 1"/>
    <w:basedOn w:val="TableNormal"/>
    <w:semiHidden/>
    <w:rsid w:val="00516455"/>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16455"/>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16455"/>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16455"/>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16455"/>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16455"/>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16455"/>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16455"/>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16455"/>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16455"/>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16455"/>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16455"/>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16455"/>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16455"/>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16455"/>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16455"/>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16455"/>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5164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516455"/>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16455"/>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16455"/>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16455"/>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16455"/>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16455"/>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16455"/>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16455"/>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16455"/>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16455"/>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16455"/>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16455"/>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16455"/>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516455"/>
    <w:pPr>
      <w:ind w:left="240" w:hanging="240"/>
    </w:pPr>
  </w:style>
  <w:style w:type="paragraph" w:styleId="TableofFigures">
    <w:name w:val="table of figures"/>
    <w:basedOn w:val="Normal"/>
    <w:next w:val="Normal"/>
    <w:semiHidden/>
    <w:rsid w:val="00516455"/>
  </w:style>
  <w:style w:type="table" w:styleId="TableProfessional">
    <w:name w:val="Table Professional"/>
    <w:basedOn w:val="TableNormal"/>
    <w:semiHidden/>
    <w:rsid w:val="00516455"/>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16455"/>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16455"/>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16455"/>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16455"/>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16455"/>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516455"/>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16455"/>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16455"/>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516455"/>
    <w:pPr>
      <w:spacing w:before="120"/>
    </w:pPr>
    <w:rPr>
      <w:rFonts w:asciiTheme="majorHAnsi" w:eastAsiaTheme="majorEastAsia" w:hAnsiTheme="majorHAnsi" w:cstheme="majorBidi"/>
      <w:b/>
      <w:bCs/>
      <w:szCs w:val="24"/>
    </w:rPr>
  </w:style>
  <w:style w:type="paragraph" w:styleId="TOC1">
    <w:name w:val="toc 1"/>
    <w:basedOn w:val="Normal"/>
    <w:next w:val="Normal"/>
    <w:autoRedefine/>
    <w:semiHidden/>
    <w:rsid w:val="00516455"/>
    <w:pPr>
      <w:spacing w:after="100"/>
    </w:pPr>
  </w:style>
  <w:style w:type="paragraph" w:styleId="TOC2">
    <w:name w:val="toc 2"/>
    <w:basedOn w:val="Normal"/>
    <w:next w:val="Normal"/>
    <w:autoRedefine/>
    <w:semiHidden/>
    <w:rsid w:val="00516455"/>
    <w:pPr>
      <w:spacing w:after="100"/>
      <w:ind w:left="240"/>
    </w:pPr>
  </w:style>
  <w:style w:type="paragraph" w:styleId="TOC3">
    <w:name w:val="toc 3"/>
    <w:basedOn w:val="Normal"/>
    <w:next w:val="Normal"/>
    <w:autoRedefine/>
    <w:semiHidden/>
    <w:rsid w:val="00516455"/>
    <w:pPr>
      <w:spacing w:after="100"/>
      <w:ind w:left="480"/>
    </w:pPr>
  </w:style>
  <w:style w:type="paragraph" w:styleId="TOC4">
    <w:name w:val="toc 4"/>
    <w:basedOn w:val="Normal"/>
    <w:next w:val="Normal"/>
    <w:autoRedefine/>
    <w:semiHidden/>
    <w:rsid w:val="00516455"/>
    <w:pPr>
      <w:spacing w:after="100"/>
      <w:ind w:left="720"/>
    </w:pPr>
  </w:style>
  <w:style w:type="paragraph" w:styleId="TOC5">
    <w:name w:val="toc 5"/>
    <w:basedOn w:val="Normal"/>
    <w:next w:val="Normal"/>
    <w:autoRedefine/>
    <w:semiHidden/>
    <w:rsid w:val="00516455"/>
    <w:pPr>
      <w:spacing w:after="100"/>
      <w:ind w:left="960"/>
    </w:pPr>
  </w:style>
  <w:style w:type="paragraph" w:styleId="TOC6">
    <w:name w:val="toc 6"/>
    <w:basedOn w:val="Normal"/>
    <w:next w:val="Normal"/>
    <w:autoRedefine/>
    <w:semiHidden/>
    <w:rsid w:val="00516455"/>
    <w:pPr>
      <w:spacing w:after="100"/>
      <w:ind w:left="1200"/>
    </w:pPr>
  </w:style>
  <w:style w:type="paragraph" w:styleId="TOC7">
    <w:name w:val="toc 7"/>
    <w:basedOn w:val="Normal"/>
    <w:next w:val="Normal"/>
    <w:autoRedefine/>
    <w:semiHidden/>
    <w:rsid w:val="00516455"/>
    <w:pPr>
      <w:spacing w:after="100"/>
      <w:ind w:left="1440"/>
    </w:pPr>
  </w:style>
  <w:style w:type="paragraph" w:styleId="TOC8">
    <w:name w:val="toc 8"/>
    <w:basedOn w:val="Normal"/>
    <w:next w:val="Normal"/>
    <w:autoRedefine/>
    <w:semiHidden/>
    <w:rsid w:val="00516455"/>
    <w:pPr>
      <w:spacing w:after="100"/>
      <w:ind w:left="1680"/>
    </w:pPr>
  </w:style>
  <w:style w:type="paragraph" w:styleId="TOC9">
    <w:name w:val="toc 9"/>
    <w:basedOn w:val="Normal"/>
    <w:next w:val="Normal"/>
    <w:autoRedefine/>
    <w:semiHidden/>
    <w:rsid w:val="00516455"/>
    <w:pPr>
      <w:spacing w:after="100"/>
      <w:ind w:left="19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267">
    <w:lsdException w:name="Normal" w:qFormat="1"/>
    <w:lsdException w:name="heading 5" w:uiPriority="99" w:qFormat="1"/>
    <w:lsdException w:name="heading 7" w:uiPriority="99" w:qFormat="1"/>
    <w:lsdException w:name="heading 8" w:uiPriority="99" w:qFormat="1"/>
    <w:lsdException w:name="heading 9" w:uiPriority="99" w:qFormat="1"/>
    <w:lsdException w:name="header" w:uiPriority="48"/>
    <w:lsdException w:name="caption" w:semiHidden="1" w:uiPriority="99" w:qFormat="1"/>
    <w:lsdException w:name="Title" w:uiPriority="99" w:qFormat="1"/>
    <w:lsdException w:name="Subtitle" w:uiPriority="99" w:qFormat="1"/>
    <w:lsdException w:name="Strong" w:uiPriority="99" w:qFormat="1"/>
    <w:lsdException w:name="Emphasis" w:uiPriority="99"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516455"/>
    <w:pPr>
      <w:jc w:val="both"/>
    </w:pPr>
    <w:rPr>
      <w:rFonts w:eastAsiaTheme="minorEastAsia"/>
      <w:sz w:val="24"/>
    </w:rPr>
  </w:style>
  <w:style w:type="paragraph" w:styleId="Heading1">
    <w:name w:val="heading 1"/>
    <w:basedOn w:val="Normal"/>
    <w:next w:val="Normal"/>
    <w:semiHidden/>
    <w:rsid w:val="008824B9"/>
    <w:pPr>
      <w:keepNext/>
      <w:spacing w:before="360" w:after="240"/>
      <w:jc w:val="center"/>
      <w:outlineLvl w:val="0"/>
    </w:pPr>
    <w:rPr>
      <w:b/>
      <w:sz w:val="28"/>
    </w:rPr>
  </w:style>
  <w:style w:type="paragraph" w:styleId="Heading2">
    <w:name w:val="heading 2"/>
    <w:basedOn w:val="Normal"/>
    <w:next w:val="Normal"/>
    <w:semiHidden/>
    <w:rsid w:val="008824B9"/>
    <w:pPr>
      <w:keepNext/>
      <w:spacing w:before="240" w:after="120"/>
      <w:ind w:left="284" w:hanging="284"/>
      <w:outlineLvl w:val="1"/>
    </w:pPr>
    <w:rPr>
      <w:b/>
    </w:rPr>
  </w:style>
  <w:style w:type="paragraph" w:styleId="Heading3">
    <w:name w:val="heading 3"/>
    <w:basedOn w:val="Normal"/>
    <w:next w:val="Normal"/>
    <w:semiHidden/>
    <w:rsid w:val="008824B9"/>
    <w:pPr>
      <w:keepNext/>
      <w:spacing w:before="120" w:after="60"/>
      <w:ind w:left="1418" w:hanging="851"/>
      <w:outlineLvl w:val="2"/>
    </w:pPr>
    <w:rPr>
      <w:i/>
    </w:rPr>
  </w:style>
  <w:style w:type="paragraph" w:styleId="Heading4">
    <w:name w:val="heading 4"/>
    <w:basedOn w:val="Normal"/>
    <w:next w:val="Normal"/>
    <w:semiHidden/>
    <w:pPr>
      <w:widowControl w:val="0"/>
      <w:outlineLvl w:val="3"/>
    </w:pPr>
    <w:rPr>
      <w:rFonts w:ascii="Courier" w:hAnsi="Courier"/>
      <w:snapToGrid w:val="0"/>
    </w:rPr>
  </w:style>
  <w:style w:type="paragraph" w:styleId="Heading5">
    <w:name w:val="heading 5"/>
    <w:basedOn w:val="Normal"/>
    <w:next w:val="Normal"/>
    <w:link w:val="Heading5Char"/>
    <w:uiPriority w:val="99"/>
    <w:semiHidden/>
    <w:qFormat/>
    <w:rsid w:val="0051645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semiHidden/>
    <w:pPr>
      <w:widowControl w:val="0"/>
      <w:outlineLvl w:val="5"/>
    </w:pPr>
    <w:rPr>
      <w:rFonts w:ascii="Courier" w:hAnsi="Courier"/>
      <w:snapToGrid w:val="0"/>
    </w:rPr>
  </w:style>
  <w:style w:type="paragraph" w:styleId="Heading7">
    <w:name w:val="heading 7"/>
    <w:basedOn w:val="Normal"/>
    <w:next w:val="Normal"/>
    <w:link w:val="Heading7Char"/>
    <w:uiPriority w:val="99"/>
    <w:semiHidden/>
    <w:qFormat/>
    <w:rsid w:val="0051645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1645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645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ECHRHeading1"/>
    <w:next w:val="OpiPara"/>
    <w:uiPriority w:val="41"/>
    <w:qFormat/>
    <w:rsid w:val="00516455"/>
    <w:pPr>
      <w:tabs>
        <w:tab w:val="clear" w:pos="357"/>
      </w:tabs>
      <w:outlineLvl w:val="1"/>
    </w:pPr>
    <w:rPr>
      <w:b/>
    </w:rPr>
  </w:style>
  <w:style w:type="paragraph" w:customStyle="1" w:styleId="ECHRHeading1">
    <w:name w:val="ECHR_Heading_1"/>
    <w:aliases w:val="Ju_H_I_Roman"/>
    <w:basedOn w:val="Heading1"/>
    <w:next w:val="ECHRPara"/>
    <w:uiPriority w:val="19"/>
    <w:qFormat/>
    <w:rsid w:val="00516455"/>
    <w:pPr>
      <w:keepLines/>
      <w:tabs>
        <w:tab w:val="left" w:pos="357"/>
      </w:tabs>
      <w:ind w:left="357" w:hanging="357"/>
      <w:jc w:val="both"/>
    </w:pPr>
    <w:rPr>
      <w:rFonts w:asciiTheme="majorHAnsi" w:eastAsiaTheme="majorEastAsia" w:hAnsiTheme="majorHAnsi" w:cstheme="majorBidi"/>
      <w:b w:val="0"/>
      <w:bCs/>
      <w:sz w:val="24"/>
      <w:szCs w:val="28"/>
    </w:rPr>
  </w:style>
  <w:style w:type="paragraph" w:customStyle="1" w:styleId="ECHRTitle1">
    <w:name w:val="ECHR_Title_1"/>
    <w:aliases w:val="Ju_H_Head"/>
    <w:basedOn w:val="Normal"/>
    <w:next w:val="ECHRPara"/>
    <w:uiPriority w:val="18"/>
    <w:qFormat/>
    <w:rsid w:val="00516455"/>
    <w:pPr>
      <w:keepNext/>
      <w:keepLines/>
      <w:spacing w:before="720" w:after="240"/>
      <w:outlineLvl w:val="0"/>
    </w:pPr>
    <w:rPr>
      <w:rFonts w:asciiTheme="majorHAnsi" w:hAnsiTheme="majorHAnsi"/>
      <w:sz w:val="28"/>
    </w:rPr>
  </w:style>
  <w:style w:type="character" w:customStyle="1" w:styleId="DefaultTimesNewRoman">
    <w:name w:val="Default_TimesNewRoman"/>
    <w:rsid w:val="00D1288A"/>
    <w:rPr>
      <w:rFonts w:ascii="Times New Roman" w:hAnsi="Times New Roman"/>
    </w:rPr>
  </w:style>
  <w:style w:type="paragraph" w:customStyle="1" w:styleId="ECHRPara">
    <w:name w:val="ECHR_Para"/>
    <w:aliases w:val="Ju_Para"/>
    <w:basedOn w:val="Normal"/>
    <w:link w:val="JuParaChar"/>
    <w:uiPriority w:val="12"/>
    <w:qFormat/>
    <w:rsid w:val="00516455"/>
    <w:pPr>
      <w:ind w:firstLine="284"/>
    </w:pPr>
  </w:style>
  <w:style w:type="character" w:customStyle="1" w:styleId="JuParaChar">
    <w:name w:val="Ju_Para Char"/>
    <w:link w:val="ECHRPara"/>
    <w:uiPriority w:val="12"/>
    <w:rsid w:val="00B921A8"/>
    <w:rPr>
      <w:rFonts w:eastAsiaTheme="minorEastAsia"/>
      <w:sz w:val="24"/>
    </w:rPr>
  </w:style>
  <w:style w:type="paragraph" w:customStyle="1" w:styleId="OpiPara">
    <w:name w:val="Opi_Para"/>
    <w:basedOn w:val="ECHRPara"/>
    <w:uiPriority w:val="46"/>
    <w:qFormat/>
    <w:rsid w:val="00516455"/>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ECHRHeading3"/>
    <w:uiPriority w:val="43"/>
    <w:qFormat/>
    <w:rsid w:val="00516455"/>
    <w:pPr>
      <w:ind w:left="833" w:hanging="357"/>
      <w:outlineLvl w:val="3"/>
    </w:pPr>
    <w:rPr>
      <w:b/>
      <w:i w:val="0"/>
      <w:sz w:val="20"/>
    </w:rPr>
  </w:style>
  <w:style w:type="paragraph" w:customStyle="1" w:styleId="ECHRTitleCentre1">
    <w:name w:val="ECHR_Title_Centre_1"/>
    <w:aliases w:val="Opi_H_Head"/>
    <w:basedOn w:val="Normal"/>
    <w:next w:val="OpiPara"/>
    <w:uiPriority w:val="39"/>
    <w:qFormat/>
    <w:rsid w:val="00516455"/>
    <w:pPr>
      <w:keepNext/>
      <w:keepLines/>
      <w:spacing w:after="240"/>
      <w:jc w:val="center"/>
      <w:outlineLvl w:val="0"/>
    </w:pPr>
    <w:rPr>
      <w:rFonts w:asciiTheme="majorHAnsi" w:hAnsiTheme="majorHAnsi"/>
      <w:sz w:val="28"/>
    </w:rPr>
  </w:style>
  <w:style w:type="paragraph" w:customStyle="1" w:styleId="OpiHi">
    <w:name w:val="Opi_H_i"/>
    <w:basedOn w:val="ECHRHeading4"/>
    <w:uiPriority w:val="44"/>
    <w:qFormat/>
    <w:rsid w:val="00516455"/>
    <w:pPr>
      <w:ind w:left="1037" w:hanging="357"/>
      <w:outlineLvl w:val="4"/>
    </w:pPr>
    <w:rPr>
      <w:b w:val="0"/>
      <w:i/>
    </w:rPr>
  </w:style>
  <w:style w:type="paragraph" w:styleId="Footer">
    <w:name w:val="footer"/>
    <w:basedOn w:val="NormalTimesNewRoman"/>
    <w:semiHidden/>
    <w:rsid w:val="00D1288A"/>
    <w:pPr>
      <w:tabs>
        <w:tab w:val="center" w:pos="3686"/>
        <w:tab w:val="right" w:pos="7371"/>
      </w:tabs>
    </w:pPr>
    <w:rPr>
      <w:sz w:val="18"/>
    </w:rPr>
  </w:style>
  <w:style w:type="paragraph" w:customStyle="1" w:styleId="ECHRDecisionBody">
    <w:name w:val="ECHR_Decision_Body"/>
    <w:aliases w:val="Ju_Judges"/>
    <w:basedOn w:val="Normal"/>
    <w:link w:val="JuJudgesChar"/>
    <w:uiPriority w:val="11"/>
    <w:qFormat/>
    <w:rsid w:val="00516455"/>
    <w:pPr>
      <w:tabs>
        <w:tab w:val="left" w:pos="567"/>
        <w:tab w:val="left" w:pos="1134"/>
      </w:tabs>
      <w:jc w:val="left"/>
    </w:p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516455"/>
    <w:pPr>
      <w:keepLines/>
      <w:tabs>
        <w:tab w:val="left" w:pos="584"/>
      </w:tabs>
      <w:spacing w:before="360" w:after="240"/>
      <w:ind w:left="584" w:hanging="352"/>
    </w:pPr>
    <w:rPr>
      <w:rFonts w:asciiTheme="majorHAnsi" w:eastAsiaTheme="majorEastAsia" w:hAnsiTheme="majorHAnsi" w:cstheme="majorBidi"/>
      <w:bCs/>
      <w:szCs w:val="26"/>
    </w:rPr>
  </w:style>
  <w:style w:type="paragraph" w:customStyle="1" w:styleId="ECHRParaQuote">
    <w:name w:val="ECHR_Para_Quote"/>
    <w:aliases w:val="Ju_Quot"/>
    <w:basedOn w:val="Normal"/>
    <w:uiPriority w:val="14"/>
    <w:qFormat/>
    <w:rsid w:val="00516455"/>
    <w:pPr>
      <w:spacing w:before="120" w:after="120"/>
      <w:ind w:left="425" w:firstLine="142"/>
    </w:pPr>
    <w:rPr>
      <w:sz w:val="20"/>
    </w:rPr>
  </w:style>
  <w:style w:type="paragraph" w:customStyle="1" w:styleId="JuSigned">
    <w:name w:val="Ju_Signed"/>
    <w:basedOn w:val="Normal"/>
    <w:next w:val="JuParaLast"/>
    <w:link w:val="JuSignedChar"/>
    <w:uiPriority w:val="32"/>
    <w:qFormat/>
    <w:rsid w:val="00516455"/>
    <w:pPr>
      <w:tabs>
        <w:tab w:val="center" w:pos="851"/>
        <w:tab w:val="center" w:pos="6407"/>
      </w:tabs>
      <w:spacing w:before="720"/>
      <w:jc w:val="left"/>
    </w:pPr>
  </w:style>
  <w:style w:type="paragraph" w:customStyle="1" w:styleId="JuParaLast">
    <w:name w:val="Ju_Para_Last"/>
    <w:basedOn w:val="Normal"/>
    <w:next w:val="ECHRPara"/>
    <w:uiPriority w:val="30"/>
    <w:qFormat/>
    <w:rsid w:val="00516455"/>
    <w:pPr>
      <w:keepNext/>
      <w:keepLines/>
      <w:spacing w:before="240"/>
      <w:ind w:firstLine="284"/>
    </w:p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ECHRPara"/>
    <w:next w:val="ECHR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Normal"/>
    <w:link w:val="JuListChar"/>
    <w:uiPriority w:val="28"/>
    <w:qFormat/>
    <w:rsid w:val="00516455"/>
    <w:pPr>
      <w:ind w:left="340" w:hanging="340"/>
    </w:pPr>
  </w:style>
  <w:style w:type="character" w:customStyle="1" w:styleId="JuListChar">
    <w:name w:val="Ju_List Char"/>
    <w:link w:val="JuList"/>
    <w:uiPriority w:val="28"/>
    <w:rsid w:val="00930CD7"/>
    <w:rPr>
      <w:rFonts w:eastAsiaTheme="minorEastAsia"/>
      <w:sz w:val="24"/>
    </w:rPr>
  </w:style>
  <w:style w:type="paragraph" w:customStyle="1" w:styleId="ECHRTitleCentre3">
    <w:name w:val="ECHR_Title_Centre_3"/>
    <w:aliases w:val="Ju_H_Article"/>
    <w:basedOn w:val="Normal"/>
    <w:next w:val="ECHRParaQuote"/>
    <w:uiPriority w:val="27"/>
    <w:qFormat/>
    <w:rsid w:val="00516455"/>
    <w:pPr>
      <w:keepNext/>
      <w:keepLines/>
      <w:spacing w:before="240" w:after="120"/>
      <w:jc w:val="center"/>
      <w:outlineLvl w:val="3"/>
    </w:pPr>
    <w:rPr>
      <w:rFonts w:asciiTheme="majorHAnsi" w:hAnsiTheme="majorHAnsi"/>
      <w:b/>
      <w:sz w:val="20"/>
      <w:lang w:bidi="en-US"/>
    </w:rPr>
  </w:style>
  <w:style w:type="paragraph" w:customStyle="1" w:styleId="ECHRHeading4">
    <w:name w:val="ECHR_Heading_4"/>
    <w:aliases w:val="Ju_H_a"/>
    <w:basedOn w:val="Heading4"/>
    <w:next w:val="ECHRPara"/>
    <w:uiPriority w:val="22"/>
    <w:qFormat/>
    <w:rsid w:val="00516455"/>
    <w:pPr>
      <w:keepNext/>
      <w:keepLines/>
      <w:widowControl/>
      <w:tabs>
        <w:tab w:val="left" w:pos="975"/>
      </w:tabs>
      <w:spacing w:before="240" w:after="120"/>
      <w:ind w:left="975" w:hanging="340"/>
    </w:pPr>
    <w:rPr>
      <w:rFonts w:asciiTheme="majorHAnsi" w:eastAsiaTheme="majorEastAsia" w:hAnsiTheme="majorHAnsi" w:cstheme="majorBidi"/>
      <w:b/>
      <w:bCs/>
      <w:iCs/>
      <w:snapToGrid/>
      <w:sz w:val="20"/>
    </w:rPr>
  </w:style>
  <w:style w:type="paragraph" w:customStyle="1" w:styleId="ECHRHeading3">
    <w:name w:val="ECHR_Heading_3"/>
    <w:aliases w:val="Ju_H_1."/>
    <w:basedOn w:val="Heading3"/>
    <w:next w:val="ECHRPara"/>
    <w:uiPriority w:val="21"/>
    <w:qFormat/>
    <w:rsid w:val="00516455"/>
    <w:pPr>
      <w:keepLines/>
      <w:tabs>
        <w:tab w:val="left" w:pos="731"/>
      </w:tabs>
      <w:spacing w:before="240" w:after="120"/>
      <w:ind w:left="732" w:hanging="301"/>
    </w:pPr>
    <w:rPr>
      <w:rFonts w:asciiTheme="majorHAnsi" w:eastAsiaTheme="majorEastAsia" w:hAnsiTheme="majorHAnsi" w:cstheme="majorBidi"/>
      <w:bCs/>
    </w:rPr>
  </w:style>
  <w:style w:type="paragraph" w:customStyle="1" w:styleId="JuQuotList">
    <w:name w:val="Ju_Quot_List"/>
    <w:basedOn w:val="ECHRParaQuote"/>
    <w:pPr>
      <w:tabs>
        <w:tab w:val="left" w:pos="1021"/>
      </w:tabs>
      <w:ind w:left="567" w:firstLine="0"/>
    </w:pPr>
  </w:style>
  <w:style w:type="paragraph" w:customStyle="1" w:styleId="JuCourt">
    <w:name w:val="Ju_Court"/>
    <w:basedOn w:val="Normal"/>
    <w:next w:val="Normal"/>
    <w:uiPriority w:val="16"/>
    <w:qFormat/>
    <w:rsid w:val="00516455"/>
    <w:pPr>
      <w:tabs>
        <w:tab w:val="left" w:pos="907"/>
        <w:tab w:val="left" w:pos="1701"/>
        <w:tab w:val="right" w:pos="7371"/>
      </w:tabs>
      <w:spacing w:before="240"/>
      <w:ind w:left="397" w:hanging="397"/>
      <w:jc w:val="left"/>
    </w:pPr>
    <w:rPr>
      <w:lang w:bidi="en-US"/>
    </w:rPr>
  </w:style>
  <w:style w:type="paragraph" w:customStyle="1" w:styleId="OpiQuot">
    <w:name w:val="Opi_Quot"/>
    <w:basedOn w:val="ECHRParaQuote"/>
    <w:uiPriority w:val="48"/>
    <w:qFormat/>
    <w:rsid w:val="00516455"/>
  </w:style>
  <w:style w:type="paragraph" w:customStyle="1" w:styleId="OpiTranslation">
    <w:name w:val="Opi_Translation"/>
    <w:basedOn w:val="Normal"/>
    <w:next w:val="OpiPara"/>
    <w:uiPriority w:val="40"/>
    <w:qFormat/>
    <w:rsid w:val="00516455"/>
    <w:pPr>
      <w:jc w:val="center"/>
      <w:outlineLvl w:val="0"/>
    </w:pPr>
    <w:rPr>
      <w:i/>
    </w:rPr>
  </w:style>
  <w:style w:type="paragraph" w:styleId="FootnoteText">
    <w:name w:val="footnote text"/>
    <w:basedOn w:val="Normal"/>
    <w:semiHidden/>
    <w:rsid w:val="00D1288A"/>
    <w:rPr>
      <w:sz w:val="20"/>
    </w:rPr>
  </w:style>
  <w:style w:type="character" w:styleId="FootnoteReference">
    <w:name w:val="footnote reference"/>
    <w:semiHidden/>
    <w:rsid w:val="00D1288A"/>
    <w:rPr>
      <w:vertAlign w:val="superscript"/>
    </w:rPr>
  </w:style>
  <w:style w:type="paragraph" w:customStyle="1" w:styleId="ECHRHeading5">
    <w:name w:val="ECHR_Heading_5"/>
    <w:aliases w:val="Ju_H_i"/>
    <w:basedOn w:val="Heading5"/>
    <w:next w:val="ECHRPara"/>
    <w:uiPriority w:val="23"/>
    <w:qFormat/>
    <w:rsid w:val="00516455"/>
    <w:pPr>
      <w:keepNext/>
      <w:keepLines/>
      <w:tabs>
        <w:tab w:val="left" w:pos="1191"/>
      </w:tabs>
      <w:spacing w:before="240" w:after="120"/>
      <w:ind w:left="1190" w:hanging="357"/>
    </w:pPr>
    <w:rPr>
      <w:b w:val="0"/>
      <w:i/>
      <w:color w:val="auto"/>
      <w:sz w:val="20"/>
    </w:rPr>
  </w:style>
  <w:style w:type="paragraph" w:styleId="Header">
    <w:name w:val="header"/>
    <w:basedOn w:val="NormalTimesNewRoman"/>
    <w:link w:val="HeaderChar"/>
    <w:uiPriority w:val="48"/>
    <w:semiHidden/>
    <w:rsid w:val="00D1288A"/>
    <w:pPr>
      <w:tabs>
        <w:tab w:val="center" w:pos="3686"/>
        <w:tab w:val="right" w:pos="7371"/>
      </w:tabs>
    </w:pPr>
    <w:rPr>
      <w:sz w:val="18"/>
    </w:rPr>
  </w:style>
  <w:style w:type="character" w:styleId="PageNumber">
    <w:name w:val="page number"/>
    <w:semiHidden/>
    <w:rsid w:val="00D1288A"/>
    <w:rPr>
      <w:sz w:val="18"/>
    </w:rPr>
  </w:style>
  <w:style w:type="paragraph" w:customStyle="1" w:styleId="ECHRHeading7">
    <w:name w:val="ECHR_Heading_7"/>
    <w:aliases w:val="Ju_H_–"/>
    <w:basedOn w:val="Heading7"/>
    <w:next w:val="ECHRPara"/>
    <w:uiPriority w:val="25"/>
    <w:qFormat/>
    <w:rsid w:val="00516455"/>
    <w:pPr>
      <w:keepNext/>
      <w:keepLines/>
      <w:spacing w:before="240" w:after="120"/>
      <w:ind w:left="1236"/>
    </w:pPr>
    <w:rPr>
      <w:sz w:val="20"/>
    </w:rPr>
  </w:style>
  <w:style w:type="paragraph" w:customStyle="1" w:styleId="ECHRHeading6">
    <w:name w:val="ECHR_Heading_6"/>
    <w:aliases w:val="Ju_H_alpha"/>
    <w:basedOn w:val="Heading6"/>
    <w:next w:val="ECHRPara"/>
    <w:uiPriority w:val="24"/>
    <w:qFormat/>
    <w:rsid w:val="00516455"/>
    <w:pPr>
      <w:keepNext/>
      <w:keepLines/>
      <w:widowControl/>
      <w:tabs>
        <w:tab w:val="left" w:pos="1372"/>
      </w:tabs>
      <w:spacing w:before="240" w:after="120"/>
      <w:ind w:left="1373" w:hanging="335"/>
    </w:pPr>
    <w:rPr>
      <w:rFonts w:asciiTheme="majorHAnsi" w:eastAsiaTheme="majorEastAsia" w:hAnsiTheme="majorHAnsi" w:cstheme="majorBidi"/>
      <w:bCs/>
      <w:i/>
      <w:iCs/>
      <w:snapToGrid/>
      <w:sz w:val="20"/>
      <w:lang w:bidi="en-US"/>
    </w:rPr>
  </w:style>
  <w:style w:type="paragraph" w:customStyle="1" w:styleId="JuLista">
    <w:name w:val="Ju_List_a"/>
    <w:basedOn w:val="JuList"/>
    <w:uiPriority w:val="28"/>
    <w:qFormat/>
    <w:rsid w:val="00516455"/>
    <w:pPr>
      <w:ind w:left="346" w:firstLine="0"/>
    </w:pPr>
  </w:style>
  <w:style w:type="paragraph" w:customStyle="1" w:styleId="JuListi">
    <w:name w:val="Ju_List_i"/>
    <w:basedOn w:val="Normal"/>
    <w:next w:val="JuLista"/>
    <w:uiPriority w:val="28"/>
    <w:qFormat/>
    <w:rsid w:val="00516455"/>
    <w:pPr>
      <w:ind w:left="794"/>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customStyle="1" w:styleId="JuInitialled">
    <w:name w:val="Ju_Initialled"/>
    <w:basedOn w:val="Normal"/>
    <w:uiPriority w:val="31"/>
    <w:qFormat/>
    <w:rsid w:val="00516455"/>
    <w:pPr>
      <w:tabs>
        <w:tab w:val="center" w:pos="6407"/>
      </w:tabs>
      <w:spacing w:before="720"/>
      <w:jc w:val="right"/>
    </w:pPr>
  </w:style>
  <w:style w:type="paragraph" w:customStyle="1" w:styleId="ECHRHeader">
    <w:name w:val="ECHR_Header"/>
    <w:aliases w:val="Ju_Header"/>
    <w:basedOn w:val="Header"/>
    <w:uiPriority w:val="4"/>
    <w:qFormat/>
    <w:rsid w:val="00516455"/>
    <w:rPr>
      <w:lang w:val="en-US" w:eastAsia="en-US"/>
    </w:rPr>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ECHRPara"/>
    <w:rsid w:val="00302008"/>
    <w:rPr>
      <w:sz w:val="24"/>
    </w:rPr>
  </w:style>
  <w:style w:type="paragraph" w:customStyle="1" w:styleId="DecList">
    <w:name w:val="Dec_List"/>
    <w:basedOn w:val="Normal"/>
    <w:rsid w:val="0037228D"/>
    <w:pPr>
      <w:spacing w:before="240"/>
      <w:ind w:left="284"/>
    </w:pPr>
  </w:style>
  <w:style w:type="paragraph" w:customStyle="1" w:styleId="JuParaSub">
    <w:name w:val="Ju_Para_Sub"/>
    <w:basedOn w:val="ECHRPara"/>
    <w:uiPriority w:val="13"/>
    <w:qFormat/>
    <w:rsid w:val="00516455"/>
    <w:pPr>
      <w:ind w:left="284"/>
    </w:pPr>
  </w:style>
  <w:style w:type="paragraph" w:customStyle="1" w:styleId="JuQuotSub">
    <w:name w:val="Ju_Quot_Sub"/>
    <w:basedOn w:val="ECHRParaQuote"/>
    <w:uiPriority w:val="15"/>
    <w:qFormat/>
    <w:rsid w:val="00516455"/>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semiHidden/>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uiPriority w:val="47"/>
    <w:qFormat/>
    <w:rsid w:val="00516455"/>
  </w:style>
  <w:style w:type="paragraph" w:customStyle="1" w:styleId="OpiQuotSub">
    <w:name w:val="Opi_Quot_Sub"/>
    <w:basedOn w:val="JuQuotSub"/>
    <w:uiPriority w:val="49"/>
    <w:qFormat/>
    <w:rsid w:val="00516455"/>
  </w:style>
  <w:style w:type="character" w:styleId="Hyperlink">
    <w:name w:val="Hyperlink"/>
    <w:semiHidden/>
    <w:rsid w:val="00D1288A"/>
    <w:rPr>
      <w:color w:val="0000FF"/>
      <w:u w:val="single"/>
    </w:rPr>
  </w:style>
  <w:style w:type="character" w:styleId="Strong">
    <w:name w:val="Strong"/>
    <w:uiPriority w:val="99"/>
    <w:semiHidden/>
    <w:qFormat/>
    <w:rsid w:val="00516455"/>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style>
  <w:style w:type="paragraph" w:customStyle="1" w:styleId="JuAppQuestion">
    <w:name w:val="Ju_App_Question"/>
    <w:basedOn w:val="ListBullet"/>
    <w:rsid w:val="00D1288A"/>
    <w:pPr>
      <w:numPr>
        <w:numId w:val="6"/>
      </w:numPr>
    </w:pPr>
    <w:rPr>
      <w:b/>
      <w:color w:val="333333"/>
    </w:rPr>
  </w:style>
  <w:style w:type="paragraph" w:styleId="ListBullet">
    <w:name w:val="List Bullet"/>
    <w:basedOn w:val="Normal"/>
    <w:semiHidden/>
    <w:rsid w:val="008824B9"/>
    <w:pPr>
      <w:numPr>
        <w:numId w:val="2"/>
      </w:numPr>
    </w:pPr>
  </w:style>
  <w:style w:type="paragraph" w:customStyle="1" w:styleId="NormalTimesNewRoman">
    <w:name w:val="Normal_TimesNewRoman"/>
    <w:rsid w:val="00D1288A"/>
    <w:rPr>
      <w:sz w:val="24"/>
      <w:lang w:val="en-GB" w:eastAsia="fr-FR"/>
    </w:rPr>
  </w:style>
  <w:style w:type="character" w:customStyle="1" w:styleId="JuITMark">
    <w:name w:val="Ju_ITMark"/>
    <w:basedOn w:val="DefaultParagraphFont"/>
    <w:uiPriority w:val="38"/>
    <w:qFormat/>
    <w:rsid w:val="00516455"/>
    <w:rPr>
      <w:vanish/>
      <w:color w:val="339966"/>
      <w:sz w:val="14"/>
    </w:rPr>
  </w:style>
  <w:style w:type="paragraph" w:customStyle="1" w:styleId="JuTitle">
    <w:name w:val="Ju_Title"/>
    <w:basedOn w:val="ECHRTitle1"/>
    <w:next w:val="ECHRPara"/>
    <w:rsid w:val="00D1288A"/>
    <w:pPr>
      <w:jc w:val="center"/>
    </w:pPr>
    <w:rPr>
      <w:b/>
      <w:caps/>
      <w:sz w:val="24"/>
      <w:szCs w:val="24"/>
      <w:u w:val="single"/>
    </w:rPr>
  </w:style>
  <w:style w:type="character" w:customStyle="1" w:styleId="JuParaCar">
    <w:name w:val="Ju_Para Car"/>
    <w:uiPriority w:val="12"/>
    <w:rsid w:val="00A36290"/>
    <w:rPr>
      <w:sz w:val="24"/>
      <w:lang w:val="en-GB" w:eastAsia="fr-FR" w:bidi="ar-SA"/>
    </w:rPr>
  </w:style>
  <w:style w:type="table" w:customStyle="1" w:styleId="RepTable">
    <w:name w:val="Rep_Table"/>
    <w:basedOn w:val="TableNormal"/>
    <w:rsid w:val="00470C25"/>
    <w:rPr>
      <w:lang w:eastAsia="ja-JP"/>
    </w:rPr>
    <w:tblP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Pr>
    <w:tcPr>
      <w:tcMar>
        <w:left w:w="57" w:type="dxa"/>
        <w:right w:w="57" w:type="dxa"/>
      </w:tcMar>
      <w:vAlign w:val="center"/>
    </w:tcPr>
    <w:tblStylePr w:type="firstRow">
      <w:rPr>
        <w:b/>
      </w:rPr>
      <w:tblPr/>
      <w:tcPr>
        <w:shd w:val="clear" w:color="auto" w:fill="E6E6E6"/>
      </w:tcPr>
    </w:tblStylePr>
  </w:style>
  <w:style w:type="character" w:customStyle="1" w:styleId="sb8d990e2">
    <w:name w:val="sb8d990e2"/>
    <w:rsid w:val="00E60282"/>
  </w:style>
  <w:style w:type="character" w:customStyle="1" w:styleId="s6b621b36">
    <w:name w:val="s6b621b36"/>
    <w:rsid w:val="00E60282"/>
  </w:style>
  <w:style w:type="character" w:customStyle="1" w:styleId="s7d2086b4">
    <w:name w:val="s7d2086b4"/>
    <w:rsid w:val="001B78E9"/>
  </w:style>
  <w:style w:type="paragraph" w:customStyle="1" w:styleId="s30eec3f8">
    <w:name w:val="s30eec3f8"/>
    <w:basedOn w:val="Normal"/>
    <w:rsid w:val="00280E91"/>
    <w:pPr>
      <w:spacing w:before="100" w:beforeAutospacing="1" w:after="100" w:afterAutospacing="1"/>
    </w:pPr>
    <w:rPr>
      <w:szCs w:val="24"/>
    </w:rPr>
  </w:style>
  <w:style w:type="character" w:customStyle="1" w:styleId="CommentTextChar">
    <w:name w:val="Comment Text Char"/>
    <w:link w:val="CommentText"/>
    <w:semiHidden/>
    <w:rsid w:val="00280E91"/>
    <w:rPr>
      <w:lang w:eastAsia="fr-FR"/>
    </w:rPr>
  </w:style>
  <w:style w:type="character" w:customStyle="1" w:styleId="HeaderChar">
    <w:name w:val="Header Char"/>
    <w:link w:val="Header"/>
    <w:uiPriority w:val="48"/>
    <w:rsid w:val="00466D3D"/>
    <w:rPr>
      <w:sz w:val="18"/>
      <w:lang w:val="en-GB" w:eastAsia="fr-FR"/>
    </w:rPr>
  </w:style>
  <w:style w:type="character" w:customStyle="1" w:styleId="JUNAMES0">
    <w:name w:val="JU_NAMES"/>
    <w:uiPriority w:val="17"/>
    <w:qFormat/>
    <w:rsid w:val="00516455"/>
    <w:rPr>
      <w:caps w:val="0"/>
      <w:smallCaps/>
    </w:rPr>
  </w:style>
  <w:style w:type="paragraph" w:customStyle="1" w:styleId="OpiH10">
    <w:name w:val="Opi_H_1"/>
    <w:basedOn w:val="ECHRHeading2"/>
    <w:uiPriority w:val="42"/>
    <w:qFormat/>
    <w:rsid w:val="00516455"/>
    <w:pPr>
      <w:ind w:left="635" w:hanging="357"/>
      <w:outlineLvl w:val="2"/>
    </w:pPr>
  </w:style>
  <w:style w:type="paragraph" w:customStyle="1" w:styleId="DummyStyle">
    <w:name w:val="Dummy_Style"/>
    <w:basedOn w:val="Normal"/>
    <w:semiHidden/>
    <w:qFormat/>
    <w:rsid w:val="00516455"/>
    <w:rPr>
      <w:color w:val="00B050"/>
    </w:rPr>
  </w:style>
  <w:style w:type="character" w:customStyle="1" w:styleId="Heading5Char">
    <w:name w:val="Heading 5 Char"/>
    <w:basedOn w:val="DefaultParagraphFont"/>
    <w:link w:val="Heading5"/>
    <w:uiPriority w:val="99"/>
    <w:semiHidden/>
    <w:rsid w:val="0051645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51645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1645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1645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51645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645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51645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645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516455"/>
    <w:rPr>
      <w:b/>
      <w:bCs/>
      <w:i/>
      <w:iCs/>
      <w:spacing w:val="10"/>
      <w:bdr w:val="none" w:sz="0" w:space="0" w:color="auto"/>
      <w:shd w:val="clear" w:color="auto" w:fill="auto"/>
    </w:rPr>
  </w:style>
  <w:style w:type="paragraph" w:styleId="NoSpacing">
    <w:name w:val="No Spacing"/>
    <w:basedOn w:val="Normal"/>
    <w:link w:val="NoSpacingChar"/>
    <w:semiHidden/>
    <w:qFormat/>
    <w:rsid w:val="00516455"/>
    <w:rPr>
      <w:sz w:val="22"/>
    </w:rPr>
  </w:style>
  <w:style w:type="character" w:customStyle="1" w:styleId="NoSpacingChar">
    <w:name w:val="No Spacing Char"/>
    <w:basedOn w:val="DefaultParagraphFont"/>
    <w:link w:val="NoSpacing"/>
    <w:semiHidden/>
    <w:rsid w:val="00516455"/>
    <w:rPr>
      <w:rFonts w:eastAsiaTheme="minorEastAsia"/>
    </w:rPr>
  </w:style>
  <w:style w:type="paragraph" w:styleId="ListParagraph">
    <w:name w:val="List Paragraph"/>
    <w:basedOn w:val="Normal"/>
    <w:uiPriority w:val="99"/>
    <w:semiHidden/>
    <w:qFormat/>
    <w:rsid w:val="00516455"/>
    <w:pPr>
      <w:ind w:left="720"/>
      <w:contextualSpacing/>
    </w:pPr>
  </w:style>
  <w:style w:type="paragraph" w:styleId="Quote">
    <w:name w:val="Quote"/>
    <w:basedOn w:val="Normal"/>
    <w:next w:val="Normal"/>
    <w:link w:val="QuoteChar"/>
    <w:uiPriority w:val="99"/>
    <w:semiHidden/>
    <w:qFormat/>
    <w:rsid w:val="00516455"/>
    <w:pPr>
      <w:spacing w:before="200"/>
      <w:ind w:left="360" w:right="360"/>
    </w:pPr>
    <w:rPr>
      <w:i/>
      <w:iCs/>
      <w:sz w:val="22"/>
      <w:lang w:bidi="en-US"/>
    </w:rPr>
  </w:style>
  <w:style w:type="character" w:customStyle="1" w:styleId="QuoteChar">
    <w:name w:val="Quote Char"/>
    <w:basedOn w:val="DefaultParagraphFont"/>
    <w:link w:val="Quote"/>
    <w:uiPriority w:val="99"/>
    <w:semiHidden/>
    <w:rsid w:val="00516455"/>
    <w:rPr>
      <w:rFonts w:eastAsiaTheme="minorEastAsia"/>
      <w:i/>
      <w:iCs/>
      <w:lang w:bidi="en-US"/>
    </w:rPr>
  </w:style>
  <w:style w:type="paragraph" w:styleId="IntenseQuote">
    <w:name w:val="Intense Quote"/>
    <w:basedOn w:val="Normal"/>
    <w:next w:val="Normal"/>
    <w:link w:val="IntenseQuoteChar"/>
    <w:uiPriority w:val="99"/>
    <w:semiHidden/>
    <w:qFormat/>
    <w:rsid w:val="0051645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16455"/>
    <w:rPr>
      <w:rFonts w:eastAsiaTheme="minorEastAsia"/>
      <w:b/>
      <w:bCs/>
      <w:i/>
      <w:iCs/>
      <w:lang w:bidi="en-US"/>
    </w:rPr>
  </w:style>
  <w:style w:type="character" w:styleId="SubtleEmphasis">
    <w:name w:val="Subtle Emphasis"/>
    <w:uiPriority w:val="99"/>
    <w:semiHidden/>
    <w:qFormat/>
    <w:rsid w:val="00516455"/>
    <w:rPr>
      <w:i/>
      <w:iCs/>
    </w:rPr>
  </w:style>
  <w:style w:type="character" w:styleId="IntenseEmphasis">
    <w:name w:val="Intense Emphasis"/>
    <w:uiPriority w:val="99"/>
    <w:semiHidden/>
    <w:qFormat/>
    <w:rsid w:val="00516455"/>
    <w:rPr>
      <w:b/>
      <w:bCs/>
    </w:rPr>
  </w:style>
  <w:style w:type="character" w:styleId="SubtleReference">
    <w:name w:val="Subtle Reference"/>
    <w:uiPriority w:val="99"/>
    <w:semiHidden/>
    <w:qFormat/>
    <w:rsid w:val="00516455"/>
    <w:rPr>
      <w:smallCaps/>
    </w:rPr>
  </w:style>
  <w:style w:type="character" w:styleId="IntenseReference">
    <w:name w:val="Intense Reference"/>
    <w:uiPriority w:val="99"/>
    <w:semiHidden/>
    <w:qFormat/>
    <w:rsid w:val="00516455"/>
    <w:rPr>
      <w:smallCaps/>
      <w:spacing w:val="5"/>
      <w:u w:val="single"/>
    </w:rPr>
  </w:style>
  <w:style w:type="character" w:styleId="BookTitle">
    <w:name w:val="Book Title"/>
    <w:uiPriority w:val="99"/>
    <w:semiHidden/>
    <w:qFormat/>
    <w:rsid w:val="00516455"/>
    <w:rPr>
      <w:i/>
      <w:iCs/>
      <w:smallCaps/>
      <w:spacing w:val="5"/>
    </w:rPr>
  </w:style>
  <w:style w:type="paragraph" w:styleId="TOCHeading">
    <w:name w:val="TOC Heading"/>
    <w:basedOn w:val="Heading1"/>
    <w:next w:val="Normal"/>
    <w:uiPriority w:val="99"/>
    <w:semiHidden/>
    <w:qFormat/>
    <w:rsid w:val="00516455"/>
    <w:pPr>
      <w:keepNext w:val="0"/>
      <w:spacing w:before="480" w:after="0"/>
      <w:contextualSpacing/>
      <w:jc w:val="both"/>
      <w:outlineLvl w:val="9"/>
    </w:pPr>
    <w:rPr>
      <w:rFonts w:asciiTheme="majorHAnsi" w:eastAsiaTheme="majorEastAsia" w:hAnsiTheme="majorHAnsi" w:cstheme="majorBidi"/>
      <w:bCs/>
      <w:color w:val="474747" w:themeColor="accent3" w:themeShade="BF"/>
      <w:szCs w:val="28"/>
    </w:rPr>
  </w:style>
  <w:style w:type="numbering" w:styleId="111111">
    <w:name w:val="Outline List 2"/>
    <w:basedOn w:val="NoList"/>
    <w:semiHidden/>
    <w:rsid w:val="00516455"/>
    <w:pPr>
      <w:numPr>
        <w:numId w:val="17"/>
      </w:numPr>
    </w:pPr>
  </w:style>
  <w:style w:type="numbering" w:styleId="1ai">
    <w:name w:val="Outline List 1"/>
    <w:basedOn w:val="NoList"/>
    <w:semiHidden/>
    <w:rsid w:val="00516455"/>
    <w:pPr>
      <w:numPr>
        <w:numId w:val="18"/>
      </w:numPr>
    </w:pPr>
  </w:style>
  <w:style w:type="numbering" w:styleId="ArticleSection">
    <w:name w:val="Outline List 3"/>
    <w:basedOn w:val="NoList"/>
    <w:semiHidden/>
    <w:rsid w:val="00516455"/>
    <w:pPr>
      <w:numPr>
        <w:numId w:val="19"/>
      </w:numPr>
    </w:pPr>
  </w:style>
  <w:style w:type="paragraph" w:styleId="Bibliography">
    <w:name w:val="Bibliography"/>
    <w:basedOn w:val="Normal"/>
    <w:next w:val="Normal"/>
    <w:uiPriority w:val="37"/>
    <w:semiHidden/>
    <w:unhideWhenUsed/>
    <w:rsid w:val="00516455"/>
  </w:style>
  <w:style w:type="paragraph" w:styleId="BlockText">
    <w:name w:val="Block Text"/>
    <w:basedOn w:val="Normal"/>
    <w:semiHidden/>
    <w:rsid w:val="00516455"/>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semiHidden/>
    <w:rsid w:val="00516455"/>
    <w:pPr>
      <w:spacing w:after="120"/>
    </w:pPr>
  </w:style>
  <w:style w:type="character" w:customStyle="1" w:styleId="BodyTextChar">
    <w:name w:val="Body Text Char"/>
    <w:basedOn w:val="DefaultParagraphFont"/>
    <w:link w:val="BodyText"/>
    <w:rsid w:val="00516455"/>
    <w:rPr>
      <w:rFonts w:eastAsiaTheme="minorEastAsia"/>
      <w:sz w:val="24"/>
    </w:rPr>
  </w:style>
  <w:style w:type="paragraph" w:styleId="BodyText2">
    <w:name w:val="Body Text 2"/>
    <w:basedOn w:val="Normal"/>
    <w:link w:val="BodyText2Char"/>
    <w:semiHidden/>
    <w:rsid w:val="00516455"/>
    <w:pPr>
      <w:spacing w:after="120" w:line="480" w:lineRule="auto"/>
    </w:pPr>
  </w:style>
  <w:style w:type="character" w:customStyle="1" w:styleId="BodyText2Char">
    <w:name w:val="Body Text 2 Char"/>
    <w:basedOn w:val="DefaultParagraphFont"/>
    <w:link w:val="BodyText2"/>
    <w:rsid w:val="00516455"/>
    <w:rPr>
      <w:rFonts w:eastAsiaTheme="minorEastAsia"/>
      <w:sz w:val="24"/>
    </w:rPr>
  </w:style>
  <w:style w:type="paragraph" w:styleId="BodyText3">
    <w:name w:val="Body Text 3"/>
    <w:basedOn w:val="Normal"/>
    <w:link w:val="BodyText3Char"/>
    <w:semiHidden/>
    <w:rsid w:val="00516455"/>
    <w:pPr>
      <w:spacing w:after="120"/>
    </w:pPr>
    <w:rPr>
      <w:sz w:val="16"/>
      <w:szCs w:val="16"/>
    </w:rPr>
  </w:style>
  <w:style w:type="character" w:customStyle="1" w:styleId="BodyText3Char">
    <w:name w:val="Body Text 3 Char"/>
    <w:basedOn w:val="DefaultParagraphFont"/>
    <w:link w:val="BodyText3"/>
    <w:rsid w:val="00516455"/>
    <w:rPr>
      <w:rFonts w:eastAsiaTheme="minorEastAsia"/>
      <w:sz w:val="16"/>
      <w:szCs w:val="16"/>
    </w:rPr>
  </w:style>
  <w:style w:type="paragraph" w:styleId="BodyTextFirstIndent">
    <w:name w:val="Body Text First Indent"/>
    <w:basedOn w:val="BodyText"/>
    <w:link w:val="BodyTextFirstIndentChar"/>
    <w:semiHidden/>
    <w:rsid w:val="00516455"/>
    <w:pPr>
      <w:spacing w:after="0"/>
      <w:ind w:firstLine="360"/>
    </w:pPr>
  </w:style>
  <w:style w:type="character" w:customStyle="1" w:styleId="BodyTextFirstIndentChar">
    <w:name w:val="Body Text First Indent Char"/>
    <w:basedOn w:val="BodyTextChar"/>
    <w:link w:val="BodyTextFirstIndent"/>
    <w:rsid w:val="00516455"/>
    <w:rPr>
      <w:rFonts w:eastAsiaTheme="minorEastAsia"/>
      <w:sz w:val="24"/>
    </w:rPr>
  </w:style>
  <w:style w:type="paragraph" w:styleId="BodyTextIndent">
    <w:name w:val="Body Text Indent"/>
    <w:basedOn w:val="Normal"/>
    <w:link w:val="BodyTextIndentChar"/>
    <w:semiHidden/>
    <w:rsid w:val="00516455"/>
    <w:pPr>
      <w:spacing w:after="120"/>
      <w:ind w:left="283"/>
    </w:pPr>
  </w:style>
  <w:style w:type="character" w:customStyle="1" w:styleId="BodyTextIndentChar">
    <w:name w:val="Body Text Indent Char"/>
    <w:basedOn w:val="DefaultParagraphFont"/>
    <w:link w:val="BodyTextIndent"/>
    <w:rsid w:val="00516455"/>
    <w:rPr>
      <w:rFonts w:eastAsiaTheme="minorEastAsia"/>
      <w:sz w:val="24"/>
    </w:rPr>
  </w:style>
  <w:style w:type="paragraph" w:styleId="BodyTextFirstIndent2">
    <w:name w:val="Body Text First Indent 2"/>
    <w:basedOn w:val="BodyTextIndent"/>
    <w:link w:val="BodyTextFirstIndent2Char"/>
    <w:semiHidden/>
    <w:rsid w:val="00516455"/>
    <w:pPr>
      <w:spacing w:after="0"/>
      <w:ind w:left="360" w:firstLine="360"/>
    </w:pPr>
  </w:style>
  <w:style w:type="character" w:customStyle="1" w:styleId="BodyTextFirstIndent2Char">
    <w:name w:val="Body Text First Indent 2 Char"/>
    <w:basedOn w:val="BodyTextIndentChar"/>
    <w:link w:val="BodyTextFirstIndent2"/>
    <w:rsid w:val="00516455"/>
    <w:rPr>
      <w:rFonts w:eastAsiaTheme="minorEastAsia"/>
      <w:sz w:val="24"/>
    </w:rPr>
  </w:style>
  <w:style w:type="paragraph" w:styleId="BodyTextIndent2">
    <w:name w:val="Body Text Indent 2"/>
    <w:basedOn w:val="Normal"/>
    <w:link w:val="BodyTextIndent2Char"/>
    <w:semiHidden/>
    <w:rsid w:val="00516455"/>
    <w:pPr>
      <w:spacing w:after="120" w:line="480" w:lineRule="auto"/>
      <w:ind w:left="283"/>
    </w:pPr>
  </w:style>
  <w:style w:type="character" w:customStyle="1" w:styleId="BodyTextIndent2Char">
    <w:name w:val="Body Text Indent 2 Char"/>
    <w:basedOn w:val="DefaultParagraphFont"/>
    <w:link w:val="BodyTextIndent2"/>
    <w:rsid w:val="00516455"/>
    <w:rPr>
      <w:rFonts w:eastAsiaTheme="minorEastAsia"/>
      <w:sz w:val="24"/>
    </w:rPr>
  </w:style>
  <w:style w:type="paragraph" w:styleId="BodyTextIndent3">
    <w:name w:val="Body Text Indent 3"/>
    <w:basedOn w:val="Normal"/>
    <w:link w:val="BodyTextIndent3Char"/>
    <w:semiHidden/>
    <w:rsid w:val="00516455"/>
    <w:pPr>
      <w:spacing w:after="120"/>
      <w:ind w:left="283"/>
    </w:pPr>
    <w:rPr>
      <w:sz w:val="16"/>
      <w:szCs w:val="16"/>
    </w:rPr>
  </w:style>
  <w:style w:type="character" w:customStyle="1" w:styleId="BodyTextIndent3Char">
    <w:name w:val="Body Text Indent 3 Char"/>
    <w:basedOn w:val="DefaultParagraphFont"/>
    <w:link w:val="BodyTextIndent3"/>
    <w:rsid w:val="00516455"/>
    <w:rPr>
      <w:rFonts w:eastAsiaTheme="minorEastAsia"/>
      <w:sz w:val="16"/>
      <w:szCs w:val="16"/>
    </w:rPr>
  </w:style>
  <w:style w:type="paragraph" w:styleId="Caption">
    <w:name w:val="caption"/>
    <w:basedOn w:val="Normal"/>
    <w:next w:val="Normal"/>
    <w:uiPriority w:val="99"/>
    <w:semiHidden/>
    <w:qFormat/>
    <w:rsid w:val="00516455"/>
    <w:pPr>
      <w:spacing w:after="200"/>
    </w:pPr>
    <w:rPr>
      <w:b/>
      <w:bCs/>
      <w:color w:val="0072BC" w:themeColor="accent1"/>
      <w:sz w:val="18"/>
      <w:szCs w:val="18"/>
    </w:rPr>
  </w:style>
  <w:style w:type="paragraph" w:styleId="Closing">
    <w:name w:val="Closing"/>
    <w:basedOn w:val="Normal"/>
    <w:link w:val="ClosingChar"/>
    <w:semiHidden/>
    <w:rsid w:val="00516455"/>
    <w:pPr>
      <w:ind w:left="4252"/>
    </w:pPr>
  </w:style>
  <w:style w:type="character" w:customStyle="1" w:styleId="ClosingChar">
    <w:name w:val="Closing Char"/>
    <w:basedOn w:val="DefaultParagraphFont"/>
    <w:link w:val="Closing"/>
    <w:rsid w:val="00516455"/>
    <w:rPr>
      <w:rFonts w:eastAsiaTheme="minorEastAsia"/>
      <w:sz w:val="24"/>
    </w:rPr>
  </w:style>
  <w:style w:type="table" w:styleId="ColorfulGrid">
    <w:name w:val="Colorful Grid"/>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6455"/>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64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6455"/>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6455"/>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6455"/>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6455"/>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6455"/>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6455"/>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6455"/>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6455"/>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516455"/>
  </w:style>
  <w:style w:type="character" w:customStyle="1" w:styleId="DateChar">
    <w:name w:val="Date Char"/>
    <w:basedOn w:val="DefaultParagraphFont"/>
    <w:link w:val="Date"/>
    <w:rsid w:val="00516455"/>
    <w:rPr>
      <w:rFonts w:eastAsiaTheme="minorEastAsia"/>
      <w:sz w:val="24"/>
    </w:rPr>
  </w:style>
  <w:style w:type="paragraph" w:styleId="E-mailSignature">
    <w:name w:val="E-mail Signature"/>
    <w:basedOn w:val="Normal"/>
    <w:link w:val="E-mailSignatureChar"/>
    <w:semiHidden/>
    <w:rsid w:val="00516455"/>
  </w:style>
  <w:style w:type="character" w:customStyle="1" w:styleId="E-mailSignatureChar">
    <w:name w:val="E-mail Signature Char"/>
    <w:basedOn w:val="DefaultParagraphFont"/>
    <w:link w:val="E-mailSignature"/>
    <w:rsid w:val="00516455"/>
    <w:rPr>
      <w:rFonts w:eastAsiaTheme="minorEastAsia"/>
      <w:sz w:val="24"/>
    </w:rPr>
  </w:style>
  <w:style w:type="paragraph" w:styleId="EnvelopeAddress">
    <w:name w:val="envelope address"/>
    <w:basedOn w:val="Normal"/>
    <w:semiHidden/>
    <w:rsid w:val="0051645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semiHidden/>
    <w:rsid w:val="00516455"/>
    <w:rPr>
      <w:rFonts w:asciiTheme="majorHAnsi" w:eastAsiaTheme="majorEastAsia" w:hAnsiTheme="majorHAnsi" w:cstheme="majorBidi"/>
      <w:sz w:val="20"/>
      <w:szCs w:val="20"/>
    </w:rPr>
  </w:style>
  <w:style w:type="character" w:styleId="HTMLAcronym">
    <w:name w:val="HTML Acronym"/>
    <w:basedOn w:val="DefaultParagraphFont"/>
    <w:semiHidden/>
    <w:rsid w:val="00516455"/>
  </w:style>
  <w:style w:type="paragraph" w:styleId="HTMLAddress">
    <w:name w:val="HTML Address"/>
    <w:basedOn w:val="Normal"/>
    <w:link w:val="HTMLAddressChar"/>
    <w:semiHidden/>
    <w:rsid w:val="00516455"/>
    <w:rPr>
      <w:i/>
      <w:iCs/>
    </w:rPr>
  </w:style>
  <w:style w:type="character" w:customStyle="1" w:styleId="HTMLAddressChar">
    <w:name w:val="HTML Address Char"/>
    <w:basedOn w:val="DefaultParagraphFont"/>
    <w:link w:val="HTMLAddress"/>
    <w:rsid w:val="00516455"/>
    <w:rPr>
      <w:rFonts w:eastAsiaTheme="minorEastAsia"/>
      <w:i/>
      <w:iCs/>
      <w:sz w:val="24"/>
    </w:rPr>
  </w:style>
  <w:style w:type="character" w:styleId="HTMLCite">
    <w:name w:val="HTML Cite"/>
    <w:basedOn w:val="DefaultParagraphFont"/>
    <w:semiHidden/>
    <w:rsid w:val="00516455"/>
    <w:rPr>
      <w:i/>
      <w:iCs/>
    </w:rPr>
  </w:style>
  <w:style w:type="character" w:styleId="HTMLCode">
    <w:name w:val="HTML Code"/>
    <w:basedOn w:val="DefaultParagraphFont"/>
    <w:semiHidden/>
    <w:rsid w:val="00516455"/>
    <w:rPr>
      <w:rFonts w:ascii="Consolas" w:hAnsi="Consolas" w:cs="Consolas"/>
      <w:sz w:val="20"/>
      <w:szCs w:val="20"/>
    </w:rPr>
  </w:style>
  <w:style w:type="character" w:styleId="HTMLDefinition">
    <w:name w:val="HTML Definition"/>
    <w:basedOn w:val="DefaultParagraphFont"/>
    <w:semiHidden/>
    <w:rsid w:val="00516455"/>
    <w:rPr>
      <w:i/>
      <w:iCs/>
    </w:rPr>
  </w:style>
  <w:style w:type="character" w:styleId="HTMLKeyboard">
    <w:name w:val="HTML Keyboard"/>
    <w:basedOn w:val="DefaultParagraphFont"/>
    <w:semiHidden/>
    <w:rsid w:val="00516455"/>
    <w:rPr>
      <w:rFonts w:ascii="Consolas" w:hAnsi="Consolas" w:cs="Consolas"/>
      <w:sz w:val="20"/>
      <w:szCs w:val="20"/>
    </w:rPr>
  </w:style>
  <w:style w:type="paragraph" w:styleId="HTMLPreformatted">
    <w:name w:val="HTML Preformatted"/>
    <w:basedOn w:val="Normal"/>
    <w:link w:val="HTMLPreformattedChar"/>
    <w:semiHidden/>
    <w:rsid w:val="00516455"/>
    <w:rPr>
      <w:rFonts w:ascii="Consolas" w:hAnsi="Consolas" w:cs="Consolas"/>
      <w:sz w:val="20"/>
      <w:szCs w:val="20"/>
    </w:rPr>
  </w:style>
  <w:style w:type="character" w:customStyle="1" w:styleId="HTMLPreformattedChar">
    <w:name w:val="HTML Preformatted Char"/>
    <w:basedOn w:val="DefaultParagraphFont"/>
    <w:link w:val="HTMLPreformatted"/>
    <w:rsid w:val="00516455"/>
    <w:rPr>
      <w:rFonts w:ascii="Consolas" w:eastAsiaTheme="minorEastAsia" w:hAnsi="Consolas" w:cs="Consolas"/>
      <w:sz w:val="20"/>
      <w:szCs w:val="20"/>
    </w:rPr>
  </w:style>
  <w:style w:type="character" w:styleId="HTMLSample">
    <w:name w:val="HTML Sample"/>
    <w:basedOn w:val="DefaultParagraphFont"/>
    <w:semiHidden/>
    <w:rsid w:val="00516455"/>
    <w:rPr>
      <w:rFonts w:ascii="Consolas" w:hAnsi="Consolas" w:cs="Consolas"/>
      <w:sz w:val="24"/>
      <w:szCs w:val="24"/>
    </w:rPr>
  </w:style>
  <w:style w:type="character" w:styleId="HTMLTypewriter">
    <w:name w:val="HTML Typewriter"/>
    <w:basedOn w:val="DefaultParagraphFont"/>
    <w:semiHidden/>
    <w:rsid w:val="00516455"/>
    <w:rPr>
      <w:rFonts w:ascii="Consolas" w:hAnsi="Consolas" w:cs="Consolas"/>
      <w:sz w:val="20"/>
      <w:szCs w:val="20"/>
    </w:rPr>
  </w:style>
  <w:style w:type="character" w:styleId="HTMLVariable">
    <w:name w:val="HTML Variable"/>
    <w:basedOn w:val="DefaultParagraphFont"/>
    <w:semiHidden/>
    <w:rsid w:val="00516455"/>
    <w:rPr>
      <w:i/>
      <w:iCs/>
    </w:rPr>
  </w:style>
  <w:style w:type="paragraph" w:styleId="Index1">
    <w:name w:val="index 1"/>
    <w:basedOn w:val="Normal"/>
    <w:next w:val="Normal"/>
    <w:autoRedefine/>
    <w:semiHidden/>
    <w:rsid w:val="00516455"/>
    <w:pPr>
      <w:ind w:left="240" w:hanging="240"/>
    </w:pPr>
  </w:style>
  <w:style w:type="paragraph" w:styleId="Index2">
    <w:name w:val="index 2"/>
    <w:basedOn w:val="Normal"/>
    <w:next w:val="Normal"/>
    <w:autoRedefine/>
    <w:semiHidden/>
    <w:rsid w:val="00516455"/>
    <w:pPr>
      <w:ind w:left="480" w:hanging="240"/>
    </w:pPr>
  </w:style>
  <w:style w:type="paragraph" w:styleId="Index3">
    <w:name w:val="index 3"/>
    <w:basedOn w:val="Normal"/>
    <w:next w:val="Normal"/>
    <w:autoRedefine/>
    <w:semiHidden/>
    <w:rsid w:val="00516455"/>
    <w:pPr>
      <w:ind w:left="720" w:hanging="240"/>
    </w:pPr>
  </w:style>
  <w:style w:type="paragraph" w:styleId="Index4">
    <w:name w:val="index 4"/>
    <w:basedOn w:val="Normal"/>
    <w:next w:val="Normal"/>
    <w:autoRedefine/>
    <w:semiHidden/>
    <w:rsid w:val="00516455"/>
    <w:pPr>
      <w:ind w:left="960" w:hanging="240"/>
    </w:pPr>
  </w:style>
  <w:style w:type="paragraph" w:styleId="Index5">
    <w:name w:val="index 5"/>
    <w:basedOn w:val="Normal"/>
    <w:next w:val="Normal"/>
    <w:autoRedefine/>
    <w:semiHidden/>
    <w:rsid w:val="00516455"/>
    <w:pPr>
      <w:ind w:left="1200" w:hanging="240"/>
    </w:pPr>
  </w:style>
  <w:style w:type="paragraph" w:styleId="Index6">
    <w:name w:val="index 6"/>
    <w:basedOn w:val="Normal"/>
    <w:next w:val="Normal"/>
    <w:autoRedefine/>
    <w:semiHidden/>
    <w:rsid w:val="00516455"/>
    <w:pPr>
      <w:ind w:left="1440" w:hanging="240"/>
    </w:pPr>
  </w:style>
  <w:style w:type="paragraph" w:styleId="Index7">
    <w:name w:val="index 7"/>
    <w:basedOn w:val="Normal"/>
    <w:next w:val="Normal"/>
    <w:autoRedefine/>
    <w:semiHidden/>
    <w:rsid w:val="00516455"/>
    <w:pPr>
      <w:ind w:left="1680" w:hanging="240"/>
    </w:pPr>
  </w:style>
  <w:style w:type="paragraph" w:styleId="Index8">
    <w:name w:val="index 8"/>
    <w:basedOn w:val="Normal"/>
    <w:next w:val="Normal"/>
    <w:autoRedefine/>
    <w:semiHidden/>
    <w:rsid w:val="00516455"/>
    <w:pPr>
      <w:ind w:left="1920" w:hanging="240"/>
    </w:pPr>
  </w:style>
  <w:style w:type="paragraph" w:styleId="Index9">
    <w:name w:val="index 9"/>
    <w:basedOn w:val="Normal"/>
    <w:next w:val="Normal"/>
    <w:autoRedefine/>
    <w:semiHidden/>
    <w:rsid w:val="00516455"/>
    <w:pPr>
      <w:ind w:left="2160" w:hanging="240"/>
    </w:pPr>
  </w:style>
  <w:style w:type="paragraph" w:styleId="IndexHeading">
    <w:name w:val="index heading"/>
    <w:basedOn w:val="Normal"/>
    <w:next w:val="Index1"/>
    <w:semiHidden/>
    <w:rsid w:val="00516455"/>
    <w:rPr>
      <w:rFonts w:asciiTheme="majorHAnsi" w:eastAsiaTheme="majorEastAsia" w:hAnsiTheme="majorHAnsi" w:cstheme="majorBidi"/>
      <w:b/>
      <w:bCs/>
    </w:rPr>
  </w:style>
  <w:style w:type="table" w:styleId="LightGrid">
    <w:name w:val="Light Grid"/>
    <w:basedOn w:val="TableNormal"/>
    <w:uiPriority w:val="62"/>
    <w:semiHidden/>
    <w:rsid w:val="0051645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6455"/>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6455"/>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6455"/>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6455"/>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6455"/>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6455"/>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645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6455"/>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6455"/>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6455"/>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6455"/>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6455"/>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6455"/>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64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6455"/>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6455"/>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6455"/>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6455"/>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6455"/>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6455"/>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516455"/>
  </w:style>
  <w:style w:type="paragraph" w:styleId="List">
    <w:name w:val="List"/>
    <w:basedOn w:val="Normal"/>
    <w:semiHidden/>
    <w:rsid w:val="00516455"/>
    <w:pPr>
      <w:ind w:left="283" w:hanging="283"/>
      <w:contextualSpacing/>
    </w:pPr>
  </w:style>
  <w:style w:type="paragraph" w:styleId="List2">
    <w:name w:val="List 2"/>
    <w:basedOn w:val="Normal"/>
    <w:semiHidden/>
    <w:rsid w:val="00516455"/>
    <w:pPr>
      <w:ind w:left="566" w:hanging="283"/>
      <w:contextualSpacing/>
    </w:pPr>
  </w:style>
  <w:style w:type="paragraph" w:styleId="List3">
    <w:name w:val="List 3"/>
    <w:basedOn w:val="Normal"/>
    <w:semiHidden/>
    <w:rsid w:val="00516455"/>
    <w:pPr>
      <w:ind w:left="849" w:hanging="283"/>
      <w:contextualSpacing/>
    </w:pPr>
  </w:style>
  <w:style w:type="paragraph" w:styleId="List4">
    <w:name w:val="List 4"/>
    <w:basedOn w:val="Normal"/>
    <w:semiHidden/>
    <w:rsid w:val="00516455"/>
    <w:pPr>
      <w:ind w:left="1132" w:hanging="283"/>
      <w:contextualSpacing/>
    </w:pPr>
  </w:style>
  <w:style w:type="paragraph" w:styleId="List5">
    <w:name w:val="List 5"/>
    <w:basedOn w:val="Normal"/>
    <w:semiHidden/>
    <w:rsid w:val="00516455"/>
    <w:pPr>
      <w:ind w:left="1415" w:hanging="283"/>
      <w:contextualSpacing/>
    </w:pPr>
  </w:style>
  <w:style w:type="paragraph" w:styleId="ListBullet2">
    <w:name w:val="List Bullet 2"/>
    <w:basedOn w:val="Normal"/>
    <w:semiHidden/>
    <w:rsid w:val="00516455"/>
    <w:pPr>
      <w:numPr>
        <w:numId w:val="8"/>
      </w:numPr>
      <w:contextualSpacing/>
    </w:pPr>
  </w:style>
  <w:style w:type="paragraph" w:styleId="ListBullet3">
    <w:name w:val="List Bullet 3"/>
    <w:basedOn w:val="Normal"/>
    <w:semiHidden/>
    <w:rsid w:val="00516455"/>
    <w:pPr>
      <w:numPr>
        <w:numId w:val="9"/>
      </w:numPr>
      <w:contextualSpacing/>
    </w:pPr>
  </w:style>
  <w:style w:type="paragraph" w:styleId="ListBullet4">
    <w:name w:val="List Bullet 4"/>
    <w:basedOn w:val="Normal"/>
    <w:semiHidden/>
    <w:rsid w:val="00516455"/>
    <w:pPr>
      <w:numPr>
        <w:numId w:val="10"/>
      </w:numPr>
      <w:contextualSpacing/>
    </w:pPr>
  </w:style>
  <w:style w:type="paragraph" w:styleId="ListBullet5">
    <w:name w:val="List Bullet 5"/>
    <w:basedOn w:val="Normal"/>
    <w:semiHidden/>
    <w:rsid w:val="00516455"/>
    <w:pPr>
      <w:numPr>
        <w:numId w:val="11"/>
      </w:numPr>
      <w:contextualSpacing/>
    </w:pPr>
  </w:style>
  <w:style w:type="paragraph" w:styleId="ListContinue">
    <w:name w:val="List Continue"/>
    <w:basedOn w:val="Normal"/>
    <w:semiHidden/>
    <w:rsid w:val="00516455"/>
    <w:pPr>
      <w:spacing w:after="120"/>
      <w:ind w:left="283"/>
      <w:contextualSpacing/>
    </w:pPr>
  </w:style>
  <w:style w:type="paragraph" w:styleId="ListContinue2">
    <w:name w:val="List Continue 2"/>
    <w:basedOn w:val="Normal"/>
    <w:semiHidden/>
    <w:rsid w:val="00516455"/>
    <w:pPr>
      <w:spacing w:after="120"/>
      <w:ind w:left="566"/>
      <w:contextualSpacing/>
    </w:pPr>
  </w:style>
  <w:style w:type="paragraph" w:styleId="ListContinue3">
    <w:name w:val="List Continue 3"/>
    <w:basedOn w:val="Normal"/>
    <w:semiHidden/>
    <w:rsid w:val="00516455"/>
    <w:pPr>
      <w:spacing w:after="120"/>
      <w:ind w:left="849"/>
      <w:contextualSpacing/>
    </w:pPr>
  </w:style>
  <w:style w:type="paragraph" w:styleId="ListContinue4">
    <w:name w:val="List Continue 4"/>
    <w:basedOn w:val="Normal"/>
    <w:semiHidden/>
    <w:rsid w:val="00516455"/>
    <w:pPr>
      <w:spacing w:after="120"/>
      <w:ind w:left="1132"/>
      <w:contextualSpacing/>
    </w:pPr>
  </w:style>
  <w:style w:type="paragraph" w:styleId="ListContinue5">
    <w:name w:val="List Continue 5"/>
    <w:basedOn w:val="Normal"/>
    <w:semiHidden/>
    <w:rsid w:val="00516455"/>
    <w:pPr>
      <w:spacing w:after="120"/>
      <w:ind w:left="1415"/>
      <w:contextualSpacing/>
    </w:pPr>
  </w:style>
  <w:style w:type="paragraph" w:styleId="ListNumber">
    <w:name w:val="List Number"/>
    <w:basedOn w:val="Normal"/>
    <w:semiHidden/>
    <w:rsid w:val="00516455"/>
    <w:pPr>
      <w:numPr>
        <w:numId w:val="12"/>
      </w:numPr>
      <w:contextualSpacing/>
    </w:pPr>
  </w:style>
  <w:style w:type="paragraph" w:styleId="ListNumber2">
    <w:name w:val="List Number 2"/>
    <w:basedOn w:val="Normal"/>
    <w:semiHidden/>
    <w:rsid w:val="00516455"/>
    <w:pPr>
      <w:numPr>
        <w:numId w:val="13"/>
      </w:numPr>
      <w:contextualSpacing/>
    </w:pPr>
  </w:style>
  <w:style w:type="paragraph" w:styleId="ListNumber3">
    <w:name w:val="List Number 3"/>
    <w:basedOn w:val="Normal"/>
    <w:semiHidden/>
    <w:rsid w:val="00516455"/>
    <w:pPr>
      <w:numPr>
        <w:numId w:val="14"/>
      </w:numPr>
      <w:contextualSpacing/>
    </w:pPr>
  </w:style>
  <w:style w:type="paragraph" w:styleId="ListNumber4">
    <w:name w:val="List Number 4"/>
    <w:basedOn w:val="Normal"/>
    <w:semiHidden/>
    <w:rsid w:val="00516455"/>
    <w:pPr>
      <w:numPr>
        <w:numId w:val="15"/>
      </w:numPr>
      <w:contextualSpacing/>
    </w:pPr>
  </w:style>
  <w:style w:type="paragraph" w:styleId="ListNumber5">
    <w:name w:val="List Number 5"/>
    <w:basedOn w:val="Normal"/>
    <w:semiHidden/>
    <w:rsid w:val="00516455"/>
    <w:pPr>
      <w:numPr>
        <w:numId w:val="16"/>
      </w:numPr>
      <w:contextualSpacing/>
    </w:pPr>
  </w:style>
  <w:style w:type="paragraph" w:styleId="MacroText">
    <w:name w:val="macro"/>
    <w:link w:val="MacroTextChar"/>
    <w:semiHidden/>
    <w:rsid w:val="0051645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rsid w:val="00516455"/>
    <w:rPr>
      <w:rFonts w:ascii="Consolas" w:eastAsiaTheme="minorEastAsia" w:hAnsi="Consolas" w:cs="Consolas"/>
      <w:sz w:val="20"/>
      <w:szCs w:val="20"/>
    </w:rPr>
  </w:style>
  <w:style w:type="table" w:styleId="MediumGrid1">
    <w:name w:val="Medium Grid 1"/>
    <w:basedOn w:val="TableNormal"/>
    <w:uiPriority w:val="67"/>
    <w:semiHidden/>
    <w:rsid w:val="00516455"/>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6455"/>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6455"/>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6455"/>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6455"/>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6455"/>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6455"/>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6455"/>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6455"/>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6455"/>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6455"/>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6455"/>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6455"/>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6455"/>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6455"/>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6455"/>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6455"/>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6455"/>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6455"/>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6455"/>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6455"/>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6455"/>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6455"/>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645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51645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16455"/>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516455"/>
    <w:rPr>
      <w:rFonts w:ascii="Times New Roman" w:hAnsi="Times New Roman" w:cs="Times New Roman"/>
      <w:szCs w:val="24"/>
    </w:rPr>
  </w:style>
  <w:style w:type="paragraph" w:styleId="NormalIndent">
    <w:name w:val="Normal Indent"/>
    <w:basedOn w:val="Normal"/>
    <w:semiHidden/>
    <w:rsid w:val="00516455"/>
    <w:pPr>
      <w:ind w:left="720"/>
    </w:pPr>
  </w:style>
  <w:style w:type="paragraph" w:styleId="NoteHeading">
    <w:name w:val="Note Heading"/>
    <w:basedOn w:val="Normal"/>
    <w:next w:val="Normal"/>
    <w:link w:val="NoteHeadingChar"/>
    <w:semiHidden/>
    <w:rsid w:val="00516455"/>
  </w:style>
  <w:style w:type="character" w:customStyle="1" w:styleId="NoteHeadingChar">
    <w:name w:val="Note Heading Char"/>
    <w:basedOn w:val="DefaultParagraphFont"/>
    <w:link w:val="NoteHeading"/>
    <w:rsid w:val="00516455"/>
    <w:rPr>
      <w:rFonts w:eastAsiaTheme="minorEastAsia"/>
      <w:sz w:val="24"/>
    </w:rPr>
  </w:style>
  <w:style w:type="character" w:styleId="PlaceholderText">
    <w:name w:val="Placeholder Text"/>
    <w:basedOn w:val="DefaultParagraphFont"/>
    <w:uiPriority w:val="99"/>
    <w:semiHidden/>
    <w:rsid w:val="00516455"/>
    <w:rPr>
      <w:color w:val="808080"/>
    </w:rPr>
  </w:style>
  <w:style w:type="paragraph" w:styleId="PlainText">
    <w:name w:val="Plain Text"/>
    <w:basedOn w:val="Normal"/>
    <w:link w:val="PlainTextChar"/>
    <w:semiHidden/>
    <w:rsid w:val="00516455"/>
    <w:rPr>
      <w:rFonts w:ascii="Consolas" w:hAnsi="Consolas" w:cs="Consolas"/>
      <w:sz w:val="21"/>
      <w:szCs w:val="21"/>
    </w:rPr>
  </w:style>
  <w:style w:type="character" w:customStyle="1" w:styleId="PlainTextChar">
    <w:name w:val="Plain Text Char"/>
    <w:basedOn w:val="DefaultParagraphFont"/>
    <w:link w:val="PlainText"/>
    <w:rsid w:val="00516455"/>
    <w:rPr>
      <w:rFonts w:ascii="Consolas" w:eastAsiaTheme="minorEastAsia" w:hAnsi="Consolas" w:cs="Consolas"/>
      <w:sz w:val="21"/>
      <w:szCs w:val="21"/>
    </w:rPr>
  </w:style>
  <w:style w:type="paragraph" w:styleId="Salutation">
    <w:name w:val="Salutation"/>
    <w:basedOn w:val="Normal"/>
    <w:next w:val="Normal"/>
    <w:link w:val="SalutationChar"/>
    <w:semiHidden/>
    <w:rsid w:val="00516455"/>
  </w:style>
  <w:style w:type="character" w:customStyle="1" w:styleId="SalutationChar">
    <w:name w:val="Salutation Char"/>
    <w:basedOn w:val="DefaultParagraphFont"/>
    <w:link w:val="Salutation"/>
    <w:rsid w:val="00516455"/>
    <w:rPr>
      <w:rFonts w:eastAsiaTheme="minorEastAsia"/>
      <w:sz w:val="24"/>
    </w:rPr>
  </w:style>
  <w:style w:type="paragraph" w:styleId="Signature">
    <w:name w:val="Signature"/>
    <w:basedOn w:val="Normal"/>
    <w:link w:val="SignatureChar"/>
    <w:semiHidden/>
    <w:rsid w:val="00516455"/>
    <w:pPr>
      <w:ind w:left="4252"/>
    </w:pPr>
  </w:style>
  <w:style w:type="character" w:customStyle="1" w:styleId="SignatureChar">
    <w:name w:val="Signature Char"/>
    <w:basedOn w:val="DefaultParagraphFont"/>
    <w:link w:val="Signature"/>
    <w:rsid w:val="00516455"/>
    <w:rPr>
      <w:rFonts w:eastAsiaTheme="minorEastAsia"/>
      <w:sz w:val="24"/>
    </w:rPr>
  </w:style>
  <w:style w:type="table" w:styleId="Table3Deffects1">
    <w:name w:val="Table 3D effects 1"/>
    <w:basedOn w:val="TableNormal"/>
    <w:semiHidden/>
    <w:rsid w:val="00516455"/>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16455"/>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16455"/>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16455"/>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16455"/>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16455"/>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16455"/>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16455"/>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16455"/>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16455"/>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16455"/>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16455"/>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16455"/>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16455"/>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16455"/>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16455"/>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16455"/>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5164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516455"/>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16455"/>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16455"/>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16455"/>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16455"/>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16455"/>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16455"/>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16455"/>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16455"/>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16455"/>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16455"/>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16455"/>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16455"/>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516455"/>
    <w:pPr>
      <w:ind w:left="240" w:hanging="240"/>
    </w:pPr>
  </w:style>
  <w:style w:type="paragraph" w:styleId="TableofFigures">
    <w:name w:val="table of figures"/>
    <w:basedOn w:val="Normal"/>
    <w:next w:val="Normal"/>
    <w:semiHidden/>
    <w:rsid w:val="00516455"/>
  </w:style>
  <w:style w:type="table" w:styleId="TableProfessional">
    <w:name w:val="Table Professional"/>
    <w:basedOn w:val="TableNormal"/>
    <w:semiHidden/>
    <w:rsid w:val="00516455"/>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16455"/>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16455"/>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16455"/>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16455"/>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16455"/>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16455"/>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516455"/>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16455"/>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16455"/>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516455"/>
    <w:pPr>
      <w:spacing w:before="120"/>
    </w:pPr>
    <w:rPr>
      <w:rFonts w:asciiTheme="majorHAnsi" w:eastAsiaTheme="majorEastAsia" w:hAnsiTheme="majorHAnsi" w:cstheme="majorBidi"/>
      <w:b/>
      <w:bCs/>
      <w:szCs w:val="24"/>
    </w:rPr>
  </w:style>
  <w:style w:type="paragraph" w:styleId="TOC1">
    <w:name w:val="toc 1"/>
    <w:basedOn w:val="Normal"/>
    <w:next w:val="Normal"/>
    <w:autoRedefine/>
    <w:semiHidden/>
    <w:rsid w:val="00516455"/>
    <w:pPr>
      <w:spacing w:after="100"/>
    </w:pPr>
  </w:style>
  <w:style w:type="paragraph" w:styleId="TOC2">
    <w:name w:val="toc 2"/>
    <w:basedOn w:val="Normal"/>
    <w:next w:val="Normal"/>
    <w:autoRedefine/>
    <w:semiHidden/>
    <w:rsid w:val="00516455"/>
    <w:pPr>
      <w:spacing w:after="100"/>
      <w:ind w:left="240"/>
    </w:pPr>
  </w:style>
  <w:style w:type="paragraph" w:styleId="TOC3">
    <w:name w:val="toc 3"/>
    <w:basedOn w:val="Normal"/>
    <w:next w:val="Normal"/>
    <w:autoRedefine/>
    <w:semiHidden/>
    <w:rsid w:val="00516455"/>
    <w:pPr>
      <w:spacing w:after="100"/>
      <w:ind w:left="480"/>
    </w:pPr>
  </w:style>
  <w:style w:type="paragraph" w:styleId="TOC4">
    <w:name w:val="toc 4"/>
    <w:basedOn w:val="Normal"/>
    <w:next w:val="Normal"/>
    <w:autoRedefine/>
    <w:semiHidden/>
    <w:rsid w:val="00516455"/>
    <w:pPr>
      <w:spacing w:after="100"/>
      <w:ind w:left="720"/>
    </w:pPr>
  </w:style>
  <w:style w:type="paragraph" w:styleId="TOC5">
    <w:name w:val="toc 5"/>
    <w:basedOn w:val="Normal"/>
    <w:next w:val="Normal"/>
    <w:autoRedefine/>
    <w:semiHidden/>
    <w:rsid w:val="00516455"/>
    <w:pPr>
      <w:spacing w:after="100"/>
      <w:ind w:left="960"/>
    </w:pPr>
  </w:style>
  <w:style w:type="paragraph" w:styleId="TOC6">
    <w:name w:val="toc 6"/>
    <w:basedOn w:val="Normal"/>
    <w:next w:val="Normal"/>
    <w:autoRedefine/>
    <w:semiHidden/>
    <w:rsid w:val="00516455"/>
    <w:pPr>
      <w:spacing w:after="100"/>
      <w:ind w:left="1200"/>
    </w:pPr>
  </w:style>
  <w:style w:type="paragraph" w:styleId="TOC7">
    <w:name w:val="toc 7"/>
    <w:basedOn w:val="Normal"/>
    <w:next w:val="Normal"/>
    <w:autoRedefine/>
    <w:semiHidden/>
    <w:rsid w:val="00516455"/>
    <w:pPr>
      <w:spacing w:after="100"/>
      <w:ind w:left="1440"/>
    </w:pPr>
  </w:style>
  <w:style w:type="paragraph" w:styleId="TOC8">
    <w:name w:val="toc 8"/>
    <w:basedOn w:val="Normal"/>
    <w:next w:val="Normal"/>
    <w:autoRedefine/>
    <w:semiHidden/>
    <w:rsid w:val="00516455"/>
    <w:pPr>
      <w:spacing w:after="100"/>
      <w:ind w:left="1680"/>
    </w:pPr>
  </w:style>
  <w:style w:type="paragraph" w:styleId="TOC9">
    <w:name w:val="toc 9"/>
    <w:basedOn w:val="Normal"/>
    <w:next w:val="Normal"/>
    <w:autoRedefine/>
    <w:semiHidden/>
    <w:rsid w:val="00516455"/>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52122">
      <w:bodyDiv w:val="1"/>
      <w:marLeft w:val="0"/>
      <w:marRight w:val="0"/>
      <w:marTop w:val="270"/>
      <w:marBottom w:val="0"/>
      <w:divBdr>
        <w:top w:val="none" w:sz="0" w:space="0" w:color="auto"/>
        <w:left w:val="none" w:sz="0" w:space="0" w:color="auto"/>
        <w:bottom w:val="none" w:sz="0" w:space="0" w:color="auto"/>
        <w:right w:val="none" w:sz="0" w:space="0" w:color="auto"/>
      </w:divBdr>
      <w:divsChild>
        <w:div w:id="1938100609">
          <w:marLeft w:val="0"/>
          <w:marRight w:val="0"/>
          <w:marTop w:val="0"/>
          <w:marBottom w:val="0"/>
          <w:divBdr>
            <w:top w:val="none" w:sz="0" w:space="0" w:color="auto"/>
            <w:left w:val="none" w:sz="0" w:space="0" w:color="auto"/>
            <w:bottom w:val="none" w:sz="0" w:space="0" w:color="auto"/>
            <w:right w:val="none" w:sz="0" w:space="0" w:color="auto"/>
          </w:divBdr>
        </w:div>
      </w:divsChild>
    </w:div>
    <w:div w:id="282811683">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003822442">
      <w:bodyDiv w:val="1"/>
      <w:marLeft w:val="0"/>
      <w:marRight w:val="0"/>
      <w:marTop w:val="0"/>
      <w:marBottom w:val="0"/>
      <w:divBdr>
        <w:top w:val="none" w:sz="0" w:space="0" w:color="auto"/>
        <w:left w:val="none" w:sz="0" w:space="0" w:color="auto"/>
        <w:bottom w:val="none" w:sz="0" w:space="0" w:color="auto"/>
        <w:right w:val="none" w:sz="0" w:space="0" w:color="auto"/>
      </w:divBdr>
      <w:divsChild>
        <w:div w:id="1092698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customXml" Target="../customXml/item4.xml"/><Relationship Id="rId5" Type="http://schemas.microsoft.com/office/2007/relationships/stylesWithEffects" Target="stylesWithEffects.xml"/><Relationship Id="rId15" Type="http://schemas.openxmlformats.org/officeDocument/2006/relationships/header" Target="header6.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5.xm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1A6948-5F78-45BD-8DD6-E76EBB1E2E34}"/>
</file>

<file path=customXml/itemProps2.xml><?xml version="1.0" encoding="utf-8"?>
<ds:datastoreItem xmlns:ds="http://schemas.openxmlformats.org/officeDocument/2006/customXml" ds:itemID="{1AC0606C-61C3-4320-B841-88CF43259D9C}"/>
</file>

<file path=customXml/itemProps3.xml><?xml version="1.0" encoding="utf-8"?>
<ds:datastoreItem xmlns:ds="http://schemas.openxmlformats.org/officeDocument/2006/customXml" ds:itemID="{0CACD981-84FB-40F3-A3C4-AF273F82F779}"/>
</file>

<file path=customXml/itemProps4.xml><?xml version="1.0" encoding="utf-8"?>
<ds:datastoreItem xmlns:ds="http://schemas.openxmlformats.org/officeDocument/2006/customXml" ds:itemID="{DD1A0F9F-8D99-4D5D-BB2D-9F86DEB81D9C}"/>
</file>

<file path=docProps/app.xml><?xml version="1.0" encoding="utf-8"?>
<Properties xmlns="http://schemas.openxmlformats.org/officeDocument/2006/extended-properties" xmlns:vt="http://schemas.openxmlformats.org/officeDocument/2006/docPropsVTypes">
  <Template>Normal.dotm</Template>
  <TotalTime>0</TotalTime>
  <Pages>31</Pages>
  <Words>11389</Words>
  <Characters>62331</Characters>
  <Application>Microsoft Office Word</Application>
  <DocSecurity>0</DocSecurity>
  <Lines>519</Lines>
  <Paragraphs>147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2013-11-25T10:02:00Z</cp:lastPrinted>
  <dcterms:created xsi:type="dcterms:W3CDTF">2014-04-15T10:05:00Z</dcterms:created>
  <dcterms:modified xsi:type="dcterms:W3CDTF">2014-04-15T11:15:00Z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