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notes.xml" ContentType="application/vnd.openxmlformats-officedocument.wordprocessingml.footnot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A42BD5" w:rsidR="001707DB" w:rsidP="00B30E47" w:rsidRDefault="001707DB">
      <w:pPr>
        <w:jc w:val="center"/>
        <w:rPr>
          <w:sz w:val="4"/>
          <w:szCs w:val="4"/>
        </w:rPr>
      </w:pPr>
      <w:bookmarkStart w:name="_GoBack" w:id="0"/>
      <w:bookmarkEnd w:id="0"/>
    </w:p>
    <w:p w:rsidRPr="00A42BD5" w:rsidR="00720332" w:rsidRDefault="008D3AEF">
      <w:pPr>
        <w:pStyle w:val="DecHTitle"/>
        <w:rPr>
          <w:lang w:val="en-GB"/>
        </w:rPr>
      </w:pPr>
      <w:r w:rsidRPr="00A42BD5">
        <w:rPr>
          <w:szCs w:val="24"/>
          <w:lang w:val="en-GB"/>
        </w:rPr>
        <w:t>FOURTH SECTION</w:t>
      </w:r>
    </w:p>
    <w:p w:rsidRPr="00A42BD5" w:rsidR="00720332" w:rsidRDefault="00720332">
      <w:pPr>
        <w:pStyle w:val="DecHTitle"/>
        <w:rPr>
          <w:lang w:val="en-GB"/>
        </w:rPr>
      </w:pPr>
      <w:r w:rsidRPr="00A42BD5">
        <w:rPr>
          <w:lang w:val="en-GB"/>
        </w:rPr>
        <w:t>DECISION</w:t>
      </w:r>
    </w:p>
    <w:p w:rsidRPr="00A42BD5" w:rsidR="00190E1E" w:rsidP="00C26EFA" w:rsidRDefault="008D3AEF">
      <w:pPr>
        <w:pStyle w:val="ECHRTitleCentre2"/>
        <w:rPr>
          <w:lang w:val="en-GB"/>
        </w:rPr>
      </w:pPr>
      <w:r w:rsidRPr="00A42BD5">
        <w:rPr>
          <w:noProof/>
          <w:lang w:val="en-GB"/>
        </w:rPr>
        <w:t>Application no</w:t>
      </w:r>
      <w:r w:rsidRPr="00A42BD5" w:rsidR="008504A4">
        <w:rPr>
          <w:lang w:val="en-GB"/>
        </w:rPr>
        <w:t>.</w:t>
      </w:r>
      <w:r w:rsidRPr="00A42BD5" w:rsidR="00CA65A9">
        <w:rPr>
          <w:lang w:val="en-GB"/>
        </w:rPr>
        <w:t xml:space="preserve"> </w:t>
      </w:r>
      <w:r w:rsidRPr="00A42BD5">
        <w:rPr>
          <w:lang w:val="en-GB"/>
        </w:rPr>
        <w:t>30178/09</w:t>
      </w:r>
      <w:r w:rsidRPr="00A42BD5" w:rsidR="00CA65A9">
        <w:rPr>
          <w:lang w:val="en-GB"/>
        </w:rPr>
        <w:br/>
      </w:r>
      <w:r w:rsidRPr="00A42BD5">
        <w:rPr>
          <w:noProof/>
          <w:lang w:val="en-GB"/>
        </w:rPr>
        <w:t>K.F.</w:t>
      </w:r>
      <w:r w:rsidRPr="00A42BD5">
        <w:rPr>
          <w:noProof/>
          <w:lang w:val="en-GB"/>
        </w:rPr>
        <w:br/>
      </w:r>
      <w:r w:rsidRPr="00A42BD5" w:rsidR="00CA65A9">
        <w:rPr>
          <w:lang w:val="en-GB"/>
        </w:rPr>
        <w:t xml:space="preserve">against </w:t>
      </w:r>
      <w:r w:rsidRPr="00A42BD5">
        <w:rPr>
          <w:lang w:val="en-GB"/>
        </w:rPr>
        <w:t>the United Kingdom</w:t>
      </w:r>
    </w:p>
    <w:p w:rsidRPr="00A42BD5" w:rsidR="008D3AEF" w:rsidP="00C75F47" w:rsidRDefault="008D3AEF">
      <w:pPr>
        <w:pStyle w:val="ECHRPara"/>
        <w:rPr>
          <w:lang w:val="en-GB"/>
        </w:rPr>
      </w:pPr>
      <w:r w:rsidRPr="00A42BD5">
        <w:rPr>
          <w:lang w:val="en-GB"/>
        </w:rPr>
        <w:t>The European Court of Human Rights (Fourth Section), sitting on 3 September 2013 as a Chamber composed of:</w:t>
      </w:r>
    </w:p>
    <w:p w:rsidRPr="00A42BD5" w:rsidR="008D3AEF" w:rsidP="008D3AEF" w:rsidRDefault="008D3AEF">
      <w:pPr>
        <w:pStyle w:val="ECHRDecisionBody"/>
        <w:rPr>
          <w:lang w:val="en-GB"/>
        </w:rPr>
      </w:pPr>
      <w:r w:rsidRPr="00A42BD5">
        <w:rPr>
          <w:lang w:val="en-GB"/>
        </w:rPr>
        <w:tab/>
        <w:t>Ineta Ziemele, President,</w:t>
      </w:r>
    </w:p>
    <w:p w:rsidRPr="00A42BD5" w:rsidR="008D3AEF" w:rsidP="008D3AEF" w:rsidRDefault="008D3AEF">
      <w:pPr>
        <w:pStyle w:val="ECHRDecisionBody"/>
        <w:rPr>
          <w:lang w:val="en-GB"/>
        </w:rPr>
      </w:pPr>
      <w:r w:rsidRPr="00A42BD5">
        <w:rPr>
          <w:lang w:val="en-GB"/>
        </w:rPr>
        <w:tab/>
        <w:t xml:space="preserve">David </w:t>
      </w:r>
      <w:proofErr w:type="spellStart"/>
      <w:r w:rsidRPr="00A42BD5">
        <w:rPr>
          <w:lang w:val="en-GB"/>
        </w:rPr>
        <w:t>Thór</w:t>
      </w:r>
      <w:proofErr w:type="spellEnd"/>
      <w:r w:rsidRPr="00A42BD5">
        <w:rPr>
          <w:lang w:val="en-GB"/>
        </w:rPr>
        <w:t xml:space="preserve"> </w:t>
      </w:r>
      <w:proofErr w:type="spellStart"/>
      <w:r w:rsidRPr="00A42BD5">
        <w:rPr>
          <w:lang w:val="en-GB"/>
        </w:rPr>
        <w:t>Björgvinsson</w:t>
      </w:r>
      <w:proofErr w:type="spellEnd"/>
      <w:r w:rsidRPr="00A42BD5">
        <w:rPr>
          <w:lang w:val="en-GB"/>
        </w:rPr>
        <w:t>,</w:t>
      </w:r>
    </w:p>
    <w:p w:rsidRPr="00A42BD5" w:rsidR="008D3AEF" w:rsidP="008D3AEF" w:rsidRDefault="008D3AEF">
      <w:pPr>
        <w:pStyle w:val="ECHRDecisionBody"/>
        <w:rPr>
          <w:lang w:val="en-GB"/>
        </w:rPr>
      </w:pPr>
      <w:r w:rsidRPr="00A42BD5">
        <w:rPr>
          <w:lang w:val="en-GB"/>
        </w:rPr>
        <w:tab/>
        <w:t>George Nicolaou,</w:t>
      </w:r>
    </w:p>
    <w:p w:rsidRPr="00A42BD5" w:rsidR="008D3AEF" w:rsidP="008D3AEF" w:rsidRDefault="008D3AEF">
      <w:pPr>
        <w:pStyle w:val="ECHRDecisionBody"/>
        <w:rPr>
          <w:lang w:val="en-GB"/>
        </w:rPr>
      </w:pPr>
      <w:r w:rsidRPr="00A42BD5">
        <w:rPr>
          <w:lang w:val="en-GB"/>
        </w:rPr>
        <w:tab/>
      </w:r>
      <w:proofErr w:type="spellStart"/>
      <w:r w:rsidRPr="00A42BD5">
        <w:rPr>
          <w:lang w:val="en-GB"/>
        </w:rPr>
        <w:t>Ledi</w:t>
      </w:r>
      <w:proofErr w:type="spellEnd"/>
      <w:r w:rsidRPr="00A42BD5">
        <w:rPr>
          <w:lang w:val="en-GB"/>
        </w:rPr>
        <w:t xml:space="preserve"> </w:t>
      </w:r>
      <w:proofErr w:type="spellStart"/>
      <w:r w:rsidRPr="00A42BD5">
        <w:rPr>
          <w:lang w:val="en-GB"/>
        </w:rPr>
        <w:t>Bianku</w:t>
      </w:r>
      <w:proofErr w:type="spellEnd"/>
      <w:r w:rsidRPr="00A42BD5">
        <w:rPr>
          <w:lang w:val="en-GB"/>
        </w:rPr>
        <w:t>,</w:t>
      </w:r>
    </w:p>
    <w:p w:rsidRPr="00A42BD5" w:rsidR="008D3AEF" w:rsidP="008D3AEF" w:rsidRDefault="008D3AEF">
      <w:pPr>
        <w:pStyle w:val="ECHRDecisionBody"/>
        <w:rPr>
          <w:lang w:val="en-GB"/>
        </w:rPr>
      </w:pPr>
      <w:r w:rsidRPr="00A42BD5">
        <w:rPr>
          <w:lang w:val="en-GB"/>
        </w:rPr>
        <w:tab/>
        <w:t>Zdravka Kalaydjieva,</w:t>
      </w:r>
    </w:p>
    <w:p w:rsidRPr="00A42BD5" w:rsidR="008D3AEF" w:rsidP="008D3AEF" w:rsidRDefault="008D3AEF">
      <w:pPr>
        <w:pStyle w:val="ECHRDecisionBody"/>
        <w:rPr>
          <w:lang w:val="en-GB"/>
        </w:rPr>
      </w:pPr>
      <w:r w:rsidRPr="00A42BD5">
        <w:rPr>
          <w:lang w:val="en-GB"/>
        </w:rPr>
        <w:tab/>
        <w:t>Vincent A. De Gaetano,</w:t>
      </w:r>
    </w:p>
    <w:p w:rsidRPr="00A42BD5" w:rsidR="008D3AEF" w:rsidP="008D3AEF" w:rsidRDefault="008D3AEF">
      <w:pPr>
        <w:pStyle w:val="ECHRDecisionBody"/>
        <w:rPr>
          <w:lang w:val="en-GB"/>
        </w:rPr>
      </w:pPr>
      <w:r w:rsidRPr="00A42BD5">
        <w:rPr>
          <w:lang w:val="en-GB"/>
        </w:rPr>
        <w:tab/>
        <w:t xml:space="preserve">Paul Mahoney, </w:t>
      </w:r>
      <w:r w:rsidRPr="00A42BD5">
        <w:rPr>
          <w:i/>
          <w:lang w:val="en-GB"/>
        </w:rPr>
        <w:t>judges</w:t>
      </w:r>
      <w:r w:rsidRPr="00A42BD5">
        <w:rPr>
          <w:lang w:val="en-GB"/>
        </w:rPr>
        <w:t>,</w:t>
      </w:r>
    </w:p>
    <w:p w:rsidRPr="00A42BD5" w:rsidR="008D3AEF" w:rsidP="008D3AEF" w:rsidRDefault="008D3AEF">
      <w:pPr>
        <w:pStyle w:val="ECHRDecisionBody"/>
        <w:rPr>
          <w:lang w:val="en-GB"/>
        </w:rPr>
      </w:pPr>
      <w:proofErr w:type="gramStart"/>
      <w:r w:rsidRPr="00A42BD5">
        <w:rPr>
          <w:lang w:val="en-GB"/>
        </w:rPr>
        <w:t>and</w:t>
      </w:r>
      <w:proofErr w:type="gramEnd"/>
      <w:r w:rsidRPr="00A42BD5">
        <w:rPr>
          <w:lang w:val="en-GB"/>
        </w:rPr>
        <w:t xml:space="preserve"> Françoise Elens-Passos</w:t>
      </w:r>
      <w:r w:rsidRPr="00A42BD5">
        <w:rPr>
          <w:rStyle w:val="JuJudgesChar"/>
          <w:lang w:val="en-GB"/>
        </w:rPr>
        <w:t xml:space="preserve">, </w:t>
      </w:r>
      <w:r w:rsidRPr="00A42BD5">
        <w:rPr>
          <w:i/>
          <w:iCs/>
          <w:lang w:val="en-GB"/>
        </w:rPr>
        <w:t>Section Registrar</w:t>
      </w:r>
      <w:r w:rsidRPr="00A42BD5">
        <w:rPr>
          <w:i/>
          <w:lang w:val="en-GB"/>
        </w:rPr>
        <w:t>,</w:t>
      </w:r>
    </w:p>
    <w:p w:rsidRPr="00A42BD5" w:rsidR="008D3AEF" w:rsidP="00C75F47" w:rsidRDefault="008D3AEF">
      <w:pPr>
        <w:pStyle w:val="ECHRPara"/>
        <w:rPr>
          <w:lang w:val="en-GB"/>
        </w:rPr>
      </w:pPr>
      <w:r w:rsidRPr="00A42BD5">
        <w:rPr>
          <w:lang w:val="en-GB"/>
        </w:rPr>
        <w:t>Having regard to the above application lodged on 27 May 2009,</w:t>
      </w:r>
    </w:p>
    <w:p w:rsidRPr="00A42BD5" w:rsidR="008D3AEF" w:rsidP="00C75F47" w:rsidRDefault="008D3AEF">
      <w:pPr>
        <w:pStyle w:val="ECHRPara"/>
        <w:rPr>
          <w:lang w:val="en-GB"/>
        </w:rPr>
      </w:pPr>
      <w:r w:rsidRPr="00A42BD5">
        <w:rPr>
          <w:lang w:val="en-GB"/>
        </w:rPr>
        <w:t xml:space="preserve">Having regard to the observations submitted by the respondent Government and </w:t>
      </w:r>
      <w:r w:rsidRPr="00A42BD5">
        <w:rPr>
          <w:rStyle w:val="sb8d990e2"/>
          <w:lang w:val="en-GB"/>
        </w:rPr>
        <w:t>the observations in reply submitted by the applicant</w:t>
      </w:r>
      <w:r w:rsidRPr="00A42BD5">
        <w:rPr>
          <w:lang w:val="en-GB"/>
        </w:rPr>
        <w:t>,</w:t>
      </w:r>
    </w:p>
    <w:p w:rsidRPr="00A42BD5" w:rsidR="008D3AEF" w:rsidP="00C75F47" w:rsidRDefault="008D3AEF">
      <w:pPr>
        <w:pStyle w:val="ECHRPara"/>
        <w:rPr>
          <w:lang w:val="en-GB"/>
        </w:rPr>
      </w:pPr>
      <w:r w:rsidRPr="00A42BD5">
        <w:rPr>
          <w:lang w:val="en-GB"/>
        </w:rPr>
        <w:t>Having deliberated, decides as follows:</w:t>
      </w:r>
    </w:p>
    <w:p w:rsidRPr="00A42BD5" w:rsidR="008D3AEF" w:rsidP="00C75F47" w:rsidRDefault="008D3AEF">
      <w:pPr>
        <w:pStyle w:val="ECHRTitle1"/>
        <w:rPr>
          <w:lang w:val="en-GB"/>
        </w:rPr>
      </w:pPr>
      <w:r w:rsidRPr="00A42BD5">
        <w:rPr>
          <w:lang w:val="en-GB"/>
        </w:rPr>
        <w:t>THE FACTS</w:t>
      </w:r>
    </w:p>
    <w:p w:rsidRPr="00A42BD5" w:rsidR="008D3AEF" w:rsidP="00C75F47" w:rsidRDefault="008D3AEF">
      <w:pPr>
        <w:pStyle w:val="ECHRPara"/>
        <w:rPr>
          <w:lang w:val="en-GB"/>
        </w:rPr>
      </w:pPr>
      <w:r w:rsidRPr="00A42BD5">
        <w:rPr>
          <w:noProof/>
          <w:lang w:val="en-GB"/>
        </w:rPr>
        <w:t>1</w:t>
      </w:r>
      <w:r w:rsidRPr="00A42BD5">
        <w:rPr>
          <w:lang w:val="en-GB"/>
        </w:rPr>
        <w:t>.  The applicant, K.F., is a British national who was born in 1945 and lives in Redcar. The President granted the applicant</w:t>
      </w:r>
      <w:r w:rsidR="00AD04D3">
        <w:rPr>
          <w:lang w:val="en-GB"/>
        </w:rPr>
        <w:t>’</w:t>
      </w:r>
      <w:r w:rsidRPr="00A42BD5">
        <w:rPr>
          <w:lang w:val="en-GB"/>
        </w:rPr>
        <w:t xml:space="preserve">s request for his identity not to be disclosed to the public (Rule 47 § 3). He was represented before the Court by </w:t>
      </w:r>
      <w:proofErr w:type="spellStart"/>
      <w:r w:rsidRPr="00A42BD5">
        <w:rPr>
          <w:lang w:val="en-GB"/>
        </w:rPr>
        <w:t>QualitySolicitors</w:t>
      </w:r>
      <w:proofErr w:type="spellEnd"/>
      <w:r w:rsidRPr="00A42BD5">
        <w:rPr>
          <w:lang w:val="en-GB"/>
        </w:rPr>
        <w:t xml:space="preserve"> </w:t>
      </w:r>
      <w:proofErr w:type="spellStart"/>
      <w:r w:rsidRPr="00A42BD5">
        <w:rPr>
          <w:lang w:val="en-GB"/>
        </w:rPr>
        <w:t>Jordans</w:t>
      </w:r>
      <w:proofErr w:type="spellEnd"/>
      <w:r w:rsidRPr="00A42BD5">
        <w:rPr>
          <w:lang w:val="en-GB"/>
        </w:rPr>
        <w:t xml:space="preserve">, a firm of solicitors based in Doncaster. The Government were represented by Ms A. </w:t>
      </w:r>
      <w:proofErr w:type="spellStart"/>
      <w:r w:rsidRPr="00A42BD5">
        <w:rPr>
          <w:lang w:val="en-GB"/>
        </w:rPr>
        <w:t>Sornarajah</w:t>
      </w:r>
      <w:proofErr w:type="spellEnd"/>
      <w:r w:rsidRPr="00A42BD5">
        <w:rPr>
          <w:lang w:val="en-GB"/>
        </w:rPr>
        <w:t>, of the Foreign and Commonwealth Office.</w:t>
      </w:r>
    </w:p>
    <w:p w:rsidRPr="00A42BD5" w:rsidR="008D3AEF" w:rsidP="00C75F47" w:rsidRDefault="008D3AEF">
      <w:pPr>
        <w:pStyle w:val="ECHRHeading2"/>
        <w:rPr>
          <w:lang w:val="en-GB"/>
        </w:rPr>
      </w:pPr>
      <w:r w:rsidRPr="00A42BD5">
        <w:rPr>
          <w:lang w:val="en-GB"/>
        </w:rPr>
        <w:t>A.  The circumstances of the case</w:t>
      </w:r>
    </w:p>
    <w:p w:rsidRPr="00A42BD5" w:rsidR="008D3AEF" w:rsidP="00C75F47" w:rsidRDefault="008D3AEF">
      <w:pPr>
        <w:pStyle w:val="ECHRPara"/>
        <w:rPr>
          <w:lang w:val="en-GB"/>
        </w:rPr>
      </w:pPr>
      <w:r w:rsidRPr="00A42BD5">
        <w:rPr>
          <w:noProof/>
          <w:lang w:val="en-GB"/>
        </w:rPr>
        <w:t>2</w:t>
      </w:r>
      <w:r w:rsidRPr="00A42BD5">
        <w:rPr>
          <w:lang w:val="en-GB"/>
        </w:rPr>
        <w:t>.  On 3 March 2000 the applicant was convicted at the Crown Court of five counts of indecent assault on his daughter, aged between seven and nine at the time of the incidents in question. He was acquitted of count six. He was sentenced to three years</w:t>
      </w:r>
      <w:r w:rsidR="00AD04D3">
        <w:rPr>
          <w:lang w:val="en-GB"/>
        </w:rPr>
        <w:t>’</w:t>
      </w:r>
      <w:r w:rsidRPr="00A42BD5">
        <w:rPr>
          <w:lang w:val="en-GB"/>
        </w:rPr>
        <w:t xml:space="preserve"> imprisonment. His daughter</w:t>
      </w:r>
      <w:r w:rsidR="00AD04D3">
        <w:rPr>
          <w:lang w:val="en-GB"/>
        </w:rPr>
        <w:t>’</w:t>
      </w:r>
      <w:r w:rsidRPr="00A42BD5">
        <w:rPr>
          <w:lang w:val="en-GB"/>
        </w:rPr>
        <w:t>s evidence of indecent assault was supported by evidence from her grandmother, her mother and two doctors. The applicant</w:t>
      </w:r>
      <w:r w:rsidR="00AD04D3">
        <w:rPr>
          <w:lang w:val="en-GB"/>
        </w:rPr>
        <w:t>’</w:t>
      </w:r>
      <w:r w:rsidRPr="00A42BD5">
        <w:rPr>
          <w:lang w:val="en-GB"/>
        </w:rPr>
        <w:t>s defence was that the account given by the girl was made up by her at the instigation of her mother. In his summing up, the trial judge noted:</w:t>
      </w:r>
    </w:p>
    <w:p w:rsidRPr="00A42BD5" w:rsidR="008D3AEF" w:rsidP="00C75F47" w:rsidRDefault="008D3AEF">
      <w:pPr>
        <w:pStyle w:val="ECHRParaQuote"/>
        <w:rPr>
          <w:lang w:val="en-GB"/>
        </w:rPr>
      </w:pPr>
      <w:r w:rsidRPr="00A42BD5">
        <w:rPr>
          <w:lang w:val="en-GB"/>
        </w:rPr>
        <w:t xml:space="preserve">“If you accept the evidence of </w:t>
      </w:r>
      <w:proofErr w:type="spellStart"/>
      <w:r w:rsidRPr="00A42BD5">
        <w:rPr>
          <w:lang w:val="en-GB"/>
        </w:rPr>
        <w:t>Drs</w:t>
      </w:r>
      <w:r w:rsidRPr="00A42BD5" w:rsidR="00A42BD5">
        <w:rPr>
          <w:lang w:val="en-GB"/>
        </w:rPr>
        <w:t>.</w:t>
      </w:r>
      <w:proofErr w:type="spellEnd"/>
      <w:r w:rsidRPr="00A42BD5">
        <w:rPr>
          <w:lang w:val="en-GB"/>
        </w:rPr>
        <w:t xml:space="preserve"> Gough and </w:t>
      </w:r>
      <w:proofErr w:type="spellStart"/>
      <w:r w:rsidRPr="00A42BD5">
        <w:rPr>
          <w:lang w:val="en-GB"/>
        </w:rPr>
        <w:t>Askenasy</w:t>
      </w:r>
      <w:proofErr w:type="spellEnd"/>
      <w:r w:rsidRPr="00A42BD5">
        <w:rPr>
          <w:lang w:val="en-GB"/>
        </w:rPr>
        <w:t>, it is support, you may think powerful support, for the contention that this little girl was abused by somebody in the manner she describes, but nobody suggests that if they are wrong it in any way shows that there was no abuse.”</w:t>
      </w:r>
    </w:p>
    <w:p w:rsidRPr="00A42BD5" w:rsidR="008D3AEF" w:rsidP="00C75F47" w:rsidRDefault="008D3AEF">
      <w:pPr>
        <w:pStyle w:val="ECHRPara"/>
        <w:rPr>
          <w:lang w:val="en-GB"/>
        </w:rPr>
      </w:pPr>
      <w:r w:rsidRPr="00A42BD5">
        <w:rPr>
          <w:noProof/>
          <w:lang w:val="en-GB"/>
        </w:rPr>
        <w:t>3</w:t>
      </w:r>
      <w:r w:rsidRPr="00A42BD5">
        <w:rPr>
          <w:lang w:val="en-GB"/>
        </w:rPr>
        <w:t>.  The applicant</w:t>
      </w:r>
      <w:r w:rsidR="00AD04D3">
        <w:rPr>
          <w:lang w:val="en-GB"/>
        </w:rPr>
        <w:t>’</w:t>
      </w:r>
      <w:r w:rsidRPr="00A42BD5">
        <w:rPr>
          <w:lang w:val="en-GB"/>
        </w:rPr>
        <w:t>s application for leave to appeal against conviction was refused by the Court of Appeal on 12 January 2001.</w:t>
      </w:r>
    </w:p>
    <w:p w:rsidRPr="00A42BD5" w:rsidR="008D3AEF" w:rsidP="00C75F47" w:rsidRDefault="008D3AEF">
      <w:pPr>
        <w:pStyle w:val="ECHRPara"/>
        <w:rPr>
          <w:lang w:val="en-GB"/>
        </w:rPr>
      </w:pPr>
      <w:r w:rsidRPr="00A42BD5">
        <w:rPr>
          <w:noProof/>
          <w:lang w:val="en-GB"/>
        </w:rPr>
        <w:t>4</w:t>
      </w:r>
      <w:r w:rsidRPr="00A42BD5">
        <w:rPr>
          <w:lang w:val="en-GB"/>
        </w:rPr>
        <w:t>.  In April 2001 the applicant made an application to the Criminal Cases Review Commission (“CCRC”) to have his conviction referred to the Court of Appeal. In February 2002 the CCRC decided not to refer the case to the Court of Appeal.</w:t>
      </w:r>
    </w:p>
    <w:p w:rsidRPr="00A42BD5" w:rsidR="008D3AEF" w:rsidP="00C75F47" w:rsidRDefault="008D3AEF">
      <w:pPr>
        <w:pStyle w:val="ECHRPara"/>
        <w:rPr>
          <w:lang w:val="en-GB"/>
        </w:rPr>
      </w:pPr>
      <w:r w:rsidRPr="00A42BD5">
        <w:rPr>
          <w:noProof/>
          <w:lang w:val="en-GB"/>
        </w:rPr>
        <w:t>5</w:t>
      </w:r>
      <w:r w:rsidRPr="00A42BD5">
        <w:rPr>
          <w:lang w:val="en-GB"/>
        </w:rPr>
        <w:t>.  On 12 September 2005 the applicant applied again to the CCRC to have his conviction referred to the Court of Appeal. On 19 June 2007 the CCRC referred the conviction on four grounds, namely (</w:t>
      </w:r>
      <w:proofErr w:type="spellStart"/>
      <w:r w:rsidRPr="00A42BD5">
        <w:rPr>
          <w:lang w:val="en-GB"/>
        </w:rPr>
        <w:t>i</w:t>
      </w:r>
      <w:proofErr w:type="spellEnd"/>
      <w:r w:rsidRPr="00A42BD5">
        <w:rPr>
          <w:lang w:val="en-GB"/>
        </w:rPr>
        <w:t>) new medical evidence which suggested that the medical evidence relied on at trial was flawed; (ii) material relevant to the applicant</w:t>
      </w:r>
      <w:r w:rsidR="00AD04D3">
        <w:rPr>
          <w:lang w:val="en-GB"/>
        </w:rPr>
        <w:t>’</w:t>
      </w:r>
      <w:r w:rsidRPr="00A42BD5">
        <w:rPr>
          <w:lang w:val="en-GB"/>
        </w:rPr>
        <w:t>s defence that the allegation had been fabricated which had not been available to the defence; (iii) the jury</w:t>
      </w:r>
      <w:r w:rsidR="00AD04D3">
        <w:rPr>
          <w:lang w:val="en-GB"/>
        </w:rPr>
        <w:t>’</w:t>
      </w:r>
      <w:r w:rsidRPr="00A42BD5">
        <w:rPr>
          <w:lang w:val="en-GB"/>
        </w:rPr>
        <w:t>s acquittal on count six was logically inconsistent with subsequent convictions on the remaining counts; and (iv) material misdirection in respect of the recent complaint evidence.</w:t>
      </w:r>
    </w:p>
    <w:p w:rsidRPr="00A42BD5" w:rsidR="008D3AEF" w:rsidP="00C75F47" w:rsidRDefault="008D3AEF">
      <w:pPr>
        <w:pStyle w:val="ECHRPara"/>
        <w:rPr>
          <w:lang w:val="en-GB"/>
        </w:rPr>
      </w:pPr>
      <w:r w:rsidRPr="00A42BD5">
        <w:rPr>
          <w:noProof/>
          <w:lang w:val="en-GB"/>
        </w:rPr>
        <w:t>6</w:t>
      </w:r>
      <w:r w:rsidRPr="00A42BD5">
        <w:rPr>
          <w:lang w:val="en-GB"/>
        </w:rPr>
        <w:t>.  On 8 October 2007 his conviction was quashed by the Court of Appeal; the prosecution did not oppose the appeal. Although all four grounds to which the CCRC report referred were before the court, it made reference only to the first ground. Latham LJ noted:</w:t>
      </w:r>
    </w:p>
    <w:p w:rsidRPr="00A42BD5" w:rsidR="008D3AEF" w:rsidP="00C75F47" w:rsidRDefault="008D3AEF">
      <w:pPr>
        <w:pStyle w:val="ECHRParaQuote"/>
        <w:rPr>
          <w:lang w:val="en-GB"/>
        </w:rPr>
      </w:pPr>
      <w:r w:rsidRPr="00A42BD5">
        <w:rPr>
          <w:lang w:val="en-GB"/>
        </w:rPr>
        <w:t>“4. ... There is now clear medical evidence to cast doubt on the views expressed by the two doctors at the trial referred to by the judge. Bearing in mind the terms in which the judge put that evidence to the jury, the fact that there is such doubt cast on their evidence means that this conviction cannot be safe and is accordingly quashed.”</w:t>
      </w:r>
    </w:p>
    <w:p w:rsidRPr="00A42BD5" w:rsidR="008D3AEF" w:rsidP="00C75F47" w:rsidRDefault="008D3AEF">
      <w:pPr>
        <w:pStyle w:val="ECHRPara"/>
        <w:rPr>
          <w:lang w:val="en-GB"/>
        </w:rPr>
      </w:pPr>
      <w:r w:rsidRPr="00A42BD5">
        <w:rPr>
          <w:noProof/>
          <w:lang w:val="en-GB"/>
        </w:rPr>
        <w:t>7</w:t>
      </w:r>
      <w:r w:rsidRPr="00A42BD5">
        <w:rPr>
          <w:lang w:val="en-GB"/>
        </w:rPr>
        <w:t>.  He continued:</w:t>
      </w:r>
    </w:p>
    <w:p w:rsidRPr="00A42BD5" w:rsidR="008D3AEF" w:rsidP="00C75F47" w:rsidRDefault="008D3AEF">
      <w:pPr>
        <w:pStyle w:val="ECHRParaQuote"/>
        <w:rPr>
          <w:lang w:val="en-GB"/>
        </w:rPr>
      </w:pPr>
      <w:r w:rsidRPr="00A42BD5">
        <w:rPr>
          <w:lang w:val="en-GB"/>
        </w:rPr>
        <w:t>“</w:t>
      </w:r>
      <w:bookmarkStart w:name="para5" w:id="1"/>
      <w:r w:rsidRPr="00A42BD5">
        <w:rPr>
          <w:lang w:val="en-GB"/>
        </w:rPr>
        <w:t>The situation is that although at one stage the prosecution were minded to ask for a retrial, the position has now been reached which makes it plain that a retrial will be inappropriate. It is not therefore pursued, and accordingly the only order that we need make today is that the conviction of this appellant is quashed</w:t>
      </w:r>
      <w:bookmarkEnd w:id="1"/>
      <w:r w:rsidRPr="00A42BD5">
        <w:rPr>
          <w:lang w:val="en-GB"/>
        </w:rPr>
        <w:t>.”</w:t>
      </w:r>
    </w:p>
    <w:p w:rsidRPr="00A42BD5" w:rsidR="008D3AEF" w:rsidP="00C75F47" w:rsidRDefault="008D3AEF">
      <w:pPr>
        <w:pStyle w:val="ECHRPara"/>
        <w:rPr>
          <w:lang w:val="en-GB"/>
        </w:rPr>
      </w:pPr>
      <w:r w:rsidRPr="00A42BD5">
        <w:rPr>
          <w:noProof/>
          <w:lang w:val="en-GB"/>
        </w:rPr>
        <w:t>8</w:t>
      </w:r>
      <w:r w:rsidRPr="00A42BD5">
        <w:rPr>
          <w:lang w:val="en-GB"/>
        </w:rPr>
        <w:t>.  The applicant made a claim for compensation pursuant to section 133 of the Criminal Justice Act 1988 (“the 1988 Act”).</w:t>
      </w:r>
    </w:p>
    <w:p w:rsidRPr="00A42BD5" w:rsidR="008D3AEF" w:rsidP="00C75F47" w:rsidRDefault="008D3AEF">
      <w:pPr>
        <w:pStyle w:val="ECHRPara"/>
        <w:rPr>
          <w:lang w:val="en-GB"/>
        </w:rPr>
      </w:pPr>
      <w:r w:rsidRPr="00A42BD5">
        <w:rPr>
          <w:noProof/>
          <w:lang w:val="en-GB"/>
        </w:rPr>
        <w:t>9</w:t>
      </w:r>
      <w:r w:rsidRPr="00A42BD5">
        <w:rPr>
          <w:lang w:val="en-GB"/>
        </w:rPr>
        <w:t>.  On 22 October 2008 the claim was refused by the Secretary of State on the basis that he did not accept that the applicant</w:t>
      </w:r>
      <w:r w:rsidR="00AD04D3">
        <w:rPr>
          <w:lang w:val="en-GB"/>
        </w:rPr>
        <w:t>’</w:t>
      </w:r>
      <w:r w:rsidRPr="00A42BD5">
        <w:rPr>
          <w:lang w:val="en-GB"/>
        </w:rPr>
        <w:t>s conviction was quashed on the grounds that the facts showed “beyond reasonable doubt that there had been a miscarriage of justice”. The letter continued:</w:t>
      </w:r>
    </w:p>
    <w:p w:rsidRPr="00A42BD5" w:rsidR="008D3AEF" w:rsidP="00C75F47" w:rsidRDefault="008D3AEF">
      <w:pPr>
        <w:pStyle w:val="ECHRParaQuote"/>
        <w:rPr>
          <w:lang w:val="en-GB"/>
        </w:rPr>
      </w:pPr>
      <w:r w:rsidRPr="00A42BD5">
        <w:rPr>
          <w:lang w:val="en-GB"/>
        </w:rPr>
        <w:t>“All that can be said is that the jury may or may not have convicted [the applicant] had the new evidence been available.”</w:t>
      </w:r>
    </w:p>
    <w:p w:rsidRPr="00A42BD5" w:rsidR="008D3AEF" w:rsidP="00C75F47" w:rsidRDefault="008D3AEF">
      <w:pPr>
        <w:pStyle w:val="ECHRPara"/>
        <w:rPr>
          <w:lang w:val="en-GB"/>
        </w:rPr>
      </w:pPr>
      <w:r w:rsidRPr="00A42BD5">
        <w:rPr>
          <w:noProof/>
          <w:lang w:val="en-GB"/>
        </w:rPr>
        <w:t>10</w:t>
      </w:r>
      <w:r w:rsidRPr="00A42BD5">
        <w:rPr>
          <w:lang w:val="en-GB"/>
        </w:rPr>
        <w:t xml:space="preserve">.  In January 2009 the applicant was advised by his lawyer that he did not have grounds for judicial review of the decision in light of the House of Lords decision in </w:t>
      </w:r>
      <w:r w:rsidRPr="00A42BD5">
        <w:rPr>
          <w:i/>
          <w:lang w:val="en-GB"/>
        </w:rPr>
        <w:t>R (Mullen) v. Secretary of State for the Home Department</w:t>
      </w:r>
      <w:r w:rsidRPr="00A42BD5">
        <w:rPr>
          <w:lang w:val="en-GB"/>
        </w:rPr>
        <w:t xml:space="preserve"> [2004] UKHL 18 and the Court of Appeal judgment in </w:t>
      </w:r>
      <w:r w:rsidRPr="00A42BD5">
        <w:rPr>
          <w:i/>
          <w:lang w:val="en-GB"/>
        </w:rPr>
        <w:t>R (Allen) v. Secretary of State for the Home Department</w:t>
      </w:r>
      <w:r w:rsidRPr="00A42BD5">
        <w:rPr>
          <w:lang w:val="en-GB"/>
        </w:rPr>
        <w:t xml:space="preserve"> [2008] EWCA </w:t>
      </w:r>
      <w:proofErr w:type="spellStart"/>
      <w:r w:rsidRPr="00A42BD5">
        <w:rPr>
          <w:lang w:val="en-GB"/>
        </w:rPr>
        <w:t>Civ</w:t>
      </w:r>
      <w:proofErr w:type="spellEnd"/>
      <w:r w:rsidRPr="00A42BD5">
        <w:rPr>
          <w:lang w:val="en-GB"/>
        </w:rPr>
        <w:t xml:space="preserve"> 808.</w:t>
      </w:r>
    </w:p>
    <w:p w:rsidRPr="00A42BD5" w:rsidR="008D3AEF" w:rsidP="00C75F47" w:rsidRDefault="008D3AEF">
      <w:pPr>
        <w:pStyle w:val="ECHRHeading2"/>
        <w:rPr>
          <w:lang w:val="en-GB"/>
        </w:rPr>
      </w:pPr>
      <w:r w:rsidRPr="00A42BD5">
        <w:rPr>
          <w:lang w:val="en-GB"/>
        </w:rPr>
        <w:t>B.  Relevant domestic and international law and practice</w:t>
      </w:r>
    </w:p>
    <w:p w:rsidRPr="00A42BD5" w:rsidR="008D3AEF" w:rsidP="00C75F47" w:rsidRDefault="008D3AEF">
      <w:pPr>
        <w:pStyle w:val="ECHRPara"/>
        <w:rPr>
          <w:lang w:val="en-GB"/>
        </w:rPr>
      </w:pPr>
      <w:r w:rsidRPr="00A42BD5">
        <w:rPr>
          <w:noProof/>
          <w:lang w:val="en-GB"/>
        </w:rPr>
        <w:t>11</w:t>
      </w:r>
      <w:r w:rsidRPr="00A42BD5">
        <w:rPr>
          <w:lang w:val="en-GB"/>
        </w:rPr>
        <w:t xml:space="preserve">.  For a summary of the relevant domestic and international law and practice, see the judgement of the Grand Chamber in </w:t>
      </w:r>
      <w:r w:rsidRPr="00A42BD5">
        <w:rPr>
          <w:i/>
          <w:lang w:val="en-GB"/>
        </w:rPr>
        <w:t>Allen v. the United Kingdom</w:t>
      </w:r>
      <w:r w:rsidRPr="00A42BD5">
        <w:rPr>
          <w:lang w:val="en-GB"/>
        </w:rPr>
        <w:t xml:space="preserve"> [GC], no. 25424/09, §§ 43-77, 12 July 2013.</w:t>
      </w:r>
    </w:p>
    <w:p w:rsidRPr="00A42BD5" w:rsidR="008D3AEF" w:rsidP="00C75F47" w:rsidRDefault="008D3AEF">
      <w:pPr>
        <w:pStyle w:val="ECHRTitle1"/>
        <w:rPr>
          <w:lang w:val="en-GB"/>
        </w:rPr>
      </w:pPr>
      <w:r w:rsidRPr="00A42BD5">
        <w:rPr>
          <w:lang w:val="en-GB"/>
        </w:rPr>
        <w:t>COMPLAINTS</w:t>
      </w:r>
    </w:p>
    <w:p w:rsidRPr="00A42BD5" w:rsidR="008D3AEF" w:rsidP="00C75F47" w:rsidRDefault="008D3AEF">
      <w:pPr>
        <w:pStyle w:val="ECHRPara"/>
        <w:rPr>
          <w:lang w:val="en-GB"/>
        </w:rPr>
      </w:pPr>
      <w:r w:rsidRPr="00A42BD5">
        <w:rPr>
          <w:noProof/>
          <w:lang w:val="en-GB"/>
        </w:rPr>
        <w:t>12</w:t>
      </w:r>
      <w:r w:rsidRPr="00A42BD5">
        <w:rPr>
          <w:lang w:val="en-GB"/>
        </w:rPr>
        <w:t>.  The applicant complained under Article 6 §§ 1 and 3 (c) of the Convention that he did not have a fair trial in the proceedings before the Crown Court.</w:t>
      </w:r>
    </w:p>
    <w:p w:rsidRPr="00A42BD5" w:rsidR="008D3AEF" w:rsidP="00C75F47" w:rsidRDefault="008D3AEF">
      <w:pPr>
        <w:pStyle w:val="ECHRPara"/>
        <w:rPr>
          <w:lang w:val="en-GB"/>
        </w:rPr>
      </w:pPr>
      <w:r w:rsidRPr="00A42BD5">
        <w:rPr>
          <w:noProof/>
          <w:lang w:val="en-GB"/>
        </w:rPr>
        <w:t>13</w:t>
      </w:r>
      <w:r w:rsidRPr="00A42BD5">
        <w:rPr>
          <w:lang w:val="en-GB"/>
        </w:rPr>
        <w:t>.  He further complained under Article 5 § 5, Article 6 § 2 and Ar</w:t>
      </w:r>
      <w:r w:rsidR="003250FB">
        <w:rPr>
          <w:lang w:val="en-GB"/>
        </w:rPr>
        <w:t>ticle </w:t>
      </w:r>
      <w:r w:rsidRPr="00A42BD5">
        <w:rPr>
          <w:lang w:val="en-GB"/>
        </w:rPr>
        <w:t>3 of Protocol No. 7 that he did not receive compensation for his wrongful conviction because judicial interpretation of section 133 of the 1988 Act had established that no compensation was payable where a person whose conviction was quashed on appeal might still have been convicted by a jury had the medical evidence been available to it.</w:t>
      </w:r>
    </w:p>
    <w:p w:rsidRPr="00A42BD5" w:rsidR="008D3AEF" w:rsidP="00C75F47" w:rsidRDefault="008D3AEF">
      <w:pPr>
        <w:pStyle w:val="ECHRTitle1"/>
        <w:rPr>
          <w:lang w:val="en-GB"/>
        </w:rPr>
      </w:pPr>
      <w:r w:rsidRPr="00A42BD5">
        <w:rPr>
          <w:lang w:val="en-GB"/>
        </w:rPr>
        <w:t>THE LAW</w:t>
      </w:r>
    </w:p>
    <w:p w:rsidRPr="00A42BD5" w:rsidR="008D3AEF" w:rsidP="00C75F47" w:rsidRDefault="008D3AEF">
      <w:pPr>
        <w:pStyle w:val="ECHRHeading1"/>
        <w:rPr>
          <w:lang w:val="en-GB"/>
        </w:rPr>
      </w:pPr>
      <w:r w:rsidRPr="00A42BD5">
        <w:rPr>
          <w:lang w:val="en-GB"/>
        </w:rPr>
        <w:t>I. THE CRIMINAL TRIAL</w:t>
      </w:r>
    </w:p>
    <w:p w:rsidRPr="00A42BD5" w:rsidR="008D3AEF" w:rsidP="00C75F47" w:rsidRDefault="008D3AEF">
      <w:pPr>
        <w:pStyle w:val="ECHRPara"/>
        <w:rPr>
          <w:lang w:val="en-GB"/>
        </w:rPr>
      </w:pPr>
      <w:r w:rsidRPr="00A42BD5">
        <w:rPr>
          <w:noProof/>
          <w:lang w:val="en-GB"/>
        </w:rPr>
        <w:t>14</w:t>
      </w:r>
      <w:r w:rsidRPr="00A42BD5">
        <w:rPr>
          <w:lang w:val="en-GB"/>
        </w:rPr>
        <w:t>.  The applicant, relying on Article 6 §§ 1 and 3 (c) of the Convention, complained that his trial before the Crown Court was unfair.</w:t>
      </w:r>
    </w:p>
    <w:p w:rsidRPr="00A42BD5" w:rsidR="008D3AEF" w:rsidP="00C75F47" w:rsidRDefault="008D3AEF">
      <w:pPr>
        <w:pStyle w:val="ECHRPara"/>
        <w:rPr>
          <w:lang w:val="en-GB"/>
        </w:rPr>
      </w:pPr>
      <w:r w:rsidRPr="00A42BD5">
        <w:rPr>
          <w:noProof/>
          <w:lang w:val="en-GB"/>
        </w:rPr>
        <w:t>15</w:t>
      </w:r>
      <w:r w:rsidRPr="00A42BD5">
        <w:rPr>
          <w:lang w:val="en-GB"/>
        </w:rPr>
        <w:t>.  It is clear from the Court</w:t>
      </w:r>
      <w:r w:rsidR="00AD04D3">
        <w:rPr>
          <w:lang w:val="en-GB"/>
        </w:rPr>
        <w:t>’</w:t>
      </w:r>
      <w:r w:rsidRPr="00A42BD5">
        <w:rPr>
          <w:lang w:val="en-GB"/>
        </w:rPr>
        <w:t>s case-law that an accused</w:t>
      </w:r>
      <w:r w:rsidR="00AD04D3">
        <w:rPr>
          <w:lang w:val="en-GB"/>
        </w:rPr>
        <w:t>’</w:t>
      </w:r>
      <w:r w:rsidRPr="00A42BD5">
        <w:rPr>
          <w:lang w:val="en-GB"/>
        </w:rPr>
        <w:t xml:space="preserve">s acquittal in general precludes that person from claiming to be a victim of a violation of the procedural guarantees of Article 6 (see </w:t>
      </w:r>
      <w:r w:rsidRPr="00A42BD5">
        <w:rPr>
          <w:i/>
          <w:lang w:val="en-GB" w:eastAsia="en-US"/>
        </w:rPr>
        <w:t xml:space="preserve">Heaney and </w:t>
      </w:r>
      <w:proofErr w:type="spellStart"/>
      <w:r w:rsidRPr="00A42BD5">
        <w:rPr>
          <w:i/>
          <w:lang w:val="en-GB" w:eastAsia="en-US"/>
        </w:rPr>
        <w:t>McGuinness</w:t>
      </w:r>
      <w:proofErr w:type="spellEnd"/>
      <w:r w:rsidRPr="00A42BD5">
        <w:rPr>
          <w:i/>
          <w:lang w:val="en-GB" w:eastAsia="en-US"/>
        </w:rPr>
        <w:t xml:space="preserve"> v. Ireland</w:t>
      </w:r>
      <w:r w:rsidRPr="00A42BD5">
        <w:rPr>
          <w:lang w:val="en-GB" w:eastAsia="en-US"/>
        </w:rPr>
        <w:t>, no. 34720/97, § 43, ECHR 2000</w:t>
      </w:r>
      <w:r w:rsidRPr="00A42BD5">
        <w:rPr>
          <w:lang w:val="en-GB" w:eastAsia="en-US"/>
        </w:rPr>
        <w:noBreakHyphen/>
        <w:t xml:space="preserve">XII; </w:t>
      </w:r>
      <w:proofErr w:type="spellStart"/>
      <w:r w:rsidRPr="00A42BD5">
        <w:rPr>
          <w:i/>
          <w:szCs w:val="24"/>
          <w:lang w:val="en-GB" w:eastAsia="en-US"/>
        </w:rPr>
        <w:t>Leszczak</w:t>
      </w:r>
      <w:proofErr w:type="spellEnd"/>
      <w:r w:rsidRPr="00A42BD5">
        <w:rPr>
          <w:i/>
          <w:szCs w:val="24"/>
          <w:lang w:val="en-GB" w:eastAsia="en-US"/>
        </w:rPr>
        <w:t xml:space="preserve"> v. Poland</w:t>
      </w:r>
      <w:r w:rsidRPr="00A42BD5">
        <w:rPr>
          <w:szCs w:val="24"/>
          <w:lang w:val="en-GB" w:eastAsia="en-US"/>
        </w:rPr>
        <w:t xml:space="preserve"> (</w:t>
      </w:r>
      <w:proofErr w:type="spellStart"/>
      <w:r w:rsidRPr="00A42BD5">
        <w:rPr>
          <w:szCs w:val="24"/>
          <w:lang w:val="en-GB" w:eastAsia="en-US"/>
        </w:rPr>
        <w:t>dec.</w:t>
      </w:r>
      <w:proofErr w:type="spellEnd"/>
      <w:r w:rsidRPr="00A42BD5">
        <w:rPr>
          <w:szCs w:val="24"/>
          <w:lang w:val="en-GB" w:eastAsia="en-US"/>
        </w:rPr>
        <w:t xml:space="preserve">), no. 36576/03, 19 May 2005; and </w:t>
      </w:r>
      <w:proofErr w:type="spellStart"/>
      <w:r w:rsidRPr="00A42BD5">
        <w:rPr>
          <w:i/>
          <w:lang w:val="en-GB" w:eastAsia="en-US"/>
        </w:rPr>
        <w:t>Marttinen</w:t>
      </w:r>
      <w:proofErr w:type="spellEnd"/>
      <w:r w:rsidRPr="00A42BD5">
        <w:rPr>
          <w:i/>
          <w:lang w:val="en-GB" w:eastAsia="en-US"/>
        </w:rPr>
        <w:t xml:space="preserve"> v. Finland</w:t>
      </w:r>
      <w:r w:rsidRPr="00A42BD5">
        <w:rPr>
          <w:lang w:val="en-GB" w:eastAsia="en-US"/>
        </w:rPr>
        <w:t>, no. 19235/03, § 64, 21 April 2009</w:t>
      </w:r>
      <w:r w:rsidRPr="00A42BD5">
        <w:rPr>
          <w:lang w:val="en-GB"/>
        </w:rPr>
        <w:t>).</w:t>
      </w:r>
    </w:p>
    <w:p w:rsidRPr="00A42BD5" w:rsidR="008D3AEF" w:rsidP="00C75F47" w:rsidRDefault="008D3AEF">
      <w:pPr>
        <w:pStyle w:val="ECHRPara"/>
        <w:rPr>
          <w:lang w:val="en-GB"/>
        </w:rPr>
      </w:pPr>
      <w:r w:rsidRPr="00A42BD5">
        <w:rPr>
          <w:noProof/>
          <w:szCs w:val="24"/>
          <w:lang w:val="en-GB" w:eastAsia="en-US"/>
        </w:rPr>
        <w:t>16</w:t>
      </w:r>
      <w:r w:rsidRPr="00A42BD5">
        <w:rPr>
          <w:szCs w:val="24"/>
          <w:lang w:val="en-GB" w:eastAsia="en-US"/>
        </w:rPr>
        <w:t>.  The applicant</w:t>
      </w:r>
      <w:r w:rsidR="00AD04D3">
        <w:rPr>
          <w:szCs w:val="24"/>
          <w:lang w:val="en-GB" w:eastAsia="en-US"/>
        </w:rPr>
        <w:t>’</w:t>
      </w:r>
      <w:r w:rsidRPr="00A42BD5">
        <w:rPr>
          <w:szCs w:val="24"/>
          <w:lang w:val="en-GB" w:eastAsia="en-US"/>
        </w:rPr>
        <w:t xml:space="preserve">s conviction was quashed in 2007 and no retrial was ordered. The Court is therefore satisfied that the applicant </w:t>
      </w:r>
      <w:r w:rsidRPr="00A42BD5">
        <w:rPr>
          <w:lang w:val="en-GB"/>
        </w:rPr>
        <w:t xml:space="preserve">can no longer be considered a victim of any alleged violation of the general procedural guarantees of Article 6 of the Convention. His complaints under this head are incompatible </w:t>
      </w:r>
      <w:proofErr w:type="spellStart"/>
      <w:r w:rsidRPr="00A42BD5">
        <w:rPr>
          <w:i/>
          <w:lang w:val="en-GB"/>
        </w:rPr>
        <w:t>ratione</w:t>
      </w:r>
      <w:proofErr w:type="spellEnd"/>
      <w:r w:rsidRPr="00A42BD5">
        <w:rPr>
          <w:i/>
          <w:lang w:val="en-GB"/>
        </w:rPr>
        <w:t xml:space="preserve"> personae</w:t>
      </w:r>
      <w:r w:rsidRPr="00A42BD5">
        <w:rPr>
          <w:lang w:val="en-GB"/>
        </w:rPr>
        <w:t xml:space="preserve"> with the provisions of the Convention within the meaning of Article 35 § 3 (a) of the Convention and must be rejected in accordance with Article 35 § 4.</w:t>
      </w:r>
    </w:p>
    <w:p w:rsidRPr="00A42BD5" w:rsidR="008D3AEF" w:rsidP="00C75F47" w:rsidRDefault="008D3AEF">
      <w:pPr>
        <w:pStyle w:val="ECHRHeading1"/>
        <w:rPr>
          <w:lang w:val="en-GB"/>
        </w:rPr>
      </w:pPr>
      <w:r w:rsidRPr="00A42BD5">
        <w:rPr>
          <w:lang w:val="en-GB"/>
        </w:rPr>
        <w:t>II. THE REFUSAL TO AWARD COMPENSATION</w:t>
      </w:r>
    </w:p>
    <w:p w:rsidRPr="00A42BD5" w:rsidR="008D3AEF" w:rsidP="00C75F47" w:rsidRDefault="008D3AEF">
      <w:pPr>
        <w:pStyle w:val="ECHRPara"/>
        <w:rPr>
          <w:lang w:val="en-GB"/>
        </w:rPr>
      </w:pPr>
      <w:r w:rsidRPr="00A42BD5">
        <w:rPr>
          <w:noProof/>
          <w:lang w:val="en-GB"/>
        </w:rPr>
        <w:t>17</w:t>
      </w:r>
      <w:r w:rsidRPr="00A42BD5">
        <w:rPr>
          <w:lang w:val="en-GB"/>
        </w:rPr>
        <w:t>.  The applicant complained that the refusal to grant him compensation constituted a violation of Article 5 § 5, Article 6 § 2 and Article 3 of Protocol No. 7 to the Convention.</w:t>
      </w:r>
    </w:p>
    <w:p w:rsidRPr="00A42BD5" w:rsidR="008D3AEF" w:rsidP="00C75F47" w:rsidRDefault="008D3AEF">
      <w:pPr>
        <w:pStyle w:val="ECHRPara"/>
        <w:rPr>
          <w:rStyle w:val="sb8d990e2"/>
          <w:lang w:val="en-GB"/>
        </w:rPr>
      </w:pPr>
      <w:r w:rsidRPr="00A42BD5">
        <w:rPr>
          <w:rStyle w:val="sb8d990e2"/>
          <w:noProof/>
          <w:lang w:val="en-GB"/>
        </w:rPr>
        <w:t>18</w:t>
      </w:r>
      <w:r w:rsidRPr="00A42BD5">
        <w:rPr>
          <w:rStyle w:val="sb8d990e2"/>
          <w:lang w:val="en-GB"/>
        </w:rPr>
        <w:t xml:space="preserve">.  Article 5 § 5 </w:t>
      </w:r>
      <w:proofErr w:type="gramStart"/>
      <w:r w:rsidRPr="00A42BD5">
        <w:rPr>
          <w:rStyle w:val="sb8d990e2"/>
          <w:lang w:val="en-GB"/>
        </w:rPr>
        <w:t>provides</w:t>
      </w:r>
      <w:proofErr w:type="gramEnd"/>
      <w:r w:rsidRPr="00A42BD5">
        <w:rPr>
          <w:rStyle w:val="sb8d990e2"/>
          <w:lang w:val="en-GB"/>
        </w:rPr>
        <w:t>:</w:t>
      </w:r>
    </w:p>
    <w:p w:rsidRPr="00A42BD5" w:rsidR="008D3AEF" w:rsidP="00C75F47" w:rsidRDefault="008D3AEF">
      <w:pPr>
        <w:pStyle w:val="ECHRParaQuote"/>
        <w:rPr>
          <w:rStyle w:val="sb8d990e2"/>
          <w:lang w:val="en-GB"/>
        </w:rPr>
      </w:pPr>
      <w:r w:rsidRPr="00A42BD5">
        <w:rPr>
          <w:lang w:val="en-GB"/>
        </w:rPr>
        <w:t>“Everyone who has been the victim of arrest or detention in contravention of the provisions of this Article shall have an enforceable right to compensation.”</w:t>
      </w:r>
    </w:p>
    <w:p w:rsidRPr="00A42BD5" w:rsidR="008D3AEF" w:rsidP="00C75F47" w:rsidRDefault="008D3AEF">
      <w:pPr>
        <w:pStyle w:val="ECHRPara"/>
        <w:rPr>
          <w:rStyle w:val="sb8d990e2"/>
          <w:lang w:val="en-GB"/>
        </w:rPr>
      </w:pPr>
      <w:r w:rsidRPr="00A42BD5">
        <w:rPr>
          <w:rStyle w:val="sb8d990e2"/>
          <w:noProof/>
          <w:lang w:val="en-GB"/>
        </w:rPr>
        <w:t>19</w:t>
      </w:r>
      <w:r w:rsidRPr="00A42BD5">
        <w:rPr>
          <w:rStyle w:val="sb8d990e2"/>
          <w:lang w:val="en-GB"/>
        </w:rPr>
        <w:t>.  It guarantees an enforceable right to compensation only to those who have been the victims of arrest or detention in contravention of the provisions of Article 5 (see</w:t>
      </w:r>
      <w:r w:rsidRPr="00A42BD5">
        <w:rPr>
          <w:i/>
          <w:lang w:val="en-GB" w:eastAsia="en-US"/>
        </w:rPr>
        <w:t xml:space="preserve"> </w:t>
      </w:r>
      <w:proofErr w:type="spellStart"/>
      <w:r w:rsidRPr="00A42BD5">
        <w:rPr>
          <w:i/>
          <w:lang w:val="en-GB" w:eastAsia="en-US"/>
        </w:rPr>
        <w:t>Benham</w:t>
      </w:r>
      <w:proofErr w:type="spellEnd"/>
      <w:r w:rsidRPr="00A42BD5">
        <w:rPr>
          <w:i/>
          <w:lang w:val="en-GB" w:eastAsia="en-US"/>
        </w:rPr>
        <w:t xml:space="preserve"> v. the United Kingdom</w:t>
      </w:r>
      <w:r w:rsidRPr="00A42BD5">
        <w:rPr>
          <w:lang w:val="en-GB" w:eastAsia="en-US"/>
        </w:rPr>
        <w:t xml:space="preserve">, 10 June 1996, § 50, </w:t>
      </w:r>
      <w:r w:rsidRPr="00A42BD5">
        <w:rPr>
          <w:i/>
          <w:lang w:val="en-GB" w:eastAsia="en-US"/>
        </w:rPr>
        <w:t>Reports of Judgments and Decisions</w:t>
      </w:r>
      <w:r w:rsidRPr="00A42BD5">
        <w:rPr>
          <w:lang w:val="en-GB" w:eastAsia="en-US"/>
        </w:rPr>
        <w:t xml:space="preserve"> 1996</w:t>
      </w:r>
      <w:r w:rsidRPr="00A42BD5">
        <w:rPr>
          <w:lang w:val="en-GB" w:eastAsia="en-US"/>
        </w:rPr>
        <w:noBreakHyphen/>
        <w:t>III</w:t>
      </w:r>
      <w:r w:rsidRPr="00A42BD5">
        <w:rPr>
          <w:rStyle w:val="sb8d990e2"/>
          <w:lang w:val="en-GB"/>
        </w:rPr>
        <w:t xml:space="preserve">). </w:t>
      </w:r>
      <w:r w:rsidRPr="00A42BD5">
        <w:rPr>
          <w:lang w:val="en-GB"/>
        </w:rPr>
        <w:t>The applicant has not suggested that he has been arrested or detained in contravention of the provisions of Article 5 in the present case. It is noteworthy in this respect that the Court</w:t>
      </w:r>
      <w:r w:rsidRPr="00A42BD5">
        <w:rPr>
          <w:rStyle w:val="sb8d990e2"/>
          <w:lang w:val="en-GB"/>
        </w:rPr>
        <w:t xml:space="preserve"> has consistently refused to uphold applications from persons convicted of criminal offences who complain that their convictions or sentences were found by the appellate courts to have been based on errors of fact or law (see </w:t>
      </w:r>
      <w:proofErr w:type="spellStart"/>
      <w:r w:rsidRPr="00A42BD5">
        <w:rPr>
          <w:rStyle w:val="sb8d990e2"/>
          <w:i/>
          <w:lang w:val="en-GB"/>
        </w:rPr>
        <w:t>Benham</w:t>
      </w:r>
      <w:proofErr w:type="spellEnd"/>
      <w:r w:rsidRPr="00A42BD5">
        <w:rPr>
          <w:rStyle w:val="sb8d990e2"/>
          <w:lang w:val="en-GB"/>
        </w:rPr>
        <w:t>, cited above, § 42). Article 5 § 5 is therefore not applicable in the present case and the applicant</w:t>
      </w:r>
      <w:r w:rsidR="00AD04D3">
        <w:rPr>
          <w:rStyle w:val="sb8d990e2"/>
          <w:lang w:val="en-GB"/>
        </w:rPr>
        <w:t>’</w:t>
      </w:r>
      <w:r w:rsidRPr="00A42BD5">
        <w:rPr>
          <w:rStyle w:val="sb8d990e2"/>
          <w:lang w:val="en-GB"/>
        </w:rPr>
        <w:t xml:space="preserve">s complaint must be rejected as inadmissible under Article 35 §§ 3 (a) and 4 on the ground that it is incompatible </w:t>
      </w:r>
      <w:proofErr w:type="spellStart"/>
      <w:r w:rsidRPr="00A42BD5">
        <w:rPr>
          <w:rStyle w:val="sb8d990e2"/>
          <w:i/>
          <w:lang w:val="en-GB"/>
        </w:rPr>
        <w:t>ratione</w:t>
      </w:r>
      <w:proofErr w:type="spellEnd"/>
      <w:r w:rsidRPr="00A42BD5">
        <w:rPr>
          <w:rStyle w:val="sb8d990e2"/>
          <w:i/>
          <w:lang w:val="en-GB"/>
        </w:rPr>
        <w:t xml:space="preserve"> </w:t>
      </w:r>
      <w:proofErr w:type="spellStart"/>
      <w:r w:rsidRPr="00A42BD5">
        <w:rPr>
          <w:rStyle w:val="sb8d990e2"/>
          <w:i/>
          <w:lang w:val="en-GB"/>
        </w:rPr>
        <w:t>materiae</w:t>
      </w:r>
      <w:proofErr w:type="spellEnd"/>
      <w:r w:rsidRPr="00A42BD5">
        <w:rPr>
          <w:rStyle w:val="sb8d990e2"/>
          <w:lang w:val="en-GB"/>
        </w:rPr>
        <w:t xml:space="preserve"> with the provisions of the Convention.</w:t>
      </w:r>
    </w:p>
    <w:p w:rsidRPr="00A42BD5" w:rsidR="008D3AEF" w:rsidP="00C75F47" w:rsidRDefault="008D3AEF">
      <w:pPr>
        <w:pStyle w:val="ECHRPara"/>
        <w:rPr>
          <w:rStyle w:val="sb8d990e2"/>
          <w:lang w:val="en-GB"/>
        </w:rPr>
      </w:pPr>
      <w:r w:rsidRPr="00A42BD5">
        <w:rPr>
          <w:rStyle w:val="sb8d990e2"/>
          <w:noProof/>
          <w:lang w:val="en-GB"/>
        </w:rPr>
        <w:t>20</w:t>
      </w:r>
      <w:r w:rsidRPr="00A42BD5">
        <w:rPr>
          <w:rStyle w:val="sb8d990e2"/>
          <w:lang w:val="en-GB"/>
        </w:rPr>
        <w:t xml:space="preserve">.  Article 6 § 2 </w:t>
      </w:r>
      <w:proofErr w:type="gramStart"/>
      <w:r w:rsidRPr="00A42BD5">
        <w:rPr>
          <w:rStyle w:val="sb8d990e2"/>
          <w:lang w:val="en-GB"/>
        </w:rPr>
        <w:t>provides</w:t>
      </w:r>
      <w:proofErr w:type="gramEnd"/>
      <w:r w:rsidRPr="00A42BD5">
        <w:rPr>
          <w:rStyle w:val="sb8d990e2"/>
          <w:lang w:val="en-GB"/>
        </w:rPr>
        <w:t>:</w:t>
      </w:r>
    </w:p>
    <w:p w:rsidRPr="00A42BD5" w:rsidR="008D3AEF" w:rsidP="00C75F47" w:rsidRDefault="008D3AEF">
      <w:pPr>
        <w:pStyle w:val="ECHRParaQuote"/>
        <w:rPr>
          <w:lang w:val="en-GB"/>
        </w:rPr>
      </w:pPr>
      <w:r w:rsidRPr="00A42BD5">
        <w:rPr>
          <w:lang w:val="en-GB"/>
        </w:rPr>
        <w:t>“Everyone charged with a criminal offence shall be presumed innocent until proved guilty according to law.”</w:t>
      </w:r>
    </w:p>
    <w:p w:rsidRPr="00A42BD5" w:rsidR="008D3AEF" w:rsidP="00C75F47" w:rsidRDefault="008D3AEF">
      <w:pPr>
        <w:pStyle w:val="ECHRPara"/>
        <w:outlineLvl w:val="0"/>
        <w:rPr>
          <w:lang w:val="en-GB"/>
        </w:rPr>
      </w:pPr>
      <w:r w:rsidRPr="00A42BD5">
        <w:rPr>
          <w:noProof/>
          <w:lang w:val="en-GB"/>
        </w:rPr>
        <w:t>21</w:t>
      </w:r>
      <w:r w:rsidRPr="00A42BD5">
        <w:rPr>
          <w:lang w:val="en-GB"/>
        </w:rPr>
        <w:t>.  The applicant argued that his right to be presumed innocent had been infringed by the Secretary of State</w:t>
      </w:r>
      <w:r w:rsidR="00AD04D3">
        <w:rPr>
          <w:lang w:val="en-GB"/>
        </w:rPr>
        <w:t>’</w:t>
      </w:r>
      <w:r w:rsidRPr="00A42BD5">
        <w:rPr>
          <w:lang w:val="en-GB"/>
        </w:rPr>
        <w:t xml:space="preserve">s approach to deciding compensation claims. He did not point to any particular phrase used by the Secretary of State which in his view gave rise to concern but rather focused on the approach adopted by the domestic courts in </w:t>
      </w:r>
      <w:r w:rsidRPr="00A42BD5">
        <w:rPr>
          <w:i/>
          <w:lang w:val="en-GB"/>
        </w:rPr>
        <w:t>R (Mullen)</w:t>
      </w:r>
      <w:r w:rsidRPr="00A42BD5">
        <w:rPr>
          <w:lang w:val="en-GB"/>
        </w:rPr>
        <w:t xml:space="preserve"> and </w:t>
      </w:r>
      <w:r w:rsidRPr="00A42BD5">
        <w:rPr>
          <w:i/>
          <w:lang w:val="en-GB"/>
        </w:rPr>
        <w:t>R (Allen)</w:t>
      </w:r>
      <w:r w:rsidRPr="00A42BD5">
        <w:rPr>
          <w:lang w:val="en-GB"/>
        </w:rPr>
        <w:t>. He contended that no reasonable jury would have convicted him, had the new medical evidence been available.</w:t>
      </w:r>
    </w:p>
    <w:p w:rsidRPr="00A42BD5" w:rsidR="008D3AEF" w:rsidP="00C75F47" w:rsidRDefault="008D3AEF">
      <w:pPr>
        <w:pStyle w:val="ECHRPara"/>
        <w:outlineLvl w:val="0"/>
        <w:rPr>
          <w:lang w:val="en-GB"/>
        </w:rPr>
      </w:pPr>
      <w:r w:rsidRPr="00A42BD5">
        <w:rPr>
          <w:noProof/>
          <w:lang w:val="en-GB"/>
        </w:rPr>
        <w:t>22</w:t>
      </w:r>
      <w:r w:rsidRPr="00A42BD5">
        <w:rPr>
          <w:lang w:val="en-GB"/>
        </w:rPr>
        <w:t>.  The Government submitted that the applicant had failed to exhaust domestic remedies because he had not sought to challenge the findings of the Secretary of State in the domestic courts. They further argued that the decision on compensation did not call into question the correctness of the finding that the conviction was unsafe and the fact that the applicant bore no criminal liability. They therefore invited the Court to declare the applicant</w:t>
      </w:r>
      <w:r w:rsidR="00AD04D3">
        <w:rPr>
          <w:lang w:val="en-GB"/>
        </w:rPr>
        <w:t>’</w:t>
      </w:r>
      <w:r w:rsidRPr="00A42BD5">
        <w:rPr>
          <w:lang w:val="en-GB"/>
        </w:rPr>
        <w:t>s complaint inadmissible on the basis that it was manifestly ill-founded.</w:t>
      </w:r>
    </w:p>
    <w:p w:rsidRPr="00A42BD5" w:rsidR="008D3AEF" w:rsidP="00C75F47" w:rsidRDefault="008D3AEF">
      <w:pPr>
        <w:pStyle w:val="ECHRPara"/>
        <w:outlineLvl w:val="0"/>
        <w:rPr>
          <w:lang w:val="en-GB"/>
        </w:rPr>
      </w:pPr>
      <w:r w:rsidRPr="00A42BD5">
        <w:rPr>
          <w:noProof/>
          <w:lang w:val="en-GB"/>
        </w:rPr>
        <w:t>23</w:t>
      </w:r>
      <w:r w:rsidRPr="00A42BD5">
        <w:rPr>
          <w:lang w:val="en-GB"/>
        </w:rPr>
        <w:t xml:space="preserve">.  In </w:t>
      </w:r>
      <w:r w:rsidRPr="00A42BD5">
        <w:rPr>
          <w:i/>
          <w:lang w:val="en-GB"/>
        </w:rPr>
        <w:t>Allen</w:t>
      </w:r>
      <w:r w:rsidRPr="00A42BD5">
        <w:rPr>
          <w:lang w:val="en-GB"/>
        </w:rPr>
        <w:t xml:space="preserve">, the Court explained that the role of Article 6 § 2 in judicial proceedings following acquittal or the discontinuation of criminal proceedings was to protect individuals from being treated by public officials and authorities as though they were in fact guilty of the offence charged (cited above, § 94). The applicant in the present case complains that the Secretary of State treated him in such a manner. It is arguable that the applicant ought to have challenged the decision before the domestic courts, relying on his right under Article 6 § 2. However, he received legal advice to the effect that he had no grounds for challenge in light of the House of Lords decision in </w:t>
      </w:r>
      <w:r w:rsidRPr="00A42BD5">
        <w:rPr>
          <w:i/>
          <w:lang w:val="en-GB"/>
        </w:rPr>
        <w:t xml:space="preserve">R (Mullen) </w:t>
      </w:r>
      <w:r w:rsidRPr="00A42BD5">
        <w:rPr>
          <w:lang w:val="en-GB"/>
        </w:rPr>
        <w:t xml:space="preserve">and the Court of Appeal judgment in </w:t>
      </w:r>
      <w:r w:rsidRPr="00A42BD5">
        <w:rPr>
          <w:i/>
          <w:lang w:val="en-GB"/>
        </w:rPr>
        <w:t>R (Allen)</w:t>
      </w:r>
      <w:r w:rsidRPr="00A42BD5">
        <w:rPr>
          <w:lang w:val="en-GB"/>
        </w:rPr>
        <w:t>. The Court is satisfied that in the circumstances of the case the applicant has complied with the requirements of Article 35 § 1 of the Convention.</w:t>
      </w:r>
    </w:p>
    <w:p w:rsidRPr="00A42BD5" w:rsidR="008D3AEF" w:rsidP="00C75F47" w:rsidRDefault="008D3AEF">
      <w:pPr>
        <w:pStyle w:val="ECHRPara"/>
        <w:outlineLvl w:val="0"/>
        <w:rPr>
          <w:lang w:val="en-GB"/>
        </w:rPr>
      </w:pPr>
      <w:r w:rsidRPr="00A42BD5">
        <w:rPr>
          <w:noProof/>
          <w:lang w:val="en-GB"/>
        </w:rPr>
        <w:t>24</w:t>
      </w:r>
      <w:r w:rsidRPr="00A42BD5">
        <w:rPr>
          <w:lang w:val="en-GB"/>
        </w:rPr>
        <w:t xml:space="preserve">.  In </w:t>
      </w:r>
      <w:r w:rsidRPr="00A42BD5">
        <w:rPr>
          <w:i/>
          <w:lang w:val="en-GB"/>
        </w:rPr>
        <w:t>Allen</w:t>
      </w:r>
      <w:r w:rsidRPr="00A42BD5">
        <w:rPr>
          <w:lang w:val="en-GB"/>
        </w:rPr>
        <w:t>, cited above, the Court explained that in order to show that Article 6 § 2 was engaged in proceedings which were subsequent to criminal proceedings, the applicant had to demonstrate the existence of a link between the concluded criminal proceedings and the subsequent proceedings. Such a link is likely to be present, for example, where the subsequent proceedings require examination of the outcome of the prior criminal proceedings and, in particular, where they oblige the court to analyse the criminal judgment; to engage in a review or evaluation of the evidence in the criminal file; to assess the applicant</w:t>
      </w:r>
      <w:r w:rsidR="00AD04D3">
        <w:rPr>
          <w:lang w:val="en-GB"/>
        </w:rPr>
        <w:t>’</w:t>
      </w:r>
      <w:r w:rsidRPr="00A42BD5">
        <w:rPr>
          <w:lang w:val="en-GB"/>
        </w:rPr>
        <w:t>s participation in some or all of the events leading to the criminal charge; or to comment on the subsisting indications of the applicant</w:t>
      </w:r>
      <w:r w:rsidR="00AD04D3">
        <w:rPr>
          <w:lang w:val="en-GB"/>
        </w:rPr>
        <w:t>’</w:t>
      </w:r>
      <w:r w:rsidRPr="00A42BD5">
        <w:rPr>
          <w:lang w:val="en-GB"/>
        </w:rPr>
        <w:t>s possible guilt (see § 104 of the Court</w:t>
      </w:r>
      <w:r w:rsidR="00AD04D3">
        <w:rPr>
          <w:lang w:val="en-GB"/>
        </w:rPr>
        <w:t>’</w:t>
      </w:r>
      <w:r w:rsidRPr="00A42BD5">
        <w:rPr>
          <w:lang w:val="en-GB"/>
        </w:rPr>
        <w:t xml:space="preserve">s judgment). In </w:t>
      </w:r>
      <w:r w:rsidRPr="00A42BD5">
        <w:rPr>
          <w:i/>
          <w:lang w:val="en-GB"/>
        </w:rPr>
        <w:t>Allen</w:t>
      </w:r>
      <w:r w:rsidRPr="00A42BD5">
        <w:rPr>
          <w:lang w:val="en-GB"/>
        </w:rPr>
        <w:t>, the Court accepted that there was a link between the criminal proceedings and the subsequent compensation proceedings brought under the 1988 Act. It observed that proceedings under the 1988 Act required that there had been a reversal of a prior conviction; this was the trigger for the right to apply for compensation for a miscarriage of justice. Further, in order to examine whether the cumulative criteria in section 133 were met, the Secretary of State and the courts in judicial review proceedings were required to have regard to the judgment handed down by the Court of Appeal (Criminal Division) (“CACD”) to identify whether the reversal of the conviction was based on new evidence and whether it gave rise to a miscarriage of justice (see §§ 107-108 of the Court</w:t>
      </w:r>
      <w:r w:rsidR="00AD04D3">
        <w:rPr>
          <w:lang w:val="en-GB"/>
        </w:rPr>
        <w:t>’</w:t>
      </w:r>
      <w:r w:rsidRPr="00A42BD5">
        <w:rPr>
          <w:lang w:val="en-GB"/>
        </w:rPr>
        <w:t>s judgment). The same analysis applies in the present case. The Court is satisfied that Article 6 § 2 applied to the proceedings whereby the Secretary of State decided whether to award the applicant compensation.</w:t>
      </w:r>
    </w:p>
    <w:p w:rsidRPr="00A42BD5" w:rsidR="008D3AEF" w:rsidP="00C75F47" w:rsidRDefault="008D3AEF">
      <w:pPr>
        <w:pStyle w:val="ECHRPara"/>
        <w:rPr>
          <w:lang w:val="en-GB"/>
        </w:rPr>
      </w:pPr>
      <w:r w:rsidRPr="00A42BD5">
        <w:rPr>
          <w:noProof/>
          <w:lang w:val="en-GB"/>
        </w:rPr>
        <w:t>25</w:t>
      </w:r>
      <w:r w:rsidRPr="00A42BD5">
        <w:rPr>
          <w:lang w:val="en-GB"/>
        </w:rPr>
        <w:t xml:space="preserve">.  The Court in </w:t>
      </w:r>
      <w:r w:rsidRPr="00A42BD5">
        <w:rPr>
          <w:i/>
          <w:lang w:val="en-GB"/>
        </w:rPr>
        <w:t>Allen</w:t>
      </w:r>
      <w:r w:rsidRPr="00A42BD5">
        <w:rPr>
          <w:lang w:val="en-GB"/>
        </w:rPr>
        <w:t xml:space="preserve"> explained that where Article 6 § 2 applies, the compatibility of the proceedings with that Article</w:t>
      </w:r>
      <w:r w:rsidRPr="00A42BD5">
        <w:rPr>
          <w:rStyle w:val="sb8d990e2"/>
          <w:lang w:val="en-GB"/>
        </w:rPr>
        <w:t xml:space="preserve"> will depend on their nature and context, and that </w:t>
      </w:r>
      <w:r w:rsidRPr="00A42BD5">
        <w:rPr>
          <w:lang w:val="en-GB"/>
        </w:rPr>
        <w:t>the language used by the decision-maker will be of critical importance (cited above, §§ 125-126).</w:t>
      </w:r>
    </w:p>
    <w:p w:rsidRPr="00A42BD5" w:rsidR="008D3AEF" w:rsidP="00C75F47" w:rsidRDefault="008D3AEF">
      <w:pPr>
        <w:pStyle w:val="ECHRPara"/>
        <w:rPr>
          <w:lang w:val="en-GB"/>
        </w:rPr>
      </w:pPr>
      <w:r w:rsidRPr="00A42BD5">
        <w:rPr>
          <w:noProof/>
          <w:lang w:val="en-GB"/>
        </w:rPr>
        <w:t>26</w:t>
      </w:r>
      <w:r w:rsidRPr="00A42BD5">
        <w:rPr>
          <w:lang w:val="en-GB"/>
        </w:rPr>
        <w:t xml:space="preserve">.  In the present case, as in </w:t>
      </w:r>
      <w:r w:rsidRPr="00A42BD5">
        <w:rPr>
          <w:i/>
          <w:lang w:val="en-GB"/>
        </w:rPr>
        <w:t>Allen</w:t>
      </w:r>
      <w:r w:rsidRPr="00A42BD5">
        <w:rPr>
          <w:lang w:val="en-GB"/>
        </w:rPr>
        <w:t>, it is relevant that the applicant</w:t>
      </w:r>
      <w:r w:rsidR="00AD04D3">
        <w:rPr>
          <w:lang w:val="en-GB"/>
        </w:rPr>
        <w:t>’</w:t>
      </w:r>
      <w:r w:rsidRPr="00A42BD5">
        <w:rPr>
          <w:lang w:val="en-GB"/>
        </w:rPr>
        <w:t>s conviction was quashed on the ground that it was “unsafe” because new evidence might have affected the jury</w:t>
      </w:r>
      <w:r w:rsidR="00AD04D3">
        <w:rPr>
          <w:lang w:val="en-GB"/>
        </w:rPr>
        <w:t>’</w:t>
      </w:r>
      <w:r w:rsidRPr="00A42BD5">
        <w:rPr>
          <w:lang w:val="en-GB"/>
        </w:rPr>
        <w:t>s decision had it been available at trial. The CACD did not itself assess all the evidence, in the light of the new evidence, in order to decide whether guilt had been established beyond reasonable doubt. No retrial was ordered, on the ground that it would be “inappropriate”. The quashing of the applicant</w:t>
      </w:r>
      <w:r w:rsidR="00AD04D3">
        <w:rPr>
          <w:lang w:val="en-GB"/>
        </w:rPr>
        <w:t>’</w:t>
      </w:r>
      <w:r w:rsidRPr="00A42BD5">
        <w:rPr>
          <w:lang w:val="en-GB"/>
        </w:rPr>
        <w:t xml:space="preserve">s conviction resulted in a verdict of acquittal being entered but it was not an acquittal “on the merits” in a true sense: although formally an acquittal, the termination of the criminal proceedings against the applicant might be considered to share more of the features present in cases where criminal proceedings have been discontinued (see </w:t>
      </w:r>
      <w:r w:rsidRPr="00A42BD5">
        <w:rPr>
          <w:i/>
          <w:lang w:val="en-GB"/>
        </w:rPr>
        <w:t>Allen</w:t>
      </w:r>
      <w:r w:rsidRPr="00A42BD5">
        <w:rPr>
          <w:lang w:val="en-GB"/>
        </w:rPr>
        <w:t>, cited above, § 127).</w:t>
      </w:r>
    </w:p>
    <w:p w:rsidRPr="00A42BD5" w:rsidR="008D3AEF" w:rsidP="00C75F47" w:rsidRDefault="008D3AEF">
      <w:pPr>
        <w:pStyle w:val="ECHRPara"/>
        <w:rPr>
          <w:lang w:val="en-GB"/>
        </w:rPr>
      </w:pPr>
      <w:r w:rsidRPr="00A42BD5">
        <w:rPr>
          <w:noProof/>
          <w:lang w:val="en-GB"/>
        </w:rPr>
        <w:t>27</w:t>
      </w:r>
      <w:r w:rsidRPr="00A42BD5">
        <w:rPr>
          <w:lang w:val="en-GB"/>
        </w:rPr>
        <w:t xml:space="preserve">.  The Court in </w:t>
      </w:r>
      <w:r w:rsidRPr="00A42BD5">
        <w:rPr>
          <w:i/>
          <w:lang w:val="en-GB"/>
        </w:rPr>
        <w:t>Allen</w:t>
      </w:r>
      <w:r w:rsidRPr="00A42BD5">
        <w:rPr>
          <w:lang w:val="en-GB"/>
        </w:rPr>
        <w:t xml:space="preserve"> found that there was nothing in the section 133 criteria themselves which called into question the innocence of an acquitted person, and that the legislation itself did not require any assessment of the applicant</w:t>
      </w:r>
      <w:r w:rsidR="00AD04D3">
        <w:rPr>
          <w:lang w:val="en-GB"/>
        </w:rPr>
        <w:t>’</w:t>
      </w:r>
      <w:r w:rsidRPr="00A42BD5">
        <w:rPr>
          <w:lang w:val="en-GB"/>
        </w:rPr>
        <w:t>s criminal guilt (cited above, § 128). It explained that it was for the courts to interpret the legislation in order to give effect to the will of the legislature, and in doing so they were entitled to conclude that more than an acquittal was required in order for a “miscarriage of justice” to be established, provided always that they did not call into question the applicant</w:t>
      </w:r>
      <w:r w:rsidR="00AD04D3">
        <w:rPr>
          <w:lang w:val="en-GB"/>
        </w:rPr>
        <w:t>’</w:t>
      </w:r>
      <w:r w:rsidRPr="00A42BD5">
        <w:rPr>
          <w:lang w:val="en-GB"/>
        </w:rPr>
        <w:t>s innocence.</w:t>
      </w:r>
      <w:r w:rsidR="003250FB">
        <w:rPr>
          <w:lang w:val="en-GB"/>
        </w:rPr>
        <w:t xml:space="preserve"> </w:t>
      </w:r>
      <w:r w:rsidRPr="00A42BD5">
        <w:rPr>
          <w:lang w:val="en-GB"/>
        </w:rPr>
        <w:t>The present applicant did not challenge the refusal to award him compensation before the domestic courts. What the Court must accordingly assess is whether, having regard to the nature of the task that the Secretary of State was required to carry out, and in the context of the judgment quashing the applicant</w:t>
      </w:r>
      <w:r w:rsidR="00AD04D3">
        <w:rPr>
          <w:lang w:val="en-GB"/>
        </w:rPr>
        <w:t>’</w:t>
      </w:r>
      <w:r w:rsidRPr="00A42BD5">
        <w:rPr>
          <w:lang w:val="en-GB"/>
        </w:rPr>
        <w:t xml:space="preserve">s conviction, the language employed in the compensation decision was compatible with the presumption of innocence guaranteed by Article 6 § 2 (see </w:t>
      </w:r>
      <w:r w:rsidRPr="00A42BD5">
        <w:rPr>
          <w:i/>
          <w:lang w:val="en-GB"/>
        </w:rPr>
        <w:t>Allen</w:t>
      </w:r>
      <w:r w:rsidRPr="00A42BD5">
        <w:rPr>
          <w:lang w:val="en-GB"/>
        </w:rPr>
        <w:t>, cited above, § 129).</w:t>
      </w:r>
    </w:p>
    <w:p w:rsidRPr="00A42BD5" w:rsidR="008D3AEF" w:rsidP="00C75F47" w:rsidRDefault="008D3AEF">
      <w:pPr>
        <w:pStyle w:val="ECHRPara"/>
        <w:rPr>
          <w:lang w:val="en-GB"/>
        </w:rPr>
      </w:pPr>
      <w:r w:rsidRPr="00A42BD5">
        <w:rPr>
          <w:noProof/>
          <w:lang w:val="en-GB"/>
        </w:rPr>
        <w:t>28</w:t>
      </w:r>
      <w:r w:rsidRPr="00A42BD5">
        <w:rPr>
          <w:lang w:val="en-GB"/>
        </w:rPr>
        <w:t>.  The Secretary of State refused compensation on the basis that he did not accept that the applicant</w:t>
      </w:r>
      <w:r w:rsidR="00AD04D3">
        <w:rPr>
          <w:lang w:val="en-GB"/>
        </w:rPr>
        <w:t>’</w:t>
      </w:r>
      <w:r w:rsidRPr="00A42BD5">
        <w:rPr>
          <w:lang w:val="en-GB"/>
        </w:rPr>
        <w:t>s conviction was quashed on the ground that the new evidence showed beyond reasonable doubt that there had been a miscarriage of justice. He considered that all that could be said was that a jury “may or may not” have convicted the applicant had the new evidence been available. He directed himself, as he was required to do under section 133 of the 1988 Act, to the need to establish whether there had been a “miscarriage of justice”. He did not comment whether, on the basis of the evidence as it stood at the appeal, the applicant should be, or would likely be, convicted. He did not comment on whether the evidence was indicative of the applicant</w:t>
      </w:r>
      <w:r w:rsidR="00AD04D3">
        <w:rPr>
          <w:lang w:val="en-GB"/>
        </w:rPr>
        <w:t>’</w:t>
      </w:r>
      <w:r w:rsidRPr="00A42BD5">
        <w:rPr>
          <w:lang w:val="en-GB"/>
        </w:rPr>
        <w:t>s guilt or innocence.</w:t>
      </w:r>
    </w:p>
    <w:p w:rsidRPr="00A42BD5" w:rsidR="008D3AEF" w:rsidP="00C75F47" w:rsidRDefault="008D3AEF">
      <w:pPr>
        <w:pStyle w:val="ECHRPara"/>
        <w:outlineLvl w:val="0"/>
        <w:rPr>
          <w:lang w:val="en-GB"/>
        </w:rPr>
      </w:pPr>
      <w:r w:rsidRPr="00A42BD5">
        <w:rPr>
          <w:noProof/>
          <w:lang w:val="en-GB"/>
        </w:rPr>
        <w:t>29</w:t>
      </w:r>
      <w:r w:rsidRPr="00A42BD5">
        <w:rPr>
          <w:lang w:val="en-GB"/>
        </w:rPr>
        <w:t>.  The decision of the Secretary of State in the applicant</w:t>
      </w:r>
      <w:r w:rsidR="00AD04D3">
        <w:rPr>
          <w:lang w:val="en-GB"/>
        </w:rPr>
        <w:t>’</w:t>
      </w:r>
      <w:r w:rsidRPr="00A42BD5">
        <w:rPr>
          <w:lang w:val="en-GB"/>
        </w:rPr>
        <w:t>s case did not demonstrate a lack of respect for the presumption of innocence which he enjoys in respect of the criminal charge of which he had been acquitted. There is accordingly no appearance of a violation of Article 6 § 2 and the complaint must be rejected pursuant to Article 35 §§ 3 (a) and 4 of the Convention.</w:t>
      </w:r>
    </w:p>
    <w:p w:rsidRPr="00A42BD5" w:rsidR="008D3AEF" w:rsidP="00C75F47" w:rsidRDefault="008D3AEF">
      <w:pPr>
        <w:pStyle w:val="ECHRPara"/>
        <w:rPr>
          <w:lang w:val="en-GB"/>
        </w:rPr>
      </w:pPr>
      <w:r w:rsidRPr="00A42BD5">
        <w:rPr>
          <w:noProof/>
          <w:lang w:val="en-GB"/>
        </w:rPr>
        <w:t>30</w:t>
      </w:r>
      <w:r w:rsidRPr="00A42BD5">
        <w:rPr>
          <w:lang w:val="en-GB"/>
        </w:rPr>
        <w:t xml:space="preserve">.  The respondent State has not ratified Protocol No. 7 and this complaint is accordingly incompatible </w:t>
      </w:r>
      <w:proofErr w:type="spellStart"/>
      <w:r w:rsidRPr="00A42BD5">
        <w:rPr>
          <w:i/>
          <w:lang w:val="en-GB"/>
        </w:rPr>
        <w:t>ratione</w:t>
      </w:r>
      <w:proofErr w:type="spellEnd"/>
      <w:r w:rsidRPr="00A42BD5">
        <w:rPr>
          <w:i/>
          <w:lang w:val="en-GB"/>
        </w:rPr>
        <w:t xml:space="preserve"> personae</w:t>
      </w:r>
      <w:r w:rsidRPr="00A42BD5">
        <w:rPr>
          <w:lang w:val="en-GB"/>
        </w:rPr>
        <w:t xml:space="preserve"> with the provisions of the Convention and its Protocol. It must therefore be declared inadmissible pursuant to Article 35 §§ 3 (a) and 4.</w:t>
      </w:r>
    </w:p>
    <w:p w:rsidRPr="00A42BD5" w:rsidR="008D3AEF" w:rsidP="00C75F47" w:rsidRDefault="008D3AEF">
      <w:pPr>
        <w:pStyle w:val="JuParaLast"/>
        <w:rPr>
          <w:lang w:val="en-GB"/>
        </w:rPr>
      </w:pPr>
      <w:r w:rsidRPr="00A42BD5">
        <w:rPr>
          <w:lang w:val="en-GB"/>
        </w:rPr>
        <w:t>For these reasons, the Court unanimously</w:t>
      </w:r>
    </w:p>
    <w:p w:rsidRPr="00A42BD5" w:rsidR="008D3AEF" w:rsidP="00C75F47" w:rsidRDefault="008D3AEF">
      <w:pPr>
        <w:pStyle w:val="DecList"/>
        <w:rPr>
          <w:lang w:val="en-GB"/>
        </w:rPr>
      </w:pPr>
      <w:proofErr w:type="gramStart"/>
      <w:r w:rsidRPr="00A42BD5">
        <w:rPr>
          <w:i/>
          <w:lang w:val="en-GB"/>
        </w:rPr>
        <w:t>Declares</w:t>
      </w:r>
      <w:r w:rsidRPr="00A42BD5">
        <w:rPr>
          <w:lang w:val="en-GB"/>
        </w:rPr>
        <w:t xml:space="preserve"> the application inadmissible.</w:t>
      </w:r>
      <w:proofErr w:type="gramEnd"/>
    </w:p>
    <w:p w:rsidRPr="00A42BD5" w:rsidR="00A12E99" w:rsidP="003250FB" w:rsidRDefault="005E683F">
      <w:pPr>
        <w:pStyle w:val="JuSigned"/>
        <w:keepNext/>
        <w:keepLines/>
        <w:tabs>
          <w:tab w:val="clear" w:pos="851"/>
          <w:tab w:val="center" w:pos="1134"/>
        </w:tabs>
      </w:pPr>
      <w:r w:rsidRPr="00A42BD5">
        <w:rPr>
          <w:lang w:val="en-GB"/>
        </w:rPr>
        <w:tab/>
      </w:r>
      <w:r w:rsidRPr="00A42BD5" w:rsidR="008D3AEF">
        <w:rPr>
          <w:noProof/>
          <w:lang w:val="en-GB"/>
        </w:rPr>
        <w:t>Françoise Elens-Passos</w:t>
      </w:r>
      <w:r w:rsidRPr="00A42BD5" w:rsidR="0098311A">
        <w:rPr>
          <w:lang w:val="en-GB"/>
        </w:rPr>
        <w:tab/>
      </w:r>
      <w:r w:rsidRPr="00A42BD5" w:rsidR="008D3AEF">
        <w:rPr>
          <w:noProof/>
          <w:lang w:val="en-GB"/>
        </w:rPr>
        <w:t>Ineta Ziemele</w:t>
      </w:r>
      <w:r w:rsidRPr="00A42BD5" w:rsidR="0098311A">
        <w:rPr>
          <w:lang w:val="en-GB"/>
        </w:rPr>
        <w:br/>
      </w:r>
      <w:r w:rsidRPr="00A42BD5" w:rsidR="0098311A">
        <w:rPr>
          <w:lang w:val="en-GB"/>
        </w:rPr>
        <w:tab/>
      </w:r>
      <w:r w:rsidRPr="00A42BD5" w:rsidR="008D3AEF">
        <w:rPr>
          <w:iCs/>
          <w:noProof/>
          <w:lang w:val="en-GB"/>
        </w:rPr>
        <w:t>Registrar</w:t>
      </w:r>
      <w:r w:rsidRPr="00A42BD5" w:rsidR="0098311A">
        <w:rPr>
          <w:lang w:val="en-GB"/>
        </w:rPr>
        <w:tab/>
        <w:t>President</w:t>
      </w:r>
    </w:p>
    <w:sectPr w:rsidRPr="00A42BD5" w:rsidR="00A12E99" w:rsidSect="005760DF">
      <w:headerReference w:type="even" r:id="rId7"/>
      <w:headerReference w:type="default" r:id="rId8"/>
      <w:headerReference w:type="first" r:id="rId9"/>
      <w:footerReference w:type="first" r:id="rId10"/>
      <w:footnotePr>
        <w:numRestart w:val="eachPage"/>
      </w:footnotePr>
      <w:type w:val="continuous"/>
      <w:pgSz w:w="11906" w:h="16838" w:code="9"/>
      <w:pgMar w:top="2274" w:right="2274" w:bottom="2274" w:left="2274" w:header="1701"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3AEF" w:rsidRDefault="008D3AEF">
      <w:r>
        <w:separator/>
      </w:r>
    </w:p>
  </w:endnote>
  <w:endnote w:type="continuationSeparator" w:id="0">
    <w:p w:rsidR="008D3AEF" w:rsidRDefault="008D3A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3AEF" w:rsidRPr="008D3AEF" w:rsidRDefault="008D3AEF" w:rsidP="00150BFA">
    <w:pPr>
      <w:jc w:val="center"/>
      <w:rPr>
        <w:lang w:val="fr-FR"/>
      </w:rPr>
    </w:pPr>
    <w:r w:rsidRPr="008D3AEF">
      <w:rPr>
        <w:noProof/>
        <w:lang w:val="en-US" w:eastAsia="ja-JP"/>
      </w:rPr>
      <w:drawing>
        <wp:inline distT="0" distB="0" distL="0" distR="0" wp14:anchorId="1782FA4D" wp14:editId="16C91AD7">
          <wp:extent cx="762002" cy="60960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ternal_CS6_COE_Foote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2002" cy="609601"/>
                  </a:xfrm>
                  <a:prstGeom prst="rect">
                    <a:avLst/>
                  </a:prstGeom>
                </pic:spPr>
              </pic:pic>
            </a:graphicData>
          </a:graphic>
        </wp:inline>
      </w:drawing>
    </w:r>
  </w:p>
  <w:p w:rsidR="00F05C7B" w:rsidRPr="0089645F" w:rsidRDefault="00F05C7B" w:rsidP="0089645F">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3AEF" w:rsidRDefault="008D3AEF">
      <w:r>
        <w:separator/>
      </w:r>
    </w:p>
  </w:footnote>
  <w:footnote w:type="continuationSeparator" w:id="0">
    <w:p w:rsidR="008D3AEF" w:rsidRDefault="008D3A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5C7B" w:rsidRPr="008D3AEF" w:rsidRDefault="008D3AEF" w:rsidP="00541695">
    <w:pPr>
      <w:pStyle w:val="ECHRHeader"/>
      <w:rPr>
        <w:lang w:val="en-US"/>
      </w:rPr>
    </w:pPr>
    <w:r>
      <w:rPr>
        <w:rStyle w:val="PageNumber"/>
        <w:lang w:val="en-GB"/>
      </w:rPr>
      <w:fldChar w:fldCharType="begin"/>
    </w:r>
    <w:r>
      <w:rPr>
        <w:rStyle w:val="PageNumber"/>
        <w:lang w:val="en-GB"/>
      </w:rPr>
      <w:instrText xml:space="preserve"> PAGE </w:instrText>
    </w:r>
    <w:r>
      <w:rPr>
        <w:rStyle w:val="PageNumber"/>
        <w:lang w:val="en-GB"/>
      </w:rPr>
      <w:fldChar w:fldCharType="separate"/>
    </w:r>
    <w:r w:rsidR="00AD04D3">
      <w:rPr>
        <w:rStyle w:val="PageNumber"/>
        <w:noProof/>
        <w:lang w:val="en-GB"/>
      </w:rPr>
      <w:t>6</w:t>
    </w:r>
    <w:r>
      <w:rPr>
        <w:rStyle w:val="PageNumber"/>
        <w:lang w:val="en-GB"/>
      </w:rPr>
      <w:fldChar w:fldCharType="end"/>
    </w:r>
    <w:r w:rsidR="00F05C7B" w:rsidRPr="008D3AEF">
      <w:rPr>
        <w:lang w:val="en-US"/>
      </w:rPr>
      <w:tab/>
    </w:r>
    <w:r w:rsidRPr="008D3AEF">
      <w:rPr>
        <w:lang w:val="en-US"/>
      </w:rPr>
      <w:t>K.F. v. THE UNITED KINGDOM</w:t>
    </w:r>
    <w:r w:rsidR="00F05C7B" w:rsidRPr="008D3AEF">
      <w:rPr>
        <w:lang w:val="en-US"/>
      </w:rPr>
      <w:t xml:space="preserve"> DECISION</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5C7B" w:rsidRPr="008D3AEF" w:rsidRDefault="00F05C7B" w:rsidP="00541695">
    <w:pPr>
      <w:pStyle w:val="ECHRHeader"/>
      <w:rPr>
        <w:lang w:val="en-US"/>
      </w:rPr>
    </w:pPr>
    <w:r>
      <w:tab/>
    </w:r>
    <w:r w:rsidR="008D3AEF" w:rsidRPr="008D3AEF">
      <w:rPr>
        <w:lang w:val="en-US"/>
      </w:rPr>
      <w:t>K.F. v. THE UNITED KINGDOM</w:t>
    </w:r>
    <w:r w:rsidRPr="008D3AEF">
      <w:rPr>
        <w:lang w:val="en-US"/>
      </w:rPr>
      <w:t xml:space="preserve"> DECISION</w:t>
    </w:r>
    <w:r w:rsidRPr="008D3AEF">
      <w:rPr>
        <w:lang w:val="en-US"/>
      </w:rPr>
      <w:tab/>
    </w:r>
    <w:r w:rsidR="008D3AEF">
      <w:rPr>
        <w:rStyle w:val="PageNumber"/>
      </w:rPr>
      <w:fldChar w:fldCharType="begin"/>
    </w:r>
    <w:r w:rsidR="008D3AEF" w:rsidRPr="008D3AEF">
      <w:rPr>
        <w:rStyle w:val="PageNumber"/>
        <w:lang w:val="en-US"/>
      </w:rPr>
      <w:instrText xml:space="preserve"> PAGE </w:instrText>
    </w:r>
    <w:r w:rsidR="008D3AEF">
      <w:rPr>
        <w:rStyle w:val="PageNumber"/>
      </w:rPr>
      <w:fldChar w:fldCharType="separate"/>
    </w:r>
    <w:r w:rsidR="00AD04D3">
      <w:rPr>
        <w:rStyle w:val="PageNumber"/>
        <w:noProof/>
        <w:lang w:val="en-US"/>
      </w:rPr>
      <w:t>7</w:t>
    </w:r>
    <w:r w:rsidR="008D3AEF">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3AEF" w:rsidRPr="00C00F0F" w:rsidRDefault="008D3AEF">
    <w:pPr>
      <w:pStyle w:val="Header"/>
      <w:jc w:val="center"/>
      <w:rPr>
        <w:sz w:val="4"/>
        <w:szCs w:val="4"/>
      </w:rPr>
    </w:pPr>
    <w:r>
      <w:rPr>
        <w:noProof/>
        <w:sz w:val="4"/>
        <w:szCs w:val="4"/>
        <w:lang w:val="en-US" w:eastAsia="ja-JP"/>
      </w:rPr>
      <w:drawing>
        <wp:inline distT="0" distB="0" distL="0" distR="0" wp14:anchorId="5A48C920" wp14:editId="3558B448">
          <wp:extent cx="2943225" cy="1219200"/>
          <wp:effectExtent l="0" t="0" r="9525" b="0"/>
          <wp:docPr id="10" name="Picture 10" descr="R:\1_Graphics&amp;Web\Court_Graphic_Charter\2013\ECHR_Stationery\Documents\Cover_Page\ECHR_CoverpageCS6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Cover_Page\ECHR_CoverpageCS6_ECHR_Coverpage_Header_Black.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43225" cy="1219200"/>
                  </a:xfrm>
                  <a:prstGeom prst="rect">
                    <a:avLst/>
                  </a:prstGeom>
                  <a:noFill/>
                  <a:ln>
                    <a:noFill/>
                  </a:ln>
                </pic:spPr>
              </pic:pic>
            </a:graphicData>
          </a:graphic>
        </wp:inline>
      </w:drawing>
    </w:r>
  </w:p>
  <w:p w:rsidR="00F05C7B" w:rsidRDefault="00F05C7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4B02FEF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9C422DF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8D5ED1D6"/>
    <w:lvl w:ilvl="0">
      <w:start w:val="1"/>
      <w:numFmt w:val="decimal"/>
      <w:pStyle w:val="ListNumber3"/>
      <w:lvlText w:val="%1."/>
      <w:lvlJc w:val="left"/>
      <w:pPr>
        <w:tabs>
          <w:tab w:val="num" w:pos="926"/>
        </w:tabs>
        <w:ind w:left="926" w:hanging="360"/>
      </w:pPr>
    </w:lvl>
  </w:abstractNum>
  <w:abstractNum w:abstractNumId="3">
    <w:nsid w:val="FFFFFF7F"/>
    <w:multiLevelType w:val="singleLevel"/>
    <w:tmpl w:val="A9D626DE"/>
    <w:lvl w:ilvl="0">
      <w:start w:val="1"/>
      <w:numFmt w:val="decimal"/>
      <w:pStyle w:val="ListNumber2"/>
      <w:lvlText w:val="%1."/>
      <w:lvlJc w:val="left"/>
      <w:pPr>
        <w:tabs>
          <w:tab w:val="num" w:pos="643"/>
        </w:tabs>
        <w:ind w:left="643" w:hanging="360"/>
      </w:pPr>
    </w:lvl>
  </w:abstractNum>
  <w:abstractNum w:abstractNumId="4">
    <w:nsid w:val="FFFFFF80"/>
    <w:multiLevelType w:val="singleLevel"/>
    <w:tmpl w:val="173CD21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692893C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1AAFA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A330E89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29BA3020"/>
    <w:lvl w:ilvl="0">
      <w:start w:val="1"/>
      <w:numFmt w:val="decimal"/>
      <w:pStyle w:val="ListNumber"/>
      <w:lvlText w:val="%1."/>
      <w:lvlJc w:val="left"/>
      <w:pPr>
        <w:tabs>
          <w:tab w:val="num" w:pos="360"/>
        </w:tabs>
        <w:ind w:left="360" w:hanging="360"/>
      </w:pPr>
    </w:lvl>
  </w:abstractNum>
  <w:abstractNum w:abstractNumId="9">
    <w:nsid w:val="FFFFFF89"/>
    <w:multiLevelType w:val="singleLevel"/>
    <w:tmpl w:val="9B5ED66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517A036B"/>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586E3956"/>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6ACD1946"/>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nsid w:val="7BBE6CBD"/>
    <w:multiLevelType w:val="hybridMultilevel"/>
    <w:tmpl w:val="5B122094"/>
    <w:lvl w:ilvl="0" w:tplc="4FDAD2AA">
      <w:start w:val="1"/>
      <w:numFmt w:val="decimal"/>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2"/>
  </w:num>
  <w:num w:numId="13">
    <w:abstractNumId w:val="10"/>
  </w:num>
  <w:num w:numId="14">
    <w:abstractNumId w:val="11"/>
  </w:num>
  <w:num w:numId="15">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embedSystemFonts/>
  <w:proofState w:spelling="clean" w:grammar="clean"/>
  <w:stylePaneFormatFilter w:val="F804" w:allStyles="0" w:customStyles="0" w:latentStyles="1" w:stylesInUse="0" w:headingStyles="0" w:numberingStyles="0" w:tableStyles="0" w:directFormattingOnRuns="0" w:directFormattingOnParagraphs="0" w:directFormattingOnNumbering="0" w:directFormattingOnTables="1" w:clearFormatting="1" w:top3HeadingStyles="1" w:visibleStyles="1" w:alternateStyleNames="1"/>
  <w:defaultTabStop w:val="720"/>
  <w:hyphenationZone w:val="425"/>
  <w:evenAndOddHeaders/>
  <w:displayHorizontalDrawingGridEvery w:val="0"/>
  <w:displayVerticalDrawingGridEvery w:val="0"/>
  <w:doNotUseMarginsForDrawingGridOrigin/>
  <w:noPunctuationKerning/>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AppNatAutre" w:val="0"/>
    <w:docVar w:name="DocVarPREMATURE" w:val="0"/>
    <w:docVar w:name="EMM" w:val="0"/>
    <w:docVar w:name="ETRANSMISSION" w:val="BY E-TRANSMISSION ONLY"/>
    <w:docVar w:name="L4_1Annex" w:val="0"/>
    <w:docVar w:name="L4_1Anonymity" w:val="1"/>
    <w:docVar w:name="NBEMMDOC" w:val="0"/>
    <w:docVar w:name="Plural" w:val="0"/>
    <w:docVar w:name="SignForeName" w:val="0"/>
  </w:docVars>
  <w:rsids>
    <w:rsidRoot w:val="008D3AEF"/>
    <w:rsid w:val="00046CC4"/>
    <w:rsid w:val="00056E2D"/>
    <w:rsid w:val="000615E4"/>
    <w:rsid w:val="000677EE"/>
    <w:rsid w:val="000821E3"/>
    <w:rsid w:val="00087CFB"/>
    <w:rsid w:val="000B5E63"/>
    <w:rsid w:val="000D0075"/>
    <w:rsid w:val="000F2A83"/>
    <w:rsid w:val="001034F9"/>
    <w:rsid w:val="00135024"/>
    <w:rsid w:val="001522BE"/>
    <w:rsid w:val="00154A04"/>
    <w:rsid w:val="00170425"/>
    <w:rsid w:val="001707DB"/>
    <w:rsid w:val="00190E1E"/>
    <w:rsid w:val="001A1EE8"/>
    <w:rsid w:val="001D095D"/>
    <w:rsid w:val="001D5FFB"/>
    <w:rsid w:val="002402A8"/>
    <w:rsid w:val="00256D47"/>
    <w:rsid w:val="002B384A"/>
    <w:rsid w:val="002E5276"/>
    <w:rsid w:val="003250FB"/>
    <w:rsid w:val="00327519"/>
    <w:rsid w:val="00330E64"/>
    <w:rsid w:val="0033674D"/>
    <w:rsid w:val="0039515A"/>
    <w:rsid w:val="003C7B54"/>
    <w:rsid w:val="003D283D"/>
    <w:rsid w:val="004434EE"/>
    <w:rsid w:val="00447CB4"/>
    <w:rsid w:val="0049684F"/>
    <w:rsid w:val="0050035F"/>
    <w:rsid w:val="00510161"/>
    <w:rsid w:val="00541695"/>
    <w:rsid w:val="005432B7"/>
    <w:rsid w:val="00556355"/>
    <w:rsid w:val="0056764F"/>
    <w:rsid w:val="00572250"/>
    <w:rsid w:val="00575E2D"/>
    <w:rsid w:val="005760DF"/>
    <w:rsid w:val="005B32DB"/>
    <w:rsid w:val="005C17EB"/>
    <w:rsid w:val="005E683F"/>
    <w:rsid w:val="00641736"/>
    <w:rsid w:val="006D2420"/>
    <w:rsid w:val="00716F35"/>
    <w:rsid w:val="00720332"/>
    <w:rsid w:val="00730835"/>
    <w:rsid w:val="00783A74"/>
    <w:rsid w:val="00794BF1"/>
    <w:rsid w:val="00797D7A"/>
    <w:rsid w:val="007D3256"/>
    <w:rsid w:val="007F2FCB"/>
    <w:rsid w:val="007F6108"/>
    <w:rsid w:val="0080219E"/>
    <w:rsid w:val="008054A6"/>
    <w:rsid w:val="00826AC0"/>
    <w:rsid w:val="00832369"/>
    <w:rsid w:val="00842A82"/>
    <w:rsid w:val="008504A4"/>
    <w:rsid w:val="0089645F"/>
    <w:rsid w:val="008A527B"/>
    <w:rsid w:val="008D102F"/>
    <w:rsid w:val="008D3AEF"/>
    <w:rsid w:val="008D6B12"/>
    <w:rsid w:val="008F3306"/>
    <w:rsid w:val="009329DE"/>
    <w:rsid w:val="00944BFC"/>
    <w:rsid w:val="00981DDF"/>
    <w:rsid w:val="0098311A"/>
    <w:rsid w:val="009A2D0F"/>
    <w:rsid w:val="009B44F6"/>
    <w:rsid w:val="009C245A"/>
    <w:rsid w:val="009D25E0"/>
    <w:rsid w:val="009D4509"/>
    <w:rsid w:val="009D51C5"/>
    <w:rsid w:val="009D5567"/>
    <w:rsid w:val="009D621E"/>
    <w:rsid w:val="009D77B9"/>
    <w:rsid w:val="009E1536"/>
    <w:rsid w:val="00A02FB5"/>
    <w:rsid w:val="00A12E99"/>
    <w:rsid w:val="00A2762F"/>
    <w:rsid w:val="00A362A1"/>
    <w:rsid w:val="00A42BD5"/>
    <w:rsid w:val="00A572A8"/>
    <w:rsid w:val="00A672CD"/>
    <w:rsid w:val="00AA630D"/>
    <w:rsid w:val="00AB57E7"/>
    <w:rsid w:val="00AC2095"/>
    <w:rsid w:val="00AD04D3"/>
    <w:rsid w:val="00AD1E01"/>
    <w:rsid w:val="00AE775E"/>
    <w:rsid w:val="00B06657"/>
    <w:rsid w:val="00B220ED"/>
    <w:rsid w:val="00B2652A"/>
    <w:rsid w:val="00B30E47"/>
    <w:rsid w:val="00B37119"/>
    <w:rsid w:val="00B405C4"/>
    <w:rsid w:val="00B410BA"/>
    <w:rsid w:val="00B645F1"/>
    <w:rsid w:val="00BC0DAE"/>
    <w:rsid w:val="00C16821"/>
    <w:rsid w:val="00C26EFA"/>
    <w:rsid w:val="00C508C8"/>
    <w:rsid w:val="00C8683E"/>
    <w:rsid w:val="00CA65A9"/>
    <w:rsid w:val="00CC14ED"/>
    <w:rsid w:val="00CF7AD5"/>
    <w:rsid w:val="00D04AFD"/>
    <w:rsid w:val="00D13898"/>
    <w:rsid w:val="00D13DA0"/>
    <w:rsid w:val="00D2230E"/>
    <w:rsid w:val="00D676BF"/>
    <w:rsid w:val="00DA030E"/>
    <w:rsid w:val="00DA397E"/>
    <w:rsid w:val="00DA78E8"/>
    <w:rsid w:val="00DB7C40"/>
    <w:rsid w:val="00E04CB0"/>
    <w:rsid w:val="00E05F95"/>
    <w:rsid w:val="00E34A36"/>
    <w:rsid w:val="00E5464D"/>
    <w:rsid w:val="00E843B6"/>
    <w:rsid w:val="00EA2141"/>
    <w:rsid w:val="00EA2167"/>
    <w:rsid w:val="00EA26D7"/>
    <w:rsid w:val="00EA517E"/>
    <w:rsid w:val="00EA554F"/>
    <w:rsid w:val="00EE7F8B"/>
    <w:rsid w:val="00F05C7B"/>
    <w:rsid w:val="00F12934"/>
    <w:rsid w:val="00F31F73"/>
    <w:rsid w:val="00F56E5A"/>
    <w:rsid w:val="00F57570"/>
    <w:rsid w:val="00FA0ACC"/>
    <w:rsid w:val="00FA3C0D"/>
    <w:rsid w:val="00FF2FC6"/>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fr-FR" w:bidi="ar-SA"/>
      </w:rPr>
    </w:rPrDefault>
    <w:pPrDefault/>
  </w:docDefaults>
  <w:latentStyles w:defLockedState="0" w:defUIPriority="99" w:defSemiHidden="0" w:defUnhideWhenUsed="0" w:defQFormat="0" w:count="371">
    <w:lsdException w:name="Normal" w:qFormat="1"/>
    <w:lsdException w:name="heading 5"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48"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9"/>
    <w:semiHidden/>
    <w:rsid w:val="008D6B12"/>
    <w:pPr>
      <w:jc w:val="both"/>
    </w:pPr>
    <w:rPr>
      <w:rFonts w:eastAsiaTheme="minorEastAsia"/>
      <w:sz w:val="24"/>
      <w:lang w:val="en-GB" w:eastAsia="en-US"/>
    </w:rPr>
  </w:style>
  <w:style w:type="paragraph" w:styleId="Heading1">
    <w:name w:val="heading 1"/>
    <w:basedOn w:val="Normal"/>
    <w:next w:val="Normal"/>
    <w:link w:val="Heading1Char"/>
    <w:uiPriority w:val="99"/>
    <w:semiHidden/>
    <w:rsid w:val="008D6B12"/>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8D6B12"/>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8D6B12"/>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8D6B12"/>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8D6B12"/>
    <w:pPr>
      <w:spacing w:before="200"/>
      <w:outlineLvl w:val="4"/>
    </w:pPr>
    <w:rPr>
      <w:rFonts w:asciiTheme="majorHAnsi" w:eastAsiaTheme="majorEastAsia" w:hAnsiTheme="majorHAnsi" w:cstheme="majorBidi"/>
      <w:b/>
      <w:bCs/>
      <w:color w:val="808080"/>
      <w:sz w:val="22"/>
      <w:lang w:val="fr-FR" w:eastAsia="fr-FR"/>
    </w:rPr>
  </w:style>
  <w:style w:type="paragraph" w:styleId="Heading6">
    <w:name w:val="heading 6"/>
    <w:basedOn w:val="Normal"/>
    <w:next w:val="Normal"/>
    <w:link w:val="Heading6Char"/>
    <w:uiPriority w:val="99"/>
    <w:semiHidden/>
    <w:rsid w:val="008D6B12"/>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8D6B12"/>
    <w:pPr>
      <w:outlineLvl w:val="6"/>
    </w:pPr>
    <w:rPr>
      <w:rFonts w:asciiTheme="majorHAnsi" w:eastAsiaTheme="majorEastAsia" w:hAnsiTheme="majorHAnsi" w:cstheme="majorBidi"/>
      <w:i/>
      <w:iCs/>
      <w:sz w:val="22"/>
      <w:lang w:val="fr-FR" w:eastAsia="fr-FR" w:bidi="en-US"/>
    </w:rPr>
  </w:style>
  <w:style w:type="paragraph" w:styleId="Heading8">
    <w:name w:val="heading 8"/>
    <w:basedOn w:val="Normal"/>
    <w:next w:val="Normal"/>
    <w:link w:val="Heading8Char"/>
    <w:uiPriority w:val="99"/>
    <w:semiHidden/>
    <w:qFormat/>
    <w:rsid w:val="008D6B12"/>
    <w:pPr>
      <w:outlineLvl w:val="7"/>
    </w:pPr>
    <w:rPr>
      <w:rFonts w:asciiTheme="majorHAnsi" w:eastAsiaTheme="majorEastAsia" w:hAnsiTheme="majorHAnsi" w:cstheme="majorBidi"/>
      <w:sz w:val="20"/>
      <w:szCs w:val="20"/>
      <w:lang w:val="fr-FR" w:eastAsia="fr-FR" w:bidi="en-US"/>
    </w:rPr>
  </w:style>
  <w:style w:type="paragraph" w:styleId="Heading9">
    <w:name w:val="heading 9"/>
    <w:basedOn w:val="Normal"/>
    <w:next w:val="Normal"/>
    <w:link w:val="Heading9Char"/>
    <w:uiPriority w:val="99"/>
    <w:semiHidden/>
    <w:qFormat/>
    <w:rsid w:val="008D6B12"/>
    <w:pPr>
      <w:outlineLvl w:val="8"/>
    </w:pPr>
    <w:rPr>
      <w:rFonts w:asciiTheme="majorHAnsi" w:eastAsiaTheme="majorEastAsia" w:hAnsiTheme="majorHAnsi" w:cstheme="majorBidi"/>
      <w:i/>
      <w:iCs/>
      <w:spacing w:val="5"/>
      <w:sz w:val="20"/>
      <w:szCs w:val="20"/>
      <w:lang w:val="fr-FR" w:eastAsia="fr-FR"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48"/>
    <w:rsid w:val="008D6B12"/>
    <w:pPr>
      <w:tabs>
        <w:tab w:val="center" w:pos="4536"/>
        <w:tab w:val="right" w:pos="9072"/>
      </w:tabs>
    </w:pPr>
    <w:rPr>
      <w:rFonts w:eastAsiaTheme="minorHAnsi"/>
    </w:rPr>
  </w:style>
  <w:style w:type="character" w:customStyle="1" w:styleId="JuSignedChar">
    <w:name w:val="Ju_Signed Char"/>
    <w:link w:val="JuSigned"/>
    <w:uiPriority w:val="32"/>
    <w:rsid w:val="0098311A"/>
    <w:rPr>
      <w:rFonts w:eastAsiaTheme="minorEastAsia"/>
      <w:sz w:val="24"/>
    </w:rPr>
  </w:style>
  <w:style w:type="paragraph" w:customStyle="1" w:styleId="JuSigned">
    <w:name w:val="Ju_Signed"/>
    <w:basedOn w:val="Normal"/>
    <w:next w:val="JuParaLast"/>
    <w:link w:val="JuSignedChar"/>
    <w:uiPriority w:val="32"/>
    <w:qFormat/>
    <w:rsid w:val="008D6B12"/>
    <w:pPr>
      <w:tabs>
        <w:tab w:val="center" w:pos="851"/>
        <w:tab w:val="center" w:pos="6407"/>
      </w:tabs>
      <w:spacing w:before="720"/>
      <w:jc w:val="left"/>
    </w:pPr>
    <w:rPr>
      <w:lang w:val="fr-FR" w:eastAsia="fr-FR"/>
    </w:rPr>
  </w:style>
  <w:style w:type="paragraph" w:styleId="FootnoteText">
    <w:name w:val="footnote text"/>
    <w:basedOn w:val="Normal"/>
    <w:link w:val="FootnoteTextChar"/>
    <w:uiPriority w:val="99"/>
    <w:semiHidden/>
    <w:rsid w:val="008D6B12"/>
    <w:rPr>
      <w:sz w:val="20"/>
      <w:szCs w:val="20"/>
    </w:rPr>
  </w:style>
  <w:style w:type="paragraph" w:styleId="Footer">
    <w:name w:val="footer"/>
    <w:basedOn w:val="Normal"/>
    <w:link w:val="FooterChar"/>
    <w:uiPriority w:val="99"/>
    <w:semiHidden/>
    <w:rsid w:val="008D6B12"/>
    <w:pPr>
      <w:tabs>
        <w:tab w:val="center" w:pos="4536"/>
        <w:tab w:val="right" w:pos="9696"/>
      </w:tabs>
      <w:ind w:left="-680" w:right="-680"/>
    </w:pPr>
    <w:rPr>
      <w:rFonts w:eastAsiaTheme="minorHAnsi"/>
    </w:rPr>
  </w:style>
  <w:style w:type="character" w:styleId="PageNumber">
    <w:name w:val="page number"/>
    <w:uiPriority w:val="99"/>
    <w:semiHidden/>
    <w:rsid w:val="001A1EE8"/>
    <w:rPr>
      <w:sz w:val="18"/>
    </w:rPr>
  </w:style>
  <w:style w:type="character" w:styleId="FootnoteReference">
    <w:name w:val="footnote reference"/>
    <w:basedOn w:val="DefaultParagraphFont"/>
    <w:uiPriority w:val="99"/>
    <w:semiHidden/>
    <w:rsid w:val="008D6B12"/>
    <w:rPr>
      <w:vertAlign w:val="superscript"/>
    </w:rPr>
  </w:style>
  <w:style w:type="character" w:styleId="CommentReference">
    <w:name w:val="annotation reference"/>
    <w:uiPriority w:val="99"/>
    <w:semiHidden/>
    <w:rPr>
      <w:sz w:val="16"/>
    </w:rPr>
  </w:style>
  <w:style w:type="paragraph" w:styleId="CommentText">
    <w:name w:val="annotation text"/>
    <w:basedOn w:val="Normal"/>
    <w:uiPriority w:val="99"/>
    <w:semiHidden/>
    <w:rPr>
      <w:sz w:val="20"/>
    </w:rPr>
  </w:style>
  <w:style w:type="paragraph" w:styleId="DocumentMap">
    <w:name w:val="Document Map"/>
    <w:basedOn w:val="Normal"/>
    <w:uiPriority w:val="99"/>
    <w:semiHidden/>
    <w:rsid w:val="00EA554F"/>
    <w:pPr>
      <w:shd w:val="clear" w:color="auto" w:fill="000080"/>
    </w:pPr>
    <w:rPr>
      <w:rFonts w:ascii="Tahoma" w:hAnsi="Tahoma" w:cs="Tahoma"/>
      <w:sz w:val="20"/>
    </w:rPr>
  </w:style>
  <w:style w:type="paragraph" w:styleId="CommentSubject">
    <w:name w:val="annotation subject"/>
    <w:basedOn w:val="CommentText"/>
    <w:next w:val="CommentText"/>
    <w:uiPriority w:val="99"/>
    <w:semiHidden/>
    <w:rsid w:val="00B37119"/>
    <w:rPr>
      <w:b/>
      <w:bCs/>
    </w:rPr>
  </w:style>
  <w:style w:type="paragraph" w:customStyle="1" w:styleId="DecHTitle">
    <w:name w:val="Dec_H_Title"/>
    <w:basedOn w:val="ECHRTitleCentre1"/>
    <w:uiPriority w:val="7"/>
    <w:qFormat/>
    <w:rsid w:val="008D6B12"/>
  </w:style>
  <w:style w:type="paragraph" w:customStyle="1" w:styleId="ECHRTitleCentre2">
    <w:name w:val="ECHR_Title_Centre_2"/>
    <w:aliases w:val="Dec_H_Case"/>
    <w:basedOn w:val="Normal"/>
    <w:next w:val="ECHRPara"/>
    <w:uiPriority w:val="8"/>
    <w:qFormat/>
    <w:rsid w:val="008D6B12"/>
    <w:pPr>
      <w:spacing w:after="240"/>
      <w:jc w:val="center"/>
      <w:outlineLvl w:val="0"/>
    </w:pPr>
    <w:rPr>
      <w:rFonts w:asciiTheme="majorHAnsi" w:hAnsiTheme="majorHAnsi"/>
      <w:lang w:val="fr-FR" w:eastAsia="fr-FR"/>
    </w:rPr>
  </w:style>
  <w:style w:type="paragraph" w:styleId="BalloonText">
    <w:name w:val="Balloon Text"/>
    <w:basedOn w:val="Normal"/>
    <w:link w:val="BalloonTextChar"/>
    <w:uiPriority w:val="99"/>
    <w:semiHidden/>
    <w:rsid w:val="008D6B12"/>
    <w:rPr>
      <w:rFonts w:ascii="Tahoma" w:hAnsi="Tahoma" w:cs="Tahoma"/>
      <w:sz w:val="16"/>
      <w:szCs w:val="16"/>
    </w:rPr>
  </w:style>
  <w:style w:type="character" w:styleId="EndnoteReference">
    <w:name w:val="endnote reference"/>
    <w:uiPriority w:val="99"/>
    <w:semiHidden/>
    <w:rsid w:val="001A1EE8"/>
    <w:rPr>
      <w:vertAlign w:val="superscript"/>
    </w:rPr>
  </w:style>
  <w:style w:type="paragraph" w:styleId="EndnoteText">
    <w:name w:val="endnote text"/>
    <w:basedOn w:val="Normal"/>
    <w:uiPriority w:val="99"/>
    <w:semiHidden/>
    <w:rsid w:val="001A1EE8"/>
    <w:rPr>
      <w:sz w:val="20"/>
    </w:rPr>
  </w:style>
  <w:style w:type="character" w:styleId="FollowedHyperlink">
    <w:name w:val="FollowedHyperlink"/>
    <w:uiPriority w:val="99"/>
    <w:semiHidden/>
    <w:rsid w:val="001A1EE8"/>
    <w:rPr>
      <w:color w:val="800080"/>
      <w:u w:val="single"/>
    </w:rPr>
  </w:style>
  <w:style w:type="character" w:styleId="Hyperlink">
    <w:name w:val="Hyperlink"/>
    <w:basedOn w:val="DefaultParagraphFont"/>
    <w:uiPriority w:val="99"/>
    <w:semiHidden/>
    <w:rsid w:val="008D6B12"/>
    <w:rPr>
      <w:color w:val="0072BC" w:themeColor="hyperlink"/>
      <w:u w:val="single"/>
    </w:rPr>
  </w:style>
  <w:style w:type="paragraph" w:styleId="ListBullet">
    <w:name w:val="List Bullet"/>
    <w:basedOn w:val="Normal"/>
    <w:uiPriority w:val="99"/>
    <w:semiHidden/>
    <w:rsid w:val="009A2D0F"/>
    <w:pPr>
      <w:numPr>
        <w:numId w:val="1"/>
      </w:numPr>
    </w:pPr>
  </w:style>
  <w:style w:type="character" w:customStyle="1" w:styleId="JuITMark">
    <w:name w:val="Ju_ITMark"/>
    <w:basedOn w:val="DefaultParagraphFont"/>
    <w:qFormat/>
    <w:rsid w:val="008D6B12"/>
    <w:rPr>
      <w:vanish/>
      <w:color w:val="339966"/>
      <w:sz w:val="14"/>
    </w:rPr>
  </w:style>
  <w:style w:type="character" w:customStyle="1" w:styleId="Heading1Char">
    <w:name w:val="Heading 1 Char"/>
    <w:basedOn w:val="DefaultParagraphFont"/>
    <w:link w:val="Heading1"/>
    <w:uiPriority w:val="99"/>
    <w:rsid w:val="008D6B12"/>
    <w:rPr>
      <w:rFonts w:asciiTheme="majorHAnsi" w:eastAsiaTheme="majorEastAsia" w:hAnsiTheme="majorHAnsi" w:cstheme="majorBidi"/>
      <w:b/>
      <w:bCs/>
      <w:color w:val="333333"/>
      <w:sz w:val="28"/>
      <w:szCs w:val="28"/>
      <w:lang w:val="en-US" w:eastAsia="en-US"/>
    </w:rPr>
  </w:style>
  <w:style w:type="paragraph" w:customStyle="1" w:styleId="JuTitle">
    <w:name w:val="Ju_Title"/>
    <w:basedOn w:val="Normal"/>
    <w:next w:val="ECHRPara"/>
    <w:uiPriority w:val="3"/>
    <w:qFormat/>
    <w:rsid w:val="008D6B12"/>
    <w:pPr>
      <w:spacing w:before="720" w:after="240"/>
      <w:jc w:val="center"/>
      <w:outlineLvl w:val="0"/>
    </w:pPr>
    <w:rPr>
      <w:rFonts w:asciiTheme="majorHAnsi" w:hAnsiTheme="majorHAnsi"/>
      <w:b/>
      <w:caps/>
      <w:lang w:val="fr-FR" w:eastAsia="fr-FR"/>
    </w:rPr>
  </w:style>
  <w:style w:type="character" w:customStyle="1" w:styleId="Heading2Char">
    <w:name w:val="Heading 2 Char"/>
    <w:basedOn w:val="DefaultParagraphFont"/>
    <w:link w:val="Heading2"/>
    <w:uiPriority w:val="99"/>
    <w:rsid w:val="008D6B12"/>
    <w:rPr>
      <w:rFonts w:asciiTheme="majorHAnsi" w:eastAsiaTheme="majorEastAsia" w:hAnsiTheme="majorHAnsi" w:cstheme="majorBidi"/>
      <w:b/>
      <w:bCs/>
      <w:color w:val="4D4D4D"/>
      <w:sz w:val="26"/>
      <w:szCs w:val="26"/>
      <w:lang w:val="en-US" w:eastAsia="en-US"/>
    </w:rPr>
  </w:style>
  <w:style w:type="character" w:customStyle="1" w:styleId="Heading3Char">
    <w:name w:val="Heading 3 Char"/>
    <w:basedOn w:val="DefaultParagraphFont"/>
    <w:link w:val="Heading3"/>
    <w:uiPriority w:val="99"/>
    <w:rsid w:val="008D6B12"/>
    <w:rPr>
      <w:rFonts w:asciiTheme="majorHAnsi" w:eastAsiaTheme="majorEastAsia" w:hAnsiTheme="majorHAnsi" w:cstheme="majorBidi"/>
      <w:b/>
      <w:bCs/>
      <w:color w:val="5F5F5F"/>
      <w:sz w:val="24"/>
      <w:lang w:val="en-US" w:eastAsia="en-US"/>
    </w:rPr>
  </w:style>
  <w:style w:type="character" w:customStyle="1" w:styleId="Heading4Char">
    <w:name w:val="Heading 4 Char"/>
    <w:basedOn w:val="DefaultParagraphFont"/>
    <w:link w:val="Heading4"/>
    <w:uiPriority w:val="99"/>
    <w:rsid w:val="008D6B12"/>
    <w:rPr>
      <w:rFonts w:asciiTheme="majorHAnsi" w:eastAsiaTheme="majorEastAsia" w:hAnsiTheme="majorHAnsi" w:cstheme="majorBidi"/>
      <w:b/>
      <w:bCs/>
      <w:i/>
      <w:iCs/>
      <w:color w:val="777777"/>
      <w:sz w:val="24"/>
      <w:lang w:val="en-US" w:eastAsia="en-US"/>
    </w:rPr>
  </w:style>
  <w:style w:type="character" w:customStyle="1" w:styleId="Heading6Char">
    <w:name w:val="Heading 6 Char"/>
    <w:basedOn w:val="DefaultParagraphFont"/>
    <w:link w:val="Heading6"/>
    <w:uiPriority w:val="99"/>
    <w:rsid w:val="008D6B12"/>
    <w:rPr>
      <w:rFonts w:asciiTheme="majorHAnsi" w:eastAsiaTheme="majorEastAsia" w:hAnsiTheme="majorHAnsi" w:cstheme="majorBidi"/>
      <w:b/>
      <w:bCs/>
      <w:i/>
      <w:iCs/>
      <w:color w:val="7F7F7F" w:themeColor="text1" w:themeTint="80"/>
      <w:sz w:val="24"/>
      <w:lang w:val="en-US" w:eastAsia="en-US" w:bidi="en-US"/>
    </w:rPr>
  </w:style>
  <w:style w:type="character" w:customStyle="1" w:styleId="BalloonTextChar">
    <w:name w:val="Balloon Text Char"/>
    <w:basedOn w:val="DefaultParagraphFont"/>
    <w:link w:val="BalloonText"/>
    <w:uiPriority w:val="99"/>
    <w:semiHidden/>
    <w:rsid w:val="008D6B12"/>
    <w:rPr>
      <w:rFonts w:ascii="Tahoma" w:eastAsiaTheme="minorEastAsia" w:hAnsi="Tahoma" w:cs="Tahoma"/>
      <w:sz w:val="16"/>
      <w:szCs w:val="16"/>
      <w:lang w:val="en-US" w:eastAsia="en-US"/>
    </w:rPr>
  </w:style>
  <w:style w:type="paragraph" w:customStyle="1" w:styleId="ECHRFooter">
    <w:name w:val="ECHR_Footer"/>
    <w:aliases w:val="Footer_ECHR"/>
    <w:basedOn w:val="Footer"/>
    <w:uiPriority w:val="57"/>
    <w:semiHidden/>
    <w:rsid w:val="008D6B12"/>
    <w:pPr>
      <w:jc w:val="left"/>
    </w:pPr>
    <w:rPr>
      <w:sz w:val="8"/>
    </w:rPr>
  </w:style>
  <w:style w:type="paragraph" w:customStyle="1" w:styleId="ECHRPara">
    <w:name w:val="ECHR_Para"/>
    <w:aliases w:val="Ju_Para,Left,First line:  0 cm"/>
    <w:basedOn w:val="Normal"/>
    <w:link w:val="JuParaCar"/>
    <w:qFormat/>
    <w:rsid w:val="008D6B12"/>
    <w:pPr>
      <w:ind w:firstLine="284"/>
    </w:pPr>
    <w:rPr>
      <w:lang w:val="fr-FR" w:eastAsia="fr-FR"/>
    </w:rPr>
  </w:style>
  <w:style w:type="paragraph" w:customStyle="1" w:styleId="ECHRFooterLine">
    <w:name w:val="ECHR_Footer_Line"/>
    <w:aliases w:val="Footer_Line"/>
    <w:basedOn w:val="Normal"/>
    <w:next w:val="ECHRFooter"/>
    <w:uiPriority w:val="57"/>
    <w:semiHidden/>
    <w:rsid w:val="008D6B12"/>
    <w:pPr>
      <w:pBdr>
        <w:top w:val="single" w:sz="6" w:space="1" w:color="5F5F5F"/>
      </w:pBdr>
      <w:tabs>
        <w:tab w:val="center" w:pos="4536"/>
        <w:tab w:val="right" w:pos="9696"/>
      </w:tabs>
      <w:ind w:left="-680" w:right="-680"/>
      <w:jc w:val="left"/>
    </w:pPr>
    <w:rPr>
      <w:color w:val="5F5F5F"/>
    </w:rPr>
  </w:style>
  <w:style w:type="character" w:customStyle="1" w:styleId="HeaderChar">
    <w:name w:val="Header Char"/>
    <w:basedOn w:val="DefaultParagraphFont"/>
    <w:link w:val="Header"/>
    <w:uiPriority w:val="48"/>
    <w:rsid w:val="008D6B12"/>
    <w:rPr>
      <w:sz w:val="24"/>
      <w:lang w:val="en-US" w:eastAsia="en-US"/>
    </w:rPr>
  </w:style>
  <w:style w:type="paragraph" w:customStyle="1" w:styleId="ECHRHeader">
    <w:name w:val="ECHR_Header"/>
    <w:aliases w:val="Ju_Header"/>
    <w:basedOn w:val="Header"/>
    <w:uiPriority w:val="4"/>
    <w:qFormat/>
    <w:rsid w:val="008D6B12"/>
    <w:pPr>
      <w:tabs>
        <w:tab w:val="clear" w:pos="4536"/>
        <w:tab w:val="clear" w:pos="9072"/>
        <w:tab w:val="center" w:pos="3686"/>
        <w:tab w:val="right" w:pos="7371"/>
      </w:tabs>
      <w:jc w:val="left"/>
    </w:pPr>
    <w:rPr>
      <w:sz w:val="18"/>
      <w:lang w:val="fr-FR" w:eastAsia="fr-FR"/>
    </w:rPr>
  </w:style>
  <w:style w:type="character" w:customStyle="1" w:styleId="FooterChar">
    <w:name w:val="Footer Char"/>
    <w:basedOn w:val="DefaultParagraphFont"/>
    <w:link w:val="Footer"/>
    <w:uiPriority w:val="57"/>
    <w:rsid w:val="008D6B12"/>
    <w:rPr>
      <w:sz w:val="24"/>
      <w:lang w:val="en-US" w:eastAsia="en-US"/>
    </w:rPr>
  </w:style>
  <w:style w:type="character" w:customStyle="1" w:styleId="FootnoteTextChar">
    <w:name w:val="Footnote Text Char"/>
    <w:basedOn w:val="DefaultParagraphFont"/>
    <w:link w:val="FootnoteText"/>
    <w:uiPriority w:val="99"/>
    <w:semiHidden/>
    <w:rsid w:val="008D6B12"/>
    <w:rPr>
      <w:rFonts w:eastAsiaTheme="minorEastAsia"/>
      <w:sz w:val="20"/>
      <w:szCs w:val="20"/>
      <w:lang w:val="en-US" w:eastAsia="en-US"/>
    </w:rPr>
  </w:style>
  <w:style w:type="paragraph" w:customStyle="1" w:styleId="JuAppQuestion">
    <w:name w:val="Ju_App_Question"/>
    <w:basedOn w:val="Normal"/>
    <w:qFormat/>
    <w:rsid w:val="008D6B12"/>
    <w:pPr>
      <w:numPr>
        <w:numId w:val="11"/>
      </w:numPr>
      <w:jc w:val="left"/>
    </w:pPr>
    <w:rPr>
      <w:b/>
      <w:lang w:val="fr-FR" w:eastAsia="fr-FR"/>
    </w:rPr>
  </w:style>
  <w:style w:type="paragraph" w:customStyle="1" w:styleId="OpiPara">
    <w:name w:val="Opi_Para"/>
    <w:basedOn w:val="ECHRPara"/>
    <w:uiPriority w:val="46"/>
    <w:semiHidden/>
    <w:qFormat/>
    <w:rsid w:val="008D6B12"/>
  </w:style>
  <w:style w:type="paragraph" w:customStyle="1" w:styleId="ECHRParaQuote">
    <w:name w:val="ECHR_Para_Quote"/>
    <w:aliases w:val="Ju_Quot"/>
    <w:basedOn w:val="Normal"/>
    <w:link w:val="JuQuotChar"/>
    <w:qFormat/>
    <w:rsid w:val="008D6B12"/>
    <w:pPr>
      <w:spacing w:before="120" w:after="120"/>
      <w:ind w:left="425" w:firstLine="142"/>
    </w:pPr>
    <w:rPr>
      <w:sz w:val="20"/>
      <w:lang w:val="fr-FR" w:eastAsia="fr-FR"/>
    </w:rPr>
  </w:style>
  <w:style w:type="paragraph" w:customStyle="1" w:styleId="JuParaSub">
    <w:name w:val="Ju_Para_Sub"/>
    <w:basedOn w:val="ECHRPara"/>
    <w:uiPriority w:val="13"/>
    <w:qFormat/>
    <w:rsid w:val="008D6B12"/>
    <w:pPr>
      <w:ind w:left="284"/>
    </w:pPr>
  </w:style>
  <w:style w:type="paragraph" w:customStyle="1" w:styleId="OpiParaSub">
    <w:name w:val="Opi_Para_Sub"/>
    <w:basedOn w:val="JuParaSub"/>
    <w:uiPriority w:val="47"/>
    <w:semiHidden/>
    <w:qFormat/>
    <w:rsid w:val="008D6B12"/>
  </w:style>
  <w:style w:type="paragraph" w:customStyle="1" w:styleId="OpiQuot">
    <w:name w:val="Opi_Quot"/>
    <w:basedOn w:val="ECHRParaQuote"/>
    <w:uiPriority w:val="48"/>
    <w:semiHidden/>
    <w:qFormat/>
    <w:rsid w:val="008D6B12"/>
  </w:style>
  <w:style w:type="paragraph" w:customStyle="1" w:styleId="OpiQuotSub">
    <w:name w:val="Opi_Quot_Sub"/>
    <w:basedOn w:val="JuQuotSub"/>
    <w:uiPriority w:val="49"/>
    <w:semiHidden/>
    <w:qFormat/>
    <w:rsid w:val="008D6B12"/>
  </w:style>
  <w:style w:type="table" w:styleId="TableGrid">
    <w:name w:val="Table Grid"/>
    <w:basedOn w:val="TableNormal"/>
    <w:uiPriority w:val="99"/>
    <w:semiHidden/>
    <w:rsid w:val="008D6B12"/>
    <w:rPr>
      <w:rFonts w:eastAsiaTheme="minorEastAsia"/>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8D6B12"/>
    <w:pPr>
      <w:spacing w:before="120" w:after="60"/>
      <w:ind w:left="340" w:right="340" w:hanging="340"/>
    </w:pPr>
    <w:rPr>
      <w:color w:val="0D0D0D" w:themeColor="text1" w:themeTint="F2"/>
    </w:rPr>
  </w:style>
  <w:style w:type="paragraph" w:styleId="TOC2">
    <w:name w:val="toc 2"/>
    <w:basedOn w:val="Normal"/>
    <w:next w:val="Normal"/>
    <w:autoRedefine/>
    <w:uiPriority w:val="99"/>
    <w:semiHidden/>
    <w:rsid w:val="008D6B12"/>
    <w:pPr>
      <w:spacing w:after="60"/>
      <w:ind w:left="680" w:right="340" w:hanging="340"/>
    </w:pPr>
  </w:style>
  <w:style w:type="paragraph" w:styleId="TOC3">
    <w:name w:val="toc 3"/>
    <w:basedOn w:val="Normal"/>
    <w:next w:val="Normal"/>
    <w:autoRedefine/>
    <w:uiPriority w:val="99"/>
    <w:semiHidden/>
    <w:rsid w:val="008D6B12"/>
    <w:pPr>
      <w:spacing w:after="60"/>
      <w:ind w:left="1020" w:right="340" w:hanging="340"/>
    </w:pPr>
  </w:style>
  <w:style w:type="paragraph" w:styleId="TOC4">
    <w:name w:val="toc 4"/>
    <w:basedOn w:val="Normal"/>
    <w:next w:val="Normal"/>
    <w:autoRedefine/>
    <w:uiPriority w:val="99"/>
    <w:semiHidden/>
    <w:rsid w:val="008D6B12"/>
    <w:pPr>
      <w:tabs>
        <w:tab w:val="right" w:leader="dot" w:pos="9017"/>
      </w:tabs>
      <w:spacing w:after="60"/>
      <w:ind w:left="1361" w:right="340" w:hanging="340"/>
    </w:pPr>
  </w:style>
  <w:style w:type="paragraph" w:styleId="TOC5">
    <w:name w:val="toc 5"/>
    <w:basedOn w:val="Normal"/>
    <w:next w:val="Normal"/>
    <w:autoRedefine/>
    <w:uiPriority w:val="99"/>
    <w:semiHidden/>
    <w:rsid w:val="008D6B12"/>
    <w:pPr>
      <w:spacing w:after="60"/>
      <w:ind w:left="1701" w:right="340" w:hanging="340"/>
    </w:pPr>
  </w:style>
  <w:style w:type="paragraph" w:customStyle="1" w:styleId="ECHRTitleCentre3">
    <w:name w:val="ECHR_Title_Centre_3"/>
    <w:aliases w:val="Ju_H_Article"/>
    <w:basedOn w:val="Normal"/>
    <w:next w:val="ECHRParaQuote"/>
    <w:uiPriority w:val="27"/>
    <w:qFormat/>
    <w:rsid w:val="008D6B12"/>
    <w:pPr>
      <w:keepNext/>
      <w:keepLines/>
      <w:spacing w:before="240" w:after="120"/>
      <w:jc w:val="center"/>
      <w:outlineLvl w:val="3"/>
    </w:pPr>
    <w:rPr>
      <w:rFonts w:asciiTheme="majorHAnsi" w:hAnsiTheme="majorHAnsi"/>
      <w:b/>
      <w:sz w:val="20"/>
      <w:lang w:val="fr-FR" w:eastAsia="fr-FR" w:bidi="en-US"/>
    </w:rPr>
  </w:style>
  <w:style w:type="paragraph" w:customStyle="1" w:styleId="ECHRTitleCentre1">
    <w:name w:val="ECHR_Title_Centre_1"/>
    <w:aliases w:val="Opi_H_Head"/>
    <w:basedOn w:val="Normal"/>
    <w:next w:val="OpiPara"/>
    <w:uiPriority w:val="39"/>
    <w:semiHidden/>
    <w:qFormat/>
    <w:rsid w:val="008D6B12"/>
    <w:pPr>
      <w:keepNext/>
      <w:keepLines/>
      <w:spacing w:after="240"/>
      <w:jc w:val="center"/>
      <w:outlineLvl w:val="0"/>
    </w:pPr>
    <w:rPr>
      <w:rFonts w:asciiTheme="majorHAnsi" w:hAnsiTheme="majorHAnsi"/>
      <w:sz w:val="28"/>
      <w:lang w:val="fr-FR" w:eastAsia="fr-FR"/>
    </w:rPr>
  </w:style>
  <w:style w:type="paragraph" w:customStyle="1" w:styleId="JuCase">
    <w:name w:val="Ju_Case"/>
    <w:basedOn w:val="Normal"/>
    <w:next w:val="ECHRPara"/>
    <w:uiPriority w:val="10"/>
    <w:semiHidden/>
    <w:rsid w:val="008D6B12"/>
    <w:pPr>
      <w:ind w:firstLine="284"/>
    </w:pPr>
    <w:rPr>
      <w:b/>
    </w:rPr>
  </w:style>
  <w:style w:type="paragraph" w:customStyle="1" w:styleId="JuQuotSub">
    <w:name w:val="Ju_Quot_Sub"/>
    <w:basedOn w:val="ECHRParaQuote"/>
    <w:uiPriority w:val="15"/>
    <w:qFormat/>
    <w:rsid w:val="008D6B12"/>
    <w:pPr>
      <w:ind w:left="567"/>
    </w:pPr>
  </w:style>
  <w:style w:type="paragraph" w:customStyle="1" w:styleId="ECHRTitle1">
    <w:name w:val="ECHR_Title_1"/>
    <w:aliases w:val="Ju_H_Head"/>
    <w:basedOn w:val="Normal"/>
    <w:next w:val="ECHRPara"/>
    <w:link w:val="JuHHeadChar"/>
    <w:qFormat/>
    <w:rsid w:val="008D6B12"/>
    <w:pPr>
      <w:keepNext/>
      <w:keepLines/>
      <w:spacing w:before="720" w:after="240"/>
      <w:outlineLvl w:val="0"/>
    </w:pPr>
    <w:rPr>
      <w:rFonts w:asciiTheme="majorHAnsi" w:hAnsiTheme="majorHAnsi"/>
      <w:sz w:val="28"/>
      <w:lang w:val="fr-FR" w:eastAsia="fr-FR"/>
    </w:rPr>
  </w:style>
  <w:style w:type="paragraph" w:customStyle="1" w:styleId="JuInitialled">
    <w:name w:val="Ju_Initialled"/>
    <w:basedOn w:val="Normal"/>
    <w:uiPriority w:val="31"/>
    <w:qFormat/>
    <w:rsid w:val="008D6B12"/>
    <w:pPr>
      <w:tabs>
        <w:tab w:val="center" w:pos="6407"/>
      </w:tabs>
      <w:spacing w:before="720"/>
      <w:jc w:val="right"/>
    </w:pPr>
    <w:rPr>
      <w:lang w:val="fr-FR" w:eastAsia="fr-FR"/>
    </w:rPr>
  </w:style>
  <w:style w:type="paragraph" w:customStyle="1" w:styleId="OpiHA">
    <w:name w:val="Opi_H_A"/>
    <w:basedOn w:val="ECHRHeading1"/>
    <w:next w:val="OpiPara"/>
    <w:uiPriority w:val="41"/>
    <w:semiHidden/>
    <w:qFormat/>
    <w:rsid w:val="008D6B12"/>
    <w:pPr>
      <w:tabs>
        <w:tab w:val="clear" w:pos="357"/>
      </w:tabs>
      <w:outlineLvl w:val="1"/>
    </w:pPr>
    <w:rPr>
      <w:b/>
    </w:rPr>
  </w:style>
  <w:style w:type="character" w:customStyle="1" w:styleId="JUNAMES">
    <w:name w:val="JU_NAMES"/>
    <w:uiPriority w:val="17"/>
    <w:qFormat/>
    <w:rsid w:val="008D6B12"/>
    <w:rPr>
      <w:caps w:val="0"/>
      <w:smallCaps/>
    </w:rPr>
  </w:style>
  <w:style w:type="character" w:customStyle="1" w:styleId="Heading5Char">
    <w:name w:val="Heading 5 Char"/>
    <w:basedOn w:val="DefaultParagraphFont"/>
    <w:link w:val="Heading5"/>
    <w:uiPriority w:val="99"/>
    <w:rsid w:val="008D6B12"/>
    <w:rPr>
      <w:rFonts w:asciiTheme="majorHAnsi" w:eastAsiaTheme="majorEastAsia" w:hAnsiTheme="majorHAnsi" w:cstheme="majorBidi"/>
      <w:b/>
      <w:bCs/>
      <w:color w:val="808080"/>
    </w:rPr>
  </w:style>
  <w:style w:type="character" w:customStyle="1" w:styleId="Heading7Char">
    <w:name w:val="Heading 7 Char"/>
    <w:basedOn w:val="DefaultParagraphFont"/>
    <w:link w:val="Heading7"/>
    <w:uiPriority w:val="99"/>
    <w:rsid w:val="008D6B12"/>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rsid w:val="008D6B12"/>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rsid w:val="008D6B12"/>
    <w:rPr>
      <w:rFonts w:asciiTheme="majorHAnsi" w:eastAsiaTheme="majorEastAsia" w:hAnsiTheme="majorHAnsi" w:cstheme="majorBidi"/>
      <w:i/>
      <w:iCs/>
      <w:spacing w:val="5"/>
      <w:sz w:val="20"/>
      <w:szCs w:val="20"/>
      <w:lang w:bidi="en-US"/>
    </w:rPr>
  </w:style>
  <w:style w:type="paragraph" w:styleId="Title">
    <w:name w:val="Title"/>
    <w:basedOn w:val="Normal"/>
    <w:next w:val="Normal"/>
    <w:link w:val="TitleChar"/>
    <w:uiPriority w:val="99"/>
    <w:semiHidden/>
    <w:qFormat/>
    <w:rsid w:val="008D6B12"/>
    <w:pPr>
      <w:pBdr>
        <w:bottom w:val="single" w:sz="4" w:space="1" w:color="auto"/>
      </w:pBdr>
      <w:contextualSpacing/>
    </w:pPr>
    <w:rPr>
      <w:rFonts w:asciiTheme="majorHAnsi" w:eastAsiaTheme="majorEastAsia" w:hAnsiTheme="majorHAnsi" w:cstheme="majorBidi"/>
      <w:spacing w:val="5"/>
      <w:sz w:val="52"/>
      <w:szCs w:val="52"/>
      <w:lang w:val="fr-FR" w:eastAsia="fr-FR" w:bidi="en-US"/>
    </w:rPr>
  </w:style>
  <w:style w:type="character" w:customStyle="1" w:styleId="TitleChar">
    <w:name w:val="Title Char"/>
    <w:basedOn w:val="DefaultParagraphFont"/>
    <w:link w:val="Title"/>
    <w:uiPriority w:val="99"/>
    <w:rsid w:val="008D6B12"/>
    <w:rPr>
      <w:rFonts w:asciiTheme="majorHAnsi" w:eastAsiaTheme="majorEastAsia" w:hAnsiTheme="majorHAnsi" w:cstheme="majorBidi"/>
      <w:spacing w:val="5"/>
      <w:sz w:val="52"/>
      <w:szCs w:val="52"/>
      <w:lang w:bidi="en-US"/>
    </w:rPr>
  </w:style>
  <w:style w:type="paragraph" w:styleId="Subtitle">
    <w:name w:val="Subtitle"/>
    <w:basedOn w:val="Normal"/>
    <w:next w:val="Normal"/>
    <w:link w:val="SubtitleChar"/>
    <w:uiPriority w:val="99"/>
    <w:semiHidden/>
    <w:qFormat/>
    <w:rsid w:val="008D6B12"/>
    <w:pPr>
      <w:spacing w:after="600"/>
    </w:pPr>
    <w:rPr>
      <w:rFonts w:asciiTheme="majorHAnsi" w:eastAsiaTheme="majorEastAsia" w:hAnsiTheme="majorHAnsi" w:cstheme="majorBidi"/>
      <w:i/>
      <w:iCs/>
      <w:spacing w:val="13"/>
      <w:szCs w:val="24"/>
      <w:lang w:val="fr-FR" w:eastAsia="fr-FR" w:bidi="en-US"/>
    </w:rPr>
  </w:style>
  <w:style w:type="character" w:customStyle="1" w:styleId="SubtitleChar">
    <w:name w:val="Subtitle Char"/>
    <w:basedOn w:val="DefaultParagraphFont"/>
    <w:link w:val="Subtitle"/>
    <w:uiPriority w:val="99"/>
    <w:rsid w:val="008D6B12"/>
    <w:rPr>
      <w:rFonts w:asciiTheme="majorHAnsi" w:eastAsiaTheme="majorEastAsia" w:hAnsiTheme="majorHAnsi" w:cstheme="majorBidi"/>
      <w:i/>
      <w:iCs/>
      <w:spacing w:val="13"/>
      <w:sz w:val="24"/>
      <w:szCs w:val="24"/>
      <w:lang w:bidi="en-US"/>
    </w:rPr>
  </w:style>
  <w:style w:type="character" w:styleId="Strong">
    <w:name w:val="Strong"/>
    <w:uiPriority w:val="99"/>
    <w:semiHidden/>
    <w:qFormat/>
    <w:rsid w:val="008D6B12"/>
    <w:rPr>
      <w:b/>
      <w:bCs/>
    </w:rPr>
  </w:style>
  <w:style w:type="character" w:styleId="Emphasis">
    <w:name w:val="Emphasis"/>
    <w:uiPriority w:val="99"/>
    <w:semiHidden/>
    <w:qFormat/>
    <w:rsid w:val="008D6B12"/>
    <w:rPr>
      <w:b/>
      <w:bCs/>
      <w:i/>
      <w:iCs/>
      <w:spacing w:val="10"/>
      <w:bdr w:val="none" w:sz="0" w:space="0" w:color="auto"/>
      <w:shd w:val="clear" w:color="auto" w:fill="auto"/>
    </w:rPr>
  </w:style>
  <w:style w:type="paragraph" w:styleId="NoSpacing">
    <w:name w:val="No Spacing"/>
    <w:basedOn w:val="Normal"/>
    <w:link w:val="NoSpacingChar"/>
    <w:uiPriority w:val="99"/>
    <w:semiHidden/>
    <w:qFormat/>
    <w:rsid w:val="008D6B12"/>
    <w:rPr>
      <w:sz w:val="22"/>
      <w:lang w:val="fr-FR" w:eastAsia="fr-FR"/>
    </w:rPr>
  </w:style>
  <w:style w:type="character" w:customStyle="1" w:styleId="NoSpacingChar">
    <w:name w:val="No Spacing Char"/>
    <w:basedOn w:val="DefaultParagraphFont"/>
    <w:link w:val="NoSpacing"/>
    <w:rsid w:val="008D6B12"/>
    <w:rPr>
      <w:rFonts w:eastAsiaTheme="minorEastAsia"/>
    </w:rPr>
  </w:style>
  <w:style w:type="paragraph" w:styleId="ListParagraph">
    <w:name w:val="List Paragraph"/>
    <w:basedOn w:val="Normal"/>
    <w:uiPriority w:val="99"/>
    <w:semiHidden/>
    <w:qFormat/>
    <w:rsid w:val="008D6B12"/>
    <w:pPr>
      <w:ind w:left="720"/>
      <w:contextualSpacing/>
    </w:pPr>
    <w:rPr>
      <w:lang w:val="fr-FR" w:eastAsia="fr-FR"/>
    </w:rPr>
  </w:style>
  <w:style w:type="paragraph" w:styleId="Quote">
    <w:name w:val="Quote"/>
    <w:basedOn w:val="Normal"/>
    <w:next w:val="Normal"/>
    <w:link w:val="QuoteChar"/>
    <w:uiPriority w:val="99"/>
    <w:semiHidden/>
    <w:qFormat/>
    <w:rsid w:val="008D6B12"/>
    <w:pPr>
      <w:spacing w:before="200"/>
      <w:ind w:left="360" w:right="360"/>
    </w:pPr>
    <w:rPr>
      <w:i/>
      <w:iCs/>
      <w:sz w:val="22"/>
      <w:lang w:val="fr-FR" w:eastAsia="fr-FR" w:bidi="en-US"/>
    </w:rPr>
  </w:style>
  <w:style w:type="character" w:customStyle="1" w:styleId="QuoteChar">
    <w:name w:val="Quote Char"/>
    <w:basedOn w:val="DefaultParagraphFont"/>
    <w:link w:val="Quote"/>
    <w:uiPriority w:val="99"/>
    <w:rsid w:val="008D6B12"/>
    <w:rPr>
      <w:rFonts w:eastAsiaTheme="minorEastAsia"/>
      <w:i/>
      <w:iCs/>
      <w:lang w:bidi="en-US"/>
    </w:rPr>
  </w:style>
  <w:style w:type="paragraph" w:styleId="IntenseQuote">
    <w:name w:val="Intense Quote"/>
    <w:basedOn w:val="Normal"/>
    <w:next w:val="Normal"/>
    <w:link w:val="IntenseQuoteChar"/>
    <w:uiPriority w:val="99"/>
    <w:semiHidden/>
    <w:qFormat/>
    <w:rsid w:val="008D6B12"/>
    <w:pPr>
      <w:pBdr>
        <w:bottom w:val="single" w:sz="4" w:space="1" w:color="auto"/>
      </w:pBdr>
      <w:spacing w:before="200" w:after="280"/>
      <w:ind w:left="1008" w:right="1152"/>
    </w:pPr>
    <w:rPr>
      <w:b/>
      <w:bCs/>
      <w:i/>
      <w:iCs/>
      <w:sz w:val="22"/>
      <w:lang w:val="fr-FR" w:eastAsia="fr-FR" w:bidi="en-US"/>
    </w:rPr>
  </w:style>
  <w:style w:type="character" w:customStyle="1" w:styleId="IntenseQuoteChar">
    <w:name w:val="Intense Quote Char"/>
    <w:basedOn w:val="DefaultParagraphFont"/>
    <w:link w:val="IntenseQuote"/>
    <w:uiPriority w:val="99"/>
    <w:rsid w:val="008D6B12"/>
    <w:rPr>
      <w:rFonts w:eastAsiaTheme="minorEastAsia"/>
      <w:b/>
      <w:bCs/>
      <w:i/>
      <w:iCs/>
      <w:lang w:bidi="en-US"/>
    </w:rPr>
  </w:style>
  <w:style w:type="character" w:styleId="SubtleEmphasis">
    <w:name w:val="Subtle Emphasis"/>
    <w:uiPriority w:val="99"/>
    <w:semiHidden/>
    <w:qFormat/>
    <w:rsid w:val="008D6B12"/>
    <w:rPr>
      <w:i/>
      <w:iCs/>
    </w:rPr>
  </w:style>
  <w:style w:type="character" w:styleId="IntenseEmphasis">
    <w:name w:val="Intense Emphasis"/>
    <w:uiPriority w:val="99"/>
    <w:semiHidden/>
    <w:qFormat/>
    <w:rsid w:val="008D6B12"/>
    <w:rPr>
      <w:b/>
      <w:bCs/>
    </w:rPr>
  </w:style>
  <w:style w:type="character" w:styleId="SubtleReference">
    <w:name w:val="Subtle Reference"/>
    <w:uiPriority w:val="99"/>
    <w:semiHidden/>
    <w:qFormat/>
    <w:rsid w:val="008D6B12"/>
    <w:rPr>
      <w:smallCaps/>
    </w:rPr>
  </w:style>
  <w:style w:type="character" w:styleId="IntenseReference">
    <w:name w:val="Intense Reference"/>
    <w:uiPriority w:val="99"/>
    <w:semiHidden/>
    <w:qFormat/>
    <w:rsid w:val="008D6B12"/>
    <w:rPr>
      <w:smallCaps/>
      <w:spacing w:val="5"/>
      <w:u w:val="single"/>
    </w:rPr>
  </w:style>
  <w:style w:type="character" w:styleId="BookTitle">
    <w:name w:val="Book Title"/>
    <w:uiPriority w:val="99"/>
    <w:semiHidden/>
    <w:qFormat/>
    <w:rsid w:val="008D6B12"/>
    <w:rPr>
      <w:i/>
      <w:iCs/>
      <w:smallCaps/>
      <w:spacing w:val="5"/>
    </w:rPr>
  </w:style>
  <w:style w:type="paragraph" w:styleId="TOCHeading">
    <w:name w:val="TOC Heading"/>
    <w:basedOn w:val="Heading1"/>
    <w:next w:val="Normal"/>
    <w:uiPriority w:val="99"/>
    <w:semiHidden/>
    <w:qFormat/>
    <w:rsid w:val="008D6B12"/>
    <w:pPr>
      <w:outlineLvl w:val="9"/>
    </w:pPr>
    <w:rPr>
      <w:color w:val="474747" w:themeColor="accent3" w:themeShade="BF"/>
      <w:lang w:val="fr-FR" w:eastAsia="fr-FR"/>
    </w:rPr>
  </w:style>
  <w:style w:type="paragraph" w:customStyle="1" w:styleId="OpiTranslation">
    <w:name w:val="Opi_Translation"/>
    <w:basedOn w:val="Normal"/>
    <w:next w:val="OpiPara"/>
    <w:uiPriority w:val="40"/>
    <w:semiHidden/>
    <w:qFormat/>
    <w:rsid w:val="008D6B12"/>
    <w:pPr>
      <w:jc w:val="center"/>
      <w:outlineLvl w:val="0"/>
    </w:pPr>
    <w:rPr>
      <w:i/>
      <w:lang w:val="fr-FR" w:eastAsia="fr-FR"/>
    </w:rPr>
  </w:style>
  <w:style w:type="paragraph" w:styleId="TOAHeading">
    <w:name w:val="toa heading"/>
    <w:basedOn w:val="Normal"/>
    <w:next w:val="Normal"/>
    <w:uiPriority w:val="99"/>
    <w:semiHidden/>
    <w:rsid w:val="008D6B12"/>
    <w:pPr>
      <w:spacing w:before="120"/>
    </w:pPr>
    <w:rPr>
      <w:rFonts w:asciiTheme="majorHAnsi" w:eastAsiaTheme="majorEastAsia" w:hAnsiTheme="majorHAnsi" w:cstheme="majorBidi"/>
      <w:b/>
      <w:bCs/>
      <w:color w:val="474747" w:themeColor="accent3" w:themeShade="BF"/>
      <w:szCs w:val="24"/>
    </w:rPr>
  </w:style>
  <w:style w:type="paragraph" w:customStyle="1" w:styleId="JuCourt">
    <w:name w:val="Ju_Court"/>
    <w:basedOn w:val="Normal"/>
    <w:next w:val="Normal"/>
    <w:uiPriority w:val="16"/>
    <w:qFormat/>
    <w:rsid w:val="008D6B12"/>
    <w:pPr>
      <w:tabs>
        <w:tab w:val="left" w:pos="907"/>
        <w:tab w:val="left" w:pos="1701"/>
        <w:tab w:val="right" w:pos="7371"/>
      </w:tabs>
      <w:spacing w:before="240"/>
      <w:ind w:left="397" w:hanging="397"/>
      <w:jc w:val="left"/>
    </w:pPr>
    <w:rPr>
      <w:lang w:val="fr-FR" w:eastAsia="fr-FR" w:bidi="en-US"/>
    </w:rPr>
  </w:style>
  <w:style w:type="paragraph" w:customStyle="1" w:styleId="ECHRHeading1">
    <w:name w:val="ECHR_Heading_1"/>
    <w:aliases w:val="Ju_H_I_Roman"/>
    <w:basedOn w:val="Heading1"/>
    <w:next w:val="ECHRPara"/>
    <w:qFormat/>
    <w:rsid w:val="008D6B12"/>
    <w:pPr>
      <w:keepNext/>
      <w:keepLines/>
      <w:tabs>
        <w:tab w:val="left" w:pos="357"/>
      </w:tabs>
      <w:spacing w:before="360" w:after="240"/>
      <w:ind w:left="357" w:hanging="357"/>
      <w:contextualSpacing w:val="0"/>
    </w:pPr>
    <w:rPr>
      <w:b w:val="0"/>
      <w:color w:val="auto"/>
      <w:sz w:val="24"/>
      <w:lang w:val="fr-FR" w:eastAsia="fr-FR"/>
    </w:rPr>
  </w:style>
  <w:style w:type="paragraph" w:customStyle="1" w:styleId="ECHRHeading2">
    <w:name w:val="ECHR_Heading_2"/>
    <w:aliases w:val="Ju_H_A"/>
    <w:basedOn w:val="Heading2"/>
    <w:next w:val="ECHRPara"/>
    <w:qFormat/>
    <w:rsid w:val="008D6B12"/>
    <w:pPr>
      <w:keepNext/>
      <w:keepLines/>
      <w:tabs>
        <w:tab w:val="left" w:pos="584"/>
      </w:tabs>
      <w:spacing w:before="360" w:after="240"/>
      <w:ind w:left="584" w:hanging="352"/>
    </w:pPr>
    <w:rPr>
      <w:color w:val="auto"/>
      <w:sz w:val="24"/>
      <w:lang w:val="fr-FR" w:eastAsia="fr-FR"/>
    </w:rPr>
  </w:style>
  <w:style w:type="paragraph" w:customStyle="1" w:styleId="ECHRHeading3">
    <w:name w:val="ECHR_Heading_3"/>
    <w:aliases w:val="Ju_H_1."/>
    <w:basedOn w:val="Heading3"/>
    <w:next w:val="ECHRPara"/>
    <w:uiPriority w:val="21"/>
    <w:qFormat/>
    <w:rsid w:val="008D6B12"/>
    <w:pPr>
      <w:keepNext/>
      <w:keepLines/>
      <w:tabs>
        <w:tab w:val="left" w:pos="731"/>
      </w:tabs>
      <w:spacing w:before="240" w:after="120" w:line="240" w:lineRule="auto"/>
      <w:ind w:left="732" w:hanging="301"/>
    </w:pPr>
    <w:rPr>
      <w:b w:val="0"/>
      <w:i/>
      <w:color w:val="auto"/>
      <w:lang w:val="fr-FR" w:eastAsia="fr-FR"/>
    </w:rPr>
  </w:style>
  <w:style w:type="paragraph" w:customStyle="1" w:styleId="ECHRHeading4">
    <w:name w:val="ECHR_Heading_4"/>
    <w:aliases w:val="Ju_H_a"/>
    <w:basedOn w:val="Heading4"/>
    <w:next w:val="ECHRPara"/>
    <w:uiPriority w:val="22"/>
    <w:qFormat/>
    <w:rsid w:val="008D6B12"/>
    <w:pPr>
      <w:keepNext/>
      <w:keepLines/>
      <w:tabs>
        <w:tab w:val="left" w:pos="975"/>
      </w:tabs>
      <w:spacing w:before="240" w:after="120"/>
      <w:ind w:left="975" w:hanging="340"/>
    </w:pPr>
    <w:rPr>
      <w:i w:val="0"/>
      <w:color w:val="auto"/>
      <w:sz w:val="20"/>
      <w:lang w:val="fr-FR" w:eastAsia="fr-FR"/>
    </w:rPr>
  </w:style>
  <w:style w:type="paragraph" w:customStyle="1" w:styleId="ECHRHeading5">
    <w:name w:val="ECHR_Heading_5"/>
    <w:aliases w:val="Ju_H_i"/>
    <w:basedOn w:val="Heading5"/>
    <w:next w:val="ECHRPara"/>
    <w:uiPriority w:val="23"/>
    <w:qFormat/>
    <w:rsid w:val="008D6B12"/>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Heading6"/>
    <w:next w:val="ECHRPara"/>
    <w:uiPriority w:val="24"/>
    <w:qFormat/>
    <w:rsid w:val="008D6B12"/>
    <w:pPr>
      <w:keepNext/>
      <w:keepLines/>
      <w:tabs>
        <w:tab w:val="left" w:pos="1372"/>
      </w:tabs>
      <w:spacing w:before="240" w:after="120" w:line="240" w:lineRule="auto"/>
      <w:ind w:left="1373" w:hanging="335"/>
    </w:pPr>
    <w:rPr>
      <w:b w:val="0"/>
      <w:color w:val="auto"/>
      <w:sz w:val="20"/>
      <w:lang w:val="fr-FR" w:eastAsia="fr-FR"/>
    </w:rPr>
  </w:style>
  <w:style w:type="paragraph" w:customStyle="1" w:styleId="ECHRHeading7">
    <w:name w:val="ECHR_Heading_7"/>
    <w:aliases w:val="Ju_H_–"/>
    <w:basedOn w:val="Heading7"/>
    <w:next w:val="ECHRPara"/>
    <w:uiPriority w:val="25"/>
    <w:qFormat/>
    <w:rsid w:val="008D6B12"/>
    <w:pPr>
      <w:keepNext/>
      <w:keepLines/>
      <w:spacing w:before="240" w:after="120"/>
      <w:ind w:left="1236"/>
    </w:pPr>
    <w:rPr>
      <w:sz w:val="20"/>
    </w:rPr>
  </w:style>
  <w:style w:type="paragraph" w:customStyle="1" w:styleId="JuParaLast">
    <w:name w:val="Ju_Para_Last"/>
    <w:basedOn w:val="Normal"/>
    <w:next w:val="ECHRPara"/>
    <w:qFormat/>
    <w:rsid w:val="008D6B12"/>
    <w:pPr>
      <w:keepNext/>
      <w:keepLines/>
      <w:spacing w:before="240"/>
      <w:ind w:firstLine="284"/>
    </w:pPr>
    <w:rPr>
      <w:lang w:val="fr-FR" w:eastAsia="fr-FR"/>
    </w:rPr>
  </w:style>
  <w:style w:type="paragraph" w:customStyle="1" w:styleId="DecList">
    <w:name w:val="Dec_List"/>
    <w:basedOn w:val="Normal"/>
    <w:qFormat/>
    <w:rsid w:val="008D6B12"/>
    <w:pPr>
      <w:spacing w:before="240"/>
      <w:ind w:left="284"/>
    </w:pPr>
    <w:rPr>
      <w:lang w:val="fr-FR" w:eastAsia="fr-FR"/>
    </w:rPr>
  </w:style>
  <w:style w:type="paragraph" w:customStyle="1" w:styleId="ECHRDecisionBody">
    <w:name w:val="ECHR_Decision_Body"/>
    <w:aliases w:val="Ju_Judges"/>
    <w:basedOn w:val="Normal"/>
    <w:link w:val="JuJudgesChar"/>
    <w:qFormat/>
    <w:rsid w:val="008D6B12"/>
    <w:pPr>
      <w:tabs>
        <w:tab w:val="left" w:pos="567"/>
        <w:tab w:val="left" w:pos="1134"/>
      </w:tabs>
      <w:jc w:val="left"/>
    </w:pPr>
    <w:rPr>
      <w:lang w:val="fr-FR" w:eastAsia="fr-FR"/>
    </w:rPr>
  </w:style>
  <w:style w:type="paragraph" w:customStyle="1" w:styleId="JuList">
    <w:name w:val="Ju_List"/>
    <w:basedOn w:val="Normal"/>
    <w:uiPriority w:val="28"/>
    <w:qFormat/>
    <w:rsid w:val="008D6B12"/>
    <w:pPr>
      <w:ind w:left="340" w:hanging="340"/>
    </w:pPr>
    <w:rPr>
      <w:lang w:val="fr-FR" w:eastAsia="fr-FR"/>
    </w:rPr>
  </w:style>
  <w:style w:type="paragraph" w:customStyle="1" w:styleId="JuLista">
    <w:name w:val="Ju_List_a"/>
    <w:basedOn w:val="JuList"/>
    <w:uiPriority w:val="28"/>
    <w:qFormat/>
    <w:rsid w:val="008D6B12"/>
    <w:pPr>
      <w:ind w:left="346" w:firstLine="0"/>
    </w:pPr>
  </w:style>
  <w:style w:type="paragraph" w:customStyle="1" w:styleId="JuListi">
    <w:name w:val="Ju_List_i"/>
    <w:basedOn w:val="Normal"/>
    <w:next w:val="JuLista"/>
    <w:uiPriority w:val="28"/>
    <w:qFormat/>
    <w:rsid w:val="008D6B12"/>
    <w:pPr>
      <w:ind w:left="794"/>
    </w:pPr>
    <w:rPr>
      <w:lang w:val="fr-FR" w:eastAsia="fr-FR"/>
    </w:rPr>
  </w:style>
  <w:style w:type="paragraph" w:customStyle="1" w:styleId="OpiH1">
    <w:name w:val="Opi_H_1"/>
    <w:basedOn w:val="ECHRHeading2"/>
    <w:uiPriority w:val="42"/>
    <w:semiHidden/>
    <w:qFormat/>
    <w:rsid w:val="008D6B12"/>
    <w:pPr>
      <w:ind w:left="635" w:hanging="357"/>
      <w:outlineLvl w:val="2"/>
    </w:pPr>
  </w:style>
  <w:style w:type="paragraph" w:customStyle="1" w:styleId="OpiHa0">
    <w:name w:val="Opi_H_a"/>
    <w:basedOn w:val="ECHRHeading3"/>
    <w:uiPriority w:val="43"/>
    <w:semiHidden/>
    <w:qFormat/>
    <w:rsid w:val="008D6B12"/>
    <w:pPr>
      <w:ind w:left="833" w:hanging="357"/>
      <w:outlineLvl w:val="3"/>
    </w:pPr>
    <w:rPr>
      <w:b/>
      <w:i w:val="0"/>
      <w:sz w:val="20"/>
    </w:rPr>
  </w:style>
  <w:style w:type="paragraph" w:customStyle="1" w:styleId="OpiHi">
    <w:name w:val="Opi_H_i"/>
    <w:basedOn w:val="ECHRHeading4"/>
    <w:uiPriority w:val="44"/>
    <w:semiHidden/>
    <w:qFormat/>
    <w:rsid w:val="008D6B12"/>
    <w:pPr>
      <w:ind w:left="1037" w:hanging="357"/>
      <w:outlineLvl w:val="4"/>
    </w:pPr>
    <w:rPr>
      <w:b w:val="0"/>
      <w:i/>
    </w:rPr>
  </w:style>
  <w:style w:type="numbering" w:styleId="111111">
    <w:name w:val="Outline List 2"/>
    <w:basedOn w:val="NoList"/>
    <w:uiPriority w:val="99"/>
    <w:semiHidden/>
    <w:rsid w:val="008D6B12"/>
    <w:pPr>
      <w:numPr>
        <w:numId w:val="12"/>
      </w:numPr>
    </w:pPr>
  </w:style>
  <w:style w:type="numbering" w:styleId="1ai">
    <w:name w:val="Outline List 1"/>
    <w:basedOn w:val="NoList"/>
    <w:uiPriority w:val="99"/>
    <w:semiHidden/>
    <w:rsid w:val="008D6B12"/>
    <w:pPr>
      <w:numPr>
        <w:numId w:val="13"/>
      </w:numPr>
    </w:pPr>
  </w:style>
  <w:style w:type="numbering" w:styleId="ArticleSection">
    <w:name w:val="Outline List 3"/>
    <w:basedOn w:val="NoList"/>
    <w:uiPriority w:val="99"/>
    <w:semiHidden/>
    <w:rsid w:val="008D6B12"/>
    <w:pPr>
      <w:numPr>
        <w:numId w:val="14"/>
      </w:numPr>
    </w:pPr>
  </w:style>
  <w:style w:type="paragraph" w:styleId="Bibliography">
    <w:name w:val="Bibliography"/>
    <w:basedOn w:val="Normal"/>
    <w:next w:val="Normal"/>
    <w:uiPriority w:val="99"/>
    <w:semiHidden/>
    <w:unhideWhenUsed/>
    <w:rsid w:val="008D6B12"/>
  </w:style>
  <w:style w:type="paragraph" w:styleId="BlockText">
    <w:name w:val="Block Text"/>
    <w:basedOn w:val="Normal"/>
    <w:uiPriority w:val="99"/>
    <w:semiHidden/>
    <w:rsid w:val="008D6B12"/>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BodyText">
    <w:name w:val="Body Text"/>
    <w:basedOn w:val="Normal"/>
    <w:link w:val="BodyTextChar"/>
    <w:uiPriority w:val="99"/>
    <w:semiHidden/>
    <w:rsid w:val="008D6B12"/>
    <w:pPr>
      <w:spacing w:after="120"/>
    </w:pPr>
  </w:style>
  <w:style w:type="character" w:customStyle="1" w:styleId="BodyTextChar">
    <w:name w:val="Body Text Char"/>
    <w:basedOn w:val="DefaultParagraphFont"/>
    <w:link w:val="BodyText"/>
    <w:rsid w:val="008D6B12"/>
    <w:rPr>
      <w:rFonts w:eastAsiaTheme="minorEastAsia"/>
      <w:sz w:val="24"/>
      <w:lang w:val="en-US" w:eastAsia="en-US"/>
    </w:rPr>
  </w:style>
  <w:style w:type="paragraph" w:styleId="BodyText2">
    <w:name w:val="Body Text 2"/>
    <w:basedOn w:val="Normal"/>
    <w:link w:val="BodyText2Char"/>
    <w:uiPriority w:val="99"/>
    <w:semiHidden/>
    <w:rsid w:val="008D6B12"/>
    <w:pPr>
      <w:spacing w:after="120" w:line="480" w:lineRule="auto"/>
    </w:pPr>
  </w:style>
  <w:style w:type="character" w:customStyle="1" w:styleId="BodyText2Char">
    <w:name w:val="Body Text 2 Char"/>
    <w:basedOn w:val="DefaultParagraphFont"/>
    <w:link w:val="BodyText2"/>
    <w:rsid w:val="008D6B12"/>
    <w:rPr>
      <w:rFonts w:eastAsiaTheme="minorEastAsia"/>
      <w:sz w:val="24"/>
      <w:lang w:val="en-US" w:eastAsia="en-US"/>
    </w:rPr>
  </w:style>
  <w:style w:type="paragraph" w:styleId="BodyText3">
    <w:name w:val="Body Text 3"/>
    <w:basedOn w:val="Normal"/>
    <w:link w:val="BodyText3Char"/>
    <w:uiPriority w:val="99"/>
    <w:semiHidden/>
    <w:rsid w:val="008D6B12"/>
    <w:pPr>
      <w:spacing w:after="120"/>
    </w:pPr>
    <w:rPr>
      <w:sz w:val="16"/>
      <w:szCs w:val="16"/>
    </w:rPr>
  </w:style>
  <w:style w:type="character" w:customStyle="1" w:styleId="BodyText3Char">
    <w:name w:val="Body Text 3 Char"/>
    <w:basedOn w:val="DefaultParagraphFont"/>
    <w:link w:val="BodyText3"/>
    <w:rsid w:val="008D6B12"/>
    <w:rPr>
      <w:rFonts w:eastAsiaTheme="minorEastAsia"/>
      <w:sz w:val="16"/>
      <w:szCs w:val="16"/>
      <w:lang w:val="en-US" w:eastAsia="en-US"/>
    </w:rPr>
  </w:style>
  <w:style w:type="paragraph" w:styleId="BodyTextFirstIndent">
    <w:name w:val="Body Text First Indent"/>
    <w:basedOn w:val="BodyText"/>
    <w:link w:val="BodyTextFirstIndentChar"/>
    <w:uiPriority w:val="99"/>
    <w:semiHidden/>
    <w:rsid w:val="008D6B12"/>
    <w:pPr>
      <w:spacing w:after="0"/>
      <w:ind w:firstLine="360"/>
    </w:pPr>
  </w:style>
  <w:style w:type="character" w:customStyle="1" w:styleId="BodyTextFirstIndentChar">
    <w:name w:val="Body Text First Indent Char"/>
    <w:basedOn w:val="BodyTextChar"/>
    <w:link w:val="BodyTextFirstIndent"/>
    <w:rsid w:val="008D6B12"/>
    <w:rPr>
      <w:rFonts w:eastAsiaTheme="minorEastAsia"/>
      <w:sz w:val="24"/>
      <w:lang w:val="en-US" w:eastAsia="en-US"/>
    </w:rPr>
  </w:style>
  <w:style w:type="paragraph" w:styleId="BodyTextIndent">
    <w:name w:val="Body Text Indent"/>
    <w:basedOn w:val="Normal"/>
    <w:link w:val="BodyTextIndentChar"/>
    <w:uiPriority w:val="99"/>
    <w:semiHidden/>
    <w:rsid w:val="008D6B12"/>
    <w:pPr>
      <w:spacing w:after="120"/>
      <w:ind w:left="283"/>
    </w:pPr>
  </w:style>
  <w:style w:type="character" w:customStyle="1" w:styleId="BodyTextIndentChar">
    <w:name w:val="Body Text Indent Char"/>
    <w:basedOn w:val="DefaultParagraphFont"/>
    <w:link w:val="BodyTextIndent"/>
    <w:rsid w:val="008D6B12"/>
    <w:rPr>
      <w:rFonts w:eastAsiaTheme="minorEastAsia"/>
      <w:sz w:val="24"/>
      <w:lang w:val="en-US" w:eastAsia="en-US"/>
    </w:rPr>
  </w:style>
  <w:style w:type="paragraph" w:styleId="BodyTextFirstIndent2">
    <w:name w:val="Body Text First Indent 2"/>
    <w:basedOn w:val="BodyTextIndent"/>
    <w:link w:val="BodyTextFirstIndent2Char"/>
    <w:uiPriority w:val="99"/>
    <w:semiHidden/>
    <w:rsid w:val="008D6B12"/>
    <w:pPr>
      <w:spacing w:after="0"/>
      <w:ind w:left="360" w:firstLine="360"/>
    </w:pPr>
  </w:style>
  <w:style w:type="character" w:customStyle="1" w:styleId="BodyTextFirstIndent2Char">
    <w:name w:val="Body Text First Indent 2 Char"/>
    <w:basedOn w:val="BodyTextIndentChar"/>
    <w:link w:val="BodyTextFirstIndent2"/>
    <w:rsid w:val="008D6B12"/>
    <w:rPr>
      <w:rFonts w:eastAsiaTheme="minorEastAsia"/>
      <w:sz w:val="24"/>
      <w:lang w:val="en-US" w:eastAsia="en-US"/>
    </w:rPr>
  </w:style>
  <w:style w:type="paragraph" w:styleId="BodyTextIndent2">
    <w:name w:val="Body Text Indent 2"/>
    <w:basedOn w:val="Normal"/>
    <w:link w:val="BodyTextIndent2Char"/>
    <w:uiPriority w:val="99"/>
    <w:semiHidden/>
    <w:rsid w:val="008D6B12"/>
    <w:pPr>
      <w:spacing w:after="120" w:line="480" w:lineRule="auto"/>
      <w:ind w:left="283"/>
    </w:pPr>
  </w:style>
  <w:style w:type="character" w:customStyle="1" w:styleId="BodyTextIndent2Char">
    <w:name w:val="Body Text Indent 2 Char"/>
    <w:basedOn w:val="DefaultParagraphFont"/>
    <w:link w:val="BodyTextIndent2"/>
    <w:rsid w:val="008D6B12"/>
    <w:rPr>
      <w:rFonts w:eastAsiaTheme="minorEastAsia"/>
      <w:sz w:val="24"/>
      <w:lang w:val="en-US" w:eastAsia="en-US"/>
    </w:rPr>
  </w:style>
  <w:style w:type="paragraph" w:styleId="BodyTextIndent3">
    <w:name w:val="Body Text Indent 3"/>
    <w:basedOn w:val="Normal"/>
    <w:link w:val="BodyTextIndent3Char"/>
    <w:uiPriority w:val="99"/>
    <w:semiHidden/>
    <w:rsid w:val="008D6B12"/>
    <w:pPr>
      <w:spacing w:after="120"/>
      <w:ind w:left="283"/>
    </w:pPr>
    <w:rPr>
      <w:sz w:val="16"/>
      <w:szCs w:val="16"/>
    </w:rPr>
  </w:style>
  <w:style w:type="character" w:customStyle="1" w:styleId="BodyTextIndent3Char">
    <w:name w:val="Body Text Indent 3 Char"/>
    <w:basedOn w:val="DefaultParagraphFont"/>
    <w:link w:val="BodyTextIndent3"/>
    <w:rsid w:val="008D6B12"/>
    <w:rPr>
      <w:rFonts w:eastAsiaTheme="minorEastAsia"/>
      <w:sz w:val="16"/>
      <w:szCs w:val="16"/>
      <w:lang w:val="en-US" w:eastAsia="en-US"/>
    </w:rPr>
  </w:style>
  <w:style w:type="paragraph" w:styleId="Caption">
    <w:name w:val="caption"/>
    <w:basedOn w:val="Normal"/>
    <w:next w:val="Normal"/>
    <w:uiPriority w:val="99"/>
    <w:semiHidden/>
    <w:qFormat/>
    <w:rsid w:val="008D6B12"/>
    <w:pPr>
      <w:spacing w:after="200"/>
    </w:pPr>
    <w:rPr>
      <w:b/>
      <w:bCs/>
      <w:color w:val="0072BC" w:themeColor="accent1"/>
      <w:sz w:val="18"/>
      <w:szCs w:val="18"/>
    </w:rPr>
  </w:style>
  <w:style w:type="paragraph" w:styleId="Closing">
    <w:name w:val="Closing"/>
    <w:basedOn w:val="Normal"/>
    <w:link w:val="ClosingChar"/>
    <w:uiPriority w:val="99"/>
    <w:semiHidden/>
    <w:rsid w:val="008D6B12"/>
    <w:pPr>
      <w:ind w:left="4252"/>
    </w:pPr>
  </w:style>
  <w:style w:type="character" w:customStyle="1" w:styleId="ClosingChar">
    <w:name w:val="Closing Char"/>
    <w:basedOn w:val="DefaultParagraphFont"/>
    <w:link w:val="Closing"/>
    <w:rsid w:val="008D6B12"/>
    <w:rPr>
      <w:rFonts w:eastAsiaTheme="minorEastAsia"/>
      <w:sz w:val="24"/>
      <w:lang w:val="en-US" w:eastAsia="en-US"/>
    </w:rPr>
  </w:style>
  <w:style w:type="table" w:styleId="ColorfulGrid">
    <w:name w:val="Colorful Grid"/>
    <w:basedOn w:val="TableNormal"/>
    <w:uiPriority w:val="99"/>
    <w:semiHidden/>
    <w:rsid w:val="008D6B12"/>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8D6B12"/>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8D6B12"/>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8D6B12"/>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8D6B12"/>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8D6B12"/>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8D6B12"/>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8D6B12"/>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8D6B12"/>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8D6B12"/>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8D6B12"/>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8D6B12"/>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8D6B12"/>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8D6B12"/>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8D6B12"/>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8D6B12"/>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8D6B12"/>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8D6B12"/>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8D6B12"/>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8D6B12"/>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8D6B12"/>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8D6B12"/>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8D6B12"/>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8D6B12"/>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8D6B12"/>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8D6B12"/>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8D6B12"/>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8D6B12"/>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8D6B12"/>
  </w:style>
  <w:style w:type="character" w:customStyle="1" w:styleId="DateChar">
    <w:name w:val="Date Char"/>
    <w:basedOn w:val="DefaultParagraphFont"/>
    <w:link w:val="Date"/>
    <w:rsid w:val="008D6B12"/>
    <w:rPr>
      <w:rFonts w:eastAsiaTheme="minorEastAsia"/>
      <w:sz w:val="24"/>
      <w:lang w:val="en-US" w:eastAsia="en-US"/>
    </w:rPr>
  </w:style>
  <w:style w:type="paragraph" w:styleId="E-mailSignature">
    <w:name w:val="E-mail Signature"/>
    <w:basedOn w:val="Normal"/>
    <w:link w:val="E-mailSignatureChar"/>
    <w:uiPriority w:val="99"/>
    <w:semiHidden/>
    <w:rsid w:val="008D6B12"/>
  </w:style>
  <w:style w:type="character" w:customStyle="1" w:styleId="E-mailSignatureChar">
    <w:name w:val="E-mail Signature Char"/>
    <w:basedOn w:val="DefaultParagraphFont"/>
    <w:link w:val="E-mailSignature"/>
    <w:rsid w:val="008D6B12"/>
    <w:rPr>
      <w:rFonts w:eastAsiaTheme="minorEastAsia"/>
      <w:sz w:val="24"/>
      <w:lang w:val="en-US" w:eastAsia="en-US"/>
    </w:rPr>
  </w:style>
  <w:style w:type="paragraph" w:styleId="EnvelopeAddress">
    <w:name w:val="envelope address"/>
    <w:basedOn w:val="Normal"/>
    <w:uiPriority w:val="99"/>
    <w:semiHidden/>
    <w:rsid w:val="008D6B12"/>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8D6B12"/>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8D6B12"/>
  </w:style>
  <w:style w:type="paragraph" w:styleId="HTMLAddress">
    <w:name w:val="HTML Address"/>
    <w:basedOn w:val="Normal"/>
    <w:link w:val="HTMLAddressChar"/>
    <w:uiPriority w:val="99"/>
    <w:semiHidden/>
    <w:rsid w:val="008D6B12"/>
    <w:rPr>
      <w:i/>
      <w:iCs/>
    </w:rPr>
  </w:style>
  <w:style w:type="character" w:customStyle="1" w:styleId="HTMLAddressChar">
    <w:name w:val="HTML Address Char"/>
    <w:basedOn w:val="DefaultParagraphFont"/>
    <w:link w:val="HTMLAddress"/>
    <w:rsid w:val="008D6B12"/>
    <w:rPr>
      <w:rFonts w:eastAsiaTheme="minorEastAsia"/>
      <w:i/>
      <w:iCs/>
      <w:sz w:val="24"/>
      <w:lang w:val="en-US" w:eastAsia="en-US"/>
    </w:rPr>
  </w:style>
  <w:style w:type="character" w:styleId="HTMLCite">
    <w:name w:val="HTML Cite"/>
    <w:basedOn w:val="DefaultParagraphFont"/>
    <w:uiPriority w:val="99"/>
    <w:semiHidden/>
    <w:rsid w:val="008D6B12"/>
    <w:rPr>
      <w:i/>
      <w:iCs/>
    </w:rPr>
  </w:style>
  <w:style w:type="character" w:styleId="HTMLCode">
    <w:name w:val="HTML Code"/>
    <w:basedOn w:val="DefaultParagraphFont"/>
    <w:uiPriority w:val="99"/>
    <w:semiHidden/>
    <w:rsid w:val="008D6B12"/>
    <w:rPr>
      <w:rFonts w:ascii="Consolas" w:hAnsi="Consolas" w:cs="Consolas"/>
      <w:sz w:val="20"/>
      <w:szCs w:val="20"/>
    </w:rPr>
  </w:style>
  <w:style w:type="character" w:styleId="HTMLDefinition">
    <w:name w:val="HTML Definition"/>
    <w:basedOn w:val="DefaultParagraphFont"/>
    <w:uiPriority w:val="99"/>
    <w:semiHidden/>
    <w:rsid w:val="008D6B12"/>
    <w:rPr>
      <w:i/>
      <w:iCs/>
    </w:rPr>
  </w:style>
  <w:style w:type="character" w:styleId="HTMLKeyboard">
    <w:name w:val="HTML Keyboard"/>
    <w:basedOn w:val="DefaultParagraphFont"/>
    <w:uiPriority w:val="99"/>
    <w:semiHidden/>
    <w:rsid w:val="008D6B12"/>
    <w:rPr>
      <w:rFonts w:ascii="Consolas" w:hAnsi="Consolas" w:cs="Consolas"/>
      <w:sz w:val="20"/>
      <w:szCs w:val="20"/>
    </w:rPr>
  </w:style>
  <w:style w:type="paragraph" w:styleId="HTMLPreformatted">
    <w:name w:val="HTML Preformatted"/>
    <w:basedOn w:val="Normal"/>
    <w:link w:val="HTMLPreformattedChar"/>
    <w:uiPriority w:val="99"/>
    <w:semiHidden/>
    <w:rsid w:val="008D6B12"/>
    <w:rPr>
      <w:rFonts w:ascii="Consolas" w:hAnsi="Consolas" w:cs="Consolas"/>
      <w:sz w:val="20"/>
      <w:szCs w:val="20"/>
    </w:rPr>
  </w:style>
  <w:style w:type="character" w:customStyle="1" w:styleId="HTMLPreformattedChar">
    <w:name w:val="HTML Preformatted Char"/>
    <w:basedOn w:val="DefaultParagraphFont"/>
    <w:link w:val="HTMLPreformatted"/>
    <w:rsid w:val="008D6B12"/>
    <w:rPr>
      <w:rFonts w:ascii="Consolas" w:eastAsiaTheme="minorEastAsia" w:hAnsi="Consolas" w:cs="Consolas"/>
      <w:sz w:val="20"/>
      <w:szCs w:val="20"/>
      <w:lang w:val="en-US" w:eastAsia="en-US"/>
    </w:rPr>
  </w:style>
  <w:style w:type="character" w:styleId="HTMLSample">
    <w:name w:val="HTML Sample"/>
    <w:basedOn w:val="DefaultParagraphFont"/>
    <w:uiPriority w:val="99"/>
    <w:semiHidden/>
    <w:rsid w:val="008D6B12"/>
    <w:rPr>
      <w:rFonts w:ascii="Consolas" w:hAnsi="Consolas" w:cs="Consolas"/>
      <w:sz w:val="24"/>
      <w:szCs w:val="24"/>
    </w:rPr>
  </w:style>
  <w:style w:type="character" w:styleId="HTMLTypewriter">
    <w:name w:val="HTML Typewriter"/>
    <w:basedOn w:val="DefaultParagraphFont"/>
    <w:uiPriority w:val="99"/>
    <w:semiHidden/>
    <w:rsid w:val="008D6B12"/>
    <w:rPr>
      <w:rFonts w:ascii="Consolas" w:hAnsi="Consolas" w:cs="Consolas"/>
      <w:sz w:val="20"/>
      <w:szCs w:val="20"/>
    </w:rPr>
  </w:style>
  <w:style w:type="character" w:styleId="HTMLVariable">
    <w:name w:val="HTML Variable"/>
    <w:basedOn w:val="DefaultParagraphFont"/>
    <w:uiPriority w:val="99"/>
    <w:semiHidden/>
    <w:rsid w:val="008D6B12"/>
    <w:rPr>
      <w:i/>
      <w:iCs/>
    </w:rPr>
  </w:style>
  <w:style w:type="paragraph" w:styleId="Index1">
    <w:name w:val="index 1"/>
    <w:basedOn w:val="Normal"/>
    <w:next w:val="Normal"/>
    <w:autoRedefine/>
    <w:uiPriority w:val="99"/>
    <w:semiHidden/>
    <w:rsid w:val="008D6B12"/>
    <w:pPr>
      <w:ind w:left="240" w:hanging="240"/>
    </w:pPr>
  </w:style>
  <w:style w:type="paragraph" w:styleId="Index2">
    <w:name w:val="index 2"/>
    <w:basedOn w:val="Normal"/>
    <w:next w:val="Normal"/>
    <w:autoRedefine/>
    <w:uiPriority w:val="99"/>
    <w:semiHidden/>
    <w:rsid w:val="008D6B12"/>
    <w:pPr>
      <w:ind w:left="480" w:hanging="240"/>
    </w:pPr>
  </w:style>
  <w:style w:type="paragraph" w:styleId="Index3">
    <w:name w:val="index 3"/>
    <w:basedOn w:val="Normal"/>
    <w:next w:val="Normal"/>
    <w:autoRedefine/>
    <w:uiPriority w:val="99"/>
    <w:semiHidden/>
    <w:rsid w:val="008D6B12"/>
    <w:pPr>
      <w:ind w:left="720" w:hanging="240"/>
    </w:pPr>
  </w:style>
  <w:style w:type="paragraph" w:styleId="Index4">
    <w:name w:val="index 4"/>
    <w:basedOn w:val="Normal"/>
    <w:next w:val="Normal"/>
    <w:autoRedefine/>
    <w:uiPriority w:val="99"/>
    <w:semiHidden/>
    <w:rsid w:val="008D6B12"/>
    <w:pPr>
      <w:ind w:left="960" w:hanging="240"/>
    </w:pPr>
  </w:style>
  <w:style w:type="paragraph" w:styleId="Index5">
    <w:name w:val="index 5"/>
    <w:basedOn w:val="Normal"/>
    <w:next w:val="Normal"/>
    <w:autoRedefine/>
    <w:uiPriority w:val="99"/>
    <w:semiHidden/>
    <w:rsid w:val="008D6B12"/>
    <w:pPr>
      <w:ind w:left="1200" w:hanging="240"/>
    </w:pPr>
  </w:style>
  <w:style w:type="paragraph" w:styleId="Index6">
    <w:name w:val="index 6"/>
    <w:basedOn w:val="Normal"/>
    <w:next w:val="Normal"/>
    <w:autoRedefine/>
    <w:uiPriority w:val="99"/>
    <w:semiHidden/>
    <w:rsid w:val="008D6B12"/>
    <w:pPr>
      <w:ind w:left="1440" w:hanging="240"/>
    </w:pPr>
  </w:style>
  <w:style w:type="paragraph" w:styleId="Index7">
    <w:name w:val="index 7"/>
    <w:basedOn w:val="Normal"/>
    <w:next w:val="Normal"/>
    <w:autoRedefine/>
    <w:uiPriority w:val="99"/>
    <w:semiHidden/>
    <w:rsid w:val="008D6B12"/>
    <w:pPr>
      <w:ind w:left="1680" w:hanging="240"/>
    </w:pPr>
  </w:style>
  <w:style w:type="paragraph" w:styleId="Index8">
    <w:name w:val="index 8"/>
    <w:basedOn w:val="Normal"/>
    <w:next w:val="Normal"/>
    <w:autoRedefine/>
    <w:uiPriority w:val="99"/>
    <w:semiHidden/>
    <w:rsid w:val="008D6B12"/>
    <w:pPr>
      <w:ind w:left="1920" w:hanging="240"/>
    </w:pPr>
  </w:style>
  <w:style w:type="paragraph" w:styleId="Index9">
    <w:name w:val="index 9"/>
    <w:basedOn w:val="Normal"/>
    <w:next w:val="Normal"/>
    <w:autoRedefine/>
    <w:uiPriority w:val="99"/>
    <w:semiHidden/>
    <w:rsid w:val="008D6B12"/>
    <w:pPr>
      <w:ind w:left="2160" w:hanging="240"/>
    </w:pPr>
  </w:style>
  <w:style w:type="paragraph" w:styleId="IndexHeading">
    <w:name w:val="index heading"/>
    <w:basedOn w:val="Normal"/>
    <w:next w:val="Index1"/>
    <w:uiPriority w:val="99"/>
    <w:semiHidden/>
    <w:rsid w:val="008D6B12"/>
    <w:rPr>
      <w:rFonts w:asciiTheme="majorHAnsi" w:eastAsiaTheme="majorEastAsia" w:hAnsiTheme="majorHAnsi" w:cstheme="majorBidi"/>
      <w:b/>
      <w:bCs/>
    </w:rPr>
  </w:style>
  <w:style w:type="table" w:styleId="LightGrid">
    <w:name w:val="Light Grid"/>
    <w:basedOn w:val="TableNormal"/>
    <w:uiPriority w:val="99"/>
    <w:semiHidden/>
    <w:rsid w:val="008D6B12"/>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8D6B12"/>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8D6B12"/>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8D6B12"/>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8D6B12"/>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8D6B12"/>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8D6B12"/>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8D6B12"/>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8D6B12"/>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8D6B12"/>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8D6B12"/>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8D6B12"/>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8D6B12"/>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8D6B12"/>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8D6B12"/>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8D6B12"/>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8D6B12"/>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8D6B12"/>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8D6B12"/>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8D6B12"/>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8D6B12"/>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8D6B12"/>
  </w:style>
  <w:style w:type="paragraph" w:styleId="List">
    <w:name w:val="List"/>
    <w:basedOn w:val="Normal"/>
    <w:uiPriority w:val="99"/>
    <w:semiHidden/>
    <w:rsid w:val="008D6B12"/>
    <w:pPr>
      <w:ind w:left="283" w:hanging="283"/>
      <w:contextualSpacing/>
    </w:pPr>
  </w:style>
  <w:style w:type="paragraph" w:styleId="List2">
    <w:name w:val="List 2"/>
    <w:basedOn w:val="Normal"/>
    <w:uiPriority w:val="99"/>
    <w:semiHidden/>
    <w:rsid w:val="008D6B12"/>
    <w:pPr>
      <w:ind w:left="566" w:hanging="283"/>
      <w:contextualSpacing/>
    </w:pPr>
  </w:style>
  <w:style w:type="paragraph" w:styleId="List3">
    <w:name w:val="List 3"/>
    <w:basedOn w:val="Normal"/>
    <w:uiPriority w:val="99"/>
    <w:semiHidden/>
    <w:rsid w:val="008D6B12"/>
    <w:pPr>
      <w:ind w:left="849" w:hanging="283"/>
      <w:contextualSpacing/>
    </w:pPr>
  </w:style>
  <w:style w:type="paragraph" w:styleId="List4">
    <w:name w:val="List 4"/>
    <w:basedOn w:val="Normal"/>
    <w:uiPriority w:val="99"/>
    <w:semiHidden/>
    <w:rsid w:val="008D6B12"/>
    <w:pPr>
      <w:ind w:left="1132" w:hanging="283"/>
      <w:contextualSpacing/>
    </w:pPr>
  </w:style>
  <w:style w:type="paragraph" w:styleId="List5">
    <w:name w:val="List 5"/>
    <w:basedOn w:val="Normal"/>
    <w:uiPriority w:val="99"/>
    <w:semiHidden/>
    <w:rsid w:val="008D6B12"/>
    <w:pPr>
      <w:ind w:left="1415" w:hanging="283"/>
      <w:contextualSpacing/>
    </w:pPr>
  </w:style>
  <w:style w:type="paragraph" w:styleId="ListBullet2">
    <w:name w:val="List Bullet 2"/>
    <w:basedOn w:val="Normal"/>
    <w:uiPriority w:val="99"/>
    <w:semiHidden/>
    <w:rsid w:val="008D6B12"/>
    <w:pPr>
      <w:numPr>
        <w:numId w:val="2"/>
      </w:numPr>
      <w:contextualSpacing/>
    </w:pPr>
  </w:style>
  <w:style w:type="paragraph" w:styleId="ListBullet3">
    <w:name w:val="List Bullet 3"/>
    <w:basedOn w:val="Normal"/>
    <w:uiPriority w:val="99"/>
    <w:semiHidden/>
    <w:rsid w:val="008D6B12"/>
    <w:pPr>
      <w:numPr>
        <w:numId w:val="3"/>
      </w:numPr>
      <w:contextualSpacing/>
    </w:pPr>
  </w:style>
  <w:style w:type="paragraph" w:styleId="ListBullet4">
    <w:name w:val="List Bullet 4"/>
    <w:basedOn w:val="Normal"/>
    <w:uiPriority w:val="99"/>
    <w:semiHidden/>
    <w:rsid w:val="008D6B12"/>
    <w:pPr>
      <w:numPr>
        <w:numId w:val="4"/>
      </w:numPr>
      <w:contextualSpacing/>
    </w:pPr>
  </w:style>
  <w:style w:type="paragraph" w:styleId="ListBullet5">
    <w:name w:val="List Bullet 5"/>
    <w:basedOn w:val="Normal"/>
    <w:uiPriority w:val="99"/>
    <w:semiHidden/>
    <w:rsid w:val="008D6B12"/>
    <w:pPr>
      <w:numPr>
        <w:numId w:val="5"/>
      </w:numPr>
      <w:contextualSpacing/>
    </w:pPr>
  </w:style>
  <w:style w:type="paragraph" w:styleId="ListContinue">
    <w:name w:val="List Continue"/>
    <w:basedOn w:val="Normal"/>
    <w:uiPriority w:val="99"/>
    <w:semiHidden/>
    <w:rsid w:val="008D6B12"/>
    <w:pPr>
      <w:spacing w:after="120"/>
      <w:ind w:left="283"/>
      <w:contextualSpacing/>
    </w:pPr>
  </w:style>
  <w:style w:type="paragraph" w:styleId="ListContinue2">
    <w:name w:val="List Continue 2"/>
    <w:basedOn w:val="Normal"/>
    <w:uiPriority w:val="99"/>
    <w:semiHidden/>
    <w:rsid w:val="008D6B12"/>
    <w:pPr>
      <w:spacing w:after="120"/>
      <w:ind w:left="566"/>
      <w:contextualSpacing/>
    </w:pPr>
  </w:style>
  <w:style w:type="paragraph" w:styleId="ListContinue3">
    <w:name w:val="List Continue 3"/>
    <w:basedOn w:val="Normal"/>
    <w:uiPriority w:val="99"/>
    <w:semiHidden/>
    <w:rsid w:val="008D6B12"/>
    <w:pPr>
      <w:spacing w:after="120"/>
      <w:ind w:left="849"/>
      <w:contextualSpacing/>
    </w:pPr>
  </w:style>
  <w:style w:type="paragraph" w:styleId="ListContinue4">
    <w:name w:val="List Continue 4"/>
    <w:basedOn w:val="Normal"/>
    <w:uiPriority w:val="99"/>
    <w:semiHidden/>
    <w:rsid w:val="008D6B12"/>
    <w:pPr>
      <w:spacing w:after="120"/>
      <w:ind w:left="1132"/>
      <w:contextualSpacing/>
    </w:pPr>
  </w:style>
  <w:style w:type="paragraph" w:styleId="ListContinue5">
    <w:name w:val="List Continue 5"/>
    <w:basedOn w:val="Normal"/>
    <w:uiPriority w:val="99"/>
    <w:semiHidden/>
    <w:rsid w:val="008D6B12"/>
    <w:pPr>
      <w:spacing w:after="120"/>
      <w:ind w:left="1415"/>
      <w:contextualSpacing/>
    </w:pPr>
  </w:style>
  <w:style w:type="paragraph" w:styleId="ListNumber">
    <w:name w:val="List Number"/>
    <w:basedOn w:val="Normal"/>
    <w:uiPriority w:val="99"/>
    <w:semiHidden/>
    <w:rsid w:val="008D6B12"/>
    <w:pPr>
      <w:numPr>
        <w:numId w:val="6"/>
      </w:numPr>
      <w:contextualSpacing/>
    </w:pPr>
  </w:style>
  <w:style w:type="paragraph" w:styleId="ListNumber2">
    <w:name w:val="List Number 2"/>
    <w:basedOn w:val="Normal"/>
    <w:uiPriority w:val="99"/>
    <w:semiHidden/>
    <w:rsid w:val="008D6B12"/>
    <w:pPr>
      <w:numPr>
        <w:numId w:val="7"/>
      </w:numPr>
      <w:contextualSpacing/>
    </w:pPr>
  </w:style>
  <w:style w:type="paragraph" w:styleId="ListNumber3">
    <w:name w:val="List Number 3"/>
    <w:basedOn w:val="Normal"/>
    <w:uiPriority w:val="99"/>
    <w:semiHidden/>
    <w:rsid w:val="008D6B12"/>
    <w:pPr>
      <w:numPr>
        <w:numId w:val="8"/>
      </w:numPr>
      <w:contextualSpacing/>
    </w:pPr>
  </w:style>
  <w:style w:type="paragraph" w:styleId="ListNumber4">
    <w:name w:val="List Number 4"/>
    <w:basedOn w:val="Normal"/>
    <w:uiPriority w:val="99"/>
    <w:semiHidden/>
    <w:rsid w:val="008D6B12"/>
    <w:pPr>
      <w:numPr>
        <w:numId w:val="9"/>
      </w:numPr>
      <w:contextualSpacing/>
    </w:pPr>
  </w:style>
  <w:style w:type="paragraph" w:styleId="ListNumber5">
    <w:name w:val="List Number 5"/>
    <w:basedOn w:val="Normal"/>
    <w:uiPriority w:val="99"/>
    <w:semiHidden/>
    <w:rsid w:val="008D6B12"/>
    <w:pPr>
      <w:numPr>
        <w:numId w:val="10"/>
      </w:numPr>
      <w:contextualSpacing/>
    </w:pPr>
  </w:style>
  <w:style w:type="paragraph" w:styleId="MacroText">
    <w:name w:val="macro"/>
    <w:link w:val="MacroTextChar"/>
    <w:uiPriority w:val="99"/>
    <w:semiHidden/>
    <w:rsid w:val="008D6B12"/>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lang w:val="en-US" w:eastAsia="en-US"/>
    </w:rPr>
  </w:style>
  <w:style w:type="character" w:customStyle="1" w:styleId="MacroTextChar">
    <w:name w:val="Macro Text Char"/>
    <w:basedOn w:val="DefaultParagraphFont"/>
    <w:link w:val="MacroText"/>
    <w:rsid w:val="008D6B12"/>
    <w:rPr>
      <w:rFonts w:ascii="Consolas" w:eastAsiaTheme="minorEastAsia" w:hAnsi="Consolas" w:cs="Consolas"/>
      <w:sz w:val="20"/>
      <w:szCs w:val="20"/>
      <w:lang w:val="en-US" w:eastAsia="en-US"/>
    </w:rPr>
  </w:style>
  <w:style w:type="table" w:styleId="MediumGrid1">
    <w:name w:val="Medium Grid 1"/>
    <w:basedOn w:val="TableNormal"/>
    <w:uiPriority w:val="99"/>
    <w:semiHidden/>
    <w:rsid w:val="008D6B12"/>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8D6B12"/>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8D6B12"/>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8D6B12"/>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8D6B12"/>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8D6B12"/>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8D6B12"/>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8D6B12"/>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8D6B12"/>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8D6B12"/>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8D6B12"/>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8D6B12"/>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8D6B12"/>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8D6B12"/>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8D6B1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8D6B1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8D6B1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8D6B1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8D6B1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8D6B1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8D6B1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8D6B12"/>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8D6B12"/>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8D6B12"/>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8D6B12"/>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8D6B12"/>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8D6B12"/>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8D6B12"/>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8D6B12"/>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8D6B12"/>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8D6B12"/>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8D6B12"/>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8D6B12"/>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8D6B12"/>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8D6B12"/>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8D6B12"/>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8D6B12"/>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8D6B12"/>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8D6B12"/>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8D6B12"/>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8D6B12"/>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8D6B12"/>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8D6B1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8D6B1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8D6B1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8D6B1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8D6B1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8D6B1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8D6B1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8D6B1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rsid w:val="008D6B12"/>
    <w:rPr>
      <w:rFonts w:asciiTheme="majorHAnsi" w:eastAsiaTheme="majorEastAsia" w:hAnsiTheme="majorHAnsi" w:cstheme="majorBidi"/>
      <w:sz w:val="24"/>
      <w:szCs w:val="24"/>
      <w:shd w:val="pct20" w:color="auto" w:fill="auto"/>
      <w:lang w:val="en-US" w:eastAsia="en-US"/>
    </w:rPr>
  </w:style>
  <w:style w:type="paragraph" w:styleId="NormalWeb">
    <w:name w:val="Normal (Web)"/>
    <w:basedOn w:val="Normal"/>
    <w:uiPriority w:val="99"/>
    <w:semiHidden/>
    <w:rsid w:val="008D6B12"/>
    <w:rPr>
      <w:rFonts w:ascii="Times New Roman" w:hAnsi="Times New Roman" w:cs="Times New Roman"/>
      <w:szCs w:val="24"/>
    </w:rPr>
  </w:style>
  <w:style w:type="paragraph" w:styleId="NormalIndent">
    <w:name w:val="Normal Indent"/>
    <w:basedOn w:val="Normal"/>
    <w:uiPriority w:val="99"/>
    <w:semiHidden/>
    <w:rsid w:val="008D6B12"/>
    <w:pPr>
      <w:ind w:left="720"/>
    </w:pPr>
  </w:style>
  <w:style w:type="paragraph" w:styleId="NoteHeading">
    <w:name w:val="Note Heading"/>
    <w:basedOn w:val="Normal"/>
    <w:next w:val="Normal"/>
    <w:link w:val="NoteHeadingChar"/>
    <w:uiPriority w:val="99"/>
    <w:semiHidden/>
    <w:rsid w:val="008D6B12"/>
  </w:style>
  <w:style w:type="character" w:customStyle="1" w:styleId="NoteHeadingChar">
    <w:name w:val="Note Heading Char"/>
    <w:basedOn w:val="DefaultParagraphFont"/>
    <w:link w:val="NoteHeading"/>
    <w:rsid w:val="008D6B12"/>
    <w:rPr>
      <w:rFonts w:eastAsiaTheme="minorEastAsia"/>
      <w:sz w:val="24"/>
      <w:lang w:val="en-US" w:eastAsia="en-US"/>
    </w:rPr>
  </w:style>
  <w:style w:type="character" w:styleId="PlaceholderText">
    <w:name w:val="Placeholder Text"/>
    <w:basedOn w:val="DefaultParagraphFont"/>
    <w:uiPriority w:val="99"/>
    <w:semiHidden/>
    <w:rsid w:val="008D6B12"/>
    <w:rPr>
      <w:color w:val="808080"/>
    </w:rPr>
  </w:style>
  <w:style w:type="paragraph" w:styleId="PlainText">
    <w:name w:val="Plain Text"/>
    <w:basedOn w:val="Normal"/>
    <w:link w:val="PlainTextChar"/>
    <w:uiPriority w:val="99"/>
    <w:semiHidden/>
    <w:rsid w:val="008D6B12"/>
    <w:rPr>
      <w:rFonts w:ascii="Consolas" w:hAnsi="Consolas" w:cs="Consolas"/>
      <w:sz w:val="21"/>
      <w:szCs w:val="21"/>
    </w:rPr>
  </w:style>
  <w:style w:type="character" w:customStyle="1" w:styleId="PlainTextChar">
    <w:name w:val="Plain Text Char"/>
    <w:basedOn w:val="DefaultParagraphFont"/>
    <w:link w:val="PlainText"/>
    <w:rsid w:val="008D6B12"/>
    <w:rPr>
      <w:rFonts w:ascii="Consolas" w:eastAsiaTheme="minorEastAsia" w:hAnsi="Consolas" w:cs="Consolas"/>
      <w:sz w:val="21"/>
      <w:szCs w:val="21"/>
      <w:lang w:val="en-US" w:eastAsia="en-US"/>
    </w:rPr>
  </w:style>
  <w:style w:type="paragraph" w:styleId="Salutation">
    <w:name w:val="Salutation"/>
    <w:basedOn w:val="Normal"/>
    <w:next w:val="Normal"/>
    <w:link w:val="SalutationChar"/>
    <w:uiPriority w:val="99"/>
    <w:semiHidden/>
    <w:rsid w:val="008D6B12"/>
  </w:style>
  <w:style w:type="character" w:customStyle="1" w:styleId="SalutationChar">
    <w:name w:val="Salutation Char"/>
    <w:basedOn w:val="DefaultParagraphFont"/>
    <w:link w:val="Salutation"/>
    <w:rsid w:val="008D6B12"/>
    <w:rPr>
      <w:rFonts w:eastAsiaTheme="minorEastAsia"/>
      <w:sz w:val="24"/>
      <w:lang w:val="en-US" w:eastAsia="en-US"/>
    </w:rPr>
  </w:style>
  <w:style w:type="paragraph" w:styleId="Signature">
    <w:name w:val="Signature"/>
    <w:basedOn w:val="Normal"/>
    <w:link w:val="SignatureChar"/>
    <w:uiPriority w:val="99"/>
    <w:semiHidden/>
    <w:rsid w:val="008D6B12"/>
    <w:pPr>
      <w:ind w:left="4252"/>
    </w:pPr>
  </w:style>
  <w:style w:type="character" w:customStyle="1" w:styleId="SignatureChar">
    <w:name w:val="Signature Char"/>
    <w:basedOn w:val="DefaultParagraphFont"/>
    <w:link w:val="Signature"/>
    <w:rsid w:val="008D6B12"/>
    <w:rPr>
      <w:rFonts w:eastAsiaTheme="minorEastAsia"/>
      <w:sz w:val="24"/>
      <w:lang w:val="en-US" w:eastAsia="en-US"/>
    </w:rPr>
  </w:style>
  <w:style w:type="table" w:styleId="Table3Deffects1">
    <w:name w:val="Table 3D effects 1"/>
    <w:basedOn w:val="TableNormal"/>
    <w:uiPriority w:val="99"/>
    <w:semiHidden/>
    <w:rsid w:val="008D6B12"/>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8D6B12"/>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8D6B12"/>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8D6B12"/>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8D6B12"/>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8D6B12"/>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8D6B12"/>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8D6B12"/>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8D6B12"/>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8D6B12"/>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8D6B12"/>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8D6B12"/>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8D6B12"/>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8D6B12"/>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8D6B12"/>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8D6B12"/>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8D6B12"/>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8D6B12"/>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8D6B12"/>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8D6B12"/>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8D6B12"/>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8D6B12"/>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8D6B12"/>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8D6B12"/>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8D6B12"/>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8D6B12"/>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8D6B12"/>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8D6B12"/>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8D6B12"/>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8D6B12"/>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8D6B12"/>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8D6B12"/>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8D6B12"/>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8D6B12"/>
    <w:pPr>
      <w:ind w:left="240" w:hanging="240"/>
    </w:pPr>
  </w:style>
  <w:style w:type="paragraph" w:styleId="TableofFigures">
    <w:name w:val="table of figures"/>
    <w:basedOn w:val="Normal"/>
    <w:next w:val="Normal"/>
    <w:uiPriority w:val="99"/>
    <w:semiHidden/>
    <w:rsid w:val="008D6B12"/>
  </w:style>
  <w:style w:type="table" w:styleId="TableProfessional">
    <w:name w:val="Table Professional"/>
    <w:basedOn w:val="TableNormal"/>
    <w:uiPriority w:val="99"/>
    <w:semiHidden/>
    <w:rsid w:val="008D6B12"/>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8D6B12"/>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8D6B12"/>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8D6B12"/>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8D6B12"/>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8D6B12"/>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8D6B12"/>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8D6B12"/>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8D6B12"/>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8D6B12"/>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8D6B12"/>
    <w:pPr>
      <w:spacing w:after="100"/>
      <w:ind w:left="1200"/>
    </w:pPr>
  </w:style>
  <w:style w:type="paragraph" w:styleId="TOC7">
    <w:name w:val="toc 7"/>
    <w:basedOn w:val="Normal"/>
    <w:next w:val="Normal"/>
    <w:autoRedefine/>
    <w:uiPriority w:val="99"/>
    <w:semiHidden/>
    <w:rsid w:val="008D6B12"/>
    <w:pPr>
      <w:spacing w:after="100"/>
      <w:ind w:left="1440"/>
    </w:pPr>
  </w:style>
  <w:style w:type="paragraph" w:styleId="TOC8">
    <w:name w:val="toc 8"/>
    <w:basedOn w:val="Normal"/>
    <w:next w:val="Normal"/>
    <w:autoRedefine/>
    <w:uiPriority w:val="99"/>
    <w:semiHidden/>
    <w:rsid w:val="008D6B12"/>
    <w:pPr>
      <w:spacing w:after="100"/>
      <w:ind w:left="1680"/>
    </w:pPr>
  </w:style>
  <w:style w:type="paragraph" w:styleId="TOC9">
    <w:name w:val="toc 9"/>
    <w:basedOn w:val="Normal"/>
    <w:next w:val="Normal"/>
    <w:autoRedefine/>
    <w:uiPriority w:val="99"/>
    <w:semiHidden/>
    <w:rsid w:val="008D6B12"/>
    <w:pPr>
      <w:spacing w:after="100"/>
      <w:ind w:left="1920"/>
    </w:pPr>
  </w:style>
  <w:style w:type="character" w:customStyle="1" w:styleId="JuParaCar">
    <w:name w:val="Ju_Para Car"/>
    <w:link w:val="ECHRPara"/>
    <w:rsid w:val="008D3AEF"/>
    <w:rPr>
      <w:rFonts w:eastAsiaTheme="minorEastAsia"/>
      <w:sz w:val="24"/>
    </w:rPr>
  </w:style>
  <w:style w:type="character" w:customStyle="1" w:styleId="JuJudgesChar">
    <w:name w:val="Ju_Judges Char"/>
    <w:link w:val="ECHRDecisionBody"/>
    <w:rsid w:val="008D3AEF"/>
    <w:rPr>
      <w:rFonts w:eastAsiaTheme="minorEastAsia"/>
      <w:sz w:val="24"/>
    </w:rPr>
  </w:style>
  <w:style w:type="character" w:customStyle="1" w:styleId="JuHHeadChar">
    <w:name w:val="Ju_H_Head Char"/>
    <w:link w:val="ECHRTitle1"/>
    <w:rsid w:val="008D3AEF"/>
    <w:rPr>
      <w:rFonts w:asciiTheme="majorHAnsi" w:eastAsiaTheme="minorEastAsia" w:hAnsiTheme="majorHAnsi"/>
      <w:sz w:val="28"/>
    </w:rPr>
  </w:style>
  <w:style w:type="character" w:customStyle="1" w:styleId="JuQuotChar">
    <w:name w:val="Ju_Quot Char"/>
    <w:link w:val="ECHRParaQuote"/>
    <w:rsid w:val="008D3AEF"/>
    <w:rPr>
      <w:rFonts w:eastAsiaTheme="minorEastAsia"/>
      <w:sz w:val="20"/>
    </w:rPr>
  </w:style>
  <w:style w:type="character" w:customStyle="1" w:styleId="sb8d990e2">
    <w:name w:val="sb8d990e2"/>
    <w:rsid w:val="008D3A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38240901">
      <w:bodyDiv w:val="1"/>
      <w:marLeft w:val="0"/>
      <w:marRight w:val="0"/>
      <w:marTop w:val="0"/>
      <w:marBottom w:val="0"/>
      <w:divBdr>
        <w:top w:val="none" w:sz="0" w:space="0" w:color="auto"/>
        <w:left w:val="none" w:sz="0" w:space="0" w:color="auto"/>
        <w:bottom w:val="none" w:sz="0" w:space="0" w:color="auto"/>
        <w:right w:val="none" w:sz="0" w:space="0" w:color="auto"/>
      </w:divBdr>
    </w:div>
    <w:div w:id="2105415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customXml" Target="../customXml/item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95B3D0A-7BFC-41C5-B03E-B5E786D12C19}"/>
</file>

<file path=customXml/itemProps2.xml><?xml version="1.0" encoding="utf-8"?>
<ds:datastoreItem xmlns:ds="http://schemas.openxmlformats.org/officeDocument/2006/customXml" ds:itemID="{1A26B106-7060-46D1-963F-54D6DABEDC0D}"/>
</file>

<file path=customXml/itemProps3.xml><?xml version="1.0" encoding="utf-8"?>
<ds:datastoreItem xmlns:ds="http://schemas.openxmlformats.org/officeDocument/2006/customXml" ds:itemID="{D8E684ED-D64C-46BA-858D-01F5D1C6FA2C}"/>
</file>

<file path=docProps/app.xml><?xml version="1.0" encoding="utf-8"?>
<Properties xmlns="http://schemas.openxmlformats.org/officeDocument/2006/extended-properties" xmlns:vt="http://schemas.openxmlformats.org/officeDocument/2006/docPropsVTypes">
  <Template>Normal.dotm</Template>
  <TotalTime>0</TotalTime>
  <Pages>1</Pages>
  <Words>2324</Words>
  <Characters>13253</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15546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dc:subject>
  <dc:creator/>
  <cp:lastModifiedBy/>
  <cp:revision>1</cp:revision>
  <cp:lastPrinted>2006-03-20T12:44:00Z</cp:lastPrinted>
  <dcterms:created xsi:type="dcterms:W3CDTF">2015-03-19T15:54:00Z</dcterms:created>
  <dcterms:modified xsi:type="dcterms:W3CDTF">2015-03-19T15:54:00Z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30178/09</vt:lpwstr>
  </property>
  <property fmtid="{D5CDD505-2E9C-101B-9397-08002B2CF9AE}" pid="4" name="CASEID">
    <vt:lpwstr>576367</vt:lpwstr>
  </property>
  <property fmtid="{D5CDD505-2E9C-101B-9397-08002B2CF9AE}" pid="5" name="OrigTemp">
    <vt:lpwstr>English\Documents\DE01 Decisions and Reports\Reports automation IT ONLY\Decision.dotx</vt:lpwstr>
  </property>
  <property fmtid="{D5CDD505-2E9C-101B-9397-08002B2CF9AE}" pid="6" name="ContentTypeId">
    <vt:lpwstr>0x010100558EB02BDB9E204AB350EDD385B68E10</vt:lpwstr>
  </property>
</Properties>
</file>