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="00032BB6" w:rsidP="00032BB6">
      <w:pPr>
        <w:spacing w:line="360" w:lineRule="auto"/>
        <w:jc w:val="center"/>
        <w:rPr>
          <w:b/>
          <w:sz w:val="28"/>
          <w:szCs w:val="28"/>
          <w:lang w:val="uk-UA"/>
        </w:rPr>
      </w:pPr>
      <w:bookmarkStart w:name="_GoBack" w:id="0"/>
      <w:bookmarkEnd w:id="0"/>
      <w:r>
        <w:rPr>
          <w:b/>
          <w:sz w:val="28"/>
          <w:szCs w:val="28"/>
          <w:lang w:val="uk-UA"/>
        </w:rPr>
        <w:t>Справа «</w:t>
      </w:r>
      <w:r>
        <w:rPr>
          <w:b/>
          <w:sz w:val="28"/>
          <w:szCs w:val="28"/>
          <w:lang w:val="uk-UA"/>
        </w:rPr>
        <w:t>Алексанян</w:t>
      </w:r>
      <w:r>
        <w:rPr>
          <w:b/>
          <w:sz w:val="28"/>
          <w:szCs w:val="28"/>
          <w:lang w:val="uk-UA"/>
        </w:rPr>
        <w:t xml:space="preserve"> проти Росії»</w:t>
      </w:r>
    </w:p>
    <w:p w:rsidR="00032BB6" w:rsidP="00032BB6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(“</w:t>
      </w:r>
      <w:r>
        <w:rPr>
          <w:rStyle w:val="normal--char"/>
          <w:b/>
          <w:bCs/>
          <w:iCs/>
          <w:sz w:val="28"/>
          <w:szCs w:val="28"/>
          <w:lang w:val="uk-UA"/>
        </w:rPr>
        <w:t>Aleksanyan</w:t>
      </w:r>
      <w:r>
        <w:rPr>
          <w:rStyle w:val="normal--char"/>
          <w:b/>
          <w:bCs/>
          <w:iCs/>
          <w:sz w:val="28"/>
          <w:szCs w:val="28"/>
          <w:lang w:val="uk-UA"/>
        </w:rPr>
        <w:t xml:space="preserve"> v. </w:t>
      </w:r>
      <w:r>
        <w:rPr>
          <w:rStyle w:val="normal--char"/>
          <w:b/>
          <w:bCs/>
          <w:iCs/>
          <w:sz w:val="28"/>
          <w:szCs w:val="28"/>
          <w:lang w:val="uk-UA"/>
        </w:rPr>
        <w:t>Russia</w:t>
      </w:r>
      <w:r>
        <w:rPr>
          <w:b/>
          <w:sz w:val="28"/>
          <w:szCs w:val="28"/>
          <w:lang w:val="uk-UA"/>
        </w:rPr>
        <w:t>”)</w:t>
      </w:r>
    </w:p>
    <w:p w:rsidR="00032BB6" w:rsidP="00032BB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рішенні, ухваленому 22 грудня 2008 року у справі «</w:t>
      </w:r>
      <w:r>
        <w:rPr>
          <w:sz w:val="28"/>
          <w:szCs w:val="28"/>
          <w:lang w:val="uk-UA"/>
        </w:rPr>
        <w:t>Алексанян</w:t>
      </w:r>
      <w:r>
        <w:rPr>
          <w:sz w:val="28"/>
          <w:szCs w:val="28"/>
          <w:lang w:val="uk-UA"/>
        </w:rPr>
        <w:t xml:space="preserve"> проти Росії», Суд постановив, що:</w:t>
      </w:r>
    </w:p>
    <w:p w:rsidR="00032BB6" w:rsidP="00032BB6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було порушено ст. 3 Конвенції (заборона нелюдського чи такого, що принижує гідність, поводження) стосовно ненадання заявнику ефективної медичної допомоги у слідчому ізоляторі;</w:t>
      </w:r>
    </w:p>
    <w:p w:rsidR="00032BB6" w:rsidP="00032BB6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мало місце порушення ч. 3 ст. 5 Конвенції (право на свободу та особисту недоторканність) стосовно неспроможності національних судів представити достатні підстави, які б виправдовували його подальше утримання під вартою;</w:t>
      </w:r>
    </w:p>
    <w:p w:rsidR="00032BB6" w:rsidP="00032BB6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було порушено ст. 8 Конвенції (право на повагу до приватного і сімейного життя) стосовно обшуків у помешканні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яна;</w:t>
      </w:r>
    </w:p>
    <w:p w:rsidR="00032BB6" w:rsidP="00032BB6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держава не спромоглася виконати свої обов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язки відповідно до ст. 34 Конвенції (право на індивідуальне звернення), оскільки не вжила у визначений строк тимчасові заходи, запропоновані Судом у листопаді та грудні 2007 року;</w:t>
      </w:r>
    </w:p>
    <w:p w:rsidR="00032BB6" w:rsidP="00032BB6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слід зупинити утримання заявника під вартою.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ст. 41 Конвенції Суд у якості справедливої сатисфакції зобов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язав Уряд Росії замінити утримання заявника під вартою на інший розумний та менш суворий запобіжний захід передбачений російським законодавством.</w:t>
      </w:r>
    </w:p>
    <w:p w:rsidR="00032BB6" w:rsidP="00032BB6">
      <w:pPr>
        <w:spacing w:line="360" w:lineRule="auto"/>
        <w:ind w:firstLine="3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Обставини справи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Заявник Василь Георгійович </w:t>
      </w:r>
      <w:r>
        <w:rPr>
          <w:sz w:val="28"/>
          <w:szCs w:val="28"/>
          <w:lang w:val="uk-UA"/>
        </w:rPr>
        <w:t>Алексанян</w:t>
      </w:r>
      <w:r>
        <w:rPr>
          <w:sz w:val="28"/>
          <w:szCs w:val="28"/>
          <w:lang w:val="uk-UA"/>
        </w:rPr>
        <w:t>, 1971 р. н., є громадянином Росії. На час розгляду справи в Суді він знаходився у лікарні № 60 м. Москви.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2003 року </w:t>
      </w:r>
      <w:r>
        <w:rPr>
          <w:sz w:val="28"/>
          <w:szCs w:val="28"/>
          <w:lang w:val="uk-UA"/>
        </w:rPr>
        <w:t>п. Алекса</w:t>
      </w:r>
      <w:r>
        <w:rPr>
          <w:sz w:val="28"/>
          <w:szCs w:val="28"/>
          <w:lang w:val="uk-UA"/>
        </w:rPr>
        <w:t>нян був членом Московської колегії адвокатів і працював керівником юридичного департаменту російської компанії «</w:t>
      </w:r>
      <w:r>
        <w:rPr>
          <w:sz w:val="28"/>
          <w:szCs w:val="28"/>
          <w:lang w:val="uk-UA"/>
        </w:rPr>
        <w:t>Юкос</w:t>
      </w:r>
      <w:r>
        <w:rPr>
          <w:sz w:val="28"/>
          <w:szCs w:val="28"/>
          <w:lang w:val="uk-UA"/>
        </w:rPr>
        <w:t>».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2003-2004 роках проти кількох керівників компанії були порушені кримінальні справи за звинуваченнями у шахрайстві та привласненні коштів в особливо великих розмірах. Крім того, податкові органи подали позов на компанію, вимагаючи сплати податків.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березні 2006 року акціонери компанії «</w:t>
      </w:r>
      <w:r>
        <w:rPr>
          <w:sz w:val="28"/>
          <w:szCs w:val="28"/>
          <w:lang w:val="uk-UA"/>
        </w:rPr>
        <w:t>Юкос</w:t>
      </w:r>
      <w:r>
        <w:rPr>
          <w:sz w:val="28"/>
          <w:szCs w:val="28"/>
          <w:lang w:val="uk-UA"/>
        </w:rPr>
        <w:t>» призначили заявника на посаду виконувача обов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язків віце-президента компанії. У той же час розпочалася процедура її банкрутства. Рішенням Арбітражного суду м. Москви від 4 серпня 2006 року компанія «</w:t>
      </w:r>
      <w:r>
        <w:rPr>
          <w:sz w:val="28"/>
          <w:szCs w:val="28"/>
          <w:lang w:val="uk-UA"/>
        </w:rPr>
        <w:t>Юкос</w:t>
      </w:r>
      <w:r>
        <w:rPr>
          <w:sz w:val="28"/>
          <w:szCs w:val="28"/>
          <w:lang w:val="uk-UA"/>
        </w:rPr>
        <w:t>» була оголошена банкрутом. Це рішення було підтримане апеляційною інстанцією та набрало чинності 12 листопада 2007 року процедура банкрутства були припинена через те, що компанія «</w:t>
      </w:r>
      <w:r>
        <w:rPr>
          <w:sz w:val="28"/>
          <w:szCs w:val="28"/>
          <w:lang w:val="uk-UA"/>
        </w:rPr>
        <w:t>Юкос</w:t>
      </w:r>
      <w:r>
        <w:rPr>
          <w:sz w:val="28"/>
          <w:szCs w:val="28"/>
          <w:lang w:val="uk-UA"/>
        </w:rPr>
        <w:t>» припинила своє існування.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 та 5 квітня 2006 року у помешканні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 було проведено обшук та конфісковано деякі документи, а 6 квітня 2006 року він був заарештований і взятий під варту. З цього часу термін утримання заявника під вартою кілька разів подовжувався, останнього разу – до січня 2009 року.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утримання під вартою стан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 постійно погіршувався. Його зір, який на момент затримання був слабким, погіршився до такого рівня, що він став майже сліпим. Більше того, у вересні 2006 року у нього виявили синдром набутого імунодефіциту людини (далі – СНІД).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жовтня 2007 року внаслідок розвитку </w:t>
      </w:r>
      <w:r>
        <w:rPr>
          <w:sz w:val="28"/>
          <w:szCs w:val="28"/>
          <w:lang w:val="uk-UA"/>
        </w:rPr>
        <w:t>СНІДу</w:t>
      </w:r>
      <w:r>
        <w:rPr>
          <w:sz w:val="28"/>
          <w:szCs w:val="28"/>
          <w:lang w:val="uk-UA"/>
        </w:rPr>
        <w:t xml:space="preserve"> заявник захворів на кілька інших хвороб, викликаних загальним послабленням організму. Пан </w:t>
      </w:r>
      <w:r>
        <w:rPr>
          <w:sz w:val="28"/>
          <w:szCs w:val="28"/>
          <w:lang w:val="uk-UA"/>
        </w:rPr>
        <w:t>Алексанян</w:t>
      </w:r>
      <w:r>
        <w:rPr>
          <w:sz w:val="28"/>
          <w:szCs w:val="28"/>
          <w:lang w:val="uk-UA"/>
        </w:rPr>
        <w:t xml:space="preserve"> пройшов низку медичних оглядів, однак уповноважені органи влади не надали інформації про те, коли і яке саме лікування йому призначалось. У жовтні 2007 року заявника перевели зі слідчого ізолятора (далі – СІЗО), де він утримувався під вартою, до лікарні іншого СІЗО. Після чергового медичного огляду лікарі дійшли висновку, що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 xml:space="preserve">яну потрібно негайно пройти курс лікування у спеціалізованій </w:t>
      </w:r>
      <w:r>
        <w:rPr>
          <w:sz w:val="28"/>
          <w:szCs w:val="28"/>
          <w:lang w:val="uk-UA"/>
        </w:rPr>
        <w:t>лікарні. Того ж місяця слідчий у справі заявника, з огляду на стан його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я, подав до суду клопотання про зміну запобіжного заходу – відпустити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 під заставу. Проте суд відмовився розглядати це клопотання.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26 листопада 2007 року Суд, відповідно до Правила 39 Регламенту Суду, запропонував Уряду Росії негайно забезпечити заявнику стаціонарне лікування у спеціалізованій лікарні. 21 грудня 2007 року Суд також запропонував Уряду сформувати медичну комісію з представників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 та органів влади, яка б змогла поставити діагноз захворюванням заявника та дати поради щодо подальшого їх лікування.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 грудня 2007 року Уряд відповів, що заявникові може бути надане адекватне медичне обслуговування в умовах його перебування у лікарні СІЗО, а створення пропонованої медичної комісії не є можливим, оскільки суперечить національному законодавству.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31 січня 2008 року лікарі діагностували у заявника пов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язаний зі </w:t>
      </w:r>
      <w:r>
        <w:rPr>
          <w:sz w:val="28"/>
          <w:szCs w:val="28"/>
          <w:lang w:val="uk-UA"/>
        </w:rPr>
        <w:t>СНІДом</w:t>
      </w:r>
      <w:r>
        <w:rPr>
          <w:sz w:val="28"/>
          <w:szCs w:val="28"/>
          <w:lang w:val="uk-UA"/>
        </w:rPr>
        <w:t xml:space="preserve"> рак лімфатичних вузлів.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 лютого 2008 року заявника перевели до гематологічної лікарні, яка знаходиться за межами СІЗО. У цій лікарні його цілодобово охороняла міліція, а до вікон його палати прикріпили залізні решітки.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останньою інформацією заявник і надалі перебуває у цій лікарні, де проходить курс лікування.</w:t>
      </w:r>
    </w:p>
    <w:p w:rsidR="00032BB6" w:rsidP="00032BB6">
      <w:pPr>
        <w:spacing w:line="360" w:lineRule="auto"/>
        <w:ind w:firstLine="3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 рішення Суду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Пан </w:t>
      </w:r>
      <w:r>
        <w:rPr>
          <w:sz w:val="28"/>
          <w:szCs w:val="28"/>
          <w:lang w:val="uk-UA"/>
        </w:rPr>
        <w:t>Алексанян</w:t>
      </w:r>
      <w:r>
        <w:rPr>
          <w:sz w:val="28"/>
          <w:szCs w:val="28"/>
          <w:lang w:val="uk-UA"/>
        </w:rPr>
        <w:t xml:space="preserve"> скаржився на те, що, з огляду на стан його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я, умови, в яких він утримувався під вартою, прирівнювалось до нелюдських та таких, що принижували його людську гідність. Також він стверджував, що його затримання було незаконним та мотивувалось політичним й економічним переслідуванням його компанії. Крім того, заявник скаржився на незаконність проведених обшуків у його помешканні та на </w:t>
      </w:r>
      <w:r>
        <w:rPr>
          <w:sz w:val="28"/>
          <w:szCs w:val="28"/>
          <w:lang w:val="uk-UA"/>
        </w:rPr>
        <w:t>негативний вплив утримання під вартою на його сімейне життя. При цьому він посилався на ст. 3, 5, 8, 13 та 18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Заявник не оскаржував того, що коли він утримувався у 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язниці йому надавалась деяка загальна медична допомога. Зокрема, від своїх родичів або з аптеки у СІЗО він отримував загальновживані протизапальні та противірусні ліки й антисептики.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Однак основним питанням, яке потрібно було з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ясувати, було те, яке лікування отримував заявник після того як у нього виявили СНІД (включаючи можливість використання ним </w:t>
      </w:r>
      <w:r>
        <w:rPr>
          <w:sz w:val="28"/>
          <w:szCs w:val="28"/>
          <w:lang w:val="uk-UA"/>
        </w:rPr>
        <w:t>антиретровірусних</w:t>
      </w:r>
      <w:r>
        <w:rPr>
          <w:sz w:val="28"/>
          <w:szCs w:val="28"/>
          <w:lang w:val="uk-UA"/>
        </w:rPr>
        <w:t xml:space="preserve"> препаратів та поміщення його до спеціалізованого лікувального закладу). Суд, взявши до уваги те, що </w:t>
      </w:r>
      <w:r>
        <w:rPr>
          <w:sz w:val="28"/>
          <w:szCs w:val="28"/>
          <w:lang w:val="uk-UA"/>
        </w:rPr>
        <w:t>п. Алекса</w:t>
      </w:r>
      <w:r>
        <w:rPr>
          <w:sz w:val="28"/>
          <w:szCs w:val="28"/>
          <w:lang w:val="uk-UA"/>
        </w:rPr>
        <w:t xml:space="preserve">нян міг отримувати </w:t>
      </w:r>
      <w:r>
        <w:rPr>
          <w:sz w:val="28"/>
          <w:szCs w:val="28"/>
          <w:lang w:val="uk-UA"/>
        </w:rPr>
        <w:t>антиретровірусні</w:t>
      </w:r>
      <w:r>
        <w:rPr>
          <w:sz w:val="28"/>
          <w:szCs w:val="28"/>
          <w:lang w:val="uk-UA"/>
        </w:rPr>
        <w:t xml:space="preserve"> ліки від своїх родичів, вирішив, що відсутність цих ліків у аптеці СІЗО сама по собі не становила порушення ст. 3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Стосовно ж неспроможності влади надати заявнику спеціалізовану медичну допомогу Суд постановив, що ще з кінця жовтня 2007 року стан його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вимагав негайного поміщення до спеціалізованої лікарні. Тому, до моменту поміщення до цієї лікарні у лютому 2008 року, національні органи влади не спромоглися належно заопікуватися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ям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яна, що вразило його почуття гідності та спричинило страждання більші, ніж ті, які були неминуче пов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язані з ув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язненням. Останнє, на думку Суду, прирівнювалось до нелюдського та такого, що принижує людську гідність, поводження. Відтак, мало місце порушення ст. 3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Пан </w:t>
      </w:r>
      <w:r>
        <w:rPr>
          <w:sz w:val="28"/>
          <w:szCs w:val="28"/>
          <w:lang w:val="uk-UA"/>
        </w:rPr>
        <w:t>Алексанян</w:t>
      </w:r>
      <w:r>
        <w:rPr>
          <w:sz w:val="28"/>
          <w:szCs w:val="28"/>
          <w:lang w:val="uk-UA"/>
        </w:rPr>
        <w:t xml:space="preserve"> був заарештований 6 квітня 2006 року. З того часу, тобто протягом двох років і восьми місяців, він утримувався під вартою. Аби виправдати такий довгий час тримання заявника під вартою, Уряду потрібно було вказати на справді вагомі причини.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Суд, оцінивши аргументи, на які посилався російський Уряд, постановив, що національні суди так і не змогли довести того, що </w:t>
      </w:r>
      <w:r>
        <w:rPr>
          <w:sz w:val="28"/>
          <w:szCs w:val="28"/>
          <w:lang w:val="uk-UA"/>
        </w:rPr>
        <w:t>п. Алекса</w:t>
      </w:r>
      <w:r>
        <w:rPr>
          <w:sz w:val="28"/>
          <w:szCs w:val="28"/>
          <w:lang w:val="uk-UA"/>
        </w:rPr>
        <w:t>нян міг повторно вчинити злочин, впливати на свідків чи знищувати докази.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Зважаючи на важкий стан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 заявника, небезпека його втечі, про яку стверджував Уряд, видається малоймовірною. Стосовно ж небезпеки втечі за кордон національні органи влади так і не пояснили, чому вилучення у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 паспорта громадянина Росії (захід, передбачений національним законодавством у разі звільнення особи під заставу) не було достатнім, щоб запобігти його переховуванню за межами Росії.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Більше того, на жодній стадії процесу національні суди не розглядали можливості звільнення заявника під заставу – навіть тоді, коли слідчий у справі сам вимагав застосування такого заходу.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Врешті-решт 6 лютого 2008 року судове слідство по справі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 було тимчасово зупинене з огляду на поганий стан його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я. Відповідно до національного законодавства, короткі перерви у судових слуханнях задля лікування підозрюваних були дозволеними. Однак заявник вже провів понад 34 місяці під вартою, а деякі з його хвороб були невиліковними. Тому його утримання під вартою могло тривати протягом невизначеного часу, а судові засідання могли так ніколи й не відновитися. За цих обставин, утримання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 під вартою втратило будь-яку розумну мету, а тому його продовження суперечило ст. 5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Суд вважає, що з грудня 2006 року уповноважені органи влади подовжували утримання заявника під вартою на підставах, які не можуть вважатися «відповідними» та «достатніми». Відтак, мало місце порушення ч. 3 ст. 5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Суд дійшов висновку про те, що ордери на обшук помешкання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 xml:space="preserve">яна у квітні 2006 року мали занадто широкі формулювання, а це в результаті дало обвинуваченню майже необмежену свободу дії у </w:t>
      </w:r>
      <w:r>
        <w:rPr>
          <w:sz w:val="28"/>
          <w:szCs w:val="28"/>
          <w:lang w:val="uk-UA"/>
        </w:rPr>
        <w:t>з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ясуванні того, які документи були «предметом зацікавлення» слідства. Це порушення є достатнім, аби дійти висновку, що проведені обшуки помешкання заявника були здійснені на порушення ст. 8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Суд зажадав від Уряду Росії застосувати два тимчасові заходи. Відповідно до першого, не пізніше 8 лютого 2008 року заявника потрібно було помістити до спеціального лікувального закладу за межами СІЗО. Навіть припускаючи те, що лікарня у СІЗО могла вважатись «спеціалізованим лікувальним закладом», було зрозуміло, що протягом більш ніж двох місяців Уряд, постійно відмовляючись застосувати цей тимчасовий захід, поставив здоров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і навіть життя заявника у небезпеку. За цих умов незастосування цього заходу є провиною влади, яка, отже, виявила небажання співпрацювати з Судом.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ж стосується другого тимчасового заходу, то російські органи влади не дозволили оглянути заявника медичною комісією, включаючи лікаря за вибором </w:t>
      </w:r>
      <w:r>
        <w:rPr>
          <w:sz w:val="28"/>
          <w:szCs w:val="28"/>
          <w:lang w:val="uk-UA"/>
        </w:rPr>
        <w:t>п. Алексан</w:t>
      </w:r>
      <w:r>
        <w:rPr>
          <w:sz w:val="28"/>
          <w:szCs w:val="28"/>
          <w:lang w:val="uk-UA"/>
        </w:rPr>
        <w:t>яна. Зважаючи на те, що заявник був серйозно хворий та тримався під вартою, а тому не міг збирати всю необхідну інформацію самостійно, така позиція органів влади прирівнювалась, за цих умов, до спроби перешкодити заявнику у здійсненні його права подати індивідуальне звернення, передбачене ст. 34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Відтак, не виконавши тимчасових заходів, вказаних у Правилі № 39 Регламенту Суду, Уряд Росії не виконав своїх зобов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язання відповідно до ст. 34 Конвенції.</w:t>
      </w:r>
    </w:p>
    <w:p w:rsidR="00032BB6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Пан </w:t>
      </w:r>
      <w:r>
        <w:rPr>
          <w:sz w:val="28"/>
          <w:szCs w:val="28"/>
          <w:lang w:val="uk-UA"/>
        </w:rPr>
        <w:t>Алексанян</w:t>
      </w:r>
      <w:r>
        <w:rPr>
          <w:sz w:val="28"/>
          <w:szCs w:val="28"/>
          <w:lang w:val="uk-UA"/>
        </w:rPr>
        <w:t>, посилаючись на ст. 34 Конвенції, скаржився також на тиск, який чинився на нього та на його адвоката у зв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язку з процесом у Страсбурзі. Проте Суд, проаналізувавши усі матеріали справи, дійшов висновку, що ці твердження заявника не були достатньо обґрунтованими.</w:t>
      </w:r>
    </w:p>
    <w:p w:rsidRPr="00032BB6" w:rsidR="004D15F3" w:rsidP="00032BB6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Суд, взявши до уваги зроблені ним висновки стосовно порушень Конвенції, а також зважаючи на важкість захворювань заявника, вважає, </w:t>
      </w:r>
      <w:r>
        <w:rPr>
          <w:sz w:val="28"/>
          <w:szCs w:val="28"/>
          <w:lang w:val="uk-UA"/>
        </w:rPr>
        <w:t>що подальше утримання його під вартою є неприпустимим. Відтак, він постановив, що задля того, аби виконати свої обов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язки відповідно до ст. 46 Конвенції, Уряд Росії був зобов</w:t>
      </w:r>
      <w:r w:rsidR="00E3020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язаний замінити утримання заявника під вартою на інший розумний та менш суворий запобіжний захід передбачений російським законодавством.</w:t>
      </w:r>
    </w:p>
    <w:sectPr w:rsidSect="00A6035E">
      <w:pgSz w:w="11907" w:h="16840" w:code="9"/>
      <w:pgMar w:top="1440" w:right="1440" w:bottom="1440" w:left="144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88D47DE"/>
    <w:multiLevelType w:val="multilevel"/>
    <w:tmpl w:val="8012C870"/>
    <w:lvl w:ilvl="0">
      <w:start w:val="1"/>
      <w:numFmt w:val="decimal"/>
      <w:pStyle w:val="ECHRList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4989571C"/>
    <w:multiLevelType w:val="multilevel"/>
    <w:tmpl w:val="F842BC8C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3">
    <w:nsid w:val="578853F6"/>
    <w:multiLevelType w:val="hybridMultilevel"/>
    <w:tmpl w:val="9FE8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1"/>
  </w:num>
  <w:num w:numId="7">
    <w:abstractNumId w:val="2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removePersonalInformation/>
  <w:proofState w:spelling="clean" w:grammar="clean"/>
  <w:stylePaneFormatFilter w:val="5004" w:allStyles="0" w:alternateStyleNames="0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BB6"/>
    <w:rsid w:val="000042A8"/>
    <w:rsid w:val="00004308"/>
    <w:rsid w:val="00005BF0"/>
    <w:rsid w:val="00007154"/>
    <w:rsid w:val="000103AE"/>
    <w:rsid w:val="00011D69"/>
    <w:rsid w:val="00012AD3"/>
    <w:rsid w:val="00015C2D"/>
    <w:rsid w:val="00015F00"/>
    <w:rsid w:val="00022C1D"/>
    <w:rsid w:val="00032BB6"/>
    <w:rsid w:val="00034987"/>
    <w:rsid w:val="000602DF"/>
    <w:rsid w:val="00061B05"/>
    <w:rsid w:val="000632D5"/>
    <w:rsid w:val="000644EE"/>
    <w:rsid w:val="000925AD"/>
    <w:rsid w:val="000A24EB"/>
    <w:rsid w:val="000B6923"/>
    <w:rsid w:val="000C5F3C"/>
    <w:rsid w:val="000C6DCC"/>
    <w:rsid w:val="000D47AA"/>
    <w:rsid w:val="000D721F"/>
    <w:rsid w:val="000E069B"/>
    <w:rsid w:val="000E0E82"/>
    <w:rsid w:val="000E1DC5"/>
    <w:rsid w:val="000E223F"/>
    <w:rsid w:val="000E7D45"/>
    <w:rsid w:val="000F7851"/>
    <w:rsid w:val="00104E23"/>
    <w:rsid w:val="00111B0C"/>
    <w:rsid w:val="00120D6C"/>
    <w:rsid w:val="001257EC"/>
    <w:rsid w:val="00133D33"/>
    <w:rsid w:val="00134D64"/>
    <w:rsid w:val="00135A30"/>
    <w:rsid w:val="0013612C"/>
    <w:rsid w:val="00137FF6"/>
    <w:rsid w:val="00141650"/>
    <w:rsid w:val="00162A12"/>
    <w:rsid w:val="00166530"/>
    <w:rsid w:val="001832BD"/>
    <w:rsid w:val="001943B5"/>
    <w:rsid w:val="00195134"/>
    <w:rsid w:val="001A145B"/>
    <w:rsid w:val="001A674C"/>
    <w:rsid w:val="001B3B24"/>
    <w:rsid w:val="001C0F98"/>
    <w:rsid w:val="001C2A42"/>
    <w:rsid w:val="001D63ED"/>
    <w:rsid w:val="001D7348"/>
    <w:rsid w:val="001E035B"/>
    <w:rsid w:val="001E0961"/>
    <w:rsid w:val="001E3EAE"/>
    <w:rsid w:val="001E6F32"/>
    <w:rsid w:val="001F2145"/>
    <w:rsid w:val="001F6262"/>
    <w:rsid w:val="001F67B0"/>
    <w:rsid w:val="001F7B3D"/>
    <w:rsid w:val="00205F9F"/>
    <w:rsid w:val="002115FC"/>
    <w:rsid w:val="00230D00"/>
    <w:rsid w:val="00231DF7"/>
    <w:rsid w:val="00231FD1"/>
    <w:rsid w:val="00233CF8"/>
    <w:rsid w:val="0023575D"/>
    <w:rsid w:val="00237148"/>
    <w:rsid w:val="0024222D"/>
    <w:rsid w:val="00244B0E"/>
    <w:rsid w:val="00244F6C"/>
    <w:rsid w:val="002532C5"/>
    <w:rsid w:val="00260C03"/>
    <w:rsid w:val="0026540E"/>
    <w:rsid w:val="00275123"/>
    <w:rsid w:val="00282240"/>
    <w:rsid w:val="002948AD"/>
    <w:rsid w:val="002A01CC"/>
    <w:rsid w:val="002A61B1"/>
    <w:rsid w:val="002A663C"/>
    <w:rsid w:val="002B444B"/>
    <w:rsid w:val="002B5887"/>
    <w:rsid w:val="002C0E27"/>
    <w:rsid w:val="002C3040"/>
    <w:rsid w:val="002D022D"/>
    <w:rsid w:val="002F2AF7"/>
    <w:rsid w:val="002F7E1C"/>
    <w:rsid w:val="00301A75"/>
    <w:rsid w:val="00302F70"/>
    <w:rsid w:val="0030336F"/>
    <w:rsid w:val="00312A30"/>
    <w:rsid w:val="00320F72"/>
    <w:rsid w:val="0032463E"/>
    <w:rsid w:val="00326224"/>
    <w:rsid w:val="00337EE4"/>
    <w:rsid w:val="00340FFD"/>
    <w:rsid w:val="003506B1"/>
    <w:rsid w:val="00356AC7"/>
    <w:rsid w:val="003609FA"/>
    <w:rsid w:val="003710C8"/>
    <w:rsid w:val="003750BE"/>
    <w:rsid w:val="00387B9D"/>
    <w:rsid w:val="0039364F"/>
    <w:rsid w:val="00396686"/>
    <w:rsid w:val="0039778E"/>
    <w:rsid w:val="003B4941"/>
    <w:rsid w:val="003C5714"/>
    <w:rsid w:val="003C6B9F"/>
    <w:rsid w:val="003C6E2A"/>
    <w:rsid w:val="003D0299"/>
    <w:rsid w:val="003F05FA"/>
    <w:rsid w:val="003F30B8"/>
    <w:rsid w:val="003F4C45"/>
    <w:rsid w:val="003F5F7B"/>
    <w:rsid w:val="003F7D64"/>
    <w:rsid w:val="00414300"/>
    <w:rsid w:val="00425C67"/>
    <w:rsid w:val="00436C49"/>
    <w:rsid w:val="00447F5B"/>
    <w:rsid w:val="00461DB0"/>
    <w:rsid w:val="00463926"/>
    <w:rsid w:val="00464C9A"/>
    <w:rsid w:val="00474F3D"/>
    <w:rsid w:val="00477E3A"/>
    <w:rsid w:val="00483E5F"/>
    <w:rsid w:val="00485FF9"/>
    <w:rsid w:val="004907F0"/>
    <w:rsid w:val="0049140B"/>
    <w:rsid w:val="00496BFB"/>
    <w:rsid w:val="004A15C7"/>
    <w:rsid w:val="004B013B"/>
    <w:rsid w:val="004B112B"/>
    <w:rsid w:val="004C01E4"/>
    <w:rsid w:val="004C086C"/>
    <w:rsid w:val="004C1F56"/>
    <w:rsid w:val="004C27BC"/>
    <w:rsid w:val="004D15F3"/>
    <w:rsid w:val="004D5311"/>
    <w:rsid w:val="004D5DCC"/>
    <w:rsid w:val="004F10AF"/>
    <w:rsid w:val="004F11A4"/>
    <w:rsid w:val="004F2389"/>
    <w:rsid w:val="004F304D"/>
    <w:rsid w:val="004F61BE"/>
    <w:rsid w:val="004F66B1"/>
    <w:rsid w:val="005173A6"/>
    <w:rsid w:val="00520BAA"/>
    <w:rsid w:val="00525208"/>
    <w:rsid w:val="005257A5"/>
    <w:rsid w:val="005264C0"/>
    <w:rsid w:val="00526A8A"/>
    <w:rsid w:val="00531DF2"/>
    <w:rsid w:val="005442EE"/>
    <w:rsid w:val="00547353"/>
    <w:rsid w:val="005512A3"/>
    <w:rsid w:val="005578CE"/>
    <w:rsid w:val="00562781"/>
    <w:rsid w:val="00572845"/>
    <w:rsid w:val="00592772"/>
    <w:rsid w:val="0059574A"/>
    <w:rsid w:val="005A1B9B"/>
    <w:rsid w:val="005A6751"/>
    <w:rsid w:val="005B092E"/>
    <w:rsid w:val="005B152C"/>
    <w:rsid w:val="005B1EE0"/>
    <w:rsid w:val="005B2B24"/>
    <w:rsid w:val="005B4425"/>
    <w:rsid w:val="005B4B94"/>
    <w:rsid w:val="005C3EE8"/>
    <w:rsid w:val="005D34F9"/>
    <w:rsid w:val="005D4190"/>
    <w:rsid w:val="005D67A3"/>
    <w:rsid w:val="005E2988"/>
    <w:rsid w:val="005E3085"/>
    <w:rsid w:val="005F51E1"/>
    <w:rsid w:val="00611C80"/>
    <w:rsid w:val="00620692"/>
    <w:rsid w:val="006242CA"/>
    <w:rsid w:val="00627507"/>
    <w:rsid w:val="00633717"/>
    <w:rsid w:val="006344E1"/>
    <w:rsid w:val="006545C4"/>
    <w:rsid w:val="00661971"/>
    <w:rsid w:val="00661CE8"/>
    <w:rsid w:val="006623D9"/>
    <w:rsid w:val="0066550C"/>
    <w:rsid w:val="006716F2"/>
    <w:rsid w:val="00682BF2"/>
    <w:rsid w:val="006859CE"/>
    <w:rsid w:val="00691270"/>
    <w:rsid w:val="00694BA8"/>
    <w:rsid w:val="006A037C"/>
    <w:rsid w:val="006A36F4"/>
    <w:rsid w:val="006A406F"/>
    <w:rsid w:val="006A5D3A"/>
    <w:rsid w:val="006C23D4"/>
    <w:rsid w:val="006C7BB0"/>
    <w:rsid w:val="006D3237"/>
    <w:rsid w:val="006E2E37"/>
    <w:rsid w:val="006E3CF1"/>
    <w:rsid w:val="006E7E80"/>
    <w:rsid w:val="006F48CA"/>
    <w:rsid w:val="006F64D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FF0"/>
    <w:rsid w:val="00764D4E"/>
    <w:rsid w:val="00775B6D"/>
    <w:rsid w:val="00776D68"/>
    <w:rsid w:val="007850EE"/>
    <w:rsid w:val="00785B95"/>
    <w:rsid w:val="00790E96"/>
    <w:rsid w:val="00793366"/>
    <w:rsid w:val="007A716F"/>
    <w:rsid w:val="007B270A"/>
    <w:rsid w:val="007C0695"/>
    <w:rsid w:val="007C419A"/>
    <w:rsid w:val="007C4CC8"/>
    <w:rsid w:val="007C5426"/>
    <w:rsid w:val="007C5798"/>
    <w:rsid w:val="007D4832"/>
    <w:rsid w:val="007E21B2"/>
    <w:rsid w:val="007E2C4E"/>
    <w:rsid w:val="007F1905"/>
    <w:rsid w:val="00802C64"/>
    <w:rsid w:val="00805E52"/>
    <w:rsid w:val="008061D0"/>
    <w:rsid w:val="00810B38"/>
    <w:rsid w:val="008204C7"/>
    <w:rsid w:val="00820992"/>
    <w:rsid w:val="00823602"/>
    <w:rsid w:val="008255F5"/>
    <w:rsid w:val="0083014E"/>
    <w:rsid w:val="0083214A"/>
    <w:rsid w:val="00834220"/>
    <w:rsid w:val="00845723"/>
    <w:rsid w:val="0086497A"/>
    <w:rsid w:val="008713A1"/>
    <w:rsid w:val="008754AB"/>
    <w:rsid w:val="0088060C"/>
    <w:rsid w:val="00893576"/>
    <w:rsid w:val="00893E73"/>
    <w:rsid w:val="008B02DC"/>
    <w:rsid w:val="008B57CE"/>
    <w:rsid w:val="008C26DE"/>
    <w:rsid w:val="008D2225"/>
    <w:rsid w:val="008D4752"/>
    <w:rsid w:val="008E271C"/>
    <w:rsid w:val="008E418E"/>
    <w:rsid w:val="008E5BC6"/>
    <w:rsid w:val="008E6A25"/>
    <w:rsid w:val="008F5193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34301"/>
    <w:rsid w:val="00936CD1"/>
    <w:rsid w:val="00941747"/>
    <w:rsid w:val="00941EFB"/>
    <w:rsid w:val="00947AFB"/>
    <w:rsid w:val="00951D7D"/>
    <w:rsid w:val="009630C7"/>
    <w:rsid w:val="00972B55"/>
    <w:rsid w:val="009743B7"/>
    <w:rsid w:val="0098228B"/>
    <w:rsid w:val="009828DA"/>
    <w:rsid w:val="00985BAB"/>
    <w:rsid w:val="009B1B5F"/>
    <w:rsid w:val="009B6673"/>
    <w:rsid w:val="009C191B"/>
    <w:rsid w:val="009E1F32"/>
    <w:rsid w:val="009E776C"/>
    <w:rsid w:val="00A1726E"/>
    <w:rsid w:val="00A204CF"/>
    <w:rsid w:val="00A23D49"/>
    <w:rsid w:val="00A27004"/>
    <w:rsid w:val="00A30C29"/>
    <w:rsid w:val="00A34DD6"/>
    <w:rsid w:val="00A36819"/>
    <w:rsid w:val="00A36989"/>
    <w:rsid w:val="00A43628"/>
    <w:rsid w:val="00A54192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94C20"/>
    <w:rsid w:val="00AA227F"/>
    <w:rsid w:val="00AA3BC7"/>
    <w:rsid w:val="00AA754A"/>
    <w:rsid w:val="00AB099E"/>
    <w:rsid w:val="00AB4328"/>
    <w:rsid w:val="00AE0A2E"/>
    <w:rsid w:val="00AE354C"/>
    <w:rsid w:val="00AF4B07"/>
    <w:rsid w:val="00AF6186"/>
    <w:rsid w:val="00AF7A3A"/>
    <w:rsid w:val="00B160DB"/>
    <w:rsid w:val="00B20836"/>
    <w:rsid w:val="00B235BB"/>
    <w:rsid w:val="00B27A44"/>
    <w:rsid w:val="00B30BBF"/>
    <w:rsid w:val="00B33C03"/>
    <w:rsid w:val="00B44E56"/>
    <w:rsid w:val="00B46543"/>
    <w:rsid w:val="00B47D33"/>
    <w:rsid w:val="00B54133"/>
    <w:rsid w:val="00B701ED"/>
    <w:rsid w:val="00B8086C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1C27"/>
    <w:rsid w:val="00BC6BBF"/>
    <w:rsid w:val="00BD1572"/>
    <w:rsid w:val="00BE3774"/>
    <w:rsid w:val="00BE41E5"/>
    <w:rsid w:val="00BF4109"/>
    <w:rsid w:val="00BF4CC3"/>
    <w:rsid w:val="00C054C7"/>
    <w:rsid w:val="00C057B5"/>
    <w:rsid w:val="00C22687"/>
    <w:rsid w:val="00C32E4D"/>
    <w:rsid w:val="00C333A0"/>
    <w:rsid w:val="00C36A81"/>
    <w:rsid w:val="00C41974"/>
    <w:rsid w:val="00C53F4A"/>
    <w:rsid w:val="00C54125"/>
    <w:rsid w:val="00C55B54"/>
    <w:rsid w:val="00C6098E"/>
    <w:rsid w:val="00C6152C"/>
    <w:rsid w:val="00C90D68"/>
    <w:rsid w:val="00C939FE"/>
    <w:rsid w:val="00CA4BDA"/>
    <w:rsid w:val="00CB2951"/>
    <w:rsid w:val="00CD282B"/>
    <w:rsid w:val="00CD7369"/>
    <w:rsid w:val="00CE3831"/>
    <w:rsid w:val="00D00ABB"/>
    <w:rsid w:val="00D02EEC"/>
    <w:rsid w:val="00D03551"/>
    <w:rsid w:val="00D06A63"/>
    <w:rsid w:val="00D07E0E"/>
    <w:rsid w:val="00D11478"/>
    <w:rsid w:val="00D15ED0"/>
    <w:rsid w:val="00D21B3E"/>
    <w:rsid w:val="00D21FED"/>
    <w:rsid w:val="00D24251"/>
    <w:rsid w:val="00D343E2"/>
    <w:rsid w:val="00D361A2"/>
    <w:rsid w:val="00D44C2E"/>
    <w:rsid w:val="00D45414"/>
    <w:rsid w:val="00D566BD"/>
    <w:rsid w:val="00D57A4D"/>
    <w:rsid w:val="00D60AA7"/>
    <w:rsid w:val="00D75E28"/>
    <w:rsid w:val="00D772C2"/>
    <w:rsid w:val="00D8008E"/>
    <w:rsid w:val="00D82C45"/>
    <w:rsid w:val="00D908A8"/>
    <w:rsid w:val="00D977B6"/>
    <w:rsid w:val="00DA4A31"/>
    <w:rsid w:val="00DA7B04"/>
    <w:rsid w:val="00DB36C2"/>
    <w:rsid w:val="00DC169B"/>
    <w:rsid w:val="00DC2AB9"/>
    <w:rsid w:val="00DC63F0"/>
    <w:rsid w:val="00DD6EE5"/>
    <w:rsid w:val="00DE386C"/>
    <w:rsid w:val="00DE4D35"/>
    <w:rsid w:val="00DF098B"/>
    <w:rsid w:val="00DF11C4"/>
    <w:rsid w:val="00DF210C"/>
    <w:rsid w:val="00DF4B6A"/>
    <w:rsid w:val="00E02C09"/>
    <w:rsid w:val="00E04D59"/>
    <w:rsid w:val="00E07DA1"/>
    <w:rsid w:val="00E123CB"/>
    <w:rsid w:val="00E21DBC"/>
    <w:rsid w:val="00E275D7"/>
    <w:rsid w:val="00E27DBE"/>
    <w:rsid w:val="00E30205"/>
    <w:rsid w:val="00E32AB1"/>
    <w:rsid w:val="00E36C71"/>
    <w:rsid w:val="00E40404"/>
    <w:rsid w:val="00E47589"/>
    <w:rsid w:val="00E64915"/>
    <w:rsid w:val="00E661D4"/>
    <w:rsid w:val="00E70091"/>
    <w:rsid w:val="00E720F5"/>
    <w:rsid w:val="00E76D47"/>
    <w:rsid w:val="00E849F7"/>
    <w:rsid w:val="00E90302"/>
    <w:rsid w:val="00E97396"/>
    <w:rsid w:val="00EA185E"/>
    <w:rsid w:val="00EA592A"/>
    <w:rsid w:val="00EB32A5"/>
    <w:rsid w:val="00EB34ED"/>
    <w:rsid w:val="00EB7BE0"/>
    <w:rsid w:val="00EC315E"/>
    <w:rsid w:val="00ED077C"/>
    <w:rsid w:val="00ED1190"/>
    <w:rsid w:val="00ED6544"/>
    <w:rsid w:val="00EE0277"/>
    <w:rsid w:val="00EE3E00"/>
    <w:rsid w:val="00F00A79"/>
    <w:rsid w:val="00F00E86"/>
    <w:rsid w:val="00F07C1E"/>
    <w:rsid w:val="00F105DB"/>
    <w:rsid w:val="00F132BC"/>
    <w:rsid w:val="00F16AAA"/>
    <w:rsid w:val="00F21161"/>
    <w:rsid w:val="00F218EF"/>
    <w:rsid w:val="00F21BC7"/>
    <w:rsid w:val="00F266A2"/>
    <w:rsid w:val="00F32269"/>
    <w:rsid w:val="00F433A3"/>
    <w:rsid w:val="00F56A6F"/>
    <w:rsid w:val="00F5709C"/>
    <w:rsid w:val="00F64EF1"/>
    <w:rsid w:val="00F8765F"/>
    <w:rsid w:val="00F90767"/>
    <w:rsid w:val="00FA685B"/>
    <w:rsid w:val="00FB0C01"/>
    <w:rsid w:val="00FC18F2"/>
    <w:rsid w:val="00FC39E5"/>
    <w:rsid w:val="00FC3A78"/>
    <w:rsid w:val="00FD1005"/>
    <w:rsid w:val="00FD6C75"/>
    <w:rsid w:val="00FE71B3"/>
    <w:rsid w:val="00FF42C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8" w:qFormat="1"/>
    <w:lsdException w:name="heading 2" w:uiPriority="98" w:unhideWhenUsed="1" w:qFormat="1"/>
    <w:lsdException w:name="heading 3" w:uiPriority="98" w:unhideWhenUsed="1" w:qFormat="1"/>
    <w:lsdException w:name="heading 4" w:uiPriority="98" w:unhideWhenUsed="1" w:qFormat="1"/>
    <w:lsdException w:name="heading 5" w:uiPriority="98" w:unhideWhenUsed="1" w:qFormat="1"/>
    <w:lsdException w:name="heading 6" w:uiPriority="98" w:unhideWhenUsed="1" w:qFormat="1"/>
    <w:lsdException w:name="heading 7" w:uiPriority="98" w:unhideWhenUsed="1" w:qFormat="1"/>
    <w:lsdException w:name="heading 8" w:uiPriority="98" w:unhideWhenUsed="1" w:qFormat="1"/>
    <w:lsdException w:name="heading 9" w:uiPriority="98" w:unhideWhenUsed="1" w:qFormat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footnote text" w:uiPriority="95" w:unhideWhenUsed="1"/>
    <w:lsdException w:name="header" w:uiPriority="82" w:unhideWhenUsed="1"/>
    <w:lsdException w:name="footer" w:uiPriority="83" w:unhideWhenUsed="1"/>
    <w:lsdException w:name="caption" w:qFormat="1"/>
    <w:lsdException w:name="footnote reference" w:uiPriority="95" w:unhideWhenUsed="1"/>
    <w:lsdException w:name="Title" w:semiHidden="0" w:uiPriority="98" w:qFormat="1"/>
    <w:lsdException w:name="Default Paragraph Font" w:uiPriority="1" w:unhideWhenUsed="1"/>
    <w:lsdException w:name="Subtitle" w:uiPriority="98" w:qFormat="1"/>
    <w:lsdException w:name="Hyperlink" w:unhideWhenUsed="1"/>
    <w:lsdException w:name="Strong" w:semiHidden="0" w:uiPriority="98" w:qFormat="1"/>
    <w:lsdException w:name="Emphasis" w:semiHidden="0" w:uiPriority="98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98" w:qFormat="1"/>
    <w:lsdException w:name="Quote" w:semiHidden="0" w:uiPriority="98" w:qFormat="1"/>
    <w:lsdException w:name="Intense Quote" w:semiHidden="0" w:uiPriority="98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98" w:qFormat="1"/>
    <w:lsdException w:name="Intense Emphasis" w:semiHidden="0" w:uiPriority="98" w:qFormat="1"/>
    <w:lsdException w:name="Subtle Reference" w:semiHidden="0" w:uiPriority="98" w:qFormat="1"/>
    <w:lsdException w:name="Intense Reference" w:semiHidden="0" w:uiPriority="98" w:qFormat="1"/>
    <w:lsdException w:name="Book Title" w:semiHidden="0" w:uiPriority="98" w:qFormat="1"/>
    <w:lsdException w:name="TOC Heading" w:uiPriority="39" w:unhideWhenUsed="1" w:qFormat="1"/>
  </w:latentStyles>
  <w:style w:type="paragraph" w:default="1" w:styleId="Normal">
    <w:name w:val="Normal"/>
    <w:qFormat/>
    <w:rsid w:val="00032BB6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94174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941747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94174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94174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94174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94174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941747"/>
    <w:pPr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941747"/>
    <w:pPr>
      <w:outlineLvl w:val="7"/>
    </w:pPr>
    <w:rPr>
      <w:rFonts w:asciiTheme="majorHAnsi" w:eastAsiaTheme="majorEastAsia" w:hAnsiTheme="majorHAnsi" w:cstheme="majorBidi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941747"/>
    <w:pPr>
      <w:outlineLvl w:val="8"/>
    </w:pPr>
    <w:rPr>
      <w:rFonts w:asciiTheme="majorHAnsi" w:eastAsiaTheme="majorEastAsia" w:hAnsiTheme="majorHAnsi" w:cstheme="majorBidi"/>
      <w:i/>
      <w:iCs/>
      <w:spacing w:val="5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41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1F8"/>
    <w:rPr>
      <w:rFonts w:ascii="Tahoma" w:hAnsi="Tahoma" w:eastAsiaTheme="minorEastAsia" w:cs="Tahoma"/>
      <w:sz w:val="16"/>
      <w:szCs w:val="16"/>
    </w:rPr>
  </w:style>
  <w:style w:type="character" w:styleId="BookTitle">
    <w:name w:val="Book Title"/>
    <w:uiPriority w:val="99"/>
    <w:semiHidden/>
    <w:qFormat/>
    <w:rsid w:val="00941747"/>
    <w:rPr>
      <w:i/>
      <w:iCs/>
      <w:smallCaps/>
      <w:spacing w:val="5"/>
    </w:rPr>
  </w:style>
  <w:style w:type="numbering" w:customStyle="1" w:styleId="ECHRA1StyleBulletedSquare">
    <w:name w:val="ECHR_A1_Style_Bulleted_Square"/>
    <w:basedOn w:val="NoList"/>
    <w:rsid w:val="008754AB"/>
    <w:pPr>
      <w:numPr>
        <w:numId w:val="2"/>
      </w:numPr>
    </w:pPr>
  </w:style>
  <w:style w:type="numbering" w:customStyle="1" w:styleId="ECHRA1StyleNumberedList">
    <w:name w:val="ECHR_A1_Style_Numbered_List"/>
    <w:basedOn w:val="NoList"/>
    <w:rsid w:val="008754AB"/>
    <w:pPr>
      <w:numPr>
        <w:numId w:val="5"/>
      </w:numPr>
    </w:pPr>
  </w:style>
  <w:style w:type="character" w:styleId="Strong">
    <w:name w:val="Strong"/>
    <w:uiPriority w:val="99"/>
    <w:semiHidden/>
    <w:qFormat/>
    <w:rsid w:val="00941747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941747"/>
  </w:style>
  <w:style w:type="character" w:customStyle="1" w:styleId="NoSpacingChar">
    <w:name w:val="No Spacing Char"/>
    <w:basedOn w:val="DefaultParagraphFont"/>
    <w:link w:val="NoSpacing"/>
    <w:semiHidden/>
    <w:rsid w:val="00AE0A2E"/>
    <w:rPr>
      <w:rFonts w:eastAsiaTheme="minorEastAsia"/>
    </w:rPr>
  </w:style>
  <w:style w:type="paragraph" w:customStyle="1" w:styleId="ECHRBullet1">
    <w:name w:val="ECHR_Bullet_1"/>
    <w:aliases w:val="Bul_1"/>
    <w:basedOn w:val="Normal"/>
    <w:uiPriority w:val="8"/>
    <w:qFormat/>
    <w:rsid w:val="00233CF8"/>
    <w:pPr>
      <w:numPr>
        <w:numId w:val="6"/>
      </w:numPr>
      <w:spacing w:before="60" w:after="60"/>
      <w:contextualSpacing/>
    </w:pPr>
    <w:rPr>
      <w:rFonts w:eastAsiaTheme="minorEastAsia"/>
    </w:rPr>
  </w:style>
  <w:style w:type="paragraph" w:customStyle="1" w:styleId="ECHRBullet2">
    <w:name w:val="ECHR_Bullet_2"/>
    <w:aliases w:val="Bul_2"/>
    <w:basedOn w:val="ECHRBullet1"/>
    <w:uiPriority w:val="8"/>
    <w:rsid w:val="00233CF8"/>
    <w:pPr>
      <w:numPr>
        <w:ilvl w:val="1"/>
      </w:numPr>
    </w:pPr>
  </w:style>
  <w:style w:type="paragraph" w:customStyle="1" w:styleId="ECHRBullet3">
    <w:name w:val="ECHR_Bullet_3"/>
    <w:aliases w:val="Bul_3"/>
    <w:basedOn w:val="ECHRBullet2"/>
    <w:uiPriority w:val="8"/>
    <w:rsid w:val="008754AB"/>
    <w:pPr>
      <w:numPr>
        <w:ilvl w:val="2"/>
      </w:numPr>
    </w:pPr>
  </w:style>
  <w:style w:type="paragraph" w:customStyle="1" w:styleId="ECHRBullet4">
    <w:name w:val="ECHR_Bullet_4"/>
    <w:aliases w:val="Bul_4"/>
    <w:basedOn w:val="ECHRBullet3"/>
    <w:uiPriority w:val="8"/>
    <w:rsid w:val="008754AB"/>
    <w:pPr>
      <w:numPr>
        <w:ilvl w:val="3"/>
      </w:numPr>
    </w:pPr>
  </w:style>
  <w:style w:type="paragraph" w:customStyle="1" w:styleId="ECHRNumberedList1">
    <w:name w:val="ECHR_Numbered_List_1"/>
    <w:aliases w:val="Num_1"/>
    <w:basedOn w:val="Normal"/>
    <w:uiPriority w:val="9"/>
    <w:qFormat/>
    <w:rsid w:val="00425C67"/>
    <w:pPr>
      <w:numPr>
        <w:numId w:val="7"/>
      </w:numPr>
      <w:spacing w:before="60" w:after="60"/>
      <w:contextualSpacing/>
    </w:pPr>
    <w:rPr>
      <w:rFonts w:eastAsiaTheme="minorEastAsia"/>
    </w:rPr>
  </w:style>
  <w:style w:type="paragraph" w:customStyle="1" w:styleId="ECHRNumberedList2">
    <w:name w:val="ECHR_Numbered_List_2"/>
    <w:aliases w:val="Num_2"/>
    <w:basedOn w:val="ECHRNumberedList1"/>
    <w:uiPriority w:val="9"/>
    <w:rsid w:val="008754AB"/>
    <w:pPr>
      <w:numPr>
        <w:ilvl w:val="1"/>
      </w:numPr>
    </w:pPr>
  </w:style>
  <w:style w:type="paragraph" w:customStyle="1" w:styleId="ECHRNumberedList3">
    <w:name w:val="ECHR_Numbered_List_3"/>
    <w:aliases w:val="Num_3"/>
    <w:basedOn w:val="ECHRNumberedList2"/>
    <w:uiPriority w:val="9"/>
    <w:rsid w:val="008754AB"/>
    <w:pPr>
      <w:numPr>
        <w:ilvl w:val="2"/>
      </w:numPr>
    </w:pPr>
  </w:style>
  <w:style w:type="paragraph" w:customStyle="1" w:styleId="ECHRHeader">
    <w:name w:val="ECHR_Header"/>
    <w:aliases w:val="Top_Header"/>
    <w:basedOn w:val="Header"/>
    <w:uiPriority w:val="39"/>
    <w:rsid w:val="003D0299"/>
    <w:rPr>
      <w:sz w:val="8"/>
    </w:rPr>
  </w:style>
  <w:style w:type="paragraph" w:customStyle="1" w:styleId="ECHRFooter">
    <w:name w:val="ECHR_Footer"/>
    <w:aliases w:val="Footer_ECHR"/>
    <w:basedOn w:val="Footer"/>
    <w:uiPriority w:val="40"/>
    <w:rsid w:val="003D0299"/>
    <w:rPr>
      <w:sz w:val="8"/>
    </w:rPr>
  </w:style>
  <w:style w:type="paragraph" w:customStyle="1" w:styleId="ECHRCoverTitle1">
    <w:name w:val="ECHR_Cover_Title_1"/>
    <w:aliases w:val="Cover_1"/>
    <w:basedOn w:val="Normal"/>
    <w:next w:val="ECHRCoverTitle2"/>
    <w:uiPriority w:val="24"/>
    <w:qFormat/>
    <w:rsid w:val="00340FFD"/>
    <w:pPr>
      <w:spacing w:before="840"/>
      <w:jc w:val="center"/>
    </w:pPr>
    <w:rPr>
      <w:color w:val="2F2F2F" w:themeColor="accent3" w:themeShade="80"/>
      <w:sz w:val="36"/>
    </w:rPr>
  </w:style>
  <w:style w:type="paragraph" w:customStyle="1" w:styleId="ECHRCoverTitle2">
    <w:name w:val="ECHR_Cover_Title_2"/>
    <w:aliases w:val="Cover_2"/>
    <w:basedOn w:val="Normal"/>
    <w:next w:val="ECHRCoverTitle3"/>
    <w:uiPriority w:val="24"/>
    <w:qFormat/>
    <w:rsid w:val="00A66617"/>
    <w:pPr>
      <w:spacing w:before="600"/>
      <w:contextualSpacing/>
      <w:jc w:val="center"/>
    </w:pPr>
    <w:rPr>
      <w:rFonts w:asciiTheme="majorHAnsi" w:hAnsiTheme="majorHAnsi"/>
      <w:color w:val="474747" w:themeColor="accent3" w:themeShade="BF"/>
      <w:sz w:val="28"/>
    </w:rPr>
  </w:style>
  <w:style w:type="paragraph" w:styleId="Title">
    <w:name w:val="Title"/>
    <w:basedOn w:val="Normal"/>
    <w:next w:val="Normal"/>
    <w:link w:val="TitleChar"/>
    <w:uiPriority w:val="99"/>
    <w:semiHidden/>
    <w:qFormat/>
    <w:rsid w:val="0094174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671F8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ECHRCoverTitle3">
    <w:name w:val="ECHR_Cover_Title_3"/>
    <w:aliases w:val="Cover_3"/>
    <w:basedOn w:val="Normal"/>
    <w:next w:val="Normal"/>
    <w:uiPriority w:val="24"/>
    <w:qFormat/>
    <w:rsid w:val="00A66617"/>
    <w:pPr>
      <w:spacing w:before="1080" w:after="1080"/>
      <w:contextualSpacing/>
      <w:jc w:val="center"/>
    </w:pPr>
    <w:rPr>
      <w:b/>
      <w:color w:val="474747" w:themeColor="accent3" w:themeShade="BF"/>
      <w:sz w:val="24"/>
    </w:rPr>
  </w:style>
  <w:style w:type="paragraph" w:customStyle="1" w:styleId="ECHRTitle2">
    <w:name w:val="ECHR_Title_2"/>
    <w:aliases w:val="Title_L_2"/>
    <w:basedOn w:val="Normal"/>
    <w:next w:val="Normal"/>
    <w:uiPriority w:val="20"/>
    <w:qFormat/>
    <w:rsid w:val="00231DF7"/>
    <w:pPr>
      <w:spacing w:before="160" w:after="40"/>
    </w:pPr>
    <w:rPr>
      <w:rFonts w:asciiTheme="majorHAnsi" w:hAnsiTheme="majorHAnsi"/>
      <w:color w:val="474747" w:themeColor="accent3" w:themeShade="BF"/>
      <w:sz w:val="28"/>
    </w:rPr>
  </w:style>
  <w:style w:type="paragraph" w:customStyle="1" w:styleId="ECHRTitleCentre3">
    <w:name w:val="ECHR_Title_Centre_3"/>
    <w:aliases w:val="Title_C_3"/>
    <w:basedOn w:val="Normal"/>
    <w:next w:val="Normal"/>
    <w:uiPriority w:val="17"/>
    <w:qFormat/>
    <w:rsid w:val="00AA227F"/>
    <w:pPr>
      <w:spacing w:before="120" w:after="40"/>
      <w:jc w:val="center"/>
    </w:pPr>
    <w:rPr>
      <w:rFonts w:asciiTheme="majorHAnsi" w:hAnsiTheme="majorHAnsi"/>
      <w:color w:val="474747" w:themeColor="accent3" w:themeShade="BF"/>
      <w:sz w:val="24"/>
    </w:rPr>
  </w:style>
  <w:style w:type="paragraph" w:customStyle="1" w:styleId="ECHRTitle3">
    <w:name w:val="ECHR_Title_3"/>
    <w:aliases w:val="Title_L_3"/>
    <w:basedOn w:val="Normal"/>
    <w:next w:val="Normal"/>
    <w:uiPriority w:val="20"/>
    <w:qFormat/>
    <w:rsid w:val="00231DF7"/>
    <w:pPr>
      <w:spacing w:before="120" w:after="40"/>
    </w:pPr>
    <w:rPr>
      <w:rFonts w:asciiTheme="majorHAnsi" w:hAnsiTheme="majorHAnsi"/>
      <w:color w:val="474747" w:themeColor="accent3" w:themeShade="BF"/>
      <w:sz w:val="24"/>
    </w:rPr>
  </w:style>
  <w:style w:type="paragraph" w:customStyle="1" w:styleId="ECHRDivisionName">
    <w:name w:val="ECHR_DivisionName"/>
    <w:aliases w:val="Div_Name"/>
    <w:basedOn w:val="Normal"/>
    <w:link w:val="ECHRDivisionNameChar"/>
    <w:uiPriority w:val="29"/>
    <w:qFormat/>
    <w:rsid w:val="00E07DA1"/>
    <w:rPr>
      <w:b/>
      <w:color w:val="0072BC" w:themeColor="accent1"/>
    </w:rPr>
  </w:style>
  <w:style w:type="character" w:customStyle="1" w:styleId="ECHRDivisionNameChar">
    <w:name w:val="ECHR_DivisionName Char"/>
    <w:aliases w:val="Div_Name Char"/>
    <w:basedOn w:val="DefaultParagraphFont"/>
    <w:link w:val="ECHRDivisionName"/>
    <w:uiPriority w:val="29"/>
    <w:rsid w:val="008D4752"/>
    <w:rPr>
      <w:b/>
      <w:color w:val="0072BC" w:themeColor="accent1"/>
    </w:rPr>
  </w:style>
  <w:style w:type="paragraph" w:customStyle="1" w:styleId="ECHRParaSpaced">
    <w:name w:val="ECHR_Para_Spaced"/>
    <w:aliases w:val="Para_Spaced"/>
    <w:basedOn w:val="ECHRPara"/>
    <w:uiPriority w:val="5"/>
    <w:qFormat/>
    <w:rsid w:val="00233CF8"/>
    <w:pPr>
      <w:spacing w:before="120" w:after="120"/>
    </w:pPr>
  </w:style>
  <w:style w:type="paragraph" w:customStyle="1" w:styleId="ECHRFooterLine">
    <w:name w:val="ECHR_Footer_Line"/>
    <w:aliases w:val="Footer_Line"/>
    <w:basedOn w:val="Normal"/>
    <w:next w:val="ECHRPara"/>
    <w:uiPriority w:val="41"/>
    <w:rsid w:val="003D0299"/>
    <w:pPr>
      <w:pBdr>
        <w:top w:val="single" w:sz="12" w:space="1" w:color="9F9F9F" w:themeColor="accent3" w:themeTint="99"/>
      </w:pBdr>
      <w:tabs>
        <w:tab w:val="center" w:pos="4536"/>
        <w:tab w:val="right" w:pos="9696"/>
      </w:tabs>
      <w:ind w:left="-680" w:right="-680"/>
    </w:pPr>
    <w:rPr>
      <w:color w:val="474747" w:themeColor="accent3" w:themeShade="BF"/>
    </w:rPr>
  </w:style>
  <w:style w:type="paragraph" w:styleId="Header">
    <w:name w:val="header"/>
    <w:basedOn w:val="Normal"/>
    <w:link w:val="HeaderChar"/>
    <w:uiPriority w:val="48"/>
    <w:semiHidden/>
    <w:rsid w:val="00941747"/>
    <w:pPr>
      <w:tabs>
        <w:tab w:val="center" w:pos="4536"/>
        <w:tab w:val="right" w:pos="9696"/>
      </w:tabs>
      <w:ind w:left="-680" w:right="-680"/>
    </w:pPr>
  </w:style>
  <w:style w:type="character" w:customStyle="1" w:styleId="HeaderChar">
    <w:name w:val="Header Char"/>
    <w:basedOn w:val="DefaultParagraphFont"/>
    <w:link w:val="Header"/>
    <w:uiPriority w:val="48"/>
    <w:semiHidden/>
    <w:rsid w:val="008D4752"/>
  </w:style>
  <w:style w:type="character" w:customStyle="1" w:styleId="Heading1Char">
    <w:name w:val="Heading 1 Char"/>
    <w:basedOn w:val="DefaultParagraphFont"/>
    <w:link w:val="Heading1"/>
    <w:uiPriority w:val="99"/>
    <w:semiHidden/>
    <w:rsid w:val="00A671F8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customStyle="1" w:styleId="ECHRHeading1">
    <w:name w:val="ECHR_Heading_1"/>
    <w:aliases w:val="Head_1"/>
    <w:basedOn w:val="Heading1"/>
    <w:next w:val="ECHRParaSpaced"/>
    <w:uiPriority w:val="14"/>
    <w:qFormat/>
    <w:rsid w:val="00BB345F"/>
    <w:pPr>
      <w:keepNext/>
      <w:keepLines/>
      <w:pBdr>
        <w:bottom w:val="single" w:sz="12" w:space="1" w:color="B9B9B9" w:themeColor="background2" w:themeShade="BF"/>
      </w:pBdr>
      <w:spacing w:before="200" w:after="80"/>
    </w:pPr>
    <w:rPr>
      <w:b w:val="0"/>
      <w:bCs w:val="0"/>
      <w:color w:val="2F2F2F" w:themeColor="accent3" w:themeShade="80"/>
      <w:sz w:val="32"/>
    </w:rPr>
  </w:style>
  <w:style w:type="paragraph" w:customStyle="1" w:styleId="ECHRHeading2">
    <w:name w:val="ECHR_Heading_2"/>
    <w:aliases w:val="Head_2"/>
    <w:basedOn w:val="Heading2"/>
    <w:next w:val="ECHRParaSpaced"/>
    <w:uiPriority w:val="14"/>
    <w:qFormat/>
    <w:rsid w:val="00E90302"/>
    <w:pPr>
      <w:keepNext/>
      <w:keepLines/>
      <w:spacing w:before="120" w:after="40"/>
      <w:contextualSpacing/>
    </w:pPr>
    <w:rPr>
      <w:b w:val="0"/>
      <w:bCs w:val="0"/>
      <w:color w:val="474747" w:themeColor="accent3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A671F8"/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customStyle="1" w:styleId="ECHRHeading3">
    <w:name w:val="ECHR_Heading_3"/>
    <w:aliases w:val="Head_3"/>
    <w:basedOn w:val="Heading3"/>
    <w:next w:val="ECHRParaSpaced"/>
    <w:uiPriority w:val="14"/>
    <w:qFormat/>
    <w:rsid w:val="00E90302"/>
    <w:pPr>
      <w:keepNext/>
      <w:keepLines/>
      <w:spacing w:before="80" w:after="40"/>
      <w:contextualSpacing/>
    </w:pPr>
    <w:rPr>
      <w:b w:val="0"/>
      <w:bCs w:val="0"/>
      <w:color w:val="5F5F5F" w:themeColor="accent3"/>
      <w:sz w:val="28"/>
    </w:rPr>
  </w:style>
  <w:style w:type="paragraph" w:customStyle="1" w:styleId="ECHRHeading4">
    <w:name w:val="ECHR_Heading_4"/>
    <w:aliases w:val="Head_4"/>
    <w:basedOn w:val="Heading4"/>
    <w:next w:val="ECHRParaSpaced"/>
    <w:uiPriority w:val="14"/>
    <w:qFormat/>
    <w:rsid w:val="00E90302"/>
    <w:pPr>
      <w:keepNext/>
      <w:keepLines/>
      <w:spacing w:before="80" w:after="40"/>
      <w:contextualSpacing/>
    </w:pPr>
    <w:rPr>
      <w:b w:val="0"/>
      <w:bCs w:val="0"/>
      <w:i w:val="0"/>
      <w:iCs w:val="0"/>
      <w:color w:val="2F2F2F" w:themeColor="accent3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A671F8"/>
    <w:rPr>
      <w:rFonts w:asciiTheme="majorHAnsi" w:eastAsiaTheme="majorEastAsia" w:hAnsiTheme="majorHAnsi" w:cstheme="majorBidi"/>
      <w:b/>
      <w:bCs/>
      <w:color w:val="5F5F5F"/>
    </w:rPr>
  </w:style>
  <w:style w:type="paragraph" w:customStyle="1" w:styleId="ECHRHeading5">
    <w:name w:val="ECHR_Heading_5"/>
    <w:aliases w:val="Head_5"/>
    <w:basedOn w:val="Heading5"/>
    <w:next w:val="ECHRParaSpaced"/>
    <w:uiPriority w:val="14"/>
    <w:qFormat/>
    <w:rsid w:val="00E90302"/>
    <w:pPr>
      <w:keepNext/>
      <w:keepLines/>
      <w:spacing w:before="80" w:after="40"/>
      <w:contextualSpacing/>
    </w:pPr>
    <w:rPr>
      <w:b w:val="0"/>
      <w:bCs w:val="0"/>
      <w:color w:val="5F5F5F" w:themeColor="accent3"/>
      <w:sz w:val="24"/>
    </w:rPr>
  </w:style>
  <w:style w:type="paragraph" w:customStyle="1" w:styleId="ECHRHeading6">
    <w:name w:val="ECHR_Heading_6"/>
    <w:aliases w:val="Head_6"/>
    <w:basedOn w:val="Heading6"/>
    <w:next w:val="ECHRParaSpaced"/>
    <w:uiPriority w:val="14"/>
    <w:rsid w:val="00E90302"/>
    <w:pPr>
      <w:keepNext/>
      <w:keepLines/>
      <w:spacing w:before="80" w:line="240" w:lineRule="auto"/>
      <w:contextualSpacing/>
    </w:pPr>
    <w:rPr>
      <w:b w:val="0"/>
      <w:color w:val="2F2F2F" w:themeColor="accent3" w:themeShade="80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A671F8"/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customStyle="1" w:styleId="ECHRHeading7">
    <w:name w:val="ECHR_Heading_7"/>
    <w:aliases w:val="Head_7"/>
    <w:basedOn w:val="Heading7"/>
    <w:next w:val="ECHRParaSpaced"/>
    <w:uiPriority w:val="14"/>
    <w:rsid w:val="00E90302"/>
    <w:pPr>
      <w:keepNext/>
      <w:keepLines/>
      <w:spacing w:before="80"/>
      <w:contextualSpacing/>
    </w:pPr>
    <w:rPr>
      <w:i w:val="0"/>
      <w:color w:val="474747" w:themeColor="accent3" w:themeShade="BF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A671F8"/>
    <w:rPr>
      <w:rFonts w:asciiTheme="majorHAnsi" w:eastAsiaTheme="majorEastAsia" w:hAnsiTheme="majorHAnsi" w:cstheme="majorBidi"/>
      <w:b/>
      <w:bCs/>
      <w:color w:val="808080"/>
    </w:rPr>
  </w:style>
  <w:style w:type="paragraph" w:customStyle="1" w:styleId="ECHRHeaderDate">
    <w:name w:val="ECHR_Header_Date"/>
    <w:aliases w:val="Ref_Date"/>
    <w:basedOn w:val="Normal"/>
    <w:uiPriority w:val="32"/>
    <w:qFormat/>
    <w:rsid w:val="00E07DA1"/>
    <w:pPr>
      <w:jc w:val="right"/>
    </w:pPr>
  </w:style>
  <w:style w:type="paragraph" w:customStyle="1" w:styleId="ECHRHeaderRefIt">
    <w:name w:val="ECHR_Header_Ref_It"/>
    <w:aliases w:val="Ref_Ital"/>
    <w:basedOn w:val="Normal"/>
    <w:next w:val="ECHRHeaderDate"/>
    <w:uiPriority w:val="31"/>
    <w:qFormat/>
    <w:rsid w:val="00E07DA1"/>
    <w:pPr>
      <w:jc w:val="right"/>
    </w:pPr>
    <w:rPr>
      <w:i/>
    </w:rPr>
  </w:style>
  <w:style w:type="character" w:styleId="SubtleEmphasis">
    <w:name w:val="Subtle Emphasis"/>
    <w:uiPriority w:val="99"/>
    <w:semiHidden/>
    <w:qFormat/>
    <w:rsid w:val="00941747"/>
    <w:rPr>
      <w:i/>
      <w:iCs/>
    </w:rPr>
  </w:style>
  <w:style w:type="character" w:customStyle="1" w:styleId="ECHRRed">
    <w:name w:val="ECHR_Red"/>
    <w:aliases w:val="Red"/>
    <w:basedOn w:val="DefaultParagraphFont"/>
    <w:uiPriority w:val="13"/>
    <w:qFormat/>
    <w:rsid w:val="00941747"/>
    <w:rPr>
      <w:color w:val="C00000" w:themeColor="accent2"/>
    </w:rPr>
  </w:style>
  <w:style w:type="table" w:customStyle="1" w:styleId="ECHRTable">
    <w:name w:val="ECHR_Table"/>
    <w:basedOn w:val="TableNormal"/>
    <w:rsid w:val="006716F2"/>
    <w:rPr>
      <w:rFonts w:eastAsia="Times New Roman" w:cs="Times New Roman"/>
      <w:sz w:val="20"/>
      <w:szCs w:val="20"/>
      <w:lang w:val="en-GB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C086C"/>
    <w:rPr>
      <w:rFonts w:ascii="Verdana" w:eastAsia="Times New Roman" w:hAnsi="Verdana" w:cs="Times New Roman"/>
      <w:sz w:val="20"/>
      <w:szCs w:val="20"/>
      <w:lang w:val="en-GB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Title_L_1"/>
    <w:basedOn w:val="Normal"/>
    <w:next w:val="Normal"/>
    <w:uiPriority w:val="20"/>
    <w:qFormat/>
    <w:rsid w:val="00AA227F"/>
    <w:pPr>
      <w:spacing w:before="240" w:after="80"/>
    </w:pPr>
    <w:rPr>
      <w:rFonts w:asciiTheme="majorHAnsi" w:hAnsiTheme="majorHAnsi"/>
      <w:color w:val="2F2F2F" w:themeColor="accent3" w:themeShade="80"/>
      <w:sz w:val="34"/>
    </w:rPr>
  </w:style>
  <w:style w:type="paragraph" w:customStyle="1" w:styleId="ECHRConfidential">
    <w:name w:val="ECHR_Confidential"/>
    <w:aliases w:val="Confidential"/>
    <w:basedOn w:val="ECHRPara"/>
    <w:next w:val="ECHRPara"/>
    <w:uiPriority w:val="30"/>
    <w:qFormat/>
    <w:rsid w:val="00805E52"/>
    <w:pPr>
      <w:jc w:val="right"/>
    </w:pPr>
    <w:rPr>
      <w:color w:val="C00000"/>
    </w:rPr>
  </w:style>
  <w:style w:type="paragraph" w:customStyle="1" w:styleId="ECHRTitleCentre2">
    <w:name w:val="ECHR_Title_Centre_2"/>
    <w:aliases w:val="Title_C_2"/>
    <w:basedOn w:val="Normal"/>
    <w:next w:val="Normal"/>
    <w:uiPriority w:val="17"/>
    <w:qFormat/>
    <w:rsid w:val="00AA227F"/>
    <w:pPr>
      <w:spacing w:before="160" w:after="40"/>
      <w:jc w:val="center"/>
    </w:pPr>
    <w:rPr>
      <w:rFonts w:asciiTheme="majorHAnsi" w:hAnsiTheme="majorHAnsi"/>
      <w:color w:val="474747" w:themeColor="accent3" w:themeShade="BF"/>
      <w:sz w:val="28"/>
    </w:rPr>
  </w:style>
  <w:style w:type="character" w:styleId="Emphasis">
    <w:name w:val="Emphasis"/>
    <w:uiPriority w:val="99"/>
    <w:semiHidden/>
    <w:qFormat/>
    <w:rsid w:val="0094174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">
    <w:name w:val="footer"/>
    <w:basedOn w:val="Normal"/>
    <w:link w:val="FooterChar"/>
    <w:uiPriority w:val="49"/>
    <w:semiHidden/>
    <w:rsid w:val="00941747"/>
    <w:pPr>
      <w:tabs>
        <w:tab w:val="center" w:pos="4536"/>
        <w:tab w:val="right" w:pos="9696"/>
      </w:tabs>
      <w:ind w:left="-680" w:right="-680"/>
    </w:pPr>
  </w:style>
  <w:style w:type="character" w:customStyle="1" w:styleId="FooterChar">
    <w:name w:val="Footer Char"/>
    <w:basedOn w:val="DefaultParagraphFont"/>
    <w:link w:val="Footer"/>
    <w:uiPriority w:val="49"/>
    <w:semiHidden/>
    <w:rsid w:val="008D4752"/>
  </w:style>
  <w:style w:type="character" w:styleId="FootnoteReference">
    <w:name w:val="footnote reference"/>
    <w:basedOn w:val="DefaultParagraphFont"/>
    <w:uiPriority w:val="99"/>
    <w:semiHidden/>
    <w:rsid w:val="0094174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4174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71F8"/>
    <w:rPr>
      <w:rFonts w:eastAsiaTheme="minorEastAsia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A671F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A671F8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A671F8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A671F8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semiHidden/>
    <w:rsid w:val="00941747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941747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41747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671F8"/>
    <w:rPr>
      <w:rFonts w:eastAsiaTheme="minorEastAsia"/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941747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941747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941747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A671F8"/>
    <w:rPr>
      <w:rFonts w:eastAsiaTheme="minorEastAsia"/>
      <w:i/>
      <w:iCs/>
      <w:lang w:bidi="en-US"/>
    </w:rPr>
  </w:style>
  <w:style w:type="character" w:styleId="SubtleReference">
    <w:name w:val="Subtle Reference"/>
    <w:uiPriority w:val="99"/>
    <w:semiHidden/>
    <w:qFormat/>
    <w:rsid w:val="00941747"/>
    <w:rPr>
      <w:smallCaps/>
    </w:rPr>
  </w:style>
  <w:style w:type="table" w:styleId="TableGrid">
    <w:name w:val="Table Grid"/>
    <w:basedOn w:val="TableNormal"/>
    <w:uiPriority w:val="59"/>
    <w:rsid w:val="00941747"/>
    <w:rPr>
      <w:rFonts w:eastAsiaTheme="minorEastAsia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99"/>
    <w:semiHidden/>
    <w:rsid w:val="00EA185E"/>
    <w:pPr>
      <w:spacing w:before="120" w:after="60"/>
      <w:ind w:left="340" w:right="340" w:hanging="340"/>
    </w:pPr>
    <w:rPr>
      <w:color w:val="0D0D0D" w:themeColor="text1" w:themeTint="F2"/>
    </w:rPr>
  </w:style>
  <w:style w:type="paragraph" w:styleId="TOC2">
    <w:name w:val="toc 2"/>
    <w:basedOn w:val="Normal"/>
    <w:next w:val="Normal"/>
    <w:autoRedefine/>
    <w:uiPriority w:val="99"/>
    <w:semiHidden/>
    <w:rsid w:val="00EA185E"/>
    <w:pPr>
      <w:spacing w:after="60"/>
      <w:ind w:left="680" w:right="340" w:hanging="340"/>
    </w:pPr>
  </w:style>
  <w:style w:type="paragraph" w:styleId="TOC3">
    <w:name w:val="toc 3"/>
    <w:basedOn w:val="Normal"/>
    <w:next w:val="Normal"/>
    <w:autoRedefine/>
    <w:uiPriority w:val="99"/>
    <w:semiHidden/>
    <w:rsid w:val="00EA185E"/>
    <w:pPr>
      <w:spacing w:after="60"/>
      <w:ind w:left="1020" w:right="340" w:hanging="340"/>
    </w:pPr>
  </w:style>
  <w:style w:type="paragraph" w:styleId="TOC4">
    <w:name w:val="toc 4"/>
    <w:basedOn w:val="Normal"/>
    <w:next w:val="Normal"/>
    <w:autoRedefine/>
    <w:uiPriority w:val="99"/>
    <w:semiHidden/>
    <w:rsid w:val="00EA185E"/>
    <w:pPr>
      <w:tabs>
        <w:tab w:val="right" w:leader="dot" w:pos="9017"/>
      </w:tabs>
      <w:spacing w:after="60"/>
      <w:ind w:left="1361" w:right="340" w:hanging="340"/>
    </w:pPr>
  </w:style>
  <w:style w:type="paragraph" w:styleId="TOC5">
    <w:name w:val="toc 5"/>
    <w:basedOn w:val="Normal"/>
    <w:next w:val="Normal"/>
    <w:autoRedefine/>
    <w:uiPriority w:val="99"/>
    <w:semiHidden/>
    <w:rsid w:val="00B46543"/>
    <w:pPr>
      <w:spacing w:after="60"/>
      <w:ind w:left="1701" w:right="340" w:hanging="340"/>
    </w:pPr>
  </w:style>
  <w:style w:type="paragraph" w:styleId="TOCHeading">
    <w:name w:val="TOC Heading"/>
    <w:basedOn w:val="Heading1"/>
    <w:next w:val="Normal"/>
    <w:uiPriority w:val="99"/>
    <w:semiHidden/>
    <w:qFormat/>
    <w:rsid w:val="00C333A0"/>
    <w:pPr>
      <w:outlineLvl w:val="9"/>
    </w:pPr>
    <w:rPr>
      <w:color w:val="474747" w:themeColor="accent3" w:themeShade="BF"/>
    </w:rPr>
  </w:style>
  <w:style w:type="table" w:customStyle="1" w:styleId="UGTable">
    <w:name w:val="UG_Table"/>
    <w:basedOn w:val="TableNormal"/>
    <w:uiPriority w:val="99"/>
    <w:rsid w:val="00572845"/>
    <w:rPr>
      <w:rFonts w:eastAsiaTheme="minorEastAsia"/>
      <w:sz w:val="20"/>
      <w:lang w:val="en-GB" w:eastAsia="en-GB"/>
    </w:rPr>
    <w:tblPr>
      <w:tblInd w:w="-964" w:type="dxa"/>
      <w:tblCellMar>
        <w:top w:w="0" w:type="dxa"/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609FA"/>
    <w:rPr>
      <w:rFonts w:eastAsiaTheme="minorEastAsia"/>
      <w:lang w:val="en-GB" w:eastAsia="en-GB"/>
    </w:rPr>
    <w:tblPr>
      <w:tblInd w:w="113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893576"/>
    <w:tblPr>
      <w:tblInd w:w="-680" w:type="dxa"/>
      <w:tblCellMar>
        <w:top w:w="142" w:type="dxa"/>
        <w:left w:w="0" w:type="dxa"/>
        <w:bottom w:w="142" w:type="dxa"/>
        <w:right w:w="0" w:type="dxa"/>
      </w:tblCellMar>
    </w:tbl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90506B"/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C333A0"/>
    <w:pPr>
      <w:spacing w:before="120"/>
    </w:pPr>
    <w:rPr>
      <w:rFonts w:asciiTheme="majorHAnsi" w:eastAsiaTheme="majorEastAsia" w:hAnsiTheme="majorHAnsi" w:cstheme="majorBidi"/>
      <w:b/>
      <w:bCs/>
      <w:color w:val="474747" w:themeColor="accent3" w:themeShade="BF"/>
      <w:sz w:val="24"/>
      <w:szCs w:val="24"/>
    </w:rPr>
  </w:style>
  <w:style w:type="paragraph" w:customStyle="1" w:styleId="ECHRList">
    <w:name w:val="ECHR_List"/>
    <w:aliases w:val="List_Simple"/>
    <w:basedOn w:val="Normal"/>
    <w:uiPriority w:val="10"/>
    <w:qFormat/>
    <w:rsid w:val="00B86DFE"/>
    <w:pPr>
      <w:numPr>
        <w:numId w:val="1"/>
      </w:numPr>
    </w:pPr>
  </w:style>
  <w:style w:type="paragraph" w:customStyle="1" w:styleId="ECHRCoverTitle4">
    <w:name w:val="ECHR_Cover_Title_4"/>
    <w:aliases w:val="Cover_4"/>
    <w:basedOn w:val="Normal"/>
    <w:uiPriority w:val="24"/>
    <w:qFormat/>
    <w:rsid w:val="00AA3BC7"/>
    <w:pPr>
      <w:tabs>
        <w:tab w:val="right" w:pos="7938"/>
      </w:tabs>
      <w:spacing w:before="120" w:after="120"/>
      <w:ind w:left="1134" w:right="1134"/>
    </w:pPr>
    <w:rPr>
      <w:color w:val="2F2F2F" w:themeColor="accent3" w:themeShade="80"/>
    </w:rPr>
  </w:style>
  <w:style w:type="paragraph" w:customStyle="1" w:styleId="ECHRParaQuote">
    <w:name w:val="ECHR_Para_Quote"/>
    <w:aliases w:val="Para_Quote"/>
    <w:basedOn w:val="ECHRParaSpaced"/>
    <w:next w:val="Normal"/>
    <w:uiPriority w:val="6"/>
    <w:qFormat/>
    <w:rsid w:val="001E3EAE"/>
    <w:pPr>
      <w:ind w:left="567"/>
    </w:pPr>
  </w:style>
  <w:style w:type="paragraph" w:customStyle="1" w:styleId="ECHRPara">
    <w:name w:val="ECHR_Para"/>
    <w:aliases w:val="Para"/>
    <w:basedOn w:val="Normal"/>
    <w:uiPriority w:val="4"/>
    <w:qFormat/>
    <w:rsid w:val="00233CF8"/>
  </w:style>
  <w:style w:type="paragraph" w:customStyle="1" w:styleId="ECHRTitleCentre1">
    <w:name w:val="ECHR_Title_Centre_1"/>
    <w:aliases w:val="Title_C_1"/>
    <w:basedOn w:val="Normal"/>
    <w:next w:val="Normal"/>
    <w:uiPriority w:val="17"/>
    <w:qFormat/>
    <w:rsid w:val="00231DF7"/>
    <w:pPr>
      <w:spacing w:before="240" w:after="80"/>
      <w:jc w:val="center"/>
    </w:pPr>
    <w:rPr>
      <w:rFonts w:asciiTheme="majorHAnsi" w:hAnsiTheme="majorHAnsi"/>
      <w:color w:val="2F2F2F" w:themeColor="accent3" w:themeShade="80"/>
      <w:sz w:val="34"/>
    </w:rPr>
  </w:style>
  <w:style w:type="table" w:customStyle="1" w:styleId="ECHRTableSimpleBox">
    <w:name w:val="ECHR_Table_Simple_Box"/>
    <w:basedOn w:val="TableNormal"/>
    <w:uiPriority w:val="99"/>
    <w:rsid w:val="00AE354C"/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">
    <w:name w:val="ECHR_Table_No_Lines"/>
    <w:basedOn w:val="TableNormal"/>
    <w:uiPriority w:val="99"/>
    <w:rsid w:val="00F218EF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customStyle="1" w:styleId="ECHRSpacer">
    <w:name w:val="ECHR_Spacer"/>
    <w:basedOn w:val="Normal"/>
    <w:uiPriority w:val="38"/>
    <w:rsid w:val="00463926"/>
    <w:rPr>
      <w:sz w:val="4"/>
    </w:rPr>
  </w:style>
  <w:style w:type="table" w:customStyle="1" w:styleId="ECHRTableForInternalUse">
    <w:name w:val="ECHR_Table_For_Internal_Use"/>
    <w:basedOn w:val="TableNormal"/>
    <w:uiPriority w:val="99"/>
    <w:rsid w:val="008255F5"/>
    <w:rPr>
      <w:color w:val="636363" w:themeColor="text2" w:themeShade="80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20BAA"/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ECHRFooterLineLandscape">
    <w:name w:val="ECHR_Footer_Line_Landscape"/>
    <w:aliases w:val="Footer_Line_Landscape"/>
    <w:basedOn w:val="ECHRFooterLine"/>
    <w:uiPriority w:val="42"/>
    <w:rsid w:val="006242CA"/>
    <w:pPr>
      <w:tabs>
        <w:tab w:val="clear" w:pos="4536"/>
        <w:tab w:val="center" w:pos="6787"/>
        <w:tab w:val="clear" w:pos="9696"/>
        <w:tab w:val="right" w:pos="14640"/>
      </w:tabs>
    </w:pPr>
  </w:style>
  <w:style w:type="paragraph" w:customStyle="1" w:styleId="ECHRHeaderLandscape">
    <w:name w:val="ECHR_Header_Landscape"/>
    <w:aliases w:val="Header_Landscape"/>
    <w:basedOn w:val="Header"/>
    <w:uiPriority w:val="39"/>
    <w:rsid w:val="0039364F"/>
    <w:pPr>
      <w:tabs>
        <w:tab w:val="clear" w:pos="4536"/>
        <w:tab w:val="center" w:pos="6787"/>
        <w:tab w:val="clear" w:pos="9696"/>
        <w:tab w:val="right" w:pos="14640"/>
      </w:tabs>
    </w:pPr>
  </w:style>
  <w:style w:type="table" w:customStyle="1" w:styleId="ECHRHeaderTable">
    <w:name w:val="ECHR_Header_Table"/>
    <w:basedOn w:val="TableNormal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normal--char">
    <w:name w:val="normal--char"/>
    <w:basedOn w:val="DefaultParagraphFont"/>
    <w:rsid w:val="00032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ECHR_Theme_GREY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 document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56296-B134-496E-B4F3-1E370795F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1512</Words>
  <Characters>9103</Characters>
  <Application>Microsoft Office Word</Application>
  <DocSecurity>0</DocSecurity>
  <Lines>178</Lines>
  <Paragraphs>39</Paragraphs>
  <ScaleCrop>false</ScaleCrop>
  <Company/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cp:revision>1</cp:revision>
  <dcterms:created xsi:type="dcterms:W3CDTF">2013-08-22T10:12:00Z</dcterms:created>
  <dcterms:modified xsi:type="dcterms:W3CDTF">2013-08-22T10:13:00Z</dcterms:modified>
</cp:coreProperties>
</file>