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835" w:rsidP="00FA0835" w:rsidRDefault="00FA0835">
      <w:pPr>
        <w:jc w:val="center"/>
      </w:pPr>
      <w:bookmarkStart w:name="_GoBack" w:id="0"/>
      <w:bookmarkEnd w:id="0"/>
    </w:p>
    <w:p w:rsidR="00FA0835" w:rsidP="00FA0835" w:rsidRDefault="00FA0835">
      <w:pPr>
        <w:jc w:val="center"/>
      </w:pPr>
    </w:p>
    <w:p w:rsidRPr="0011250F" w:rsidR="00FA0835" w:rsidP="00FA0835" w:rsidRDefault="00FA0835">
      <w:pPr>
        <w:jc w:val="center"/>
      </w:pPr>
    </w:p>
    <w:p w:rsidRPr="00E268FB" w:rsidR="00FA0835" w:rsidP="00FA0835" w:rsidRDefault="00FA0835">
      <w:pPr>
        <w:tabs>
          <w:tab w:val="left" w:pos="5529"/>
        </w:tabs>
        <w:jc w:val="center"/>
      </w:pPr>
      <w:r w:rsidRPr="00E268FB">
        <w:t>FOURTH SECTION</w:t>
      </w:r>
    </w:p>
    <w:p w:rsidRPr="00E268FB" w:rsidR="00FA0835" w:rsidP="00FA0835" w:rsidRDefault="00FA0835">
      <w:pPr>
        <w:jc w:val="center"/>
      </w:pPr>
    </w:p>
    <w:p w:rsidRPr="00E268FB" w:rsidR="00FA0835" w:rsidP="00FA0835" w:rsidRDefault="00FA0835">
      <w:pPr>
        <w:jc w:val="center"/>
      </w:pPr>
    </w:p>
    <w:p w:rsidRPr="00E268FB" w:rsidR="00FA0835" w:rsidP="00FA0835" w:rsidRDefault="00FA0835">
      <w:pPr>
        <w:jc w:val="center"/>
      </w:pPr>
    </w:p>
    <w:p w:rsidRPr="00E268FB" w:rsidR="00FA0835" w:rsidP="00FA0835" w:rsidRDefault="00FA0835">
      <w:pPr>
        <w:jc w:val="center"/>
      </w:pPr>
    </w:p>
    <w:p w:rsidRPr="00E268FB" w:rsidR="00FA0835" w:rsidP="00FA0835" w:rsidRDefault="00FA0835">
      <w:pPr>
        <w:jc w:val="center"/>
        <w:outlineLvl w:val="0"/>
        <w:rPr>
          <w:b/>
        </w:rPr>
      </w:pPr>
      <w:r w:rsidRPr="00E268FB">
        <w:rPr>
          <w:b/>
        </w:rPr>
        <w:t>CASE OF M.A. v. CYPRUS</w:t>
      </w:r>
    </w:p>
    <w:p w:rsidRPr="00E268FB" w:rsidR="00FA0835" w:rsidP="00FA0835" w:rsidRDefault="00FA0835">
      <w:pPr>
        <w:jc w:val="center"/>
      </w:pPr>
    </w:p>
    <w:p w:rsidRPr="00E268FB" w:rsidR="00FA0835" w:rsidP="00FA0835" w:rsidRDefault="00FA0835">
      <w:pPr>
        <w:jc w:val="center"/>
        <w:rPr>
          <w:i/>
        </w:rPr>
      </w:pPr>
      <w:r w:rsidRPr="00E268FB">
        <w:rPr>
          <w:i/>
        </w:rPr>
        <w:t>(Application no. 41872/10)</w:t>
      </w:r>
    </w:p>
    <w:p w:rsidRPr="00E268FB" w:rsidR="00FA0835" w:rsidP="00FA0835" w:rsidRDefault="00FA0835">
      <w:pPr>
        <w:jc w:val="center"/>
      </w:pPr>
    </w:p>
    <w:p w:rsidRPr="00E268FB" w:rsidR="00FA0835" w:rsidP="00FA0835" w:rsidRDefault="00FA0835">
      <w:pPr>
        <w:jc w:val="center"/>
      </w:pPr>
    </w:p>
    <w:p w:rsidRPr="00E268FB" w:rsidR="00FA0835" w:rsidP="00FA0835" w:rsidRDefault="00FA0835">
      <w:pPr>
        <w:jc w:val="center"/>
      </w:pPr>
    </w:p>
    <w:p w:rsidRPr="00E268FB" w:rsidR="00FA0835" w:rsidP="00FA0835" w:rsidRDefault="00FA0835">
      <w:pPr>
        <w:jc w:val="center"/>
      </w:pPr>
    </w:p>
    <w:p w:rsidRPr="00E268FB" w:rsidR="00FA0835" w:rsidP="00FA0835" w:rsidRDefault="00FA0835">
      <w:pPr>
        <w:jc w:val="center"/>
        <w:outlineLvl w:val="0"/>
      </w:pPr>
      <w:r w:rsidRPr="00E268FB">
        <w:t>JUDGMENT</w:t>
      </w:r>
    </w:p>
    <w:p w:rsidR="00FA0835" w:rsidP="00FA0835" w:rsidRDefault="00FA0835">
      <w:pPr>
        <w:jc w:val="center"/>
      </w:pPr>
    </w:p>
    <w:p w:rsidRPr="00E268FB" w:rsidR="00FA0835" w:rsidP="00FA0835" w:rsidRDefault="00FA0835">
      <w:pPr>
        <w:jc w:val="center"/>
        <w:rPr>
          <w:i/>
        </w:rPr>
      </w:pPr>
    </w:p>
    <w:p w:rsidRPr="00E268FB" w:rsidR="00FA0835" w:rsidP="00FA0835" w:rsidRDefault="00FA0835">
      <w:pPr>
        <w:jc w:val="center"/>
        <w:outlineLvl w:val="0"/>
      </w:pPr>
      <w:r w:rsidRPr="00E268FB">
        <w:t>STRASBOURG</w:t>
      </w:r>
    </w:p>
    <w:p w:rsidRPr="00E268FB" w:rsidR="00FA0835" w:rsidP="00FA0835" w:rsidRDefault="00FA0835">
      <w:pPr>
        <w:jc w:val="center"/>
      </w:pPr>
    </w:p>
    <w:p w:rsidRPr="00E268FB" w:rsidR="00FA0835" w:rsidP="00FA0835" w:rsidRDefault="00FA0835">
      <w:pPr>
        <w:jc w:val="center"/>
      </w:pPr>
      <w:r w:rsidRPr="00E268FB">
        <w:t>23 July 2013</w:t>
      </w:r>
    </w:p>
    <w:p w:rsidRPr="00E268FB" w:rsidR="00FA0835" w:rsidP="00FA0835" w:rsidRDefault="00FA0835">
      <w:pPr>
        <w:jc w:val="center"/>
      </w:pPr>
    </w:p>
    <w:p w:rsidR="00FA0835" w:rsidP="00FA0835" w:rsidRDefault="00FA0835">
      <w:pPr>
        <w:jc w:val="center"/>
      </w:pPr>
    </w:p>
    <w:p w:rsidR="00FA0835" w:rsidP="00FA0835" w:rsidRDefault="00FA0835">
      <w:pPr>
        <w:jc w:val="center"/>
      </w:pPr>
    </w:p>
    <w:p w:rsidR="00C5470A" w:rsidP="00C5470A" w:rsidRDefault="00C5470A">
      <w:pPr>
        <w:pStyle w:val="jucase0"/>
        <w:ind w:firstLine="0"/>
        <w:jc w:val="center"/>
        <w:rPr>
          <w:color w:val="FF0000"/>
          <w:sz w:val="28"/>
          <w:szCs w:val="28"/>
          <w:u w:val="single"/>
        </w:rPr>
      </w:pPr>
      <w:r>
        <w:rPr>
          <w:color w:val="FF0000"/>
          <w:sz w:val="28"/>
          <w:szCs w:val="28"/>
          <w:u w:val="single"/>
        </w:rPr>
        <w:t>FINAL</w:t>
      </w:r>
    </w:p>
    <w:p w:rsidR="00C5470A" w:rsidP="00C5470A" w:rsidRDefault="00C5470A">
      <w:pPr>
        <w:pStyle w:val="jupara0"/>
        <w:rPr>
          <w:color w:val="FF0000"/>
          <w:sz w:val="28"/>
          <w:szCs w:val="28"/>
        </w:rPr>
      </w:pPr>
    </w:p>
    <w:p w:rsidR="00C5470A" w:rsidP="00C5470A" w:rsidRDefault="00C5470A">
      <w:pPr>
        <w:pStyle w:val="jupara0"/>
        <w:jc w:val="center"/>
        <w:rPr>
          <w:color w:val="FF0000"/>
          <w:sz w:val="28"/>
          <w:szCs w:val="28"/>
        </w:rPr>
      </w:pPr>
      <w:r>
        <w:rPr>
          <w:color w:val="FF0000"/>
          <w:sz w:val="28"/>
          <w:szCs w:val="28"/>
        </w:rPr>
        <w:t>23/10/2013</w:t>
      </w:r>
    </w:p>
    <w:p w:rsidR="00C5470A" w:rsidP="00C5470A" w:rsidRDefault="00C5470A">
      <w:pPr>
        <w:pStyle w:val="jupara0"/>
        <w:jc w:val="center"/>
      </w:pPr>
    </w:p>
    <w:p w:rsidR="00C5470A" w:rsidP="00C5470A" w:rsidRDefault="00C5470A">
      <w:pPr>
        <w:rPr>
          <w:i/>
          <w:iCs/>
          <w:sz w:val="22"/>
          <w:szCs w:val="22"/>
        </w:rPr>
      </w:pPr>
      <w:r>
        <w:rPr>
          <w:i/>
          <w:iCs/>
          <w:sz w:val="22"/>
          <w:szCs w:val="22"/>
        </w:rPr>
        <w:t>This judgment has become final under Article 44 § 2 of the Convention. It may be subject to editorial revision.</w:t>
      </w:r>
    </w:p>
    <w:p w:rsidRPr="00C5470A" w:rsidR="00FA0835" w:rsidP="00FA0835" w:rsidRDefault="00FA0835">
      <w:pPr>
        <w:jc w:val="both"/>
        <w:rPr>
          <w:i/>
          <w:sz w:val="22"/>
          <w:szCs w:val="22"/>
          <w:lang w:val="en-US"/>
        </w:rPr>
      </w:pPr>
    </w:p>
    <w:p w:rsidRPr="00C5470A" w:rsidR="00FA0835" w:rsidP="00FA0835" w:rsidRDefault="00FA0835">
      <w:pPr>
        <w:pStyle w:val="JuCase"/>
        <w:rPr>
          <w:lang w:val="en-US"/>
        </w:rPr>
        <w:sectPr w:rsidRPr="00C5470A" w:rsidR="00FA0835" w:rsidSect="0004555A">
          <w:headerReference w:type="even" r:id="rId8"/>
          <w:headerReference w:type="default" r:id="rId9"/>
          <w:footerReference w:type="even" r:id="rId10"/>
          <w:footerReference w:type="default" r:id="rId11"/>
          <w:headerReference w:type="first" r:id="rId12"/>
          <w:footerReference w:type="first" r:id="rId13"/>
          <w:pgSz w:w="11906" w:h="16838" w:code="9"/>
          <w:pgMar w:top="2274" w:right="2274" w:bottom="2274" w:left="2268" w:header="1701" w:footer="720" w:gutter="0"/>
          <w:pgNumType w:start="1"/>
          <w:cols w:space="720"/>
          <w:titlePg/>
          <w:docGrid w:linePitch="326"/>
        </w:sectPr>
      </w:pPr>
    </w:p>
    <w:p w:rsidRPr="00C5470A" w:rsidR="00FA0835" w:rsidP="00FA0835" w:rsidRDefault="00FA0835">
      <w:pPr>
        <w:pStyle w:val="JuCase"/>
        <w:rPr>
          <w:lang w:val="en-US"/>
        </w:rPr>
      </w:pPr>
      <w:r w:rsidRPr="00C5470A">
        <w:rPr>
          <w:lang w:val="en-US"/>
        </w:rPr>
        <w:t>In the case of M.A. v. Cyprus,</w:t>
      </w:r>
    </w:p>
    <w:p w:rsidRPr="0011250F" w:rsidR="00FA0835" w:rsidP="00FA0835" w:rsidRDefault="00FA0835">
      <w:pPr>
        <w:pStyle w:val="JuPara"/>
      </w:pPr>
      <w:r w:rsidRPr="0011250F">
        <w:t>The European Court of Human Rights (Fourth Section), sitting as a Chamber composed of:</w:t>
      </w:r>
    </w:p>
    <w:p w:rsidRPr="0011250F" w:rsidR="00FA0835" w:rsidP="00FA0835" w:rsidRDefault="00FA0835">
      <w:pPr>
        <w:pStyle w:val="JuJudges"/>
      </w:pPr>
      <w:r w:rsidRPr="00D53627">
        <w:tab/>
        <w:t>Ineta</w:t>
      </w:r>
      <w:r>
        <w:t xml:space="preserve"> </w:t>
      </w:r>
      <w:r w:rsidRPr="00D53627">
        <w:t>Ziemele</w:t>
      </w:r>
      <w:r>
        <w:t>,</w:t>
      </w:r>
      <w:r w:rsidRPr="00D53627">
        <w:rPr>
          <w:i/>
        </w:rPr>
        <w:t xml:space="preserve"> President,</w:t>
      </w:r>
      <w:r>
        <w:rPr>
          <w:i/>
        </w:rPr>
        <w:br/>
      </w:r>
      <w:r w:rsidRPr="00D53627">
        <w:tab/>
        <w:t>Päivi</w:t>
      </w:r>
      <w:r>
        <w:t xml:space="preserve"> </w:t>
      </w:r>
      <w:r w:rsidRPr="00D53627">
        <w:t>Hirvelä</w:t>
      </w:r>
      <w:r>
        <w:t>,</w:t>
      </w:r>
      <w:r>
        <w:rPr>
          <w:i/>
        </w:rPr>
        <w:br/>
      </w:r>
      <w:r w:rsidRPr="00D53627">
        <w:tab/>
        <w:t>George</w:t>
      </w:r>
      <w:r>
        <w:t xml:space="preserve"> </w:t>
      </w:r>
      <w:r w:rsidRPr="00D53627">
        <w:t>Nicolaou</w:t>
      </w:r>
      <w:r>
        <w:t>,</w:t>
      </w:r>
      <w:r>
        <w:rPr>
          <w:i/>
        </w:rPr>
        <w:br/>
      </w:r>
      <w:r w:rsidRPr="00D53627">
        <w:tab/>
        <w:t>Ledi</w:t>
      </w:r>
      <w:r>
        <w:t xml:space="preserve"> </w:t>
      </w:r>
      <w:r w:rsidRPr="00D53627">
        <w:t>Bianku</w:t>
      </w:r>
      <w:r>
        <w:t>,</w:t>
      </w:r>
      <w:r>
        <w:rPr>
          <w:i/>
        </w:rPr>
        <w:br/>
      </w:r>
      <w:r w:rsidRPr="00D53627">
        <w:tab/>
        <w:t>Zdravka</w:t>
      </w:r>
      <w:r>
        <w:t xml:space="preserve"> </w:t>
      </w:r>
      <w:r w:rsidRPr="00D53627">
        <w:t>Kalaydjieva</w:t>
      </w:r>
      <w:r>
        <w:t>,</w:t>
      </w:r>
      <w:r>
        <w:rPr>
          <w:i/>
        </w:rPr>
        <w:br/>
      </w:r>
      <w:r w:rsidRPr="00D53627">
        <w:tab/>
        <w:t>Krzysztof</w:t>
      </w:r>
      <w:r>
        <w:t xml:space="preserve"> </w:t>
      </w:r>
      <w:r w:rsidRPr="00D53627">
        <w:t>Wojtyczek</w:t>
      </w:r>
      <w:r>
        <w:t>,</w:t>
      </w:r>
      <w:r>
        <w:rPr>
          <w:i/>
        </w:rPr>
        <w:br/>
      </w:r>
      <w:r w:rsidRPr="00D53627">
        <w:tab/>
        <w:t>Faris</w:t>
      </w:r>
      <w:r>
        <w:t xml:space="preserve"> </w:t>
      </w:r>
      <w:r w:rsidRPr="00D53627">
        <w:t>Vehabović</w:t>
      </w:r>
      <w:r>
        <w:t>,</w:t>
      </w:r>
      <w:r w:rsidRPr="00D53627">
        <w:rPr>
          <w:i/>
        </w:rPr>
        <w:t xml:space="preserve"> judges,</w:t>
      </w:r>
      <w:r>
        <w:rPr>
          <w:i/>
        </w:rPr>
        <w:br/>
      </w:r>
      <w:r w:rsidRPr="0011250F">
        <w:t xml:space="preserve">and </w:t>
      </w:r>
      <w:r w:rsidRPr="000A655F">
        <w:rPr>
          <w:szCs w:val="24"/>
          <w:lang w:val="en-US"/>
        </w:rPr>
        <w:t>Fato</w:t>
      </w:r>
      <w:r w:rsidRPr="000A655F">
        <w:rPr>
          <w:rStyle w:val="JuJudgesChar"/>
        </w:rPr>
        <w:t>ş</w:t>
      </w:r>
      <w:r w:rsidRPr="000A655F">
        <w:rPr>
          <w:szCs w:val="24"/>
          <w:lang w:val="en-US"/>
        </w:rPr>
        <w:t xml:space="preserve"> Araci</w:t>
      </w:r>
      <w:r w:rsidRPr="0011250F">
        <w:rPr>
          <w:rStyle w:val="JuJudgesChar"/>
        </w:rPr>
        <w:t xml:space="preserve">, </w:t>
      </w:r>
      <w:r w:rsidRPr="00243955">
        <w:rPr>
          <w:rStyle w:val="JuJudgesChar"/>
          <w:i/>
        </w:rPr>
        <w:t>Deputy</w:t>
      </w:r>
      <w:r>
        <w:rPr>
          <w:rStyle w:val="JuJudgesChar"/>
        </w:rPr>
        <w:t xml:space="preserve"> </w:t>
      </w:r>
      <w:r w:rsidRPr="0011250F">
        <w:rPr>
          <w:i/>
        </w:rPr>
        <w:t xml:space="preserve">Section </w:t>
      </w:r>
      <w:r w:rsidRPr="0011250F">
        <w:rPr>
          <w:i/>
          <w:iCs/>
        </w:rPr>
        <w:t>Registrar</w:t>
      </w:r>
      <w:r w:rsidRPr="0011250F">
        <w:rPr>
          <w:i/>
        </w:rPr>
        <w:t>,</w:t>
      </w:r>
    </w:p>
    <w:p w:rsidRPr="0011250F" w:rsidR="00FA0835" w:rsidP="00FA0835" w:rsidRDefault="00FA0835">
      <w:pPr>
        <w:pStyle w:val="JuPara"/>
      </w:pPr>
      <w:r w:rsidRPr="0011250F">
        <w:t xml:space="preserve">Having deliberated in private on </w:t>
      </w:r>
      <w:r>
        <w:t>2 July 2013</w:t>
      </w:r>
      <w:r w:rsidRPr="0011250F">
        <w:t>,</w:t>
      </w:r>
    </w:p>
    <w:p w:rsidRPr="0011250F" w:rsidR="00FA0835" w:rsidP="00FA0835" w:rsidRDefault="00FA0835">
      <w:pPr>
        <w:pStyle w:val="JuPara"/>
      </w:pPr>
      <w:r w:rsidRPr="0011250F">
        <w:t>Delivers the following judgment, which was adopted on that date:</w:t>
      </w:r>
    </w:p>
    <w:p w:rsidRPr="0011250F" w:rsidR="00FA0835" w:rsidP="00FA0835" w:rsidRDefault="00FA0835">
      <w:pPr>
        <w:pStyle w:val="JuHHead"/>
      </w:pPr>
      <w:r w:rsidRPr="0011250F">
        <w:t>PROCEDURE</w:t>
      </w:r>
    </w:p>
    <w:p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1</w:t>
      </w:r>
      <w:r w:rsidRPr="0011250F">
        <w:fldChar w:fldCharType="end"/>
      </w:r>
      <w:r w:rsidRPr="0011250F">
        <w:t>.  The case originated in an application (no. 41872/10) against the Republic of Cyprus lodged with the Court under Article 34 of the Convention for the Protection of Human Rights and Fundamental Freedoms (“the Convention”) by a</w:t>
      </w:r>
      <w:r>
        <w:t xml:space="preserve"> </w:t>
      </w:r>
      <w:r w:rsidRPr="0011250F">
        <w:t>Syrian national</w:t>
      </w:r>
      <w:r>
        <w:t xml:space="preserve"> of Kurdish origin</w:t>
      </w:r>
      <w:r w:rsidRPr="0011250F">
        <w:t xml:space="preserve">, </w:t>
      </w:r>
      <w:r w:rsidRPr="0067468C">
        <w:t>Mr M.A. (“the</w:t>
      </w:r>
      <w:r>
        <w:t xml:space="preserve"> </w:t>
      </w:r>
      <w:r w:rsidRPr="0067468C">
        <w:t>applicant”), on 14 June 2010.</w:t>
      </w:r>
    </w:p>
    <w:p w:rsidRPr="0011250F"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2</w:t>
      </w:r>
      <w:r w:rsidRPr="0011250F">
        <w:fldChar w:fldCharType="end"/>
      </w:r>
      <w:r w:rsidRPr="0011250F">
        <w:t>.  The applicant, who had been granted l</w:t>
      </w:r>
      <w:r>
        <w:t xml:space="preserve">egal aid, was represented by Ms N. </w:t>
      </w:r>
      <w:r w:rsidRPr="0011250F">
        <w:t xml:space="preserve">Charalambidou, a lawyer practising in Nicosia. The Cypriot Government (“the Government”) were represented by their Agent, </w:t>
      </w:r>
      <w:r>
        <w:t xml:space="preserve">Mr P. Clerides, Attorney-General of the Republic of </w:t>
      </w:r>
      <w:bookmarkStart w:name="01000002" w:id="1"/>
      <w:bookmarkEnd w:id="1"/>
      <w:r>
        <w:t>Cyprus</w:t>
      </w:r>
      <w:r w:rsidRPr="0011250F">
        <w:t>.</w:t>
      </w:r>
    </w:p>
    <w:p w:rsidRPr="00BF1581" w:rsidR="00FA0835" w:rsidP="00FA0835" w:rsidRDefault="00FA0835">
      <w:pPr>
        <w:pStyle w:val="JuPara"/>
      </w:pPr>
      <w:r w:rsidRPr="00A40D90">
        <w:fldChar w:fldCharType="begin"/>
      </w:r>
      <w:r w:rsidRPr="00A40D90">
        <w:instrText xml:space="preserve"> SEQ level0 \*arabic </w:instrText>
      </w:r>
      <w:r w:rsidRPr="00A40D90">
        <w:fldChar w:fldCharType="separate"/>
      </w:r>
      <w:r w:rsidR="00C5470A">
        <w:rPr>
          <w:noProof/>
        </w:rPr>
        <w:t>3</w:t>
      </w:r>
      <w:r w:rsidRPr="00A40D90">
        <w:fldChar w:fldCharType="end"/>
      </w:r>
      <w:r w:rsidRPr="00A40D90">
        <w:t xml:space="preserve">.  The applicant </w:t>
      </w:r>
      <w:r w:rsidRPr="00A40D90">
        <w:rPr>
          <w:lang w:val="en-US"/>
        </w:rPr>
        <w:t xml:space="preserve">alleged that his deportation to Syria would entail the </w:t>
      </w:r>
      <w:r w:rsidRPr="0092454A">
        <w:rPr>
          <w:lang w:val="en-US"/>
        </w:rPr>
        <w:t>risk of his being killed, in breach of Article 2 of the Convention, or of being</w:t>
      </w:r>
      <w:r w:rsidRPr="00A40D90">
        <w:rPr>
          <w:lang w:val="en-US"/>
        </w:rPr>
        <w:t xml:space="preserve"> subjected to treatment in breach of Article 3. In this respect he also complained of the lack of a </w:t>
      </w:r>
      <w:r w:rsidRPr="00A40D90">
        <w:t>remedy satisfy</w:t>
      </w:r>
      <w:r>
        <w:t>ing the requirements of Article </w:t>
      </w:r>
      <w:r w:rsidRPr="00A40D90">
        <w:t>13</w:t>
      </w:r>
      <w:r>
        <w:t xml:space="preserve"> </w:t>
      </w:r>
      <w:r w:rsidRPr="00A40D90">
        <w:t>of the Conv</w:t>
      </w:r>
      <w:r>
        <w:t>ention</w:t>
      </w:r>
      <w:r w:rsidRPr="00A40D90">
        <w:t xml:space="preserve">. </w:t>
      </w:r>
      <w:r w:rsidRPr="00BF1581">
        <w:t>Further, the applicant complain</w:t>
      </w:r>
      <w:r>
        <w:t>ed under Article 5 §§ 1 </w:t>
      </w:r>
      <w:r w:rsidRPr="00585B47">
        <w:t>(f), 2</w:t>
      </w:r>
      <w:r w:rsidRPr="00963C9A">
        <w:t xml:space="preserve"> and 4 of the Convention about his detention by the Cypriot authorities. Lastly, he claimed that his deportation would be in breach of Article 4 of Protocol No. 4.</w:t>
      </w:r>
    </w:p>
    <w:p w:rsidR="00FA0835" w:rsidP="00FA0835" w:rsidRDefault="00FA0835">
      <w:pPr>
        <w:pStyle w:val="JuPara"/>
      </w:pPr>
      <w:r w:rsidRPr="00A53691">
        <w:fldChar w:fldCharType="begin"/>
      </w:r>
      <w:r w:rsidRPr="00A53691">
        <w:instrText xml:space="preserve"> SEQ level0 \*arabic </w:instrText>
      </w:r>
      <w:r w:rsidRPr="00A53691">
        <w:fldChar w:fldCharType="separate"/>
      </w:r>
      <w:r w:rsidR="00C5470A">
        <w:rPr>
          <w:noProof/>
        </w:rPr>
        <w:t>4</w:t>
      </w:r>
      <w:r w:rsidRPr="00A53691">
        <w:fldChar w:fldCharType="end"/>
      </w:r>
      <w:r w:rsidRPr="00A53691">
        <w:t xml:space="preserve">.  On 14 </w:t>
      </w:r>
      <w:r>
        <w:t>June 2010 the President of the F</w:t>
      </w:r>
      <w:r w:rsidRPr="00A53691">
        <w:t>irst Section decided to apply Rule 39</w:t>
      </w:r>
      <w:r>
        <w:t xml:space="preserve"> of the Rules of Court</w:t>
      </w:r>
      <w:r w:rsidRPr="00A53691">
        <w:t>, indicating to the respondent Government that the applicant should not be deported to Syria.</w:t>
      </w:r>
      <w:r>
        <w:t xml:space="preserve"> </w:t>
      </w:r>
      <w:r w:rsidRPr="00963C9A">
        <w:t>The application was granted priority on the same date (</w:t>
      </w:r>
      <w:r w:rsidRPr="00963C9A">
        <w:rPr>
          <w:rStyle w:val="wordhighlighted"/>
        </w:rPr>
        <w:t>Rule</w:t>
      </w:r>
      <w:r w:rsidRPr="00963C9A">
        <w:t xml:space="preserve"> 41). On 21 September</w:t>
      </w:r>
      <w:r w:rsidRPr="000E6161">
        <w:t xml:space="preserve"> 2010 the</w:t>
      </w:r>
      <w:r>
        <w:t xml:space="preserve"> President of the First Section, following</w:t>
      </w:r>
      <w:r w:rsidRPr="00AA019B">
        <w:t xml:space="preserve"> an examination of all the information received from the parties</w:t>
      </w:r>
      <w:r>
        <w:t xml:space="preserve">, </w:t>
      </w:r>
      <w:r w:rsidRPr="000E6161">
        <w:t xml:space="preserve">decided to maintain the interim </w:t>
      </w:r>
      <w:r w:rsidRPr="004F6F99">
        <w:t xml:space="preserve">measure </w:t>
      </w:r>
      <w:r w:rsidRPr="009B7C41">
        <w:t>(see p</w:t>
      </w:r>
      <w:r>
        <w:t xml:space="preserve">aragraph 58 </w:t>
      </w:r>
      <w:r w:rsidRPr="009B7C41">
        <w:t>below).</w:t>
      </w:r>
    </w:p>
    <w:p w:rsidR="00FA0835" w:rsidP="00FA0835" w:rsidRDefault="00FA0835">
      <w:pPr>
        <w:pStyle w:val="JuPara"/>
      </w:pPr>
      <w:r>
        <w:fldChar w:fldCharType="begin"/>
      </w:r>
      <w:r>
        <w:instrText xml:space="preserve"> SEQ level0 \*arabic </w:instrText>
      </w:r>
      <w:r>
        <w:fldChar w:fldCharType="separate"/>
      </w:r>
      <w:r w:rsidR="00C5470A">
        <w:rPr>
          <w:noProof/>
        </w:rPr>
        <w:t>5</w:t>
      </w:r>
      <w:r>
        <w:fldChar w:fldCharType="end"/>
      </w:r>
      <w:r>
        <w:t>.  </w:t>
      </w:r>
      <w:r w:rsidRPr="0011250F">
        <w:t xml:space="preserve">On </w:t>
      </w:r>
      <w:r w:rsidRPr="0011250F">
        <w:rPr>
          <w:szCs w:val="24"/>
        </w:rPr>
        <w:t>19 January 2011</w:t>
      </w:r>
      <w:r w:rsidRPr="0011250F">
        <w:t xml:space="preserve"> the application was communicated to the Government. It was also decided to rule on the admissibility and merits of the application at the same time (Article 29 § 1).</w:t>
      </w:r>
    </w:p>
    <w:p w:rsidR="00FA0835" w:rsidP="00FA0835" w:rsidRDefault="00FA0835">
      <w:pPr>
        <w:pStyle w:val="JuPara"/>
      </w:pPr>
      <w:r w:rsidRPr="000E6161">
        <w:fldChar w:fldCharType="begin"/>
      </w:r>
      <w:r w:rsidRPr="000E6161">
        <w:instrText xml:space="preserve"> SEQ level0 \*arabic </w:instrText>
      </w:r>
      <w:r w:rsidRPr="000E6161">
        <w:fldChar w:fldCharType="separate"/>
      </w:r>
      <w:r w:rsidR="00C5470A">
        <w:rPr>
          <w:noProof/>
        </w:rPr>
        <w:t>6</w:t>
      </w:r>
      <w:r w:rsidRPr="000E6161">
        <w:fldChar w:fldCharType="end"/>
      </w:r>
      <w:r w:rsidRPr="000E6161">
        <w:t xml:space="preserve">.  The measure indicated under </w:t>
      </w:r>
      <w:r w:rsidRPr="000E6161">
        <w:rPr>
          <w:rStyle w:val="wordhighlighted"/>
        </w:rPr>
        <w:t>Rule</w:t>
      </w:r>
      <w:r w:rsidRPr="000E6161">
        <w:t> </w:t>
      </w:r>
      <w:r w:rsidRPr="000E6161">
        <w:rPr>
          <w:rStyle w:val="wordhighlighted"/>
        </w:rPr>
        <w:t>39</w:t>
      </w:r>
      <w:r w:rsidRPr="000E6161">
        <w:t xml:space="preserve"> </w:t>
      </w:r>
      <w:r w:rsidRPr="000E6161">
        <w:rPr>
          <w:rStyle w:val="wordhighlighted"/>
        </w:rPr>
        <w:t>was</w:t>
      </w:r>
      <w:r w:rsidRPr="000E6161">
        <w:t xml:space="preserve"> </w:t>
      </w:r>
      <w:r w:rsidRPr="000E6161">
        <w:rPr>
          <w:rStyle w:val="wordhighlighted"/>
        </w:rPr>
        <w:t>lifted</w:t>
      </w:r>
      <w:r w:rsidRPr="000E6161">
        <w:t xml:space="preserve"> in the course of t</w:t>
      </w:r>
      <w:r>
        <w:t xml:space="preserve">he proceedings before the </w:t>
      </w:r>
      <w:r w:rsidRPr="004F6F99">
        <w:t>Court (see paragraphs</w:t>
      </w:r>
      <w:r>
        <w:t xml:space="preserve"> 59</w:t>
      </w:r>
      <w:r w:rsidRPr="004F6F99">
        <w:t>-</w:t>
      </w:r>
      <w:r>
        <w:t>60</w:t>
      </w:r>
      <w:r w:rsidRPr="004F6F99">
        <w:t xml:space="preserve"> below).</w:t>
      </w:r>
    </w:p>
    <w:p w:rsidR="00FA0835" w:rsidP="00FA0835" w:rsidRDefault="00FA0835">
      <w:pPr>
        <w:pStyle w:val="JuPara"/>
      </w:pPr>
      <w:r w:rsidRPr="00401109">
        <w:fldChar w:fldCharType="begin"/>
      </w:r>
      <w:r w:rsidRPr="00401109">
        <w:instrText xml:space="preserve"> SEQ level0 \*arabic </w:instrText>
      </w:r>
      <w:r w:rsidRPr="00401109">
        <w:fldChar w:fldCharType="separate"/>
      </w:r>
      <w:r w:rsidR="00C5470A">
        <w:rPr>
          <w:noProof/>
        </w:rPr>
        <w:t>7</w:t>
      </w:r>
      <w:r w:rsidRPr="00401109">
        <w:fldChar w:fldCharType="end"/>
      </w:r>
      <w:r w:rsidRPr="00401109">
        <w:t>.  On 25 August 2011 the Court changed the composition of its Sections</w:t>
      </w:r>
      <w:r w:rsidRPr="00401109">
        <w:rPr>
          <w:rFonts w:ascii="Arial" w:hAnsi="Arial" w:cs="Arial"/>
        </w:rPr>
        <w:t xml:space="preserve"> </w:t>
      </w:r>
      <w:r w:rsidRPr="00401109">
        <w:t xml:space="preserve">(Rule 25 § </w:t>
      </w:r>
      <w:r w:rsidRPr="00401109">
        <w:rPr>
          <w:rStyle w:val="wordhighlighted"/>
        </w:rPr>
        <w:t>1</w:t>
      </w:r>
      <w:r w:rsidRPr="00401109">
        <w:t xml:space="preserve"> of </w:t>
      </w:r>
      <w:r w:rsidRPr="00401109">
        <w:rPr>
          <w:rStyle w:val="wordhighlighted"/>
        </w:rPr>
        <w:t>the</w:t>
      </w:r>
      <w:r w:rsidRPr="00401109">
        <w:t xml:space="preserve"> Rules of </w:t>
      </w:r>
      <w:r w:rsidRPr="00401109">
        <w:rPr>
          <w:rStyle w:val="wordhighlighted"/>
        </w:rPr>
        <w:t>Court</w:t>
      </w:r>
      <w:r w:rsidRPr="00401109">
        <w:t xml:space="preserve">) and </w:t>
      </w:r>
      <w:r w:rsidRPr="00401109">
        <w:rPr>
          <w:rStyle w:val="wordhighlighted"/>
        </w:rPr>
        <w:t>the</w:t>
      </w:r>
      <w:r w:rsidRPr="00401109">
        <w:t xml:space="preserve"> present application was assigned to the newly composed Fourth Section.</w:t>
      </w:r>
    </w:p>
    <w:p w:rsidRPr="00E24A94" w:rsidR="00FA0835" w:rsidP="00FA0835" w:rsidRDefault="00FA0835">
      <w:pPr>
        <w:pStyle w:val="JuPara"/>
      </w:pPr>
      <w:r>
        <w:fldChar w:fldCharType="begin"/>
      </w:r>
      <w:r>
        <w:instrText xml:space="preserve"> SEQ level0 \*arabic </w:instrText>
      </w:r>
      <w:r>
        <w:fldChar w:fldCharType="separate"/>
      </w:r>
      <w:r w:rsidR="00C5470A">
        <w:rPr>
          <w:noProof/>
        </w:rPr>
        <w:t>8</w:t>
      </w:r>
      <w:r>
        <w:fldChar w:fldCharType="end"/>
      </w:r>
      <w:r>
        <w:t xml:space="preserve">.  On 30 November 2012 the President of the Section decided on her own motion </w:t>
      </w:r>
      <w:r w:rsidRPr="00E24A94">
        <w:rPr>
          <w:rStyle w:val="sb8d990e2"/>
        </w:rPr>
        <w:t>to grant the applicant anonymity (Rule 47 § 3 of the Rules of Court).</w:t>
      </w:r>
    </w:p>
    <w:p w:rsidRPr="0011250F" w:rsidR="00FA0835" w:rsidP="00FA0835" w:rsidRDefault="00FA0835">
      <w:pPr>
        <w:pStyle w:val="JuHHead"/>
      </w:pPr>
      <w:r w:rsidRPr="0011250F">
        <w:t>THE FACTS</w:t>
      </w:r>
    </w:p>
    <w:p w:rsidRPr="00475293" w:rsidR="00FA0835" w:rsidP="00FA0835" w:rsidRDefault="00FA0835">
      <w:pPr>
        <w:pStyle w:val="JuHIRoman"/>
        <w:outlineLvl w:val="0"/>
      </w:pPr>
      <w:r w:rsidRPr="0011250F">
        <w:t xml:space="preserve">I.  THE CIRCUMSTANCES OF </w:t>
      </w:r>
      <w:r w:rsidRPr="00475293">
        <w:t>THE CASE</w:t>
      </w:r>
    </w:p>
    <w:p w:rsidR="00FA0835" w:rsidP="00FA0835" w:rsidRDefault="00FA0835">
      <w:pPr>
        <w:pStyle w:val="JuPara"/>
      </w:pPr>
      <w:r w:rsidRPr="00475293">
        <w:fldChar w:fldCharType="begin"/>
      </w:r>
      <w:r w:rsidRPr="00475293">
        <w:instrText xml:space="preserve"> SEQ level0 \*arabic </w:instrText>
      </w:r>
      <w:r w:rsidRPr="00475293">
        <w:fldChar w:fldCharType="separate"/>
      </w:r>
      <w:r w:rsidR="00C5470A">
        <w:rPr>
          <w:noProof/>
        </w:rPr>
        <w:t>9</w:t>
      </w:r>
      <w:r w:rsidRPr="00475293">
        <w:fldChar w:fldCharType="end"/>
      </w:r>
      <w:r w:rsidRPr="00475293">
        <w:t>.  The applicant</w:t>
      </w:r>
      <w:r>
        <w:t>,</w:t>
      </w:r>
      <w:r w:rsidRPr="00BC67D7">
        <w:t xml:space="preserve"> </w:t>
      </w:r>
      <w:r>
        <w:t>who is of Kurdish origin,</w:t>
      </w:r>
      <w:r w:rsidRPr="00475293">
        <w:t xml:space="preserve"> was born in 1969 in</w:t>
      </w:r>
      <w:r>
        <w:t xml:space="preserve"> north</w:t>
      </w:r>
      <w:r>
        <w:noBreakHyphen/>
        <w:t xml:space="preserve">west Syria </w:t>
      </w:r>
      <w:r w:rsidRPr="0011250F">
        <w:t>and lives in Nicosia</w:t>
      </w:r>
      <w:r>
        <w:t>.</w:t>
      </w:r>
    </w:p>
    <w:p w:rsidR="00FA0835" w:rsidP="00FA0835" w:rsidRDefault="00FA0835">
      <w:pPr>
        <w:pStyle w:val="JuHA"/>
      </w:pPr>
      <w:r>
        <w:t>A</w:t>
      </w:r>
      <w:r w:rsidRPr="00FD079B">
        <w:t>.  The applicant</w:t>
      </w:r>
      <w:r w:rsidR="00A7319E">
        <w:t>’</w:t>
      </w:r>
      <w:r w:rsidRPr="00FD079B">
        <w:t>s asylum claim and all relevant proceedings</w:t>
      </w:r>
    </w:p>
    <w:p w:rsidRPr="00743C38"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10</w:t>
      </w:r>
      <w:r w:rsidRPr="0011250F">
        <w:fldChar w:fldCharType="end"/>
      </w:r>
      <w:r w:rsidRPr="0011250F">
        <w:t>.  </w:t>
      </w:r>
      <w:r>
        <w:t xml:space="preserve">The applicant left Syria on 21 May 2005 and, after travelling to Turkey and then to </w:t>
      </w:r>
      <w:r w:rsidRPr="00843C1E">
        <w:t xml:space="preserve">the “Turkish Republic of Northern Cyprus” (“TRNC”), he </w:t>
      </w:r>
      <w:r w:rsidRPr="00743C38">
        <w:t>entered Cyprus unlawfully.</w:t>
      </w:r>
    </w:p>
    <w:p w:rsidR="00FA0835" w:rsidP="00FA0835" w:rsidRDefault="00FA0835">
      <w:pPr>
        <w:pStyle w:val="JuPara"/>
      </w:pPr>
      <w:r w:rsidRPr="00743C38">
        <w:fldChar w:fldCharType="begin"/>
      </w:r>
      <w:r w:rsidRPr="00743C38">
        <w:instrText xml:space="preserve"> SEQ level0 \*arabic </w:instrText>
      </w:r>
      <w:r w:rsidRPr="00743C38">
        <w:fldChar w:fldCharType="separate"/>
      </w:r>
      <w:r w:rsidR="00C5470A">
        <w:rPr>
          <w:noProof/>
        </w:rPr>
        <w:t>11</w:t>
      </w:r>
      <w:r w:rsidRPr="00743C38">
        <w:fldChar w:fldCharType="end"/>
      </w:r>
      <w:r w:rsidRPr="00743C38">
        <w:t>.  He applied for asylum on 12 September 2005</w:t>
      </w:r>
      <w:r>
        <w:t xml:space="preserve"> and an interview was held on 21 June 2006 with the Asylum Service.</w:t>
      </w:r>
    </w:p>
    <w:p w:rsidR="00FA0835" w:rsidP="00FA0835" w:rsidRDefault="00FA0835">
      <w:pPr>
        <w:pStyle w:val="JuPara"/>
      </w:pPr>
      <w:r>
        <w:fldChar w:fldCharType="begin"/>
      </w:r>
      <w:r>
        <w:instrText xml:space="preserve"> SEQ level0 \*arabic </w:instrText>
      </w:r>
      <w:r>
        <w:fldChar w:fldCharType="separate"/>
      </w:r>
      <w:r w:rsidR="00C5470A">
        <w:rPr>
          <w:noProof/>
        </w:rPr>
        <w:t>12</w:t>
      </w:r>
      <w:r>
        <w:fldChar w:fldCharType="end"/>
      </w:r>
      <w:r>
        <w:t>.  </w:t>
      </w:r>
      <w:r w:rsidRPr="00ED79E9">
        <w:t xml:space="preserve">His application was dismissed by the Asylum Service on </w:t>
      </w:r>
      <w:r>
        <w:t xml:space="preserve">21 July </w:t>
      </w:r>
      <w:r w:rsidRPr="00697841">
        <w:t xml:space="preserve">2006 on the ground that the applicant did not fulfil the requirements of the </w:t>
      </w:r>
      <w:r w:rsidRPr="005D18A3">
        <w:t>Refugee Law of 2000-2005</w:t>
      </w:r>
      <w:r w:rsidRPr="005D18A3">
        <w:rPr>
          <w:rStyle w:val="FootnoteReference"/>
        </w:rPr>
        <w:footnoteReference w:id="1"/>
      </w:r>
      <w:r w:rsidRPr="005D18A3">
        <w:t>, namely</w:t>
      </w:r>
      <w:r>
        <w:t>,</w:t>
      </w:r>
      <w:r w:rsidRPr="005D18A3">
        <w:t xml:space="preserve"> he had not shown a well-founded fear</w:t>
      </w:r>
      <w:r w:rsidRPr="00697841">
        <w:t xml:space="preserve"> of persecution for reasons of race, religion, nationality, membership of a particular group or political opinion or a well-founded fear of serious and unjustified harm for other reasons. </w:t>
      </w:r>
      <w:r w:rsidRPr="00493E33">
        <w:t xml:space="preserve">The Asylum Service noted that there had been </w:t>
      </w:r>
      <w:r>
        <w:t>discrepancies</w:t>
      </w:r>
      <w:r w:rsidRPr="00493E33">
        <w:t xml:space="preserve"> in </w:t>
      </w:r>
      <w:r>
        <w:t>his</w:t>
      </w:r>
      <w:r w:rsidRPr="00493E33">
        <w:t xml:space="preserve"> account of</w:t>
      </w:r>
      <w:r>
        <w:t xml:space="preserve"> the</w:t>
      </w:r>
      <w:r w:rsidRPr="00493E33">
        <w:t xml:space="preserve"> facts which </w:t>
      </w:r>
      <w:r>
        <w:t>undermined his credibility</w:t>
      </w:r>
      <w:r w:rsidRPr="00493E33">
        <w:t xml:space="preserve">. In particular, there had been significant </w:t>
      </w:r>
      <w:r>
        <w:t>contradictions regarding his</w:t>
      </w:r>
      <w:r w:rsidRPr="000652BB">
        <w:t xml:space="preserve"> origins. It was also observed that the applicant had not been able to reply satisfactorily and with precision</w:t>
      </w:r>
      <w:r>
        <w:t xml:space="preserve"> to certain questions</w:t>
      </w:r>
      <w:r w:rsidRPr="000652BB">
        <w:t xml:space="preserve"> or to give the information </w:t>
      </w:r>
      <w:r>
        <w:t xml:space="preserve">required </w:t>
      </w:r>
      <w:r w:rsidRPr="000652BB">
        <w:t xml:space="preserve">in a persuasive manner. </w:t>
      </w:r>
      <w:r>
        <w:t>In conclusion, the Asylum Service found that</w:t>
      </w:r>
      <w:r w:rsidRPr="000652BB">
        <w:t xml:space="preserve"> the asylum application had not been substantiated.</w:t>
      </w:r>
    </w:p>
    <w:p w:rsidR="00FA0835" w:rsidP="00FA0835" w:rsidRDefault="00FA0835">
      <w:pPr>
        <w:pStyle w:val="JuPara"/>
      </w:pPr>
      <w:r>
        <w:fldChar w:fldCharType="begin"/>
      </w:r>
      <w:r>
        <w:instrText xml:space="preserve"> SEQ level0 \*arabic </w:instrText>
      </w:r>
      <w:r>
        <w:fldChar w:fldCharType="separate"/>
      </w:r>
      <w:r w:rsidR="00C5470A">
        <w:rPr>
          <w:noProof/>
        </w:rPr>
        <w:t>13</w:t>
      </w:r>
      <w:r>
        <w:fldChar w:fldCharType="end"/>
      </w:r>
      <w:r>
        <w:t>.  </w:t>
      </w:r>
      <w:r w:rsidRPr="000652BB">
        <w:t xml:space="preserve">On 1 August 2006 the applicant lodged an appeal with the </w:t>
      </w:r>
      <w:r>
        <w:t>Reviewing Authority for Refugees</w:t>
      </w:r>
      <w:r w:rsidRPr="000652BB">
        <w:t xml:space="preserve"> </w:t>
      </w:r>
      <w:r>
        <w:t xml:space="preserve">(hereafter “the Reviewing Authority”) </w:t>
      </w:r>
      <w:r w:rsidRPr="000652BB">
        <w:t>against the Asylum Service</w:t>
      </w:r>
      <w:r w:rsidR="00A7319E">
        <w:t>’</w:t>
      </w:r>
      <w:r w:rsidRPr="000652BB">
        <w:t>s decision. Th</w:t>
      </w:r>
      <w:r>
        <w:t>e appeal</w:t>
      </w:r>
      <w:r w:rsidRPr="000652BB">
        <w:t xml:space="preserve"> was dismissed on 1 February 2008.</w:t>
      </w:r>
    </w:p>
    <w:p w:rsidR="00FA0835" w:rsidP="00FA0835" w:rsidRDefault="00FA0835">
      <w:pPr>
        <w:pStyle w:val="JuPara"/>
      </w:pPr>
      <w:r>
        <w:fldChar w:fldCharType="begin"/>
      </w:r>
      <w:r>
        <w:instrText xml:space="preserve"> SEQ level0 \*arabic </w:instrText>
      </w:r>
      <w:r>
        <w:fldChar w:fldCharType="separate"/>
      </w:r>
      <w:r w:rsidR="00C5470A">
        <w:rPr>
          <w:noProof/>
        </w:rPr>
        <w:t>14</w:t>
      </w:r>
      <w:r>
        <w:fldChar w:fldCharType="end"/>
      </w:r>
      <w:r>
        <w:t>.  </w:t>
      </w:r>
      <w:r w:rsidRPr="000652BB">
        <w:t>The Reviewing Authority upheld the decision of the Asylum Service. In its decision it observed that the applicant</w:t>
      </w:r>
      <w:r w:rsidR="00A7319E">
        <w:t>’</w:t>
      </w:r>
      <w:r w:rsidRPr="000652BB">
        <w:t xml:space="preserve">s claims had not been credible and had been vague and unsubstantiated. The </w:t>
      </w:r>
      <w:r>
        <w:t xml:space="preserve">Reviewing </w:t>
      </w:r>
      <w:r w:rsidRPr="000652BB">
        <w:t xml:space="preserve">Authority noted, </w:t>
      </w:r>
      <w:r w:rsidRPr="000652BB">
        <w:rPr>
          <w:i/>
        </w:rPr>
        <w:t>inter alia</w:t>
      </w:r>
      <w:r w:rsidRPr="000652BB">
        <w:t xml:space="preserve">, that although the applicant had stated in his interview </w:t>
      </w:r>
      <w:r>
        <w:t xml:space="preserve">with the Asylum Service </w:t>
      </w:r>
      <w:r w:rsidRPr="000652BB">
        <w:t xml:space="preserve">that he had been arrested and detained </w:t>
      </w:r>
      <w:r w:rsidRPr="00EA26AB">
        <w:t>for three</w:t>
      </w:r>
      <w:r>
        <w:t xml:space="preserve"> </w:t>
      </w:r>
      <w:r w:rsidRPr="000652BB">
        <w:t xml:space="preserve">days by the </w:t>
      </w:r>
      <w:r>
        <w:t xml:space="preserve">Syrian </w:t>
      </w:r>
      <w:r w:rsidRPr="000652BB">
        <w:t xml:space="preserve">military security forces, </w:t>
      </w:r>
      <w:r>
        <w:t>that had been</w:t>
      </w:r>
      <w:r w:rsidRPr="000652BB">
        <w:t xml:space="preserve"> in 1992, </w:t>
      </w:r>
      <w:r>
        <w:t xml:space="preserve">thirteen </w:t>
      </w:r>
      <w:r w:rsidRPr="000652BB">
        <w:t xml:space="preserve">years before he decided to leave the </w:t>
      </w:r>
      <w:r w:rsidRPr="00AD6BA0">
        <w:t xml:space="preserve">country. With the exception of this incident, he had confirmed that he had never been harassed by the Syrian authorities and had never been persecuted. </w:t>
      </w:r>
      <w:r>
        <w:t xml:space="preserve">Moreover, although the applicant claimed that he had stated in his interview with the Asylum Service that he had been subjected to electric shock treatment and the “wheel treatment” whilst in detention in Syria, </w:t>
      </w:r>
      <w:r w:rsidRPr="007164CF">
        <w:t>it transpired from the minutes of th</w:t>
      </w:r>
      <w:r>
        <w:t>at</w:t>
      </w:r>
      <w:r w:rsidRPr="007164CF">
        <w:t xml:space="preserve"> interview that </w:t>
      </w:r>
      <w:r>
        <w:t xml:space="preserve">he </w:t>
      </w:r>
      <w:r w:rsidRPr="007164CF">
        <w:t xml:space="preserve">had </w:t>
      </w:r>
      <w:r>
        <w:t xml:space="preserve">in fact </w:t>
      </w:r>
      <w:r w:rsidRPr="007164CF">
        <w:t>stated that the electric cables had not functioned and</w:t>
      </w:r>
      <w:r>
        <w:t xml:space="preserve"> had</w:t>
      </w:r>
      <w:r w:rsidRPr="00D40E34">
        <w:t xml:space="preserve"> not mention</w:t>
      </w:r>
      <w:r>
        <w:t>ed that the wheel had been used to torture him.</w:t>
      </w:r>
      <w:r w:rsidRPr="0019612F">
        <w:t xml:space="preserve"> </w:t>
      </w:r>
      <w:r>
        <w:t xml:space="preserve">The Asylum Service had therefore not considered it necessary to refer </w:t>
      </w:r>
      <w:r w:rsidRPr="007164CF">
        <w:t>him for a medical examination</w:t>
      </w:r>
      <w:r>
        <w:t>. The Reviewing Authority also observed that t</w:t>
      </w:r>
      <w:r w:rsidRPr="00AD6BA0">
        <w:t xml:space="preserve">he applicant had merely claimed that he had left Syria </w:t>
      </w:r>
      <w:r>
        <w:t>on account of</w:t>
      </w:r>
      <w:r w:rsidRPr="00AD6BA0">
        <w:t xml:space="preserve"> the increased pressure</w:t>
      </w:r>
      <w:r>
        <w:t xml:space="preserve"> on the Kurdish population</w:t>
      </w:r>
      <w:r w:rsidRPr="00210C94">
        <w:t xml:space="preserve"> in that country following the events in Qamishli in 2004 and </w:t>
      </w:r>
      <w:r>
        <w:t>his</w:t>
      </w:r>
      <w:r w:rsidRPr="00210C94">
        <w:t xml:space="preserve"> fear of being arrested in the future</w:t>
      </w:r>
      <w:r>
        <w:t>,</w:t>
      </w:r>
      <w:r w:rsidRPr="00210C94">
        <w:t xml:space="preserve"> and because of his political activities as</w:t>
      </w:r>
      <w:r>
        <w:t xml:space="preserve"> a member of the Yekiti Party. His allegations, however, had been general and vague. </w:t>
      </w:r>
      <w:r w:rsidRPr="00396369">
        <w:t xml:space="preserve">Further, his written asylum application had been </w:t>
      </w:r>
      <w:r>
        <w:t xml:space="preserve">based </w:t>
      </w:r>
      <w:r w:rsidRPr="00396369">
        <w:t xml:space="preserve">on other grounds. In particular, in his application the applicant had </w:t>
      </w:r>
      <w:r>
        <w:t xml:space="preserve">stated </w:t>
      </w:r>
      <w:r w:rsidRPr="00396369">
        <w:t>that he had come to Cyprus in search of work and better living conditions.</w:t>
      </w:r>
    </w:p>
    <w:p w:rsidR="00FA0835" w:rsidP="00FA0835" w:rsidRDefault="00FA0835">
      <w:pPr>
        <w:pStyle w:val="JuPara"/>
      </w:pPr>
      <w:r>
        <w:fldChar w:fldCharType="begin"/>
      </w:r>
      <w:r>
        <w:instrText xml:space="preserve"> SEQ level0 \*arabic </w:instrText>
      </w:r>
      <w:r>
        <w:fldChar w:fldCharType="separate"/>
      </w:r>
      <w:r w:rsidR="00C5470A">
        <w:rPr>
          <w:noProof/>
        </w:rPr>
        <w:t>15</w:t>
      </w:r>
      <w:r>
        <w:fldChar w:fldCharType="end"/>
      </w:r>
      <w:r>
        <w:t>.  Lastly, t</w:t>
      </w:r>
      <w:r w:rsidRPr="000652BB">
        <w:t xml:space="preserve">he </w:t>
      </w:r>
      <w:r>
        <w:t xml:space="preserve">Reviewing </w:t>
      </w:r>
      <w:r w:rsidRPr="000652BB">
        <w:t xml:space="preserve">Authority </w:t>
      </w:r>
      <w:r>
        <w:t xml:space="preserve">pointed out </w:t>
      </w:r>
      <w:r w:rsidRPr="000652BB">
        <w:t xml:space="preserve">that the applicant had been able to </w:t>
      </w:r>
      <w:r>
        <w:t xml:space="preserve">obtain </w:t>
      </w:r>
      <w:r w:rsidRPr="000652BB">
        <w:t>a passport</w:t>
      </w:r>
      <w:r>
        <w:t xml:space="preserve"> lawfully</w:t>
      </w:r>
      <w:r w:rsidRPr="000652BB">
        <w:t xml:space="preserve"> and </w:t>
      </w:r>
      <w:r>
        <w:t>to leave Syria</w:t>
      </w:r>
      <w:r w:rsidRPr="000652BB">
        <w:t>. As regards the applicant</w:t>
      </w:r>
      <w:r w:rsidR="00A7319E">
        <w:t>’</w:t>
      </w:r>
      <w:r w:rsidRPr="000652BB">
        <w:t xml:space="preserve">s claims concerning his involvement with </w:t>
      </w:r>
      <w:r w:rsidRPr="00A53691">
        <w:t xml:space="preserve">the Yekiti </w:t>
      </w:r>
      <w:r>
        <w:t>P</w:t>
      </w:r>
      <w:r w:rsidRPr="00A53691">
        <w:t>arty in Syria, it pointed out that the applicant</w:t>
      </w:r>
      <w:r w:rsidR="00A7319E">
        <w:t>’</w:t>
      </w:r>
      <w:r w:rsidRPr="00A53691">
        <w:t>s replies to questions</w:t>
      </w:r>
      <w:r>
        <w:t xml:space="preserve"> put to him</w:t>
      </w:r>
      <w:r w:rsidRPr="000652BB">
        <w:t xml:space="preserve"> about the party were too general and vague.</w:t>
      </w:r>
    </w:p>
    <w:p w:rsidR="00FA0835" w:rsidP="00FA0835" w:rsidRDefault="00FA0835">
      <w:pPr>
        <w:pStyle w:val="JuPara"/>
      </w:pPr>
      <w:r>
        <w:fldChar w:fldCharType="begin"/>
      </w:r>
      <w:r>
        <w:instrText xml:space="preserve"> SEQ level0 \*arabic </w:instrText>
      </w:r>
      <w:r>
        <w:fldChar w:fldCharType="separate"/>
      </w:r>
      <w:r w:rsidR="00C5470A">
        <w:rPr>
          <w:noProof/>
        </w:rPr>
        <w:t>16</w:t>
      </w:r>
      <w:r>
        <w:fldChar w:fldCharType="end"/>
      </w:r>
      <w:r>
        <w:t>.  </w:t>
      </w:r>
      <w:r w:rsidRPr="000652BB">
        <w:t xml:space="preserve">In conclusion, the </w:t>
      </w:r>
      <w:r>
        <w:t xml:space="preserve">Reviewing </w:t>
      </w:r>
      <w:r w:rsidRPr="000652BB">
        <w:t xml:space="preserve">Authority held that </w:t>
      </w:r>
      <w:r>
        <w:t xml:space="preserve">the </w:t>
      </w:r>
      <w:r w:rsidRPr="000652BB">
        <w:t>applicant had not established that he was at risk of persecution and that if he returne</w:t>
      </w:r>
      <w:r>
        <w:t xml:space="preserve">d to Syria his life would be in </w:t>
      </w:r>
      <w:r w:rsidRPr="000652BB">
        <w:t>danger or he would be imprisoned.</w:t>
      </w:r>
    </w:p>
    <w:p w:rsidRPr="000F2A65" w:rsidR="00FA0835" w:rsidP="00FA0835" w:rsidRDefault="00FA0835">
      <w:pPr>
        <w:pStyle w:val="JuPara"/>
      </w:pPr>
      <w:r w:rsidRPr="000F2A65">
        <w:fldChar w:fldCharType="begin"/>
      </w:r>
      <w:r w:rsidRPr="000F2A65">
        <w:instrText xml:space="preserve"> SEQ level0 \*arabic </w:instrText>
      </w:r>
      <w:r w:rsidRPr="000F2A65">
        <w:fldChar w:fldCharType="separate"/>
      </w:r>
      <w:r w:rsidR="00C5470A">
        <w:rPr>
          <w:noProof/>
        </w:rPr>
        <w:t>17</w:t>
      </w:r>
      <w:r w:rsidRPr="000F2A65">
        <w:fldChar w:fldCharType="end"/>
      </w:r>
      <w:r w:rsidRPr="000F2A65">
        <w:t>.  On 1 September 2008, following a request by the Cyprus-Kurdish Friendship Association to the Minister of the Interior on 22</w:t>
      </w:r>
      <w:r>
        <w:t xml:space="preserve"> </w:t>
      </w:r>
      <w:r w:rsidRPr="000F2A65">
        <w:t>July 2008, the applicant</w:t>
      </w:r>
      <w:r w:rsidR="00A7319E">
        <w:t>’</w:t>
      </w:r>
      <w:r w:rsidRPr="000F2A65">
        <w:t>s file was reopened by the Asylum Service in order to examine new information put forward by the applicant, mainly concerning his activities as the head of the Yekiti Party in Cyprus. The applicant was again interviewed by the Asylum Service on 16 February 2009.</w:t>
      </w:r>
    </w:p>
    <w:p w:rsidR="00FA0835" w:rsidP="00FA0835" w:rsidRDefault="00FA0835">
      <w:pPr>
        <w:pStyle w:val="JuPara"/>
      </w:pPr>
      <w:r w:rsidRPr="000F2A65">
        <w:fldChar w:fldCharType="begin"/>
      </w:r>
      <w:r w:rsidRPr="000F2A65">
        <w:instrText xml:space="preserve"> SEQ level0 \*arabic </w:instrText>
      </w:r>
      <w:r w:rsidRPr="000F2A65">
        <w:fldChar w:fldCharType="separate"/>
      </w:r>
      <w:r w:rsidR="00C5470A">
        <w:rPr>
          <w:noProof/>
        </w:rPr>
        <w:t>18</w:t>
      </w:r>
      <w:r w:rsidRPr="000F2A65">
        <w:fldChar w:fldCharType="end"/>
      </w:r>
      <w:r w:rsidRPr="000F2A65">
        <w:t>.  According to the Government, on 8 June 2010 an officer of the Asylum Service expressed the opinion that the information submitted by the applicant could not be considered as new evidence forming the basis of a new claim. The Governmen</w:t>
      </w:r>
      <w:r w:rsidRPr="0092309C">
        <w:t>t submitted an internal note to this effect.</w:t>
      </w:r>
    </w:p>
    <w:p w:rsidRPr="004F6F99" w:rsidR="00FA0835" w:rsidP="00FA0835" w:rsidRDefault="00FA0835">
      <w:pPr>
        <w:pStyle w:val="JuPara"/>
      </w:pPr>
      <w:r w:rsidRPr="003F31DC">
        <w:fldChar w:fldCharType="begin"/>
      </w:r>
      <w:r w:rsidRPr="003F31DC">
        <w:instrText xml:space="preserve"> SEQ level0 \*arabic </w:instrText>
      </w:r>
      <w:r w:rsidRPr="003F31DC">
        <w:fldChar w:fldCharType="separate"/>
      </w:r>
      <w:r w:rsidR="00C5470A">
        <w:rPr>
          <w:noProof/>
        </w:rPr>
        <w:t>19</w:t>
      </w:r>
      <w:r w:rsidRPr="003F31DC">
        <w:fldChar w:fldCharType="end"/>
      </w:r>
      <w:r w:rsidRPr="003F31DC">
        <w:t xml:space="preserve">.  The applicant was arrested on 11 June 2010 and </w:t>
      </w:r>
      <w:r w:rsidRPr="004F6F99">
        <w:t xml:space="preserve">deportation and detention orders were issued against him on the same day (see </w:t>
      </w:r>
      <w:r>
        <w:t xml:space="preserve">paragraph 41 </w:t>
      </w:r>
      <w:r w:rsidRPr="004F6F99">
        <w:t>below).</w:t>
      </w:r>
    </w:p>
    <w:p w:rsidR="00FA0835" w:rsidP="00FA0835" w:rsidRDefault="00FA0835">
      <w:pPr>
        <w:pStyle w:val="JuPara"/>
      </w:pPr>
      <w:r w:rsidRPr="0065568F">
        <w:fldChar w:fldCharType="begin"/>
      </w:r>
      <w:r w:rsidRPr="0065568F">
        <w:instrText xml:space="preserve"> SEQ level0 \*arabic </w:instrText>
      </w:r>
      <w:r w:rsidRPr="0065568F">
        <w:fldChar w:fldCharType="separate"/>
      </w:r>
      <w:r w:rsidR="00C5470A">
        <w:rPr>
          <w:noProof/>
        </w:rPr>
        <w:t>20</w:t>
      </w:r>
      <w:r w:rsidRPr="0065568F">
        <w:fldChar w:fldCharType="end"/>
      </w:r>
      <w:r w:rsidRPr="0065568F">
        <w:t>.  On 7</w:t>
      </w:r>
      <w:r>
        <w:t xml:space="preserve"> July 2010 </w:t>
      </w:r>
      <w:r w:rsidRPr="000D1D3F">
        <w:t>the Asylum Service sent the applicant</w:t>
      </w:r>
      <w:r w:rsidR="00A7319E">
        <w:t>’</w:t>
      </w:r>
      <w:r w:rsidRPr="000D1D3F">
        <w:t xml:space="preserve">s file to the Reviewing Authority following an opinion given by the Attorney-General that the relevant body which should </w:t>
      </w:r>
      <w:r w:rsidRPr="00EF0D4E">
        <w:t>examine the new evidence put forward by the applicant was the Reviewing Authority and not the Asylum Service.</w:t>
      </w:r>
    </w:p>
    <w:p w:rsidR="00FA0835" w:rsidP="00FA0835" w:rsidRDefault="00FA0835">
      <w:pPr>
        <w:pStyle w:val="JuPara"/>
      </w:pPr>
      <w:r w:rsidRPr="005B2704">
        <w:fldChar w:fldCharType="begin"/>
      </w:r>
      <w:r w:rsidRPr="005B2704">
        <w:instrText xml:space="preserve"> SEQ level0 \*arabic </w:instrText>
      </w:r>
      <w:r w:rsidRPr="005B2704">
        <w:fldChar w:fldCharType="separate"/>
      </w:r>
      <w:r w:rsidR="00C5470A">
        <w:rPr>
          <w:noProof/>
        </w:rPr>
        <w:t>21</w:t>
      </w:r>
      <w:r w:rsidRPr="005B2704">
        <w:fldChar w:fldCharType="end"/>
      </w:r>
      <w:r w:rsidRPr="005B2704">
        <w:t>.  On 20 August 2010 the Minister of the Interior cancelled the deportation and detention orders of 11 June 201</w:t>
      </w:r>
      <w:r>
        <w:t>0</w:t>
      </w:r>
      <w:r w:rsidRPr="005B2704">
        <w:t xml:space="preserve"> and issued new ones against the applicant on other </w:t>
      </w:r>
      <w:r w:rsidRPr="004F6F99">
        <w:t>grounds (see paragraph 4</w:t>
      </w:r>
      <w:r>
        <w:t>8</w:t>
      </w:r>
      <w:r w:rsidRPr="004F6F99">
        <w:t xml:space="preserve"> below).</w:t>
      </w:r>
    </w:p>
    <w:p w:rsidRPr="000F2A65" w:rsidR="00FA0835" w:rsidP="00FA0835" w:rsidRDefault="00FA0835">
      <w:pPr>
        <w:pStyle w:val="JuPara"/>
      </w:pPr>
      <w:r w:rsidRPr="000F2A65">
        <w:fldChar w:fldCharType="begin"/>
      </w:r>
      <w:r w:rsidRPr="000F2A65">
        <w:instrText xml:space="preserve"> SEQ level0 \*arabic </w:instrText>
      </w:r>
      <w:r w:rsidRPr="000F2A65">
        <w:fldChar w:fldCharType="separate"/>
      </w:r>
      <w:r w:rsidR="00C5470A">
        <w:rPr>
          <w:noProof/>
        </w:rPr>
        <w:t>22</w:t>
      </w:r>
      <w:r w:rsidRPr="000F2A65">
        <w:fldChar w:fldCharType="end"/>
      </w:r>
      <w:r w:rsidRPr="000F2A65">
        <w:t xml:space="preserve">.  On 30 September 2010 the Reviewing Authority informed the applicant that the information submitted before it could not alter in any manner its initial decision not to recognise him as a refugee </w:t>
      </w:r>
      <w:r>
        <w:t>within the meaning of</w:t>
      </w:r>
      <w:r w:rsidRPr="000F2A65">
        <w:t xml:space="preserve"> Articles 3 and 19 of the Refugee Law of 2000-2009</w:t>
      </w:r>
      <w:r w:rsidRPr="000F2A65">
        <w:rPr>
          <w:rStyle w:val="FootnoteReference"/>
        </w:rPr>
        <w:footnoteReference w:id="2"/>
      </w:r>
      <w:r w:rsidRPr="000F2A65">
        <w:t>. The applicant was served with the relevant letter on 6 October 2010. On the copy of the letter provided by the Government it is stated that the applicant was served with the letter on 6 October 2010 but refused to sign</w:t>
      </w:r>
      <w:r>
        <w:t xml:space="preserve"> for it</w:t>
      </w:r>
      <w:r w:rsidRPr="000F2A65">
        <w:t xml:space="preserve">, requesting </w:t>
      </w:r>
      <w:r>
        <w:t xml:space="preserve">instead </w:t>
      </w:r>
      <w:r w:rsidRPr="000F2A65">
        <w:t>to see his lawyer.</w:t>
      </w:r>
    </w:p>
    <w:p w:rsidRPr="009E2166" w:rsidR="00FA0835" w:rsidP="00FA0835" w:rsidRDefault="00FA0835">
      <w:pPr>
        <w:pStyle w:val="JuPara"/>
        <w:rPr>
          <w:b/>
        </w:rPr>
      </w:pPr>
      <w:r w:rsidRPr="000F2A65">
        <w:fldChar w:fldCharType="begin"/>
      </w:r>
      <w:r w:rsidRPr="000F2A65">
        <w:instrText xml:space="preserve"> SEQ level0 \*arabic </w:instrText>
      </w:r>
      <w:r w:rsidRPr="000F2A65">
        <w:fldChar w:fldCharType="separate"/>
      </w:r>
      <w:r w:rsidR="00C5470A">
        <w:rPr>
          <w:noProof/>
        </w:rPr>
        <w:t>23</w:t>
      </w:r>
      <w:r w:rsidRPr="000F2A65">
        <w:fldChar w:fldCharType="end"/>
      </w:r>
      <w:r w:rsidRPr="000F2A65">
        <w:t xml:space="preserve">.  On 8 October 2010 the applicant brought a </w:t>
      </w:r>
      <w:r>
        <w:t>“</w:t>
      </w:r>
      <w:r w:rsidRPr="000F2A65">
        <w:t>recourse</w:t>
      </w:r>
      <w:r>
        <w:t>”</w:t>
      </w:r>
      <w:r w:rsidRPr="000F2A65">
        <w:t xml:space="preserve"> </w:t>
      </w:r>
      <w:r>
        <w:t xml:space="preserve">(judicial review proceedings) </w:t>
      </w:r>
      <w:r w:rsidRPr="000F2A65">
        <w:t>before the Supreme Court (first-instance revisional jurisdiction) under Article 146 of the Constitution challenging the decision of the Reviewing Authority</w:t>
      </w:r>
      <w:r>
        <w:t xml:space="preserve"> </w:t>
      </w:r>
      <w:r w:rsidRPr="009E2166">
        <w:t>of</w:t>
      </w:r>
      <w:r>
        <w:t xml:space="preserve"> </w:t>
      </w:r>
      <w:r w:rsidRPr="009E2166">
        <w:t>30 September 2010.</w:t>
      </w:r>
    </w:p>
    <w:p w:rsidR="00FA0835" w:rsidP="00FA0835" w:rsidRDefault="00FA0835">
      <w:pPr>
        <w:pStyle w:val="JuPara"/>
      </w:pPr>
      <w:r w:rsidRPr="00AD5250">
        <w:fldChar w:fldCharType="begin"/>
      </w:r>
      <w:r w:rsidRPr="00AD5250">
        <w:instrText xml:space="preserve"> SEQ level0 \*arabic </w:instrText>
      </w:r>
      <w:r w:rsidRPr="00AD5250">
        <w:fldChar w:fldCharType="separate"/>
      </w:r>
      <w:r w:rsidR="00C5470A">
        <w:rPr>
          <w:noProof/>
        </w:rPr>
        <w:t>24</w:t>
      </w:r>
      <w:r w:rsidRPr="00AD5250">
        <w:fldChar w:fldCharType="end"/>
      </w:r>
      <w:r w:rsidRPr="00AD5250">
        <w:t>.  Following advice from the Attorney-General, the Reviewing</w:t>
      </w:r>
      <w:r w:rsidRPr="00432BD3">
        <w:t xml:space="preserve"> Authority decided to re-open the applicant</w:t>
      </w:r>
      <w:r w:rsidR="00A7319E">
        <w:t>’</w:t>
      </w:r>
      <w:r w:rsidRPr="00432BD3">
        <w:t xml:space="preserve">s file in order to consider the content of </w:t>
      </w:r>
      <w:r>
        <w:t>his</w:t>
      </w:r>
      <w:r w:rsidRPr="00432BD3">
        <w:t xml:space="preserve"> second interview at the Asylum Service</w:t>
      </w:r>
      <w:r w:rsidRPr="009F3DE5">
        <w:t xml:space="preserve"> </w:t>
      </w:r>
      <w:r w:rsidRPr="004F6F99">
        <w:t>on 16 February 2009 (see paragraph 17 above)</w:t>
      </w:r>
      <w:r w:rsidRPr="00432BD3">
        <w:t>.</w:t>
      </w:r>
    </w:p>
    <w:p w:rsidR="00FA0835" w:rsidP="00FA0835" w:rsidRDefault="00FA0835">
      <w:pPr>
        <w:pStyle w:val="JuPara"/>
      </w:pPr>
      <w:r>
        <w:fldChar w:fldCharType="begin"/>
      </w:r>
      <w:r>
        <w:instrText xml:space="preserve"> SEQ level0 \*arabic </w:instrText>
      </w:r>
      <w:r>
        <w:fldChar w:fldCharType="separate"/>
      </w:r>
      <w:r w:rsidR="00C5470A">
        <w:rPr>
          <w:noProof/>
        </w:rPr>
        <w:t>25</w:t>
      </w:r>
      <w:r>
        <w:fldChar w:fldCharType="end"/>
      </w:r>
      <w:r>
        <w:t xml:space="preserve">.  The applicant was informed by letter dated 8 April 2011 that the Reviewing Authority had decided to withdraw its previous </w:t>
      </w:r>
      <w:r w:rsidRPr="004F6F99">
        <w:t>decision (see paragraph 22 above) and to reopen and re-examine his claim taking into consideration the content of his second interview with the Asylum Service</w:t>
      </w:r>
      <w:r>
        <w:t>.</w:t>
      </w:r>
    </w:p>
    <w:p w:rsidRPr="006805A1" w:rsidR="00FA0835" w:rsidP="00FA0835" w:rsidRDefault="00FA0835">
      <w:pPr>
        <w:pStyle w:val="JuPara"/>
      </w:pPr>
      <w:r>
        <w:fldChar w:fldCharType="begin"/>
      </w:r>
      <w:r>
        <w:instrText xml:space="preserve"> SEQ level0 \*arabic </w:instrText>
      </w:r>
      <w:r>
        <w:fldChar w:fldCharType="separate"/>
      </w:r>
      <w:r w:rsidR="00C5470A">
        <w:rPr>
          <w:noProof/>
        </w:rPr>
        <w:t>26</w:t>
      </w:r>
      <w:r>
        <w:fldChar w:fldCharType="end"/>
      </w:r>
      <w:r>
        <w:t>.  The applicant was called on by the Reviewing Authority to give another interview as</w:t>
      </w:r>
      <w:r w:rsidRPr="006805A1">
        <w:t xml:space="preserve"> an examination of the minutes of the applicant</w:t>
      </w:r>
      <w:r w:rsidR="00A7319E">
        <w:t>’</w:t>
      </w:r>
      <w:r w:rsidRPr="006805A1">
        <w:t xml:space="preserve">s interview at the Asylum Service showed that </w:t>
      </w:r>
      <w:r>
        <w:t>it</w:t>
      </w:r>
      <w:r w:rsidRPr="006805A1">
        <w:t xml:space="preserve"> had been inadequate.</w:t>
      </w:r>
      <w:r>
        <w:t xml:space="preserve"> The applicant was interviewed by the Reviewing Authority on 26 April 2011.</w:t>
      </w:r>
    </w:p>
    <w:p w:rsidR="00FA0835" w:rsidP="00FA0835" w:rsidRDefault="00FA0835">
      <w:pPr>
        <w:pStyle w:val="JuPara"/>
      </w:pPr>
      <w:r>
        <w:fldChar w:fldCharType="begin"/>
      </w:r>
      <w:r>
        <w:instrText xml:space="preserve"> SEQ level0 \*arabic </w:instrText>
      </w:r>
      <w:r>
        <w:fldChar w:fldCharType="separate"/>
      </w:r>
      <w:r w:rsidR="00C5470A">
        <w:rPr>
          <w:noProof/>
        </w:rPr>
        <w:t>27</w:t>
      </w:r>
      <w:r>
        <w:fldChar w:fldCharType="end"/>
      </w:r>
      <w:r>
        <w:t>.  </w:t>
      </w:r>
      <w:r w:rsidRPr="00D063E1">
        <w:t xml:space="preserve">On 29 April 2011 the Reviewing Authority decided to recognise the applicant as a refugee pursuant to the Refugee Law of 2000-2009 and </w:t>
      </w:r>
      <w:r w:rsidRPr="00D063E1">
        <w:rPr>
          <w:rStyle w:val="s7d2086b4"/>
        </w:rPr>
        <w:t>the 1951 Geneva Convention relating to the Status of Refugees (</w:t>
      </w:r>
      <w:r>
        <w:rPr>
          <w:rStyle w:val="s7d2086b4"/>
        </w:rPr>
        <w:t xml:space="preserve">hereafter </w:t>
      </w:r>
      <w:r w:rsidRPr="00D063E1">
        <w:rPr>
          <w:rStyle w:val="s7d2086b4"/>
        </w:rPr>
        <w:t>“the 1951</w:t>
      </w:r>
      <w:r>
        <w:rPr>
          <w:rStyle w:val="s7d2086b4"/>
        </w:rPr>
        <w:t xml:space="preserve"> </w:t>
      </w:r>
      <w:r w:rsidRPr="00D063E1">
        <w:rPr>
          <w:rStyle w:val="s7d2086b4"/>
        </w:rPr>
        <w:t>Geneva Convention”)</w:t>
      </w:r>
      <w:r w:rsidRPr="00D063E1">
        <w:t>.</w:t>
      </w:r>
      <w:r>
        <w:t xml:space="preserve"> </w:t>
      </w:r>
      <w:r>
        <w:rPr>
          <w:rStyle w:val="sb8d990e2"/>
        </w:rPr>
        <w:t>The relevant excerpt of the decision reads as follows:</w:t>
      </w:r>
    </w:p>
    <w:p w:rsidRPr="004721FB" w:rsidR="00FA0835" w:rsidP="00FA0835" w:rsidRDefault="00FA0835">
      <w:pPr>
        <w:pStyle w:val="JuQuot"/>
        <w:rPr>
          <w:rStyle w:val="Strong"/>
          <w:b w:val="0"/>
          <w:bCs w:val="0"/>
        </w:rPr>
      </w:pPr>
      <w:r w:rsidRPr="004721FB">
        <w:t xml:space="preserve">“During the interview the applicant was asked about his activities in Cyprus and in particular about his </w:t>
      </w:r>
      <w:r>
        <w:t>membership of</w:t>
      </w:r>
      <w:r w:rsidRPr="004721FB">
        <w:t xml:space="preserve"> the Cypriot-Kurdish </w:t>
      </w:r>
      <w:r w:rsidRPr="004721FB">
        <w:rPr>
          <w:rStyle w:val="Strong"/>
          <w:b w:val="0"/>
          <w:bCs w:val="0"/>
        </w:rPr>
        <w:t>Friendship</w:t>
      </w:r>
      <w:r w:rsidRPr="004721FB">
        <w:t xml:space="preserve"> </w:t>
      </w:r>
      <w:r w:rsidRPr="004721FB">
        <w:rPr>
          <w:rStyle w:val="Strong"/>
          <w:b w:val="0"/>
          <w:bCs w:val="0"/>
        </w:rPr>
        <w:t xml:space="preserve">Association as well as his </w:t>
      </w:r>
      <w:r>
        <w:rPr>
          <w:rStyle w:val="Strong"/>
          <w:b w:val="0"/>
          <w:bCs w:val="0"/>
        </w:rPr>
        <w:t>activities</w:t>
      </w:r>
      <w:r w:rsidRPr="004721FB">
        <w:rPr>
          <w:rStyle w:val="Strong"/>
          <w:b w:val="0"/>
          <w:bCs w:val="0"/>
        </w:rPr>
        <w:t xml:space="preserve"> in the Yekiti opposition Party in Cyprus. From his interview it was ascertained that the applicant is credible in so far as his feelings for the rights of the Kurds in Syria are concerned. Consequently, the applicant started to get involved in political matters and to publicly express his opinion about the bad state of affairs in Syria. In particular, the applicant has an active role in the Yekiti Party in Cyprus as he is its founder and organises and coordinates his compatriots in anti-regime demonstrations and demonstrations for the rights of Kurds.</w:t>
      </w:r>
    </w:p>
    <w:p w:rsidRPr="004721FB" w:rsidR="00FA0835" w:rsidP="00FA0835" w:rsidRDefault="00FA0835">
      <w:pPr>
        <w:pStyle w:val="JuQuot"/>
        <w:rPr>
          <w:rStyle w:val="Strong"/>
          <w:b w:val="0"/>
          <w:bCs w:val="0"/>
        </w:rPr>
      </w:pPr>
      <w:r w:rsidRPr="004721FB">
        <w:rPr>
          <w:rStyle w:val="Strong"/>
          <w:b w:val="0"/>
          <w:bCs w:val="0"/>
        </w:rPr>
        <w:t xml:space="preserve">Among the documents </w:t>
      </w:r>
      <w:r>
        <w:rPr>
          <w:rStyle w:val="Strong"/>
          <w:b w:val="0"/>
          <w:bCs w:val="0"/>
        </w:rPr>
        <w:t>t</w:t>
      </w:r>
      <w:r w:rsidRPr="004721FB">
        <w:rPr>
          <w:rStyle w:val="Strong"/>
          <w:b w:val="0"/>
          <w:bCs w:val="0"/>
        </w:rPr>
        <w:t xml:space="preserve">he </w:t>
      </w:r>
      <w:r>
        <w:rPr>
          <w:rStyle w:val="Strong"/>
          <w:b w:val="0"/>
          <w:bCs w:val="0"/>
        </w:rPr>
        <w:t xml:space="preserve">applicant </w:t>
      </w:r>
      <w:r w:rsidRPr="004721FB">
        <w:rPr>
          <w:rStyle w:val="Strong"/>
          <w:b w:val="0"/>
          <w:bCs w:val="0"/>
        </w:rPr>
        <w:t xml:space="preserve">provided the Asylum Service with, there were photographs which show </w:t>
      </w:r>
      <w:r>
        <w:rPr>
          <w:rStyle w:val="Strong"/>
          <w:b w:val="0"/>
          <w:bCs w:val="0"/>
        </w:rPr>
        <w:t>him</w:t>
      </w:r>
      <w:r w:rsidRPr="004721FB">
        <w:rPr>
          <w:rStyle w:val="Strong"/>
          <w:b w:val="0"/>
          <w:bCs w:val="0"/>
        </w:rPr>
        <w:t xml:space="preserve"> organising, coordinating and leading the demonstrations that took place in the Republic</w:t>
      </w:r>
      <w:r>
        <w:rPr>
          <w:rStyle w:val="Strong"/>
          <w:b w:val="0"/>
          <w:bCs w:val="0"/>
        </w:rPr>
        <w:t xml:space="preserve"> of Cyprus. </w:t>
      </w:r>
      <w:r w:rsidRPr="004721FB">
        <w:rPr>
          <w:rStyle w:val="Strong"/>
          <w:b w:val="0"/>
          <w:bCs w:val="0"/>
        </w:rPr>
        <w:t>Consequently, his name has been connected with anti-regime demonstrations and with a negative stance toward</w:t>
      </w:r>
      <w:r>
        <w:rPr>
          <w:rStyle w:val="Strong"/>
          <w:b w:val="0"/>
          <w:bCs w:val="0"/>
        </w:rPr>
        <w:t>s</w:t>
      </w:r>
      <w:r w:rsidRPr="004721FB">
        <w:rPr>
          <w:rStyle w:val="Strong"/>
          <w:b w:val="0"/>
          <w:bCs w:val="0"/>
        </w:rPr>
        <w:t xml:space="preserve"> the existing government of Syria. In addition, as an activist, the applicant is considered </w:t>
      </w:r>
      <w:r>
        <w:rPr>
          <w:rStyle w:val="Strong"/>
          <w:b w:val="0"/>
          <w:bCs w:val="0"/>
        </w:rPr>
        <w:t>to be someone</w:t>
      </w:r>
      <w:r w:rsidRPr="004721FB">
        <w:rPr>
          <w:rStyle w:val="Strong"/>
          <w:b w:val="0"/>
          <w:bCs w:val="0"/>
        </w:rPr>
        <w:t xml:space="preserve"> who causes problems </w:t>
      </w:r>
      <w:r>
        <w:rPr>
          <w:rStyle w:val="Strong"/>
          <w:b w:val="0"/>
          <w:bCs w:val="0"/>
        </w:rPr>
        <w:t>for</w:t>
      </w:r>
      <w:r w:rsidRPr="004721FB">
        <w:rPr>
          <w:rStyle w:val="Strong"/>
          <w:b w:val="0"/>
          <w:bCs w:val="0"/>
        </w:rPr>
        <w:t xml:space="preserve"> the Syrian authorities.</w:t>
      </w:r>
    </w:p>
    <w:p w:rsidRPr="004721FB" w:rsidR="00FA0835" w:rsidP="00FA0835" w:rsidRDefault="00FA0835">
      <w:pPr>
        <w:pStyle w:val="JuQuot"/>
        <w:rPr>
          <w:rStyle w:val="Strong"/>
          <w:b w:val="0"/>
          <w:bCs w:val="0"/>
        </w:rPr>
      </w:pPr>
      <w:r w:rsidRPr="004721FB">
        <w:rPr>
          <w:rStyle w:val="Strong"/>
          <w:b w:val="0"/>
          <w:bCs w:val="0"/>
        </w:rPr>
        <w:t>Following his interview o</w:t>
      </w:r>
      <w:r>
        <w:rPr>
          <w:rStyle w:val="Strong"/>
          <w:b w:val="0"/>
          <w:bCs w:val="0"/>
        </w:rPr>
        <w:t>n</w:t>
      </w:r>
      <w:r w:rsidRPr="004721FB">
        <w:rPr>
          <w:rStyle w:val="Strong"/>
          <w:b w:val="0"/>
          <w:bCs w:val="0"/>
        </w:rPr>
        <w:t xml:space="preserve"> 26 April 2011, the applicant provided the Reviewing Authority with additional documents. These are:</w:t>
      </w:r>
    </w:p>
    <w:p w:rsidRPr="004721FB" w:rsidR="00FA0835" w:rsidP="00FA0835" w:rsidRDefault="00FA0835">
      <w:pPr>
        <w:pStyle w:val="JuQuot"/>
        <w:rPr>
          <w:rStyle w:val="Strong"/>
          <w:b w:val="0"/>
          <w:bCs w:val="0"/>
        </w:rPr>
      </w:pPr>
      <w:r w:rsidRPr="004721FB">
        <w:rPr>
          <w:rStyle w:val="Strong"/>
          <w:b w:val="0"/>
          <w:bCs w:val="0"/>
        </w:rPr>
        <w:t>1) Documents from the Kurdish Organisation for Human Rights in Austria which refer to the activity of the applicant in Cyprus</w:t>
      </w:r>
      <w:r>
        <w:rPr>
          <w:rStyle w:val="Strong"/>
          <w:b w:val="0"/>
          <w:bCs w:val="0"/>
        </w:rPr>
        <w:t xml:space="preserve"> and</w:t>
      </w:r>
      <w:r w:rsidRPr="004721FB">
        <w:rPr>
          <w:rStyle w:val="Strong"/>
          <w:b w:val="0"/>
          <w:bCs w:val="0"/>
        </w:rPr>
        <w:t xml:space="preserve"> to photographs of him which were published in Cypriot newspapers and which have come to the </w:t>
      </w:r>
      <w:r>
        <w:rPr>
          <w:rStyle w:val="Strong"/>
          <w:b w:val="0"/>
          <w:bCs w:val="0"/>
        </w:rPr>
        <w:t>attention</w:t>
      </w:r>
      <w:r w:rsidRPr="004721FB">
        <w:rPr>
          <w:rStyle w:val="Strong"/>
          <w:b w:val="0"/>
          <w:bCs w:val="0"/>
        </w:rPr>
        <w:t xml:space="preserve"> of the Syrian authorities.</w:t>
      </w:r>
    </w:p>
    <w:p w:rsidRPr="004721FB" w:rsidR="00FA0835" w:rsidP="00FA0835" w:rsidRDefault="00FA0835">
      <w:pPr>
        <w:pStyle w:val="JuQuot"/>
        <w:rPr>
          <w:rStyle w:val="Strong"/>
          <w:b w:val="0"/>
          <w:bCs w:val="0"/>
        </w:rPr>
      </w:pPr>
      <w:r w:rsidRPr="004721FB">
        <w:rPr>
          <w:rStyle w:val="Strong"/>
          <w:b w:val="0"/>
          <w:bCs w:val="0"/>
        </w:rPr>
        <w:t>2) The organigram of the Yekiti Party in Cyprus</w:t>
      </w:r>
      <w:r>
        <w:rPr>
          <w:rStyle w:val="Strong"/>
          <w:b w:val="0"/>
          <w:bCs w:val="0"/>
        </w:rPr>
        <w:t>,</w:t>
      </w:r>
      <w:r w:rsidRPr="004721FB">
        <w:rPr>
          <w:rStyle w:val="Strong"/>
          <w:b w:val="0"/>
          <w:bCs w:val="0"/>
        </w:rPr>
        <w:t xml:space="preserve"> which </w:t>
      </w:r>
      <w:r>
        <w:rPr>
          <w:rStyle w:val="Strong"/>
          <w:b w:val="0"/>
          <w:bCs w:val="0"/>
        </w:rPr>
        <w:t>shows</w:t>
      </w:r>
      <w:r w:rsidRPr="004721FB">
        <w:rPr>
          <w:rStyle w:val="Strong"/>
          <w:b w:val="0"/>
          <w:bCs w:val="0"/>
        </w:rPr>
        <w:t xml:space="preserve"> that the applicant is the head of the party.</w:t>
      </w:r>
    </w:p>
    <w:p w:rsidRPr="004721FB" w:rsidR="00FA0835" w:rsidP="00FA0835" w:rsidRDefault="00FA0835">
      <w:pPr>
        <w:pStyle w:val="JuQuot"/>
        <w:rPr>
          <w:rStyle w:val="Strong"/>
          <w:b w:val="0"/>
          <w:bCs w:val="0"/>
        </w:rPr>
      </w:pPr>
      <w:r w:rsidRPr="004721FB">
        <w:rPr>
          <w:rStyle w:val="Strong"/>
          <w:b w:val="0"/>
          <w:bCs w:val="0"/>
        </w:rPr>
        <w:t xml:space="preserve">Lastly, following an inquiry, it was ascertained that the applicant had spoken about the problems faced by Kurds in the Republic and in Syria </w:t>
      </w:r>
      <w:r>
        <w:rPr>
          <w:rStyle w:val="Strong"/>
          <w:b w:val="0"/>
          <w:bCs w:val="0"/>
        </w:rPr>
        <w:t>to</w:t>
      </w:r>
      <w:r w:rsidRPr="004721FB">
        <w:rPr>
          <w:rStyle w:val="Strong"/>
          <w:b w:val="0"/>
          <w:bCs w:val="0"/>
        </w:rPr>
        <w:t xml:space="preserve"> local newspapers with pan</w:t>
      </w:r>
      <w:r>
        <w:rPr>
          <w:rStyle w:val="Strong"/>
          <w:b w:val="0"/>
          <w:bCs w:val="0"/>
        </w:rPr>
        <w:t>-C</w:t>
      </w:r>
      <w:r w:rsidRPr="004721FB">
        <w:rPr>
          <w:rStyle w:val="Strong"/>
          <w:b w:val="0"/>
          <w:bCs w:val="0"/>
        </w:rPr>
        <w:t xml:space="preserve">yprian circulation. More specifically, </w:t>
      </w:r>
      <w:r>
        <w:rPr>
          <w:rStyle w:val="Strong"/>
          <w:b w:val="0"/>
          <w:bCs w:val="0"/>
        </w:rPr>
        <w:t>speaking</w:t>
      </w:r>
      <w:r w:rsidRPr="004721FB">
        <w:rPr>
          <w:rStyle w:val="Strong"/>
          <w:b w:val="0"/>
          <w:bCs w:val="0"/>
        </w:rPr>
        <w:t xml:space="preserve"> as the representative of the Kurdish Yekiti Party in Cyprus the applicant </w:t>
      </w:r>
      <w:r>
        <w:rPr>
          <w:rStyle w:val="Strong"/>
          <w:b w:val="0"/>
          <w:bCs w:val="0"/>
        </w:rPr>
        <w:t xml:space="preserve">had </w:t>
      </w:r>
      <w:r w:rsidRPr="004721FB">
        <w:rPr>
          <w:rStyle w:val="Strong"/>
          <w:b w:val="0"/>
          <w:bCs w:val="0"/>
        </w:rPr>
        <w:t>stat</w:t>
      </w:r>
      <w:r>
        <w:rPr>
          <w:rStyle w:val="Strong"/>
          <w:b w:val="0"/>
          <w:bCs w:val="0"/>
        </w:rPr>
        <w:t>ed</w:t>
      </w:r>
      <w:r w:rsidRPr="004721FB">
        <w:rPr>
          <w:rStyle w:val="Strong"/>
          <w:b w:val="0"/>
          <w:bCs w:val="0"/>
        </w:rPr>
        <w:t xml:space="preserve"> that Kurds did not have rights in Syria</w:t>
      </w:r>
      <w:r>
        <w:rPr>
          <w:rStyle w:val="Strong"/>
          <w:b w:val="0"/>
          <w:bCs w:val="0"/>
        </w:rPr>
        <w:t>,</w:t>
      </w:r>
      <w:r w:rsidRPr="004721FB">
        <w:rPr>
          <w:rStyle w:val="Strong"/>
          <w:b w:val="0"/>
          <w:bCs w:val="0"/>
        </w:rPr>
        <w:t xml:space="preserve"> as one of these rights was to speak one</w:t>
      </w:r>
      <w:r w:rsidR="00A7319E">
        <w:rPr>
          <w:rStyle w:val="Strong"/>
          <w:b w:val="0"/>
          <w:bCs w:val="0"/>
        </w:rPr>
        <w:t>’</w:t>
      </w:r>
      <w:r w:rsidRPr="004721FB">
        <w:rPr>
          <w:rStyle w:val="Strong"/>
          <w:b w:val="0"/>
          <w:bCs w:val="0"/>
        </w:rPr>
        <w:t xml:space="preserve">s own language, something which is prohibited </w:t>
      </w:r>
      <w:r>
        <w:rPr>
          <w:rStyle w:val="Strong"/>
          <w:b w:val="0"/>
          <w:bCs w:val="0"/>
        </w:rPr>
        <w:t xml:space="preserve">[for Kurds] </w:t>
      </w:r>
      <w:r w:rsidRPr="004721FB">
        <w:rPr>
          <w:rStyle w:val="Strong"/>
          <w:b w:val="0"/>
          <w:bCs w:val="0"/>
        </w:rPr>
        <w:t>in Syria. In addition, the applicant expressed fears that upon his return he would be arrested as [the authorities] knew him.</w:t>
      </w:r>
    </w:p>
    <w:p w:rsidRPr="004721FB" w:rsidR="00FA0835" w:rsidP="00FA0835" w:rsidRDefault="00FA0835">
      <w:pPr>
        <w:pStyle w:val="JuQuot"/>
        <w:rPr>
          <w:rStyle w:val="Strong"/>
          <w:b w:val="0"/>
          <w:bCs w:val="0"/>
        </w:rPr>
      </w:pPr>
      <w:r w:rsidRPr="004721FB">
        <w:rPr>
          <w:rStyle w:val="Strong"/>
          <w:b w:val="0"/>
          <w:bCs w:val="0"/>
        </w:rPr>
        <w:t xml:space="preserve">The applicant has proved in a convincing manner that his fear of persecution and danger to his life in the event of his return to Syria is objectively credible. He is already stigmatised by the authorities of his country and according to the COI (country of origin information) a well-founded fear of persecution </w:t>
      </w:r>
      <w:r>
        <w:rPr>
          <w:rStyle w:val="Strong"/>
          <w:b w:val="0"/>
          <w:bCs w:val="0"/>
        </w:rPr>
        <w:t>by</w:t>
      </w:r>
      <w:r w:rsidRPr="004721FB">
        <w:rPr>
          <w:rStyle w:val="Strong"/>
          <w:b w:val="0"/>
          <w:bCs w:val="0"/>
        </w:rPr>
        <w:t xml:space="preserve"> the authorities in his country because of his political opposition activity has been substantiated. Upon examination it was ascertained that none of the exclusion clauses apply to the applicant</w:t>
      </w:r>
      <w:r w:rsidR="00A7319E">
        <w:rPr>
          <w:rStyle w:val="Strong"/>
          <w:b w:val="0"/>
          <w:bCs w:val="0"/>
        </w:rPr>
        <w:t>’</w:t>
      </w:r>
      <w:r w:rsidRPr="004721FB">
        <w:rPr>
          <w:rStyle w:val="Strong"/>
          <w:b w:val="0"/>
          <w:bCs w:val="0"/>
        </w:rPr>
        <w:t>s case and, as a result, he should be granted refugee status as provided for in Article 3 of the Refugee Law.</w:t>
      </w:r>
    </w:p>
    <w:p w:rsidRPr="004721FB" w:rsidR="00FA0835" w:rsidP="00FA0835" w:rsidRDefault="00FA0835">
      <w:pPr>
        <w:pStyle w:val="JuQuot"/>
        <w:rPr>
          <w:rStyle w:val="Strong"/>
          <w:b w:val="0"/>
          <w:bCs w:val="0"/>
        </w:rPr>
      </w:pPr>
      <w:r w:rsidRPr="004721FB">
        <w:rPr>
          <w:rStyle w:val="Strong"/>
          <w:b w:val="0"/>
          <w:bCs w:val="0"/>
        </w:rPr>
        <w:t xml:space="preserve">In view of all the above, it is </w:t>
      </w:r>
      <w:r>
        <w:rPr>
          <w:rStyle w:val="Strong"/>
          <w:b w:val="0"/>
          <w:bCs w:val="0"/>
        </w:rPr>
        <w:t>evident</w:t>
      </w:r>
      <w:r w:rsidRPr="004721FB">
        <w:rPr>
          <w:rStyle w:val="Strong"/>
          <w:b w:val="0"/>
          <w:bCs w:val="0"/>
        </w:rPr>
        <w:t xml:space="preserve"> that the real circumstances of the present </w:t>
      </w:r>
      <w:r>
        <w:rPr>
          <w:rStyle w:val="Strong"/>
          <w:b w:val="0"/>
          <w:bCs w:val="0"/>
        </w:rPr>
        <w:t>application</w:t>
      </w:r>
      <w:r w:rsidRPr="004721FB">
        <w:rPr>
          <w:rStyle w:val="Strong"/>
          <w:b w:val="0"/>
          <w:bCs w:val="0"/>
        </w:rPr>
        <w:t>, [fulfil] the necessary conditions for the grant</w:t>
      </w:r>
      <w:r>
        <w:rPr>
          <w:rStyle w:val="Strong"/>
          <w:b w:val="0"/>
          <w:bCs w:val="0"/>
        </w:rPr>
        <w:t>ing</w:t>
      </w:r>
      <w:r w:rsidRPr="004721FB">
        <w:rPr>
          <w:rStyle w:val="Strong"/>
          <w:b w:val="0"/>
          <w:bCs w:val="0"/>
        </w:rPr>
        <w:t xml:space="preserve"> of refugee status provided for in section 3 of the Refugee Law 2000-2009 and the 1951 Geneva Convention.</w:t>
      </w:r>
    </w:p>
    <w:p w:rsidRPr="004721FB" w:rsidR="00FA0835" w:rsidP="00FA0835" w:rsidRDefault="00FA0835">
      <w:pPr>
        <w:pStyle w:val="JuQuot"/>
        <w:rPr>
          <w:rStyle w:val="Strong"/>
          <w:b w:val="0"/>
          <w:bCs w:val="0"/>
        </w:rPr>
      </w:pPr>
      <w:r w:rsidRPr="004721FB">
        <w:rPr>
          <w:rStyle w:val="Strong"/>
          <w:b w:val="0"/>
          <w:bCs w:val="0"/>
        </w:rPr>
        <w:t>The applicant has succeeded in showing a well-founded fear of persecution on the basis of political opinions and should therefore be granted refugee status.</w:t>
      </w:r>
    </w:p>
    <w:p w:rsidRPr="004721FB" w:rsidR="00FA0835" w:rsidP="00FA0835" w:rsidRDefault="00FA0835">
      <w:pPr>
        <w:pStyle w:val="JuQuot"/>
        <w:rPr>
          <w:rStyle w:val="Strong"/>
          <w:b w:val="0"/>
          <w:bCs w:val="0"/>
        </w:rPr>
      </w:pPr>
      <w:r w:rsidRPr="004721FB">
        <w:rPr>
          <w:rStyle w:val="Strong"/>
          <w:b w:val="0"/>
          <w:bCs w:val="0"/>
        </w:rPr>
        <w:t>On the basis of the above, it is decided that [the applicant] be granted refugee status.”</w:t>
      </w:r>
    </w:p>
    <w:p w:rsidRPr="004A2829" w:rsidR="00FA0835" w:rsidP="00FA0835" w:rsidRDefault="00FA0835">
      <w:pPr>
        <w:pStyle w:val="JuPara"/>
      </w:pPr>
      <w:r w:rsidRPr="005B2704">
        <w:fldChar w:fldCharType="begin"/>
      </w:r>
      <w:r w:rsidRPr="005B2704">
        <w:instrText xml:space="preserve"> SEQ level0 \*arabic </w:instrText>
      </w:r>
      <w:r w:rsidRPr="005B2704">
        <w:fldChar w:fldCharType="separate"/>
      </w:r>
      <w:r w:rsidR="00C5470A">
        <w:rPr>
          <w:noProof/>
        </w:rPr>
        <w:t>28</w:t>
      </w:r>
      <w:r w:rsidRPr="005B2704">
        <w:fldChar w:fldCharType="end"/>
      </w:r>
      <w:r w:rsidRPr="005B2704">
        <w:t xml:space="preserve">.  Following the </w:t>
      </w:r>
      <w:r w:rsidRPr="004F6F99">
        <w:t>above decision, on 6 June 2011 the applicant withdrew his recourse</w:t>
      </w:r>
      <w:r>
        <w:t xml:space="preserve"> with the Supreme Court</w:t>
      </w:r>
      <w:r w:rsidRPr="004F6F99">
        <w:t xml:space="preserve"> (see paragraph 23 above).</w:t>
      </w:r>
    </w:p>
    <w:p w:rsidRPr="004A2829" w:rsidR="00FA0835" w:rsidP="00FA0835" w:rsidRDefault="00FA0835">
      <w:pPr>
        <w:pStyle w:val="JuHA"/>
      </w:pPr>
      <w:r>
        <w:t>B.  </w:t>
      </w:r>
      <w:r w:rsidRPr="00244722">
        <w:t>The applicant</w:t>
      </w:r>
      <w:r w:rsidR="00A7319E">
        <w:t>’</w:t>
      </w:r>
      <w:r w:rsidRPr="00244722">
        <w:t>s arrest and detention with a view to deportation</w:t>
      </w:r>
    </w:p>
    <w:p w:rsidR="00FA0835" w:rsidP="00FA0835" w:rsidRDefault="00FA0835">
      <w:pPr>
        <w:pStyle w:val="JuPara"/>
      </w:pPr>
      <w:r>
        <w:fldChar w:fldCharType="begin"/>
      </w:r>
      <w:r>
        <w:instrText xml:space="preserve"> SEQ level0 \*arabic </w:instrText>
      </w:r>
      <w:r>
        <w:fldChar w:fldCharType="separate"/>
      </w:r>
      <w:r w:rsidR="00C5470A">
        <w:rPr>
          <w:noProof/>
        </w:rPr>
        <w:t>29</w:t>
      </w:r>
      <w:r>
        <w:fldChar w:fldCharType="end"/>
      </w:r>
      <w:r>
        <w:t xml:space="preserve">.  On 17 May 2010 the Yekiti Party and other Kurds from Syria organised a demonstration </w:t>
      </w:r>
      <w:r w:rsidRPr="00D063E1">
        <w:t>in Nicosia</w:t>
      </w:r>
      <w:r w:rsidRPr="000F2A65">
        <w:t>, near the Representation of the European Commission, the Ministry of Labour and Social Insurance and the Government Printing Office. They were protesting</w:t>
      </w:r>
      <w:r w:rsidRPr="001F3913">
        <w:t xml:space="preserve"> against the</w:t>
      </w:r>
      <w:r>
        <w:t xml:space="preserve"> restrictive policies of the Cypriot Asylum Service in granting international protection. </w:t>
      </w:r>
      <w:r w:rsidRPr="00043D6F">
        <w:t xml:space="preserve">About </w:t>
      </w:r>
      <w:r>
        <w:t>150</w:t>
      </w:r>
      <w:r w:rsidRPr="00043D6F">
        <w:t xml:space="preserve"> Kurds</w:t>
      </w:r>
      <w:r>
        <w:t xml:space="preserve"> from Syria, including the applicant, remained in the area around the clock, having set up about eighty tents on the pavement. According to the Government, the encampment conditions were unsanitary and protesters were obstructing road and pedestrian traffic. The encampment had become a hazard to public health and created a public nuisance. The protesters performed their daily chores on the </w:t>
      </w:r>
      <w:r w:rsidRPr="00C709A5">
        <w:t xml:space="preserve">pavement, </w:t>
      </w:r>
      <w:r w:rsidRPr="009E2166">
        <w:rPr>
          <w:spacing w:val="-2"/>
        </w:rPr>
        <w:t>including cooking and washing in unsanitary conditions. The sewage pits had</w:t>
      </w:r>
      <w:r w:rsidRPr="007C0BCC">
        <w:t xml:space="preserve"> </w:t>
      </w:r>
      <w:r w:rsidRPr="009E2166">
        <w:rPr>
          <w:spacing w:val="-2"/>
        </w:rPr>
        <w:t>overflown</w:t>
      </w:r>
      <w:r>
        <w:rPr>
          <w:spacing w:val="-2"/>
        </w:rPr>
        <w:t>,</w:t>
      </w:r>
      <w:r w:rsidRPr="009E2166">
        <w:rPr>
          <w:spacing w:val="-2"/>
        </w:rPr>
        <w:t xml:space="preserve"> causing </w:t>
      </w:r>
      <w:r>
        <w:rPr>
          <w:spacing w:val="-2"/>
        </w:rPr>
        <w:t xml:space="preserve">a </w:t>
      </w:r>
      <w:r w:rsidRPr="009E2166">
        <w:rPr>
          <w:spacing w:val="-2"/>
        </w:rPr>
        <w:t>nuisance and offensive odours. The public lavatories were</w:t>
      </w:r>
      <w:r w:rsidRPr="007C0BCC">
        <w:t xml:space="preserve"> dirty and the </w:t>
      </w:r>
      <w:r>
        <w:t>rubbish</w:t>
      </w:r>
      <w:r w:rsidRPr="007C0BCC">
        <w:t xml:space="preserve"> bins of the Government buildings were being used and, as a result, were continuously </w:t>
      </w:r>
      <w:r>
        <w:t>overflowing</w:t>
      </w:r>
      <w:r w:rsidRPr="007C0BCC">
        <w:t>. Further</w:t>
      </w:r>
      <w:r>
        <w:t>more,</w:t>
      </w:r>
      <w:r w:rsidRPr="007C0BCC">
        <w:t xml:space="preserve"> the </w:t>
      </w:r>
      <w:r>
        <w:t>protesters</w:t>
      </w:r>
      <w:r w:rsidRPr="007C0BCC">
        <w:t xml:space="preserve"> </w:t>
      </w:r>
      <w:r w:rsidRPr="009E2166">
        <w:rPr>
          <w:spacing w:val="-2"/>
        </w:rPr>
        <w:t>were unlawfully obtaining electricity from the Printing Office. Members of the</w:t>
      </w:r>
      <w:r>
        <w:t xml:space="preserve"> public who lived or worked in the area had complained to the authorities. </w:t>
      </w:r>
      <w:r w:rsidRPr="00A0254F">
        <w:t xml:space="preserve">The Government submitted that efforts had been made by the authorities to persuade the protesters to leave, but to no avail. As a result, </w:t>
      </w:r>
      <w:r w:rsidRPr="009E2166">
        <w:rPr>
          <w:spacing w:val="-2"/>
        </w:rPr>
        <w:t>the authorities had decided to take action to remove the protesters from the area.</w:t>
      </w:r>
    </w:p>
    <w:p w:rsidRPr="00401109" w:rsidR="00FA0835" w:rsidP="00FA0835" w:rsidRDefault="00FA0835">
      <w:pPr>
        <w:pStyle w:val="JuPara"/>
        <w:rPr>
          <w:rFonts w:ascii="Calibri" w:hAnsi="Calibri"/>
          <w:sz w:val="22"/>
          <w:szCs w:val="22"/>
        </w:rPr>
      </w:pPr>
      <w:r w:rsidRPr="000F2A65">
        <w:fldChar w:fldCharType="begin"/>
      </w:r>
      <w:r w:rsidRPr="000F2A65">
        <w:instrText xml:space="preserve"> SEQ level0 \*arabic </w:instrText>
      </w:r>
      <w:r w:rsidRPr="000F2A65">
        <w:fldChar w:fldCharType="separate"/>
      </w:r>
      <w:r w:rsidR="00C5470A">
        <w:rPr>
          <w:noProof/>
        </w:rPr>
        <w:t>30</w:t>
      </w:r>
      <w:r w:rsidRPr="000F2A65">
        <w:fldChar w:fldCharType="end"/>
      </w:r>
      <w:r w:rsidRPr="000F2A65">
        <w:t>.  On 28 May 2010 instructions were given by the Minister of the Interior to proceed with the deportation of Syrian-Kurdish failed asylum seekers in the normal way.</w:t>
      </w:r>
    </w:p>
    <w:p w:rsidR="00FA0835" w:rsidP="00FA0835" w:rsidRDefault="00FA0835">
      <w:pPr>
        <w:pStyle w:val="JuPara"/>
        <w:rPr>
          <w:rFonts w:ascii="Calibri" w:hAnsi="Calibri"/>
          <w:color w:val="1F497D"/>
          <w:sz w:val="22"/>
          <w:szCs w:val="22"/>
        </w:rPr>
      </w:pPr>
      <w:r>
        <w:fldChar w:fldCharType="begin"/>
      </w:r>
      <w:r>
        <w:instrText xml:space="preserve"> SEQ level0 \*arabic </w:instrText>
      </w:r>
      <w:r>
        <w:fldChar w:fldCharType="separate"/>
      </w:r>
      <w:r w:rsidR="00C5470A">
        <w:rPr>
          <w:noProof/>
        </w:rPr>
        <w:t>31</w:t>
      </w:r>
      <w:r>
        <w:fldChar w:fldCharType="end"/>
      </w:r>
      <w:r>
        <w:t xml:space="preserve">.  On 31 May 2010 the Minister </w:t>
      </w:r>
      <w:r w:rsidRPr="00D27D76">
        <w:t>requested</w:t>
      </w:r>
      <w:r>
        <w:t xml:space="preserve"> </w:t>
      </w:r>
      <w:r w:rsidRPr="00D27D76">
        <w:t xml:space="preserve">the Chief of Police, </w:t>
      </w:r>
      <w:r>
        <w:t xml:space="preserve">among others, </w:t>
      </w:r>
      <w:r w:rsidRPr="00D27D76">
        <w:t xml:space="preserve">to take action </w:t>
      </w:r>
      <w:r>
        <w:t>in order to</w:t>
      </w:r>
      <w:r w:rsidRPr="00D27D76">
        <w:t xml:space="preserve"> implemen</w:t>
      </w:r>
      <w:r>
        <w:t xml:space="preserve">t </w:t>
      </w:r>
      <w:r w:rsidRPr="00D27D76">
        <w:t>his instructions.</w:t>
      </w:r>
      <w:r>
        <w:t xml:space="preserve"> Further, he endorsed suggestions made by the competent authorities</w:t>
      </w:r>
      <w:r w:rsidRPr="004A725B">
        <w:t xml:space="preserve"> that </w:t>
      </w:r>
      <w:r>
        <w:t>deportation and detention orders</w:t>
      </w:r>
      <w:r w:rsidRPr="004A725B">
        <w:t xml:space="preserve"> be issued against </w:t>
      </w:r>
      <w:r>
        <w:t>Syrian-</w:t>
      </w:r>
      <w:r w:rsidRPr="004A725B">
        <w:t xml:space="preserve">Kurdish failed asylum seekers who had passports and did not have Ajanib or Maktoumeen status and that the police execute the orders starting </w:t>
      </w:r>
      <w:r>
        <w:t>with</w:t>
      </w:r>
      <w:r w:rsidRPr="004A725B">
        <w:t xml:space="preserve"> the ones issued against the leaders of the </w:t>
      </w:r>
      <w:r>
        <w:t>protesters</w:t>
      </w:r>
      <w:r w:rsidRPr="004A725B">
        <w:t>. The police were also directed to take into account the policy guidelines and to use discreet methods of arrest.</w:t>
      </w:r>
    </w:p>
    <w:p w:rsidR="00FA0835" w:rsidP="00FA0835" w:rsidRDefault="00FA0835">
      <w:pPr>
        <w:pStyle w:val="JuPara"/>
      </w:pPr>
      <w:r w:rsidRPr="00B624B9">
        <w:fldChar w:fldCharType="begin"/>
      </w:r>
      <w:r w:rsidRPr="00B624B9">
        <w:instrText xml:space="preserve"> SEQ level0 \*arabic </w:instrText>
      </w:r>
      <w:r w:rsidRPr="00B624B9">
        <w:fldChar w:fldCharType="separate"/>
      </w:r>
      <w:r w:rsidR="00C5470A">
        <w:rPr>
          <w:noProof/>
        </w:rPr>
        <w:t>32</w:t>
      </w:r>
      <w:r w:rsidRPr="00B624B9">
        <w:fldChar w:fldCharType="end"/>
      </w:r>
      <w:r>
        <w:t>.  </w:t>
      </w:r>
      <w:r w:rsidRPr="00B624B9">
        <w:t>According to the Government</w:t>
      </w:r>
      <w:r>
        <w:t>,</w:t>
      </w:r>
      <w:r w:rsidRPr="00B624B9">
        <w:t xml:space="preserve"> letters </w:t>
      </w:r>
      <w:r w:rsidRPr="002D5CE2">
        <w:t>were se</w:t>
      </w:r>
      <w:r>
        <w:t xml:space="preserve">nt by </w:t>
      </w:r>
      <w:r w:rsidRPr="002D5CE2">
        <w:t>the Civil Registry and Migration Department</w:t>
      </w:r>
      <w:r>
        <w:t xml:space="preserve"> to a number of failed Syrian-</w:t>
      </w:r>
      <w:r w:rsidRPr="002D5CE2">
        <w:t>Kurdish asylum</w:t>
      </w:r>
      <w:r>
        <w:t>-</w:t>
      </w:r>
      <w:r w:rsidRPr="002D5CE2">
        <w:t>seekers informing them that they had to</w:t>
      </w:r>
      <w:r>
        <w:t xml:space="preserve"> make arrangements to leave </w:t>
      </w:r>
      <w:r w:rsidRPr="00B624B9">
        <w:t xml:space="preserve">Cyprus in view of </w:t>
      </w:r>
      <w:r>
        <w:t>their asylum applications being turned down</w:t>
      </w:r>
      <w:r w:rsidRPr="00B624B9">
        <w:t>. The Government submitted</w:t>
      </w:r>
      <w:r>
        <w:t xml:space="preserve"> copies of thirty such letters. </w:t>
      </w:r>
      <w:r w:rsidRPr="00963C9A">
        <w:t xml:space="preserve">In thirteen cases the letters were dated 1 June 2010 (in some the asylum decisions having been taken as far back as 2007) and in one case 9 June 2010 (the asylum decision procedure having been completed at the end of 2009). Two other letters </w:t>
      </w:r>
      <w:r>
        <w:t>were dated 16 </w:t>
      </w:r>
      <w:r w:rsidRPr="00963C9A">
        <w:t>June 2010 (the asylum procedures having been completed in early 2008) and 28 June 2010 (the asylum procedures having been completed in March</w:t>
      </w:r>
      <w:r>
        <w:t xml:space="preserve"> </w:t>
      </w:r>
      <w:r w:rsidRPr="00963C9A">
        <w:t xml:space="preserve">2010). Further, one letter was dated 5 February 2011 in a case where the asylum procedure had been completed on 22 April 2010 and the person in question had voluntarily agreed </w:t>
      </w:r>
      <w:r>
        <w:t xml:space="preserve">and did </w:t>
      </w:r>
      <w:r w:rsidRPr="00963C9A">
        <w:t>return to Syria on 24 September</w:t>
      </w:r>
      <w:r>
        <w:t xml:space="preserve"> </w:t>
      </w:r>
      <w:r w:rsidRPr="00963C9A">
        <w:t>2010.</w:t>
      </w:r>
    </w:p>
    <w:p w:rsidRPr="00B624B9" w:rsidR="00FA0835" w:rsidP="00FA0835" w:rsidRDefault="00FA0835">
      <w:pPr>
        <w:pStyle w:val="JuPara"/>
        <w:rPr>
          <w:rFonts w:ascii="Calibri" w:hAnsi="Calibri"/>
          <w:color w:val="1F497D"/>
          <w:sz w:val="22"/>
          <w:szCs w:val="22"/>
        </w:rPr>
      </w:pPr>
      <w:r>
        <w:fldChar w:fldCharType="begin"/>
      </w:r>
      <w:r>
        <w:instrText xml:space="preserve"> SEQ level0 \*arabic </w:instrText>
      </w:r>
      <w:r>
        <w:fldChar w:fldCharType="separate"/>
      </w:r>
      <w:r w:rsidR="00C5470A">
        <w:rPr>
          <w:noProof/>
        </w:rPr>
        <w:t>33</w:t>
      </w:r>
      <w:r>
        <w:fldChar w:fldCharType="end"/>
      </w:r>
      <w:r>
        <w:t>.  From documents submitted by the Government it appears that from 31 May until 7 June 2010 the authorities kept the area under surveillance and kept a record of the protesters</w:t>
      </w:r>
      <w:r w:rsidR="00A7319E">
        <w:t>’</w:t>
      </w:r>
      <w:r>
        <w:t xml:space="preserve"> daily activities and of all comings and goings</w:t>
      </w:r>
      <w:r w:rsidRPr="00906400">
        <w:t xml:space="preserve">. </w:t>
      </w:r>
      <w:r w:rsidRPr="005B2704">
        <w:t>In the relevant records it is noted that</w:t>
      </w:r>
      <w:r>
        <w:t xml:space="preserve"> invariably</w:t>
      </w:r>
      <w:r w:rsidRPr="005B2704">
        <w:t>, between</w:t>
      </w:r>
      <w:r>
        <w:t xml:space="preserve"> 1.30 </w:t>
      </w:r>
      <w:r w:rsidRPr="005B2704">
        <w:t>a.m. and</w:t>
      </w:r>
      <w:r>
        <w:t xml:space="preserve"> 5.</w:t>
      </w:r>
      <w:r w:rsidRPr="005B2704">
        <w:t>30</w:t>
      </w:r>
      <w:r>
        <w:t> </w:t>
      </w:r>
      <w:r w:rsidRPr="005B2704">
        <w:t xml:space="preserve">a.m., things were, in general, quiet, and everyone was sleeping apart from </w:t>
      </w:r>
      <w:r>
        <w:t>those</w:t>
      </w:r>
      <w:r w:rsidRPr="005B2704">
        <w:t xml:space="preserve"> keeping guard.</w:t>
      </w:r>
      <w:r>
        <w:t xml:space="preserve"> During the above-mentioned period </w:t>
      </w:r>
      <w:r w:rsidRPr="00B74296">
        <w:t>a</w:t>
      </w:r>
      <w:r>
        <w:t xml:space="preserve"> large-scale</w:t>
      </w:r>
      <w:r w:rsidRPr="00B74296">
        <w:t xml:space="preserve"> operation </w:t>
      </w:r>
      <w:r>
        <w:t xml:space="preserve">was </w:t>
      </w:r>
      <w:r w:rsidRPr="00B74296">
        <w:t>organised by the</w:t>
      </w:r>
      <w:r w:rsidRPr="00B74296">
        <w:rPr>
          <w:rStyle w:val="sb8d990e2"/>
        </w:rPr>
        <w:t xml:space="preserve"> </w:t>
      </w:r>
      <w:r>
        <w:rPr>
          <w:rStyle w:val="sb8d990e2"/>
        </w:rPr>
        <w:t xml:space="preserve">Police Emergency Response Unit, “ERU” </w:t>
      </w:r>
      <w:r w:rsidRPr="00B74296">
        <w:rPr>
          <w:rStyle w:val="sb8d990e2"/>
        </w:rPr>
        <w:t>(“</w:t>
      </w:r>
      <w:r>
        <w:rPr>
          <w:rStyle w:val="s6b621b36"/>
          <w:lang w:val="el-GR"/>
        </w:rPr>
        <w:t>ΜΜΑΔ</w:t>
      </w:r>
      <w:r w:rsidRPr="00B74296">
        <w:rPr>
          <w:rStyle w:val="sb8d990e2"/>
        </w:rPr>
        <w:t>”)</w:t>
      </w:r>
      <w:r>
        <w:rPr>
          <w:rStyle w:val="sb8d990e2"/>
        </w:rPr>
        <w:t>,</w:t>
      </w:r>
      <w:r w:rsidRPr="00B74296">
        <w:rPr>
          <w:rStyle w:val="sb8d990e2"/>
        </w:rPr>
        <w:t xml:space="preserve"> </w:t>
      </w:r>
      <w:r>
        <w:rPr>
          <w:rStyle w:val="sb8d990e2"/>
        </w:rPr>
        <w:t>and a number of other authorities, including the</w:t>
      </w:r>
      <w:r w:rsidRPr="00F77109">
        <w:t xml:space="preserve"> </w:t>
      </w:r>
      <w:r w:rsidRPr="00B74296">
        <w:t>Police Aliens and Immigration Unit</w:t>
      </w:r>
      <w:r>
        <w:t xml:space="preserve">, for the removal of the protesters and their transfer to the ERU </w:t>
      </w:r>
      <w:r w:rsidRPr="00B74296">
        <w:t>headquarters for the purpose of ascertaining their status on a case-by-case basis</w:t>
      </w:r>
      <w:r>
        <w:t>.</w:t>
      </w:r>
    </w:p>
    <w:p w:rsidR="00FA0835" w:rsidP="00FA0835" w:rsidRDefault="00FA0835">
      <w:pPr>
        <w:pStyle w:val="JuPara"/>
      </w:pPr>
      <w:r w:rsidRPr="00401109">
        <w:fldChar w:fldCharType="begin"/>
      </w:r>
      <w:r w:rsidRPr="00401109">
        <w:instrText xml:space="preserve"> SEQ level0 \*arabic </w:instrText>
      </w:r>
      <w:r w:rsidRPr="00401109">
        <w:fldChar w:fldCharType="separate"/>
      </w:r>
      <w:r w:rsidR="00C5470A">
        <w:rPr>
          <w:noProof/>
        </w:rPr>
        <w:t>34</w:t>
      </w:r>
      <w:r w:rsidRPr="00401109">
        <w:fldChar w:fldCharType="end"/>
      </w:r>
      <w:r w:rsidRPr="00401109">
        <w:t xml:space="preserve">.  In the meantime, </w:t>
      </w:r>
      <w:r w:rsidRPr="000F2A65">
        <w:t>between 28 May 2010 and 2 June 2010 orders for the detention and deportation of forty-five failed asylum seekers were issued following background check</w:t>
      </w:r>
      <w:r>
        <w:t>s</w:t>
      </w:r>
      <w:r w:rsidRPr="000F2A65">
        <w:t>.</w:t>
      </w:r>
      <w:r>
        <w:t xml:space="preserve"> L</w:t>
      </w:r>
      <w:r w:rsidRPr="000F2A65">
        <w:t xml:space="preserve">etters were sent by the </w:t>
      </w:r>
      <w:r w:rsidRPr="000F2A65">
        <w:rPr>
          <w:rStyle w:val="sb8d990e2"/>
        </w:rPr>
        <w:t>District Aliens and Immigration Branch of the Nicosia Police</w:t>
      </w:r>
      <w:r w:rsidRPr="000F2A65">
        <w:t xml:space="preserve"> to the Director of the Aliens and Immigration Service and the Ministry of Justice and Public Order, containing a short paragraph with information as to the immigration status of each person. This information included the date of rejection of the asylum application or the closure of the asylum file by the Asylum Service, the date of dismissal of the appeal by the Reviewing Authority</w:t>
      </w:r>
      <w:r>
        <w:t>,</w:t>
      </w:r>
      <w:r w:rsidRPr="000F2A65">
        <w:t xml:space="preserve"> where lodged</w:t>
      </w:r>
      <w:r>
        <w:t>,</w:t>
      </w:r>
      <w:r w:rsidRPr="000F2A65">
        <w:t xml:space="preserve"> and the date some of </w:t>
      </w:r>
      <w:r>
        <w:t>those</w:t>
      </w:r>
      <w:r w:rsidRPr="000F2A65">
        <w:t xml:space="preserve"> concerned had been included on the authorities</w:t>
      </w:r>
      <w:r w:rsidR="00A7319E">
        <w:t>’</w:t>
      </w:r>
      <w:r w:rsidRPr="000F2A65">
        <w:t xml:space="preserve"> “stop list”</w:t>
      </w:r>
      <w:r>
        <w:t xml:space="preserve"> (a register of individuals whose entry into and exit from Cyprus is banned or subject to monitoring)</w:t>
      </w:r>
      <w:r w:rsidRPr="000F2A65">
        <w:t>. The letters recommended the issuance of deportation and detention orders. The Government submitted copies of two such letters with information concerning thirteen pe</w:t>
      </w:r>
      <w:r>
        <w:t>ople</w:t>
      </w:r>
      <w:r w:rsidRPr="000F2A65">
        <w:t>.</w:t>
      </w:r>
    </w:p>
    <w:p w:rsidR="00FA0835" w:rsidP="00FA0835" w:rsidRDefault="00FA0835">
      <w:pPr>
        <w:pStyle w:val="JuPara"/>
      </w:pPr>
      <w:r w:rsidRPr="000D0FE9">
        <w:fldChar w:fldCharType="begin"/>
      </w:r>
      <w:r w:rsidRPr="000D0FE9">
        <w:instrText xml:space="preserve"> SEQ level0 \*arabic </w:instrText>
      </w:r>
      <w:r w:rsidRPr="000D0FE9">
        <w:fldChar w:fldCharType="separate"/>
      </w:r>
      <w:r w:rsidR="00C5470A">
        <w:rPr>
          <w:noProof/>
        </w:rPr>
        <w:t>35</w:t>
      </w:r>
      <w:r w:rsidRPr="000D0FE9">
        <w:fldChar w:fldCharType="end"/>
      </w:r>
      <w:r w:rsidRPr="000D0FE9">
        <w:t xml:space="preserve">.  On </w:t>
      </w:r>
      <w:r>
        <w:t>2 June 2010</w:t>
      </w:r>
      <w:r w:rsidRPr="0028175B">
        <w:rPr>
          <w:rStyle w:val="sb8d990e2"/>
        </w:rPr>
        <w:t>,</w:t>
      </w:r>
      <w:r>
        <w:t xml:space="preserve"> letters were also prepared</w:t>
      </w:r>
      <w:r w:rsidRPr="007A4AB1">
        <w:t xml:space="preserve"> </w:t>
      </w:r>
      <w:r w:rsidRPr="0028175B">
        <w:rPr>
          <w:rStyle w:val="sb8d990e2"/>
        </w:rPr>
        <w:t>in English by the Civil Registry and</w:t>
      </w:r>
      <w:r>
        <w:rPr>
          <w:rStyle w:val="sb8d990e2"/>
        </w:rPr>
        <w:t xml:space="preserve"> Migration Department informing those concerned </w:t>
      </w:r>
      <w:r w:rsidRPr="0028175B">
        <w:rPr>
          <w:rStyle w:val="sb8d990e2"/>
        </w:rPr>
        <w:t xml:space="preserve">of the decision to </w:t>
      </w:r>
      <w:r>
        <w:rPr>
          <w:rStyle w:val="sb8d990e2"/>
        </w:rPr>
        <w:t xml:space="preserve">detain and </w:t>
      </w:r>
      <w:r w:rsidRPr="0028175B">
        <w:rPr>
          <w:rStyle w:val="sb8d990e2"/>
        </w:rPr>
        <w:t xml:space="preserve">deport </w:t>
      </w:r>
      <w:r>
        <w:rPr>
          <w:rStyle w:val="sb8d990e2"/>
        </w:rPr>
        <w:t>them</w:t>
      </w:r>
      <w:r w:rsidRPr="0028175B">
        <w:rPr>
          <w:rStyle w:val="sb8d990e2"/>
        </w:rPr>
        <w:t>.</w:t>
      </w:r>
      <w:r>
        <w:rPr>
          <w:rStyle w:val="sb8d990e2"/>
        </w:rPr>
        <w:t xml:space="preserve"> </w:t>
      </w:r>
      <w:r w:rsidRPr="003B7AA0">
        <w:t xml:space="preserve">The Government submitted that, at the time, the authorities </w:t>
      </w:r>
      <w:r>
        <w:t>did not know whether</w:t>
      </w:r>
      <w:r w:rsidRPr="003B7AA0">
        <w:t xml:space="preserve"> th</w:t>
      </w:r>
      <w:r>
        <w:t>o</w:t>
      </w:r>
      <w:r w:rsidRPr="003B7AA0">
        <w:t xml:space="preserve">se </w:t>
      </w:r>
      <w:r>
        <w:t>individuals</w:t>
      </w:r>
      <w:r w:rsidRPr="003B7AA0">
        <w:t xml:space="preserve"> were among the </w:t>
      </w:r>
      <w:r>
        <w:t>protesters</w:t>
      </w:r>
      <w:r w:rsidRPr="003B7AA0">
        <w:t>.</w:t>
      </w:r>
    </w:p>
    <w:p w:rsidR="00FA0835" w:rsidP="00FA0835" w:rsidRDefault="00FA0835">
      <w:pPr>
        <w:pStyle w:val="JuPara"/>
      </w:pPr>
      <w:r>
        <w:fldChar w:fldCharType="begin"/>
      </w:r>
      <w:r>
        <w:instrText xml:space="preserve"> SEQ level0 \*arabic </w:instrText>
      </w:r>
      <w:r>
        <w:fldChar w:fldCharType="separate"/>
      </w:r>
      <w:r w:rsidR="00C5470A">
        <w:rPr>
          <w:noProof/>
        </w:rPr>
        <w:t>36</w:t>
      </w:r>
      <w:r>
        <w:fldChar w:fldCharType="end"/>
      </w:r>
      <w:r>
        <w:t xml:space="preserve">.  The removal operation was carried out on </w:t>
      </w:r>
      <w:r w:rsidRPr="00B74296">
        <w:t xml:space="preserve">11 </w:t>
      </w:r>
      <w:r>
        <w:t xml:space="preserve">June 2010, between approximately 3 a.m. and 5 a.m. with the participation </w:t>
      </w:r>
      <w:r w:rsidRPr="00900FC8">
        <w:t xml:space="preserve">of about </w:t>
      </w:r>
      <w:r>
        <w:t>250</w:t>
      </w:r>
      <w:r w:rsidRPr="00900FC8">
        <w:t xml:space="preserve"> </w:t>
      </w:r>
      <w:r>
        <w:t xml:space="preserve">officers </w:t>
      </w:r>
      <w:r w:rsidRPr="00900FC8">
        <w:t>from the Police Aliens and Immigration</w:t>
      </w:r>
      <w:r>
        <w:t xml:space="preserve"> Unit, the ERU, the Nicosia District Police Division, the Traffic Division, the Fire Service and the Office for Combating Discrimination of the Cyprus Police Headquarters. </w:t>
      </w:r>
      <w:r w:rsidRPr="00B74296">
        <w:t xml:space="preserve">The </w:t>
      </w:r>
      <w:r>
        <w:t>protesters</w:t>
      </w:r>
      <w:r w:rsidRPr="00B74296">
        <w:t xml:space="preserve">, including the applicant, were led </w:t>
      </w:r>
      <w:r>
        <w:t xml:space="preserve">to </w:t>
      </w:r>
      <w:r w:rsidRPr="00B74296">
        <w:t>buses</w:t>
      </w:r>
      <w:r>
        <w:t xml:space="preserve">, apparently without </w:t>
      </w:r>
      <w:r w:rsidRPr="00900FC8">
        <w:t>any reaction or</w:t>
      </w:r>
      <w:r>
        <w:t xml:space="preserve"> resistance on their part.</w:t>
      </w:r>
      <w:r w:rsidRPr="00C80D61">
        <w:t xml:space="preserve"> </w:t>
      </w:r>
      <w:r>
        <w:t>At 3.22 a.m. the mini buses carrying</w:t>
      </w:r>
      <w:r w:rsidRPr="0030756A">
        <w:t xml:space="preserve"> the male protesters</w:t>
      </w:r>
      <w:r w:rsidRPr="00110C34">
        <w:t xml:space="preserve"> </w:t>
      </w:r>
      <w:r w:rsidRPr="0030756A">
        <w:t>left. The women, children and babies followed at 3.35 a.m. A total of 149 pe</w:t>
      </w:r>
      <w:r>
        <w:t>ople</w:t>
      </w:r>
      <w:r w:rsidRPr="0030756A">
        <w:t xml:space="preserve"> were located at the place of protest and were transferred to the </w:t>
      </w:r>
      <w:r>
        <w:t>ERU</w:t>
      </w:r>
      <w:r w:rsidRPr="0030756A">
        <w:t xml:space="preserve"> headquarters: eighty-seven</w:t>
      </w:r>
      <w:r w:rsidRPr="003824DB">
        <w:t xml:space="preserve"> men, </w:t>
      </w:r>
      <w:r>
        <w:t>twenty-two</w:t>
      </w:r>
      <w:r w:rsidRPr="003824DB">
        <w:t xml:space="preserve"> women and </w:t>
      </w:r>
      <w:r>
        <w:t xml:space="preserve">forty </w:t>
      </w:r>
      <w:r w:rsidRPr="003824DB">
        <w:t>children. Upon arrival</w:t>
      </w:r>
      <w:r>
        <w:t>,</w:t>
      </w:r>
      <w:r w:rsidRPr="003824DB">
        <w:t xml:space="preserve"> registration took place and the</w:t>
      </w:r>
      <w:r>
        <w:t xml:space="preserve"> status of each person was examined using computers which had been specially installed the day before. </w:t>
      </w:r>
      <w:r w:rsidRPr="00AF14C5">
        <w:t xml:space="preserve">The Government </w:t>
      </w:r>
      <w:r w:rsidRPr="002D5CE2">
        <w:t>submitted that</w:t>
      </w:r>
      <w:r w:rsidRPr="00AF14C5">
        <w:t xml:space="preserve"> during this period the </w:t>
      </w:r>
      <w:r>
        <w:t>protesters</w:t>
      </w:r>
      <w:r w:rsidRPr="00AF14C5">
        <w:t xml:space="preserve"> </w:t>
      </w:r>
      <w:r>
        <w:t>had not been</w:t>
      </w:r>
      <w:r w:rsidRPr="00AF14C5">
        <w:t xml:space="preserve"> handcuffed or put in cells but </w:t>
      </w:r>
      <w:r>
        <w:t>had been</w:t>
      </w:r>
      <w:r w:rsidRPr="00AF14C5">
        <w:t xml:space="preserve"> </w:t>
      </w:r>
      <w:r>
        <w:t>assembled</w:t>
      </w:r>
      <w:r w:rsidRPr="00AF14C5">
        <w:t xml:space="preserve"> in rooms and </w:t>
      </w:r>
      <w:r>
        <w:t>given food and drink</w:t>
      </w:r>
      <w:r w:rsidRPr="00AF14C5">
        <w:t>.</w:t>
      </w:r>
      <w:r>
        <w:t xml:space="preserve"> It appears from the documents submitted by the Government that by 6.40 a.m. the identification of approximately half of the group had been completed and that the whole operation had ended by 4.30 p.m.</w:t>
      </w:r>
    </w:p>
    <w:p w:rsidR="00FA0835" w:rsidP="00FA0835" w:rsidRDefault="00FA0835">
      <w:pPr>
        <w:pStyle w:val="JuPara"/>
      </w:pPr>
      <w:r>
        <w:fldChar w:fldCharType="begin"/>
      </w:r>
      <w:r>
        <w:instrText xml:space="preserve"> SEQ level0 \*arabic </w:instrText>
      </w:r>
      <w:r>
        <w:fldChar w:fldCharType="separate"/>
      </w:r>
      <w:r w:rsidR="00C5470A">
        <w:rPr>
          <w:noProof/>
        </w:rPr>
        <w:t>37</w:t>
      </w:r>
      <w:r>
        <w:fldChar w:fldCharType="end"/>
      </w:r>
      <w:r>
        <w:t>.  It was ascertained that seventy-six of the adults, along with their thirty children, were in the Republic unlawfully. Their asylum applications had either been dismissed or their files closed for failure to attend interviews. Those who had appealed to the Reviewing Authority had had their appeals dismissed</w:t>
      </w:r>
      <w:r w:rsidRPr="00556ABE">
        <w:t xml:space="preserve">. Some final decisions dated back to 2006. A number of </w:t>
      </w:r>
      <w:r>
        <w:t>people</w:t>
      </w:r>
      <w:r w:rsidRPr="00556ABE">
        <w:t xml:space="preserve"> had also been included on the authorities</w:t>
      </w:r>
      <w:r w:rsidR="00A7319E">
        <w:t>’</w:t>
      </w:r>
      <w:r w:rsidRPr="00556ABE">
        <w:t xml:space="preserve"> “</w:t>
      </w:r>
      <w:r w:rsidRPr="000E2ADA">
        <w:t>stop list</w:t>
      </w:r>
      <w:r w:rsidRPr="00556ABE">
        <w:t>”.</w:t>
      </w:r>
      <w:r>
        <w:rPr>
          <w:rFonts w:ascii="Calibri" w:hAnsi="Calibri"/>
          <w:color w:val="1F497D"/>
          <w:sz w:val="22"/>
          <w:szCs w:val="22"/>
        </w:rPr>
        <w:t xml:space="preserve"> </w:t>
      </w:r>
      <w:r>
        <w:t xml:space="preserve">Deportation orders had already been issued for twenty-three </w:t>
      </w:r>
      <w:r w:rsidRPr="00060D7D">
        <w:t>o</w:t>
      </w:r>
      <w:r>
        <w:t xml:space="preserve">f them (see paragraph 34 </w:t>
      </w:r>
      <w:r w:rsidRPr="000B2493">
        <w:t>above).</w:t>
      </w:r>
    </w:p>
    <w:p w:rsidR="00FA0835" w:rsidP="00FA0835" w:rsidRDefault="00FA0835">
      <w:pPr>
        <w:pStyle w:val="JuPara"/>
      </w:pPr>
      <w:r w:rsidRPr="000B2493">
        <w:fldChar w:fldCharType="begin"/>
      </w:r>
      <w:r w:rsidRPr="000B2493">
        <w:instrText xml:space="preserve"> SEQ level0 \*arabic </w:instrText>
      </w:r>
      <w:r w:rsidRPr="000B2493">
        <w:fldChar w:fldCharType="separate"/>
      </w:r>
      <w:r w:rsidR="00C5470A">
        <w:rPr>
          <w:noProof/>
        </w:rPr>
        <w:t>38</w:t>
      </w:r>
      <w:r w:rsidRPr="000B2493">
        <w:fldChar w:fldCharType="end"/>
      </w:r>
      <w:r w:rsidRPr="000B2493">
        <w:t>.  The authorities deported twenty-two pe</w:t>
      </w:r>
      <w:r>
        <w:t>ople</w:t>
      </w:r>
      <w:r w:rsidRPr="000B2493">
        <w:t xml:space="preserve"> on the same day at</w:t>
      </w:r>
      <w:r>
        <w:t xml:space="preserve"> around 6.30 p.m. (nineteen adults and three children</w:t>
      </w:r>
      <w:r w:rsidRPr="00A0254F">
        <w:t>). Forty-four pe</w:t>
      </w:r>
      <w:r>
        <w:t>ople</w:t>
      </w:r>
      <w:r w:rsidRPr="00A0254F">
        <w:t xml:space="preserve"> (forty-two men and two women), including the applicant, were</w:t>
      </w:r>
      <w:r>
        <w:t xml:space="preserve"> </w:t>
      </w:r>
      <w:r w:rsidRPr="00EF3C38">
        <w:t>charged with the criminal offence of unlawful stay in the Republic under</w:t>
      </w:r>
      <w:r>
        <w:t xml:space="preserve"> s</w:t>
      </w:r>
      <w:r w:rsidRPr="00EF3C38">
        <w:t xml:space="preserve">ection 19(2) of the Aliens and Immigration </w:t>
      </w:r>
      <w:r w:rsidRPr="000B2493">
        <w:t>Law (see paragraph 6</w:t>
      </w:r>
      <w:r>
        <w:t>5</w:t>
      </w:r>
      <w:r w:rsidRPr="000B2493">
        <w:t xml:space="preserve"> below).</w:t>
      </w:r>
      <w:r>
        <w:t xml:space="preserve"> They were arrested and transferred to various detention centres in Cyprus.</w:t>
      </w:r>
      <w:r w:rsidRPr="00914052">
        <w:t xml:space="preserve"> </w:t>
      </w:r>
      <w:r w:rsidRPr="00041FBB">
        <w:t>The applicant was placed in the</w:t>
      </w:r>
      <w:r>
        <w:t xml:space="preserve"> </w:t>
      </w:r>
      <w:r>
        <w:rPr>
          <w:rStyle w:val="sb8d990e2"/>
        </w:rPr>
        <w:t>immigration detention facilities in the Nicosia Central Prisons (</w:t>
      </w:r>
      <w:r w:rsidRPr="00EF3C38">
        <w:t xml:space="preserve">Block 10). </w:t>
      </w:r>
      <w:r w:rsidRPr="00591843">
        <w:t>All those who were found to be legally resid</w:t>
      </w:r>
      <w:r>
        <w:t>ent</w:t>
      </w:r>
      <w:r w:rsidRPr="00591843">
        <w:t xml:space="preserve"> in the Republic returned to their </w:t>
      </w:r>
      <w:r w:rsidRPr="005B77C9">
        <w:t>homes. Further, on humanitarian grounds, thirteen women whose husbands were detained pending deportation and who had a total of twenty-seven children between them were not arrested</w:t>
      </w:r>
      <w:r w:rsidRPr="00BC0B4E">
        <w:t xml:space="preserve"> </w:t>
      </w:r>
      <w:r w:rsidRPr="005B77C9">
        <w:t>themselves.</w:t>
      </w:r>
    </w:p>
    <w:p w:rsidR="00FA0835" w:rsidP="00FA0835" w:rsidRDefault="00FA0835">
      <w:pPr>
        <w:pStyle w:val="JuPara"/>
      </w:pPr>
      <w:r w:rsidRPr="001D5AEC">
        <w:fldChar w:fldCharType="begin"/>
      </w:r>
      <w:r w:rsidRPr="001D5AEC">
        <w:instrText xml:space="preserve"> SEQ level0 \*arabic </w:instrText>
      </w:r>
      <w:r w:rsidRPr="001D5AEC">
        <w:fldChar w:fldCharType="separate"/>
      </w:r>
      <w:r w:rsidR="00C5470A">
        <w:rPr>
          <w:noProof/>
        </w:rPr>
        <w:t>39</w:t>
      </w:r>
      <w:r w:rsidRPr="001D5AEC">
        <w:fldChar w:fldCharType="end"/>
      </w:r>
      <w:r w:rsidRPr="001D5AEC">
        <w:t>.  According to the Government the applicant</w:t>
      </w:r>
      <w:r>
        <w:t xml:space="preserve"> and his co-detainees </w:t>
      </w:r>
      <w:r w:rsidRPr="00A0254F">
        <w:t>were i</w:t>
      </w:r>
      <w:r w:rsidRPr="001D5AEC">
        <w:t xml:space="preserve">nformed orally that </w:t>
      </w:r>
      <w:r>
        <w:t xml:space="preserve">they </w:t>
      </w:r>
      <w:r w:rsidRPr="001D5AEC">
        <w:t xml:space="preserve">had been arrested and detained on the basis that </w:t>
      </w:r>
      <w:r>
        <w:t>they had been</w:t>
      </w:r>
      <w:r w:rsidRPr="001D5AEC">
        <w:t xml:space="preserve"> staying in the Republic unlawfully and </w:t>
      </w:r>
      <w:r>
        <w:t>were</w:t>
      </w:r>
      <w:r w:rsidRPr="001D5AEC">
        <w:t xml:space="preserve"> thus </w:t>
      </w:r>
      <w:r>
        <w:t>“</w:t>
      </w:r>
      <w:r w:rsidRPr="001D5AEC">
        <w:t>prohibited immigrant</w:t>
      </w:r>
      <w:r>
        <w:t>s” (see § 62 below)</w:t>
      </w:r>
      <w:r w:rsidRPr="001D5AEC">
        <w:t xml:space="preserve">. </w:t>
      </w:r>
      <w:r w:rsidRPr="00A0254F">
        <w:t xml:space="preserve">They were also informed of their rights pursuant to the Rights of Persons Arrested and Detained Law </w:t>
      </w:r>
      <w:r w:rsidRPr="003B158F">
        <w:t>2005 (Law no. 163(I)/of 2005) (see paragraph 9</w:t>
      </w:r>
      <w:r>
        <w:t>3</w:t>
      </w:r>
      <w:r w:rsidRPr="003B158F">
        <w:t xml:space="preserve"> below) and, in particular, </w:t>
      </w:r>
      <w:r>
        <w:t xml:space="preserve">of </w:t>
      </w:r>
      <w:r w:rsidRPr="003B158F">
        <w:t>their</w:t>
      </w:r>
      <w:r w:rsidRPr="001D5AEC">
        <w:t xml:space="preserve"> right to contact by phone, in person and in private, a lawyer of </w:t>
      </w:r>
      <w:r>
        <w:t xml:space="preserve">their </w:t>
      </w:r>
      <w:r w:rsidRPr="001D5AEC">
        <w:t>own choice.</w:t>
      </w:r>
      <w:r>
        <w:t xml:space="preserve"> The applicant submitted</w:t>
      </w:r>
      <w:r w:rsidRPr="00B03192">
        <w:t xml:space="preserve"> that he </w:t>
      </w:r>
      <w:r>
        <w:t xml:space="preserve">had </w:t>
      </w:r>
      <w:r w:rsidRPr="00B03192">
        <w:t xml:space="preserve">not </w:t>
      </w:r>
      <w:r>
        <w:t xml:space="preserve">been </w:t>
      </w:r>
      <w:r w:rsidRPr="00B03192">
        <w:t xml:space="preserve">informed of the reasons </w:t>
      </w:r>
      <w:r>
        <w:t xml:space="preserve">for </w:t>
      </w:r>
      <w:r w:rsidRPr="00A0254F">
        <w:t>his arrest and detention on that</w:t>
      </w:r>
      <w:r w:rsidRPr="00B03192">
        <w:t xml:space="preserve"> date.</w:t>
      </w:r>
    </w:p>
    <w:p w:rsidR="00FA0835" w:rsidP="00FA0835" w:rsidRDefault="00FA0835">
      <w:pPr>
        <w:pStyle w:val="JuPara"/>
      </w:pPr>
      <w:r w:rsidRPr="000F2A65">
        <w:fldChar w:fldCharType="begin"/>
      </w:r>
      <w:r w:rsidRPr="000F2A65">
        <w:instrText xml:space="preserve"> SEQ level0 \*arabic </w:instrText>
      </w:r>
      <w:r w:rsidRPr="000F2A65">
        <w:fldChar w:fldCharType="separate"/>
      </w:r>
      <w:r w:rsidR="00C5470A">
        <w:rPr>
          <w:noProof/>
        </w:rPr>
        <w:t>40</w:t>
      </w:r>
      <w:r w:rsidRPr="000F2A65">
        <w:fldChar w:fldCharType="end"/>
      </w:r>
      <w:r w:rsidRPr="000F2A65">
        <w:t xml:space="preserve">.  On the same day letters were sent by the </w:t>
      </w:r>
      <w:r w:rsidRPr="000F2A65">
        <w:rPr>
          <w:rStyle w:val="sb8d990e2"/>
        </w:rPr>
        <w:t>District Aliens and Immigration Branch of the Nicosia Police</w:t>
      </w:r>
      <w:r w:rsidRPr="000F2A65">
        <w:t xml:space="preserve"> to the Director of the Aliens and Immigration Service and the Ministry of Justice and Public Order, recommending the issuance of deportation and detention orders. The letters contained a short paragraph in respect of each person with information as to his or her immigration status. This included the date of rejection of the asylum application or the closure of the asylum file by the Asylum Service and the date of dismissal of the appeal by the Reviewing Authority where lodged. Some letters also referred to the date the asylum application had been </w:t>
      </w:r>
      <w:r>
        <w:t>lodged</w:t>
      </w:r>
      <w:r w:rsidRPr="000F2A65">
        <w:t xml:space="preserve"> and the date some of the </w:t>
      </w:r>
      <w:r>
        <w:t>individuals</w:t>
      </w:r>
      <w:r w:rsidRPr="000F2A65">
        <w:t xml:space="preserve"> concerned had been included on the authorities</w:t>
      </w:r>
      <w:r w:rsidR="00A7319E">
        <w:t>’</w:t>
      </w:r>
      <w:r w:rsidRPr="000F2A65">
        <w:t xml:space="preserve"> “</w:t>
      </w:r>
      <w:r w:rsidRPr="000E2ADA">
        <w:t>stop list</w:t>
      </w:r>
      <w:r w:rsidRPr="000F2A65">
        <w:t>”. The Government submitted copies of letters concerning thirty-seven pe</w:t>
      </w:r>
      <w:r>
        <w:t>ople</w:t>
      </w:r>
      <w:r w:rsidRPr="000F2A65">
        <w:rPr>
          <w:rStyle w:val="FootnoteReference"/>
        </w:rPr>
        <w:footnoteReference w:id="3"/>
      </w:r>
      <w:r w:rsidRPr="000F2A65">
        <w:t>.</w:t>
      </w:r>
    </w:p>
    <w:p w:rsidR="00FA0835" w:rsidP="00FA0835" w:rsidRDefault="00FA0835">
      <w:pPr>
        <w:pStyle w:val="JuPara"/>
      </w:pPr>
      <w:r w:rsidRPr="00C01DA0">
        <w:fldChar w:fldCharType="begin"/>
      </w:r>
      <w:r w:rsidRPr="00C01DA0">
        <w:instrText xml:space="preserve"> SEQ level0 \*arabic </w:instrText>
      </w:r>
      <w:r w:rsidRPr="00C01DA0">
        <w:fldChar w:fldCharType="separate"/>
      </w:r>
      <w:r w:rsidR="00C5470A">
        <w:rPr>
          <w:noProof/>
        </w:rPr>
        <w:t>41</w:t>
      </w:r>
      <w:r w:rsidRPr="00C01DA0">
        <w:fldChar w:fldCharType="end"/>
      </w:r>
      <w:r w:rsidRPr="00C01DA0">
        <w:t>.  Deportation and detention orders were also issued in Greek on the same day in respect of the remaining fifty-three pe</w:t>
      </w:r>
      <w:r>
        <w:t>ople</w:t>
      </w:r>
      <w:r w:rsidRPr="00C01DA0">
        <w:t xml:space="preserve"> detained (see paragraph 37 above), including</w:t>
      </w:r>
      <w:r>
        <w:t xml:space="preserve"> the applicant, pursuant to section 14 (6) of the Aliens and Immigration Law on the ground that they were “</w:t>
      </w:r>
      <w:r w:rsidRPr="000E2ADA">
        <w:t>prohibited immigrants</w:t>
      </w:r>
      <w:r>
        <w:t xml:space="preserve">” within the meaning of section </w:t>
      </w:r>
      <w:r w:rsidRPr="00112AC2">
        <w:t>6(1)(</w:t>
      </w:r>
      <w:r>
        <w:t>k</w:t>
      </w:r>
      <w:r w:rsidRPr="00112AC2">
        <w:t>)</w:t>
      </w:r>
      <w:r>
        <w:t xml:space="preserve"> of that Law. These were couched in identical terms</w:t>
      </w:r>
      <w:r w:rsidRPr="00E605FE">
        <w:t xml:space="preserve">. In respect of </w:t>
      </w:r>
      <w:r w:rsidRPr="00A0254F">
        <w:t>two pe</w:t>
      </w:r>
      <w:r>
        <w:t>ople</w:t>
      </w:r>
      <w:r w:rsidRPr="00E605FE">
        <w:t xml:space="preserve"> the orders also mentioned sections 6(1)(i)</w:t>
      </w:r>
      <w:r>
        <w:t xml:space="preserve"> and 6</w:t>
      </w:r>
      <w:r w:rsidRPr="00E605FE">
        <w:t>(1)(l) of the Law.</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42</w:t>
      </w:r>
      <w:r>
        <w:fldChar w:fldCharType="end"/>
      </w:r>
      <w:r>
        <w:t xml:space="preserve">.  Subsequently, </w:t>
      </w:r>
      <w:r w:rsidRPr="008D5B2D">
        <w:t xml:space="preserve">on </w:t>
      </w:r>
      <w:r w:rsidRPr="008D5B2D">
        <w:rPr>
          <w:rStyle w:val="sb8d990e2"/>
        </w:rPr>
        <w:t>the same date,</w:t>
      </w:r>
      <w:r>
        <w:t xml:space="preserve"> letters were prepared</w:t>
      </w:r>
      <w:r w:rsidRPr="007A4AB1">
        <w:t xml:space="preserve"> </w:t>
      </w:r>
      <w:r w:rsidRPr="0028175B">
        <w:rPr>
          <w:rStyle w:val="sb8d990e2"/>
        </w:rPr>
        <w:t>in English by the Civil Registry and</w:t>
      </w:r>
      <w:r>
        <w:rPr>
          <w:rStyle w:val="sb8d990e2"/>
        </w:rPr>
        <w:t xml:space="preserve"> Migration Department informing all the detainees</w:t>
      </w:r>
      <w:r w:rsidRPr="00B802C2">
        <w:rPr>
          <w:rStyle w:val="sb8d990e2"/>
        </w:rPr>
        <w:t xml:space="preserve"> </w:t>
      </w:r>
      <w:r>
        <w:rPr>
          <w:rStyle w:val="sb8d990e2"/>
        </w:rPr>
        <w:t>individually, including the applicant,</w:t>
      </w:r>
      <w:r w:rsidRPr="0028175B">
        <w:rPr>
          <w:rStyle w:val="sb8d990e2"/>
        </w:rPr>
        <w:t xml:space="preserve"> of the decision to </w:t>
      </w:r>
      <w:r>
        <w:rPr>
          <w:rStyle w:val="sb8d990e2"/>
        </w:rPr>
        <w:t xml:space="preserve">detain and </w:t>
      </w:r>
      <w:r w:rsidRPr="0028175B">
        <w:rPr>
          <w:rStyle w:val="sb8d990e2"/>
        </w:rPr>
        <w:t xml:space="preserve">deport </w:t>
      </w:r>
      <w:r>
        <w:rPr>
          <w:rStyle w:val="sb8d990e2"/>
        </w:rPr>
        <w:t>them</w:t>
      </w:r>
      <w:r w:rsidRPr="0028175B">
        <w:rPr>
          <w:rStyle w:val="sb8d990e2"/>
        </w:rPr>
        <w:t>.</w:t>
      </w:r>
      <w:r>
        <w:rPr>
          <w:rStyle w:val="sb8d990e2"/>
        </w:rPr>
        <w:t xml:space="preserve"> The Government submitted </w:t>
      </w:r>
      <w:r w:rsidRPr="00A0254F">
        <w:rPr>
          <w:rStyle w:val="sb8d990e2"/>
        </w:rPr>
        <w:t>thirty-seven copies</w:t>
      </w:r>
      <w:r>
        <w:rPr>
          <w:rStyle w:val="sb8d990e2"/>
        </w:rPr>
        <w:t xml:space="preserve"> of these letters. The text of the letter addressed to the applicant reads as follows:</w:t>
      </w:r>
    </w:p>
    <w:p w:rsidRPr="004721FB" w:rsidR="00FA0835" w:rsidP="00FA0835" w:rsidRDefault="00FA0835">
      <w:pPr>
        <w:pStyle w:val="JuQuot"/>
        <w:rPr>
          <w:rStyle w:val="sb8d990e2"/>
        </w:rPr>
      </w:pPr>
      <w:r w:rsidRPr="004721FB">
        <w:rPr>
          <w:rStyle w:val="sb8d990e2"/>
        </w:rPr>
        <w:t xml:space="preserve">“You are hereby informed that you are an </w:t>
      </w:r>
      <w:r w:rsidRPr="000E2ADA">
        <w:rPr>
          <w:rStyle w:val="sb8d990e2"/>
        </w:rPr>
        <w:t>illegal immigrant</w:t>
      </w:r>
      <w:r w:rsidRPr="004721FB">
        <w:rPr>
          <w:rStyle w:val="sb8d990e2"/>
        </w:rPr>
        <w:t xml:space="preserve"> by virtue of paragraph (k). section 1, Article 6 of the Aliens and Immigration law, Chapter 105, as amended until 2009, because you of illegal entry </w:t>
      </w:r>
      <w:r w:rsidRPr="004721FB">
        <w:rPr>
          <w:rStyle w:val="sfbbfee58"/>
        </w:rPr>
        <w:t>[</w:t>
      </w:r>
      <w:r w:rsidRPr="004721FB">
        <w:rPr>
          <w:rStyle w:val="s1a844bc0"/>
        </w:rPr>
        <w:t>sic</w:t>
      </w:r>
      <w:r w:rsidRPr="004721FB">
        <w:rPr>
          <w:rStyle w:val="sfbbfee58"/>
        </w:rPr>
        <w:t>]</w:t>
      </w:r>
    </w:p>
    <w:p w:rsidRPr="004721FB" w:rsidR="00FA0835" w:rsidP="00FA0835" w:rsidRDefault="00FA0835">
      <w:pPr>
        <w:pStyle w:val="JuQuot"/>
        <w:rPr>
          <w:rStyle w:val="sb8d990e2"/>
        </w:rPr>
      </w:pPr>
      <w:r w:rsidRPr="004721FB">
        <w:rPr>
          <w:rStyle w:val="sb8d990e2"/>
        </w:rPr>
        <w:t>Consequently your temporary residence permit/migration permit has been revoked and I have proceeded with the issue of deportation orders and detention orders dated 11th June 2010 against you.</w:t>
      </w:r>
    </w:p>
    <w:p w:rsidRPr="004721FB" w:rsidR="00FA0835" w:rsidP="00FA0835" w:rsidRDefault="00FA0835">
      <w:pPr>
        <w:pStyle w:val="JuQuot"/>
        <w:rPr>
          <w:rStyle w:val="sb8d990e2"/>
        </w:rPr>
      </w:pPr>
      <w:r w:rsidRPr="004721FB">
        <w:rPr>
          <w:rStyle w:val="sb8d990e2"/>
        </w:rPr>
        <w:t>You have the right to be represented before me, or before any other Authority of the Republic and express possible objections against your deportation and seek the services of an interpreter.”</w:t>
      </w:r>
    </w:p>
    <w:p w:rsidR="00FA0835" w:rsidP="00FA0835" w:rsidRDefault="00FA0835">
      <w:pPr>
        <w:pStyle w:val="JuPara"/>
      </w:pPr>
      <w:r w:rsidRPr="00F0174D">
        <w:rPr>
          <w:rStyle w:val="sb8d990e2"/>
        </w:rPr>
        <w:fldChar w:fldCharType="begin"/>
      </w:r>
      <w:r w:rsidRPr="00F0174D">
        <w:rPr>
          <w:rStyle w:val="sb8d990e2"/>
        </w:rPr>
        <w:instrText xml:space="preserve"> SEQ level0 \*arabic </w:instrText>
      </w:r>
      <w:r w:rsidRPr="00F0174D">
        <w:rPr>
          <w:rStyle w:val="sb8d990e2"/>
        </w:rPr>
        <w:fldChar w:fldCharType="separate"/>
      </w:r>
      <w:r w:rsidR="00C5470A">
        <w:rPr>
          <w:rStyle w:val="sb8d990e2"/>
          <w:noProof/>
        </w:rPr>
        <w:t>43</w:t>
      </w:r>
      <w:r w:rsidRPr="00F0174D">
        <w:rPr>
          <w:rStyle w:val="sb8d990e2"/>
        </w:rPr>
        <w:fldChar w:fldCharType="end"/>
      </w:r>
      <w:r w:rsidRPr="00E605FE">
        <w:rPr>
          <w:rStyle w:val="sb8d990e2"/>
        </w:rPr>
        <w:t>.  </w:t>
      </w:r>
      <w:r w:rsidRPr="00E605FE">
        <w:rPr>
          <w:rStyle w:val="sb8d990e2"/>
          <w:color w:val="000000"/>
        </w:rPr>
        <w:t>The text of the remaining copies of the letters submitted by the Government was virtually identical</w:t>
      </w:r>
      <w:r w:rsidRPr="00F0174D">
        <w:rPr>
          <w:rStyle w:val="sb8d990e2"/>
          <w:color w:val="000000"/>
        </w:rPr>
        <w:t>,</w:t>
      </w:r>
      <w:r w:rsidRPr="00F0174D">
        <w:rPr>
          <w:rStyle w:val="sb8d990e2"/>
        </w:rPr>
        <w:t xml:space="preserve"> a standard template having been used.</w:t>
      </w:r>
      <w:r>
        <w:rPr>
          <w:rStyle w:val="sb8d990e2"/>
        </w:rPr>
        <w:t xml:space="preserve"> </w:t>
      </w:r>
      <w:r w:rsidRPr="00E605FE">
        <w:rPr>
          <w:rStyle w:val="sb8d990e2"/>
        </w:rPr>
        <w:t>The only differences w</w:t>
      </w:r>
      <w:r>
        <w:rPr>
          <w:rStyle w:val="sb8d990e2"/>
        </w:rPr>
        <w:t xml:space="preserve">ere </w:t>
      </w:r>
      <w:r w:rsidRPr="00E605FE">
        <w:rPr>
          <w:rStyle w:val="sb8d990e2"/>
        </w:rPr>
        <w:t>that some letters referred to illegal stay rather than illegal entry and that t</w:t>
      </w:r>
      <w:r w:rsidRPr="00E605FE">
        <w:t xml:space="preserve">he letters issued earlier referred to 2 June 2010 as the date of issuance of the deportation and detention </w:t>
      </w:r>
      <w:r w:rsidRPr="000B2493">
        <w:t>orders (see paragraph 34</w:t>
      </w:r>
      <w:r>
        <w:t xml:space="preserve"> </w:t>
      </w:r>
      <w:r w:rsidRPr="000B2493">
        <w:t>above).</w:t>
      </w:r>
    </w:p>
    <w:p w:rsidR="00FA0835" w:rsidP="00FA0835" w:rsidRDefault="00FA0835">
      <w:pPr>
        <w:pStyle w:val="JuPara"/>
      </w:pPr>
      <w:r>
        <w:fldChar w:fldCharType="begin"/>
      </w:r>
      <w:r>
        <w:instrText xml:space="preserve"> SEQ level0 \*arabic </w:instrText>
      </w:r>
      <w:r>
        <w:fldChar w:fldCharType="separate"/>
      </w:r>
      <w:r w:rsidR="00C5470A">
        <w:rPr>
          <w:noProof/>
        </w:rPr>
        <w:t>44</w:t>
      </w:r>
      <w:r>
        <w:fldChar w:fldCharType="end"/>
      </w:r>
      <w:r>
        <w:t>.  </w:t>
      </w:r>
      <w:r w:rsidRPr="00890D48">
        <w:t>On the copy of</w:t>
      </w:r>
      <w:r>
        <w:t xml:space="preserve"> the</w:t>
      </w:r>
      <w:r w:rsidRPr="00890D48">
        <w:t xml:space="preserve"> letter </w:t>
      </w:r>
      <w:r>
        <w:t xml:space="preserve">to the applicant </w:t>
      </w:r>
      <w:r w:rsidRPr="00890D48">
        <w:t>provided by the Government</w:t>
      </w:r>
      <w:r>
        <w:t>,</w:t>
      </w:r>
      <w:r w:rsidRPr="00890D48">
        <w:t xml:space="preserve"> there </w:t>
      </w:r>
      <w:r>
        <w:t>is</w:t>
      </w:r>
      <w:r w:rsidRPr="00890D48">
        <w:t xml:space="preserve"> a handwritten signed note </w:t>
      </w:r>
      <w:r w:rsidRPr="00045263">
        <w:t xml:space="preserve">by a police officer </w:t>
      </w:r>
      <w:r>
        <w:t xml:space="preserve">stating </w:t>
      </w:r>
      <w:r w:rsidRPr="00045263">
        <w:t>that the letter was served on the applicant on 18</w:t>
      </w:r>
      <w:r>
        <w:t xml:space="preserve"> </w:t>
      </w:r>
      <w:r w:rsidRPr="00045263">
        <w:t>June 2010 but that he refused to receive</w:t>
      </w:r>
      <w:r>
        <w:t xml:space="preserve"> </w:t>
      </w:r>
      <w:r w:rsidRPr="00045263">
        <w:t xml:space="preserve">and sign </w:t>
      </w:r>
      <w:r>
        <w:t>for</w:t>
      </w:r>
      <w:r w:rsidRPr="00045263">
        <w:t xml:space="preserve"> it</w:t>
      </w:r>
      <w:r w:rsidRPr="00E605FE">
        <w:t>. The other letters had a similar note or stamp on them with the same date</w:t>
      </w:r>
      <w:r>
        <w:t>,</w:t>
      </w:r>
      <w:r w:rsidRPr="00E605FE">
        <w:t xml:space="preserve"> stating that the person concerned had refused to sign </w:t>
      </w:r>
      <w:r>
        <w:t xml:space="preserve">for </w:t>
      </w:r>
      <w:r w:rsidRPr="00E605FE">
        <w:t xml:space="preserve">and/or receive the letter. In a letter dated 7 September 2010 the Government stated that the applicant had been served on 18 June 2010. In their subsequent observations the Government submitted, however, that this was the second attempt to serve the letters, the first </w:t>
      </w:r>
      <w:r>
        <w:t>attempt having been made</w:t>
      </w:r>
      <w:r w:rsidRPr="00E605FE">
        <w:t xml:space="preserve"> on 11 June 2010, that is, the day of the arrest.</w:t>
      </w:r>
    </w:p>
    <w:p w:rsidR="00FA0835" w:rsidP="00FA0835" w:rsidRDefault="00FA0835">
      <w:pPr>
        <w:pStyle w:val="JuPara"/>
      </w:pPr>
      <w:r>
        <w:fldChar w:fldCharType="begin"/>
      </w:r>
      <w:r>
        <w:instrText xml:space="preserve"> SEQ level0 \*arabic </w:instrText>
      </w:r>
      <w:r>
        <w:fldChar w:fldCharType="separate"/>
      </w:r>
      <w:r w:rsidR="00C5470A">
        <w:rPr>
          <w:noProof/>
        </w:rPr>
        <w:t>45</w:t>
      </w:r>
      <w:r>
        <w:fldChar w:fldCharType="end"/>
      </w:r>
      <w:r>
        <w:t>.  </w:t>
      </w:r>
      <w:r w:rsidRPr="00EF1F21">
        <w:t xml:space="preserve">The applicant </w:t>
      </w:r>
      <w:r w:rsidRPr="00A0254F">
        <w:t>submitted that he had never refused to receive any kind of information in writing. He claimed that it had only been on 14</w:t>
      </w:r>
      <w:r>
        <w:t> </w:t>
      </w:r>
      <w:r w:rsidRPr="00A0254F">
        <w:t>June</w:t>
      </w:r>
      <w:r>
        <w:t xml:space="preserve"> </w:t>
      </w:r>
      <w:r w:rsidRPr="00A0254F">
        <w:t xml:space="preserve">2010 that he had been informed orally that he would be deported to Syria on the same day but that the deportation and detention orders were not served on him on that date or subsequently. He submitted that he </w:t>
      </w:r>
      <w:r>
        <w:t>had</w:t>
      </w:r>
      <w:r w:rsidRPr="00E53B7B">
        <w:t xml:space="preserve"> eventually</w:t>
      </w:r>
      <w:r>
        <w:t xml:space="preserve"> been </w:t>
      </w:r>
      <w:r w:rsidRPr="00E53B7B">
        <w:t xml:space="preserve">informed by his lawyer, following the receipt of information submitted by the Government to the Court in the context of the application of Rule 39 of the Rules of Court, that </w:t>
      </w:r>
      <w:r>
        <w:t>deportation and detention orders</w:t>
      </w:r>
      <w:r w:rsidRPr="00E53B7B">
        <w:t xml:space="preserve"> had been issued against him on 11 June 2010.</w:t>
      </w:r>
    </w:p>
    <w:p w:rsidR="00FA0835" w:rsidP="00FA0835" w:rsidRDefault="00FA0835">
      <w:pPr>
        <w:pStyle w:val="JuPara"/>
      </w:pPr>
      <w:r w:rsidRPr="005B77C9">
        <w:fldChar w:fldCharType="begin"/>
      </w:r>
      <w:r w:rsidRPr="005B77C9">
        <w:instrText xml:space="preserve"> SEQ level0 \*arabic </w:instrText>
      </w:r>
      <w:r w:rsidRPr="005B77C9">
        <w:fldChar w:fldCharType="separate"/>
      </w:r>
      <w:r w:rsidR="00C5470A">
        <w:rPr>
          <w:noProof/>
        </w:rPr>
        <w:t>46</w:t>
      </w:r>
      <w:r w:rsidRPr="005B77C9">
        <w:fldChar w:fldCharType="end"/>
      </w:r>
      <w:r w:rsidRPr="005B77C9">
        <w:t>.  From the documents submitted by the Government, it appears that at least another fourteen of the detaine</w:t>
      </w:r>
      <w:r>
        <w:t>es</w:t>
      </w:r>
      <w:r w:rsidRPr="005B77C9">
        <w:t xml:space="preserve"> were to be deported on</w:t>
      </w:r>
      <w:r>
        <w:t xml:space="preserve"> </w:t>
      </w:r>
      <w:r w:rsidRPr="005B77C9">
        <w:t>14 June 2010</w:t>
      </w:r>
      <w:r w:rsidRPr="005B77C9">
        <w:rPr>
          <w:rStyle w:val="FootnoteReference"/>
        </w:rPr>
        <w:footnoteReference w:id="4"/>
      </w:r>
      <w:r w:rsidRPr="005B77C9">
        <w:t>.</w:t>
      </w:r>
    </w:p>
    <w:p w:rsidR="00FA0835" w:rsidP="00FA0835" w:rsidRDefault="00FA0835">
      <w:pPr>
        <w:pStyle w:val="JuPara"/>
      </w:pPr>
      <w:r>
        <w:fldChar w:fldCharType="begin"/>
      </w:r>
      <w:r>
        <w:instrText xml:space="preserve"> SEQ level0 \*arabic </w:instrText>
      </w:r>
      <w:r>
        <w:fldChar w:fldCharType="separate"/>
      </w:r>
      <w:r w:rsidR="00C5470A">
        <w:rPr>
          <w:noProof/>
        </w:rPr>
        <w:t>47</w:t>
      </w:r>
      <w:r>
        <w:fldChar w:fldCharType="end"/>
      </w:r>
      <w:r>
        <w:t>.  </w:t>
      </w:r>
      <w:r w:rsidRPr="00E605FE">
        <w:t>In a letter dated 12 October 2010 the Government informed the Court</w:t>
      </w:r>
      <w:r>
        <w:t xml:space="preserve"> that on 17 August 2010 the Minister of the Interior had declared the applicant an illegal immigrant on public order grounds under section </w:t>
      </w:r>
      <w:r w:rsidRPr="00112AC2">
        <w:t>6(1)(g)</w:t>
      </w:r>
      <w:r>
        <w:t xml:space="preserve"> of the Aliens and Immigration Law on the basis of </w:t>
      </w:r>
      <w:r w:rsidRPr="008D4AA6">
        <w:t>information that he had been involved in activities relating to receiving money from prospective Kurdish immigrants in exchange for “securing” residence and</w:t>
      </w:r>
      <w:r>
        <w:t xml:space="preserve"> work permits in Cyprus.</w:t>
      </w:r>
    </w:p>
    <w:p w:rsidR="00FA0835" w:rsidP="00FA0835" w:rsidRDefault="00FA0835">
      <w:pPr>
        <w:pStyle w:val="JuPara"/>
      </w:pPr>
      <w:r>
        <w:fldChar w:fldCharType="begin"/>
      </w:r>
      <w:r>
        <w:instrText xml:space="preserve"> SEQ level0 \*arabic </w:instrText>
      </w:r>
      <w:r>
        <w:fldChar w:fldCharType="separate"/>
      </w:r>
      <w:r w:rsidR="00C5470A">
        <w:rPr>
          <w:noProof/>
        </w:rPr>
        <w:t>48</w:t>
      </w:r>
      <w:r>
        <w:fldChar w:fldCharType="end"/>
      </w:r>
      <w:r>
        <w:t xml:space="preserve">.  On 20 August 2010 the Minister of Interior issued deportation and detention orders based on the above-mentioned provision. The previous </w:t>
      </w:r>
      <w:r w:rsidRPr="009E2166">
        <w:rPr>
          <w:spacing w:val="-2"/>
        </w:rPr>
        <w:t xml:space="preserve">orders of 11 June 2010 were cancelled. The applicant submitted that he had not been </w:t>
      </w:r>
      <w:r>
        <w:rPr>
          <w:spacing w:val="-2"/>
        </w:rPr>
        <w:t>notified</w:t>
      </w:r>
      <w:r w:rsidRPr="009E2166">
        <w:rPr>
          <w:spacing w:val="-2"/>
        </w:rPr>
        <w:t xml:space="preserve"> of the new orders. The Government </w:t>
      </w:r>
      <w:r>
        <w:rPr>
          <w:spacing w:val="-2"/>
        </w:rPr>
        <w:t>did not comment</w:t>
      </w:r>
      <w:r w:rsidRPr="009E2166">
        <w:rPr>
          <w:spacing w:val="-2"/>
        </w:rPr>
        <w:t xml:space="preserve"> on the matter and did not submit a copy of a letter notifying the applicant of these orders.</w:t>
      </w:r>
    </w:p>
    <w:p w:rsidR="00FA0835" w:rsidP="00FA0835" w:rsidRDefault="00FA0835">
      <w:pPr>
        <w:pStyle w:val="JuPara"/>
      </w:pPr>
      <w:r w:rsidRPr="00E605FE">
        <w:fldChar w:fldCharType="begin"/>
      </w:r>
      <w:r w:rsidRPr="00E605FE">
        <w:instrText xml:space="preserve"> SEQ level0 \*arabic </w:instrText>
      </w:r>
      <w:r w:rsidRPr="00E605FE">
        <w:fldChar w:fldCharType="separate"/>
      </w:r>
      <w:r w:rsidR="00C5470A">
        <w:rPr>
          <w:noProof/>
        </w:rPr>
        <w:t>49</w:t>
      </w:r>
      <w:r w:rsidRPr="00E605FE">
        <w:fldChar w:fldCharType="end"/>
      </w:r>
      <w:r w:rsidRPr="00E605FE">
        <w:t xml:space="preserve">.  The applicant was released from detention on 3 May 2011 following the decision to grant him </w:t>
      </w:r>
      <w:r w:rsidRPr="000B2493">
        <w:t>refugee status (see paragraph 27 above).</w:t>
      </w:r>
    </w:p>
    <w:p w:rsidR="00FA0835" w:rsidP="00FA0835" w:rsidRDefault="00FA0835">
      <w:pPr>
        <w:pStyle w:val="JuHA"/>
        <w:spacing w:before="240"/>
      </w:pPr>
      <w:r>
        <w:t>C</w:t>
      </w:r>
      <w:r w:rsidRPr="007F2324">
        <w:t>.</w:t>
      </w:r>
      <w:r>
        <w:t>  </w:t>
      </w:r>
      <w:r w:rsidRPr="007F2324">
        <w:t>Habeas corpus proceedings</w:t>
      </w:r>
    </w:p>
    <w:p w:rsidR="00FA0835" w:rsidP="00FA0835" w:rsidRDefault="00FA0835">
      <w:pPr>
        <w:pStyle w:val="JuPara"/>
      </w:pPr>
      <w:r>
        <w:fldChar w:fldCharType="begin"/>
      </w:r>
      <w:r>
        <w:instrText xml:space="preserve"> SEQ level0 \*arabic </w:instrText>
      </w:r>
      <w:r>
        <w:fldChar w:fldCharType="separate"/>
      </w:r>
      <w:r w:rsidR="00C5470A">
        <w:rPr>
          <w:noProof/>
        </w:rPr>
        <w:t>50</w:t>
      </w:r>
      <w:r>
        <w:fldChar w:fldCharType="end"/>
      </w:r>
      <w:r w:rsidRPr="004E6B47">
        <w:t xml:space="preserve">.  On 24 January 2011 the applicant filed a habeas corpus application </w:t>
      </w:r>
      <w:r w:rsidRPr="00226347">
        <w:t>claiming that his continu</w:t>
      </w:r>
      <w:r>
        <w:t>ed</w:t>
      </w:r>
      <w:r w:rsidRPr="00226347">
        <w:t xml:space="preserve"> detention from 11 June 2010</w:t>
      </w:r>
      <w:r>
        <w:t xml:space="preserve"> had violated Article </w:t>
      </w:r>
      <w:r w:rsidRPr="00226347">
        <w:t>15 of Directive 2008/115/EC of the European Parliament and of the Council of 16 December 2008 on common standards and procedures in Members states for returning illegally staying third-</w:t>
      </w:r>
      <w:r>
        <w:t>country nationals. The applicant, relying on the Court</w:t>
      </w:r>
      <w:r w:rsidR="00A7319E">
        <w:t>’</w:t>
      </w:r>
      <w:r>
        <w:t xml:space="preserve">s judgment in </w:t>
      </w:r>
      <w:r w:rsidRPr="00B7224F">
        <w:rPr>
          <w:i/>
          <w:lang w:eastAsia="en-US"/>
        </w:rPr>
        <w:t>Chahal v. the United Kingdom</w:t>
      </w:r>
      <w:r>
        <w:rPr>
          <w:lang w:eastAsia="en-US"/>
        </w:rPr>
        <w:t xml:space="preserve">, 15 </w:t>
      </w:r>
      <w:r w:rsidRPr="00B7224F">
        <w:rPr>
          <w:lang w:eastAsia="en-US"/>
        </w:rPr>
        <w:t xml:space="preserve">November 1996, </w:t>
      </w:r>
      <w:r>
        <w:rPr>
          <w:lang w:eastAsia="en-US"/>
        </w:rPr>
        <w:t>(</w:t>
      </w:r>
      <w:r w:rsidRPr="00B7224F">
        <w:rPr>
          <w:i/>
          <w:lang w:eastAsia="en-US"/>
        </w:rPr>
        <w:t>Reports of Judgments and Decisions</w:t>
      </w:r>
      <w:r w:rsidRPr="00B7224F">
        <w:rPr>
          <w:lang w:eastAsia="en-US"/>
        </w:rPr>
        <w:t xml:space="preserve"> 1996</w:t>
      </w:r>
      <w:r w:rsidRPr="00B7224F">
        <w:rPr>
          <w:lang w:eastAsia="en-US"/>
        </w:rPr>
        <w:noBreakHyphen/>
        <w:t>V</w:t>
      </w:r>
      <w:r w:rsidRPr="00D2501F">
        <w:rPr>
          <w:lang w:eastAsia="en-US"/>
        </w:rPr>
        <w:t xml:space="preserve">) and </w:t>
      </w:r>
      <w:r>
        <w:rPr>
          <w:lang w:eastAsia="en-US"/>
        </w:rPr>
        <w:t xml:space="preserve">the </w:t>
      </w:r>
      <w:r w:rsidRPr="00BB3442">
        <w:rPr>
          <w:lang w:eastAsia="en-US"/>
        </w:rPr>
        <w:t>Commission</w:t>
      </w:r>
      <w:r w:rsidR="00A7319E">
        <w:rPr>
          <w:lang w:eastAsia="en-US"/>
        </w:rPr>
        <w:t>’</w:t>
      </w:r>
      <w:r w:rsidRPr="00BB3442">
        <w:rPr>
          <w:lang w:eastAsia="en-US"/>
        </w:rPr>
        <w:t xml:space="preserve">s report in </w:t>
      </w:r>
      <w:r w:rsidRPr="00BB3442">
        <w:rPr>
          <w:rStyle w:val="wordhighlighted"/>
          <w:i/>
        </w:rPr>
        <w:t>Samie Ali</w:t>
      </w:r>
      <w:r w:rsidRPr="00BB3442">
        <w:rPr>
          <w:rStyle w:val="sb8d990e2"/>
          <w:i/>
        </w:rPr>
        <w:t xml:space="preserve"> </w:t>
      </w:r>
      <w:r w:rsidRPr="00BB3442">
        <w:rPr>
          <w:rStyle w:val="s6b621b36"/>
          <w:i/>
        </w:rPr>
        <w:t xml:space="preserve">v. Switzerland </w:t>
      </w:r>
      <w:r w:rsidRPr="00BB3442">
        <w:rPr>
          <w:rStyle w:val="sb8d990e2"/>
        </w:rPr>
        <w:t>(no. 24881/94, Commission</w:t>
      </w:r>
      <w:r w:rsidR="00A7319E">
        <w:rPr>
          <w:rStyle w:val="sb8d990e2"/>
        </w:rPr>
        <w:t>’</w:t>
      </w:r>
      <w:r w:rsidRPr="00BB3442">
        <w:rPr>
          <w:rStyle w:val="sb8d990e2"/>
        </w:rPr>
        <w:t>s report of 26</w:t>
      </w:r>
      <w:r>
        <w:rPr>
          <w:rStyle w:val="sb8d990e2"/>
        </w:rPr>
        <w:t xml:space="preserve"> </w:t>
      </w:r>
      <w:r w:rsidRPr="00BB3442">
        <w:rPr>
          <w:rStyle w:val="sb8d990e2"/>
        </w:rPr>
        <w:t>February</w:t>
      </w:r>
      <w:r>
        <w:rPr>
          <w:rStyle w:val="sb8d990e2"/>
        </w:rPr>
        <w:t xml:space="preserve"> </w:t>
      </w:r>
      <w:r w:rsidRPr="00BB3442">
        <w:rPr>
          <w:rStyle w:val="sb8d990e2"/>
        </w:rPr>
        <w:t>1997)</w:t>
      </w:r>
      <w:r>
        <w:rPr>
          <w:rStyle w:val="sb8d990e2"/>
        </w:rPr>
        <w:t xml:space="preserve"> </w:t>
      </w:r>
      <w:r>
        <w:t>also claimed that his detention had breached Article 11</w:t>
      </w:r>
      <w:r w:rsidRPr="00226347">
        <w:t xml:space="preserve"> </w:t>
      </w:r>
      <w:r>
        <w:t>(</w:t>
      </w:r>
      <w:r w:rsidRPr="00226347">
        <w:t>2</w:t>
      </w:r>
      <w:r>
        <w:t>)</w:t>
      </w:r>
      <w:r w:rsidRPr="00226347">
        <w:t xml:space="preserve"> of the Constitution and Article 5 § 1 of the Convention.</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51</w:t>
      </w:r>
      <w:r>
        <w:fldChar w:fldCharType="end"/>
      </w:r>
      <w:r>
        <w:t>.  </w:t>
      </w:r>
      <w:r w:rsidRPr="00B40E6F">
        <w:t xml:space="preserve">On 23 February 2011 the Supreme Court dismissed the application. </w:t>
      </w:r>
      <w:r>
        <w:t xml:space="preserve">With regard to the preliminary issues raised, the Supreme Court first </w:t>
      </w:r>
      <w:r w:rsidRPr="00B40E6F">
        <w:t>of all held that it had the competence to examine the</w:t>
      </w:r>
      <w:r>
        <w:t xml:space="preserve"> application as it was called upon to examine </w:t>
      </w:r>
      <w:r>
        <w:rPr>
          <w:rStyle w:val="sb8d990e2"/>
        </w:rPr>
        <w:t>the lawfulness of the applicant</w:t>
      </w:r>
      <w:r w:rsidR="00A7319E">
        <w:rPr>
          <w:rStyle w:val="sb8d990e2"/>
        </w:rPr>
        <w:t>’</w:t>
      </w:r>
      <w:r>
        <w:rPr>
          <w:rStyle w:val="sb8d990e2"/>
        </w:rPr>
        <w:t>s protracted detention and not the lawfulness of the deportation and detention orders. The court could, within the context of a habeas corpus application, examine the conformity of the applicant</w:t>
      </w:r>
      <w:r w:rsidR="00A7319E">
        <w:rPr>
          <w:rStyle w:val="sb8d990e2"/>
        </w:rPr>
        <w:t>’</w:t>
      </w:r>
      <w:r>
        <w:rPr>
          <w:rStyle w:val="sb8d990e2"/>
        </w:rPr>
        <w:t>s detention with Article 15 (3) of the Directive and Article 11 (2) (f) of the Constitution. The applicant was not estopped from bringing a habeas corpus application due to the fact that he had not challenged the deportation and detention orders issued against him. Even if the lawfulness of the detention was assumed, detention for the purpose of deportation could not be indefinite and the detainee left without the right to seek his release. The Supreme Court also rejected the argument that the applicant was estopped from bringing the application because his continued detention had been brought about by his own actions, that is, by his application to the Strasbourg Court for an interim measure suspending his deportation.</w:t>
      </w:r>
    </w:p>
    <w:p w:rsidRPr="009E2166" w:rsidR="00FA0835" w:rsidP="00FA0835" w:rsidRDefault="00FA0835">
      <w:pPr>
        <w:pStyle w:val="JuPara"/>
        <w:rPr>
          <w:b/>
          <w:lang w:val="en-US"/>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52</w:t>
      </w:r>
      <w:r>
        <w:rPr>
          <w:rStyle w:val="sb8d990e2"/>
        </w:rPr>
        <w:fldChar w:fldCharType="end"/>
      </w:r>
      <w:r>
        <w:rPr>
          <w:rStyle w:val="sb8d990e2"/>
        </w:rPr>
        <w:t xml:space="preserve">.  The Supreme Court then examined the substance of the application. It noted that </w:t>
      </w:r>
      <w:r w:rsidRPr="000C79E9">
        <w:rPr>
          <w:rStyle w:val="sb8d990e2"/>
        </w:rPr>
        <w:t>the</w:t>
      </w:r>
      <w:r w:rsidRPr="000C79E9">
        <w:t xml:space="preserve"> Directive had direct effect in the domestic law</w:t>
      </w:r>
      <w:r>
        <w:t>,</w:t>
      </w:r>
      <w:r w:rsidRPr="000C79E9">
        <w:t xml:space="preserve"> as the</w:t>
      </w:r>
      <w:r>
        <w:t xml:space="preserve"> period for transposition had expired and the Directive had not been transposed.</w:t>
      </w:r>
      <w:r>
        <w:rPr>
          <w:lang w:val="en-US"/>
        </w:rPr>
        <w:t xml:space="preserve"> It could therefore be relied on in the proceedings. However, it went on to hold that </w:t>
      </w:r>
      <w:r>
        <w:t>the six-</w:t>
      </w:r>
      <w:r w:rsidRPr="007B48DC">
        <w:t xml:space="preserve">month period provided for in the Directive had not yet started to run. The applicant had been arrested on 11 June 2010 with a view to his deportation but had not been deported by the Government in view of the application by the Court on 12 June 2010 of Rule 39 and the issuing of an interim measure suspending his deportation. </w:t>
      </w:r>
      <w:r>
        <w:t>Consequently</w:t>
      </w:r>
      <w:r w:rsidRPr="003F3291">
        <w:t xml:space="preserve">, the authorities had not been able to deport him. </w:t>
      </w:r>
      <w:r>
        <w:t xml:space="preserve">As the applicant himself had taken steps to suspend his deportation, </w:t>
      </w:r>
      <w:r w:rsidRPr="008432CA">
        <w:t>the ensuing time could not be held against the Government and could not be taken into acco</w:t>
      </w:r>
      <w:r>
        <w:t>unt for the purposes of Article </w:t>
      </w:r>
      <w:r w:rsidRPr="008432CA">
        <w:t>15 (5) and (6) of the Directive.</w:t>
      </w:r>
      <w:r>
        <w:t xml:space="preserve"> </w:t>
      </w:r>
      <w:r w:rsidRPr="008432CA">
        <w:t xml:space="preserve">The </w:t>
      </w:r>
      <w:r w:rsidRPr="00175584">
        <w:t xml:space="preserve">six-month period would start to run from the moment that </w:t>
      </w:r>
      <w:r>
        <w:t>the interim measure</w:t>
      </w:r>
      <w:r w:rsidRPr="00B25453">
        <w:t xml:space="preserve"> </w:t>
      </w:r>
      <w:r>
        <w:t>had been</w:t>
      </w:r>
      <w:r w:rsidRPr="00B25453">
        <w:t xml:space="preserve"> lifted. From that moment onwards the Government </w:t>
      </w:r>
      <w:r>
        <w:t>had been</w:t>
      </w:r>
      <w:r w:rsidRPr="00B25453">
        <w:t xml:space="preserve"> under an obligation in accordance with Article 15 (1) of the Directive to proceed </w:t>
      </w:r>
      <w:r>
        <w:t xml:space="preserve">with </w:t>
      </w:r>
      <w:r w:rsidRPr="00B25453">
        <w:t>the applicant</w:t>
      </w:r>
      <w:r w:rsidR="00A7319E">
        <w:t>’</w:t>
      </w:r>
      <w:r w:rsidRPr="00B25453">
        <w:t xml:space="preserve">s deportation with due diligence. </w:t>
      </w:r>
      <w:r w:rsidRPr="001153A1">
        <w:t xml:space="preserve">The situation would have been different if the deportation had not been effected </w:t>
      </w:r>
      <w:r>
        <w:t>owing</w:t>
      </w:r>
      <w:r w:rsidRPr="001153A1">
        <w:t xml:space="preserve"> to delays attributable to the </w:t>
      </w:r>
      <w:r w:rsidRPr="009E2166">
        <w:t>authorities.</w:t>
      </w:r>
    </w:p>
    <w:p w:rsidR="00FA0835" w:rsidP="00FA0835" w:rsidRDefault="00FA0835">
      <w:pPr>
        <w:pStyle w:val="JuPara"/>
      </w:pPr>
      <w:r>
        <w:fldChar w:fldCharType="begin"/>
      </w:r>
      <w:r>
        <w:instrText xml:space="preserve"> SEQ level0 \*arabic </w:instrText>
      </w:r>
      <w:r>
        <w:fldChar w:fldCharType="separate"/>
      </w:r>
      <w:r w:rsidR="00C5470A">
        <w:rPr>
          <w:noProof/>
        </w:rPr>
        <w:t>53</w:t>
      </w:r>
      <w:r>
        <w:fldChar w:fldCharType="end"/>
      </w:r>
      <w:r>
        <w:t>.  In so far as the applicant</w:t>
      </w:r>
      <w:r w:rsidR="00A7319E">
        <w:t>’</w:t>
      </w:r>
      <w:r>
        <w:t>s complaints under Article 11 (2) of the Constitution and Article 5 § 1 of the Convention were concerned, the Supreme Court distinguished the applicant</w:t>
      </w:r>
      <w:r w:rsidR="00A7319E">
        <w:t>’</w:t>
      </w:r>
      <w:r>
        <w:t xml:space="preserve">s situation from those in the cases he relied on and in which responsibility for the protracted detention lay with the authorities. Further, it held that it had not been shown that the continued detention of the applicant had been arbitrary, abusive and contrary to the </w:t>
      </w:r>
      <w:r w:rsidRPr="000B2493">
        <w:t>Court</w:t>
      </w:r>
      <w:r w:rsidR="00A7319E">
        <w:t>’</w:t>
      </w:r>
      <w:r w:rsidRPr="000B2493">
        <w:t>s case-</w:t>
      </w:r>
      <w:r w:rsidRPr="00E04509">
        <w:t>law (see paragraph 50 above).</w:t>
      </w:r>
    </w:p>
    <w:p w:rsidR="00FA0835" w:rsidP="00FA0835" w:rsidRDefault="00FA0835">
      <w:pPr>
        <w:pStyle w:val="JuPara"/>
      </w:pPr>
      <w:r w:rsidRPr="004266B3">
        <w:fldChar w:fldCharType="begin"/>
      </w:r>
      <w:r w:rsidRPr="004266B3">
        <w:instrText xml:space="preserve"> SEQ level0 \*arabic </w:instrText>
      </w:r>
      <w:r w:rsidRPr="004266B3">
        <w:fldChar w:fldCharType="separate"/>
      </w:r>
      <w:r w:rsidR="00C5470A">
        <w:rPr>
          <w:noProof/>
        </w:rPr>
        <w:t>54</w:t>
      </w:r>
      <w:r w:rsidRPr="004266B3">
        <w:fldChar w:fldCharType="end"/>
      </w:r>
      <w:r w:rsidRPr="004266B3">
        <w:t>.  The applicant lodged an appeal with the Supreme Court (appellate jurisdiction) on</w:t>
      </w:r>
      <w:r>
        <w:t xml:space="preserve"> 17 March 2011.</w:t>
      </w:r>
    </w:p>
    <w:p w:rsidR="00FA0835" w:rsidP="00FA0835" w:rsidRDefault="00FA0835">
      <w:pPr>
        <w:pStyle w:val="JuPara"/>
      </w:pPr>
      <w:r>
        <w:fldChar w:fldCharType="begin"/>
      </w:r>
      <w:r>
        <w:instrText xml:space="preserve"> SEQ level0 \*arabic </w:instrText>
      </w:r>
      <w:r>
        <w:fldChar w:fldCharType="separate"/>
      </w:r>
      <w:r w:rsidR="00C5470A">
        <w:rPr>
          <w:noProof/>
        </w:rPr>
        <w:t>55</w:t>
      </w:r>
      <w:r>
        <w:fldChar w:fldCharType="end"/>
      </w:r>
      <w:r>
        <w:t>.  The appeal was dismissed on 15 October 2012. The Supreme Court held that as the applicant had, in the meantime, been released, the application was without object.</w:t>
      </w:r>
    </w:p>
    <w:p w:rsidRPr="00AA019B" w:rsidR="00FA0835" w:rsidP="00FA0835" w:rsidRDefault="00FA0835">
      <w:pPr>
        <w:pStyle w:val="JuHA"/>
      </w:pPr>
      <w:r>
        <w:t>D.  </w:t>
      </w:r>
      <w:r w:rsidRPr="008413FF">
        <w:t>Background information concerning the applicant</w:t>
      </w:r>
      <w:r w:rsidR="00A7319E">
        <w:t>’</w:t>
      </w:r>
      <w:r w:rsidRPr="008413FF">
        <w:t>s request under Rule 39 of the Rules of Court</w:t>
      </w:r>
    </w:p>
    <w:p w:rsidR="00FA0835" w:rsidP="00FA0835" w:rsidRDefault="00FA0835">
      <w:pPr>
        <w:pStyle w:val="JuPara"/>
      </w:pPr>
      <w:r>
        <w:fldChar w:fldCharType="begin"/>
      </w:r>
      <w:r>
        <w:instrText xml:space="preserve"> SEQ level0 \*arabic </w:instrText>
      </w:r>
      <w:r>
        <w:fldChar w:fldCharType="separate"/>
      </w:r>
      <w:r w:rsidR="00C5470A">
        <w:rPr>
          <w:noProof/>
        </w:rPr>
        <w:t>56</w:t>
      </w:r>
      <w:r>
        <w:fldChar w:fldCharType="end"/>
      </w:r>
      <w:r>
        <w:t>.  </w:t>
      </w:r>
      <w:r w:rsidRPr="00AA019B">
        <w:t xml:space="preserve">On </w:t>
      </w:r>
      <w:r>
        <w:t xml:space="preserve">Saturday, </w:t>
      </w:r>
      <w:r w:rsidRPr="00AA019B">
        <w:t>12 June 2010</w:t>
      </w:r>
      <w:r>
        <w:t>,</w:t>
      </w:r>
      <w:r w:rsidRPr="00AA019B">
        <w:t xml:space="preserve"> </w:t>
      </w:r>
      <w:r>
        <w:t>the applicant, along with forty-three other</w:t>
      </w:r>
      <w:r w:rsidRPr="00304379">
        <w:t xml:space="preserve"> p</w:t>
      </w:r>
      <w:r>
        <w:t xml:space="preserve">ersons of Kurdish origin, </w:t>
      </w:r>
      <w:r w:rsidRPr="00AA019B">
        <w:t>submitted a Rule 39 request</w:t>
      </w:r>
      <w:r>
        <w:rPr>
          <w:rStyle w:val="FootnoteReference"/>
        </w:rPr>
        <w:footnoteReference w:id="5"/>
      </w:r>
      <w:r w:rsidRPr="00AA019B">
        <w:t xml:space="preserve"> </w:t>
      </w:r>
      <w:r>
        <w:rPr>
          <w:rStyle w:val="sb8d990e2"/>
        </w:rPr>
        <w:t>in order to prevent their imminent deportation</w:t>
      </w:r>
      <w:r>
        <w:t xml:space="preserve"> </w:t>
      </w:r>
      <w:r w:rsidRPr="00444364">
        <w:t>to Syria.</w:t>
      </w:r>
    </w:p>
    <w:p w:rsidR="00FA0835" w:rsidP="00FA0835" w:rsidRDefault="00FA0835">
      <w:pPr>
        <w:pStyle w:val="JuPara"/>
      </w:pPr>
      <w:r>
        <w:fldChar w:fldCharType="begin"/>
      </w:r>
      <w:r>
        <w:instrText xml:space="preserve"> SEQ level0 \*arabic </w:instrText>
      </w:r>
      <w:r>
        <w:fldChar w:fldCharType="separate"/>
      </w:r>
      <w:r w:rsidR="00C5470A">
        <w:rPr>
          <w:noProof/>
        </w:rPr>
        <w:t>57</w:t>
      </w:r>
      <w:r>
        <w:fldChar w:fldCharType="end"/>
      </w:r>
      <w:r>
        <w:t>.  </w:t>
      </w:r>
      <w:r w:rsidRPr="00421E11">
        <w:t xml:space="preserve">On 14 June 2010 </w:t>
      </w:r>
      <w:r w:rsidRPr="00AA019B">
        <w:t>the President of the First Section decided to apply Rule</w:t>
      </w:r>
      <w:r>
        <w:t> </w:t>
      </w:r>
      <w:r w:rsidRPr="00AA019B">
        <w:t>39</w:t>
      </w:r>
      <w:r>
        <w:t>,</w:t>
      </w:r>
      <w:r w:rsidRPr="00AA019B">
        <w:t xml:space="preserve"> </w:t>
      </w:r>
      <w:r w:rsidRPr="000E6161">
        <w:t>indicating to</w:t>
      </w:r>
      <w:r>
        <w:t xml:space="preserve"> the respondent Government that the detainees</w:t>
      </w:r>
      <w:r w:rsidRPr="000E6161">
        <w:t xml:space="preserve"> should not be deported to Syria until the Court had </w:t>
      </w:r>
      <w:r>
        <w:t xml:space="preserve">had </w:t>
      </w:r>
      <w:r w:rsidRPr="000E6161">
        <w:t xml:space="preserve">the opportunity to receive and examine all the documents pertaining to </w:t>
      </w:r>
      <w:r>
        <w:t>their</w:t>
      </w:r>
      <w:r w:rsidRPr="000E6161">
        <w:t xml:space="preserve"> claim.</w:t>
      </w:r>
      <w:r>
        <w:t xml:space="preserve"> The</w:t>
      </w:r>
      <w:r w:rsidRPr="00AA019B">
        <w:t xml:space="preserve"> </w:t>
      </w:r>
      <w:r>
        <w:t>parties were requested</w:t>
      </w:r>
      <w:r w:rsidRPr="00AA019B">
        <w:t xml:space="preserve"> under Rule 54 § 2 (a) of the Rules of Court to </w:t>
      </w:r>
      <w:r w:rsidRPr="00DE044D">
        <w:t>submit information and documents concerning the asylum applications and the deportation.</w:t>
      </w:r>
    </w:p>
    <w:p w:rsidRPr="00346B38" w:rsidR="00FA0835" w:rsidP="00FA0835" w:rsidRDefault="00FA0835">
      <w:pPr>
        <w:pStyle w:val="JuPara"/>
      </w:pPr>
      <w:r w:rsidRPr="00346B38">
        <w:rPr>
          <w:szCs w:val="24"/>
        </w:rPr>
        <w:fldChar w:fldCharType="begin"/>
      </w:r>
      <w:r w:rsidRPr="00346B38">
        <w:rPr>
          <w:szCs w:val="24"/>
        </w:rPr>
        <w:instrText xml:space="preserve"> SEQ level0 \*arabic </w:instrText>
      </w:r>
      <w:r w:rsidRPr="00346B38">
        <w:rPr>
          <w:szCs w:val="24"/>
        </w:rPr>
        <w:fldChar w:fldCharType="separate"/>
      </w:r>
      <w:r w:rsidR="00C5470A">
        <w:rPr>
          <w:noProof/>
          <w:szCs w:val="24"/>
        </w:rPr>
        <w:t>58</w:t>
      </w:r>
      <w:r w:rsidRPr="00346B38">
        <w:rPr>
          <w:szCs w:val="24"/>
        </w:rPr>
        <w:fldChar w:fldCharType="end"/>
      </w:r>
      <w:r w:rsidRPr="00346B38">
        <w:rPr>
          <w:szCs w:val="24"/>
        </w:rPr>
        <w:t xml:space="preserve">.  On 21 September 2010 the President of the First Section reconsidered the application of Rule 39 in the light of information provided by the parties. He decided to maintain the interim measure in respect of five applications, including the present one. Rule 39 was lifted with regard to the thirty-nine remaining cases. In seven of these cases the deportation and detention orders were annulled by the authorities. It appears that in at least three out of the seven cases proceedings were still pending </w:t>
      </w:r>
      <w:r>
        <w:rPr>
          <w:szCs w:val="24"/>
        </w:rPr>
        <w:t>with</w:t>
      </w:r>
      <w:r w:rsidRPr="00346B38">
        <w:rPr>
          <w:szCs w:val="24"/>
        </w:rPr>
        <w:t xml:space="preserve"> the Asylum Service or the Reviewing Authority. Th</w:t>
      </w:r>
      <w:r>
        <w:rPr>
          <w:szCs w:val="24"/>
        </w:rPr>
        <w:t>o</w:t>
      </w:r>
      <w:r w:rsidRPr="00346B38">
        <w:rPr>
          <w:szCs w:val="24"/>
        </w:rPr>
        <w:t>se applicants subsequently withdrew the applications they had lodged with the Court</w:t>
      </w:r>
      <w:r>
        <w:t>.</w:t>
      </w:r>
    </w:p>
    <w:p w:rsidRPr="006B2965" w:rsidR="00FA0835" w:rsidP="00FA0835" w:rsidRDefault="00FA0835">
      <w:pPr>
        <w:pStyle w:val="NormalWeb"/>
        <w:spacing w:before="0" w:beforeAutospacing="0" w:after="0" w:afterAutospacing="0"/>
        <w:ind w:firstLine="284"/>
        <w:jc w:val="both"/>
      </w:pPr>
      <w:r w:rsidRPr="006B2965">
        <w:fldChar w:fldCharType="begin"/>
      </w:r>
      <w:r w:rsidRPr="006B2965">
        <w:instrText xml:space="preserve"> SEQ level0 \*arabic </w:instrText>
      </w:r>
      <w:r w:rsidRPr="006B2965">
        <w:fldChar w:fldCharType="separate"/>
      </w:r>
      <w:r w:rsidR="00C5470A">
        <w:rPr>
          <w:noProof/>
        </w:rPr>
        <w:t>59</w:t>
      </w:r>
      <w:r w:rsidRPr="006B2965">
        <w:fldChar w:fldCharType="end"/>
      </w:r>
      <w:r w:rsidRPr="006B2965">
        <w:t xml:space="preserve">.  By a letter dated 11 May 2011, </w:t>
      </w:r>
      <w:r w:rsidRPr="006B2965">
        <w:rPr>
          <w:rStyle w:val="wordhighlighted"/>
        </w:rPr>
        <w:t>the</w:t>
      </w:r>
      <w:r w:rsidRPr="006B2965">
        <w:t xml:space="preserve"> applicant</w:t>
      </w:r>
      <w:r w:rsidR="00A7319E">
        <w:t>’</w:t>
      </w:r>
      <w:r w:rsidRPr="006B2965">
        <w:t xml:space="preserve">s representative informed </w:t>
      </w:r>
      <w:r w:rsidRPr="006B2965">
        <w:rPr>
          <w:rStyle w:val="wordhighlighted"/>
        </w:rPr>
        <w:t>the</w:t>
      </w:r>
      <w:r w:rsidRPr="006B2965">
        <w:t xml:space="preserve"> Court that </w:t>
      </w:r>
      <w:r w:rsidRPr="006B2965">
        <w:rPr>
          <w:rStyle w:val="wordhighlighted"/>
        </w:rPr>
        <w:t xml:space="preserve">the applicant, by a decision dated </w:t>
      </w:r>
      <w:r>
        <w:rPr>
          <w:rStyle w:val="Strong"/>
          <w:b w:val="0"/>
          <w:color w:val="000000"/>
        </w:rPr>
        <w:t>26 April 201</w:t>
      </w:r>
      <w:r w:rsidRPr="006B2965">
        <w:rPr>
          <w:rStyle w:val="Strong"/>
          <w:b w:val="0"/>
          <w:color w:val="000000"/>
        </w:rPr>
        <w:t xml:space="preserve">1, </w:t>
      </w:r>
      <w:r w:rsidRPr="006B2965">
        <w:rPr>
          <w:rStyle w:val="wordhighlighted"/>
        </w:rPr>
        <w:t xml:space="preserve">had been recognised as a refugee under the </w:t>
      </w:r>
      <w:r>
        <w:rPr>
          <w:rStyle w:val="wordhighlighted"/>
        </w:rPr>
        <w:t xml:space="preserve">1951 Geneva Convention </w:t>
      </w:r>
      <w:r w:rsidRPr="006B2965">
        <w:rPr>
          <w:rStyle w:val="wordhighlighted"/>
        </w:rPr>
        <w:t>and had been released on 3 May 2011.</w:t>
      </w:r>
    </w:p>
    <w:p w:rsidRPr="00DF1A15" w:rsidR="00FA0835" w:rsidP="00FA0835" w:rsidRDefault="00FA0835">
      <w:pPr>
        <w:pStyle w:val="NormalWeb"/>
        <w:spacing w:before="0" w:beforeAutospacing="0" w:after="0" w:afterAutospacing="0"/>
        <w:ind w:firstLine="284"/>
        <w:jc w:val="both"/>
        <w:rPr>
          <w:highlight w:val="yellow"/>
        </w:rPr>
      </w:pPr>
      <w:r w:rsidRPr="006B2965">
        <w:fldChar w:fldCharType="begin"/>
      </w:r>
      <w:r w:rsidRPr="006B2965">
        <w:instrText xml:space="preserve"> SEQ level0 \*arabic </w:instrText>
      </w:r>
      <w:r w:rsidRPr="006B2965">
        <w:fldChar w:fldCharType="separate"/>
      </w:r>
      <w:r w:rsidR="00C5470A">
        <w:rPr>
          <w:noProof/>
        </w:rPr>
        <w:t>60</w:t>
      </w:r>
      <w:r w:rsidRPr="006B2965">
        <w:fldChar w:fldCharType="end"/>
      </w:r>
      <w:r w:rsidRPr="006B2965">
        <w:t>.  </w:t>
      </w:r>
      <w:r>
        <w:t>On the basis of the above information, on 23 May 2011 the President of the F</w:t>
      </w:r>
      <w:r w:rsidRPr="000E6161">
        <w:t>irst Section decided to lift the measure indicated under Rule 39</w:t>
      </w:r>
      <w:r>
        <w:t>.</w:t>
      </w:r>
    </w:p>
    <w:p w:rsidRPr="0011250F" w:rsidR="00FA0835" w:rsidP="00FA0835" w:rsidRDefault="00FA0835">
      <w:pPr>
        <w:pStyle w:val="JuHIRoman"/>
        <w:outlineLvl w:val="0"/>
      </w:pPr>
      <w:r w:rsidRPr="0011250F">
        <w:t>II.  RELEVANT DOMESTIC LAW AND PRACTICE</w:t>
      </w:r>
    </w:p>
    <w:p w:rsidRPr="00CB01E6" w:rsidR="00FA0835" w:rsidP="00FA0835" w:rsidRDefault="00FA0835">
      <w:pPr>
        <w:pStyle w:val="JuHA"/>
        <w:rPr>
          <w:lang w:val="en-US"/>
        </w:rPr>
      </w:pPr>
      <w:r w:rsidRPr="008D1E79">
        <w:rPr>
          <w:lang w:val="en-US"/>
        </w:rPr>
        <w:t>A.  </w:t>
      </w:r>
      <w:r>
        <w:rPr>
          <w:lang w:val="en-US"/>
        </w:rPr>
        <w:t>Entry</w:t>
      </w:r>
      <w:r w:rsidRPr="008D1E79">
        <w:rPr>
          <w:lang w:val="en-US"/>
        </w:rPr>
        <w:t>, residence and deportation of aliens</w:t>
      </w:r>
    </w:p>
    <w:p w:rsidRPr="00CB01E6" w:rsidR="00FA0835" w:rsidP="00FA0835" w:rsidRDefault="00FA0835">
      <w:pPr>
        <w:pStyle w:val="JuH1"/>
        <w:rPr>
          <w:lang w:val="en-US"/>
        </w:rPr>
      </w:pPr>
      <w:r w:rsidRPr="00CB01E6">
        <w:rPr>
          <w:lang w:val="en-US"/>
        </w:rPr>
        <w:t>1.  </w:t>
      </w:r>
      <w:r>
        <w:rPr>
          <w:lang w:val="en-US"/>
        </w:rPr>
        <w:t>The Aliens and Immigration Law and the Refugee Law</w:t>
      </w:r>
    </w:p>
    <w:p w:rsidRPr="0011063E" w:rsidR="00FA0835" w:rsidP="00FA0835" w:rsidRDefault="00FA0835">
      <w:pPr>
        <w:pStyle w:val="JuPara"/>
      </w:pPr>
      <w:r>
        <w:fldChar w:fldCharType="begin"/>
      </w:r>
      <w:r>
        <w:instrText xml:space="preserve"> SEQ level0 \*arabic </w:instrText>
      </w:r>
      <w:r>
        <w:fldChar w:fldCharType="separate"/>
      </w:r>
      <w:r w:rsidR="00C5470A">
        <w:rPr>
          <w:noProof/>
        </w:rPr>
        <w:t>61</w:t>
      </w:r>
      <w:r>
        <w:fldChar w:fldCharType="end"/>
      </w:r>
      <w:r>
        <w:t>.  </w:t>
      </w:r>
      <w:r w:rsidRPr="0011063E">
        <w:t xml:space="preserve">The entry, residence and </w:t>
      </w:r>
      <w:r w:rsidRPr="004B1DCD">
        <w:rPr>
          <w:color w:val="000000"/>
        </w:rPr>
        <w:t xml:space="preserve">deportation </w:t>
      </w:r>
      <w:r w:rsidRPr="0011063E">
        <w:t>of aliens are regulated by the Aliens and Immigration Law of 1959</w:t>
      </w:r>
      <w:r>
        <w:t xml:space="preserve"> (Cap. 105, </w:t>
      </w:r>
      <w:r w:rsidRPr="0011063E">
        <w:t>as amended).</w:t>
      </w:r>
    </w:p>
    <w:p w:rsidR="00FA0835" w:rsidP="00FA0835" w:rsidRDefault="00FA0835">
      <w:pPr>
        <w:pStyle w:val="JuPara"/>
      </w:pPr>
      <w:r>
        <w:fldChar w:fldCharType="begin"/>
      </w:r>
      <w:r>
        <w:instrText xml:space="preserve"> SEQ level0 \*arabic </w:instrText>
      </w:r>
      <w:r>
        <w:fldChar w:fldCharType="separate"/>
      </w:r>
      <w:r w:rsidR="00C5470A">
        <w:rPr>
          <w:noProof/>
        </w:rPr>
        <w:t>62</w:t>
      </w:r>
      <w:r>
        <w:fldChar w:fldCharType="end"/>
      </w:r>
      <w:r>
        <w:t>.  </w:t>
      </w:r>
      <w:r w:rsidRPr="0011063E">
        <w:t xml:space="preserve">Under section 6(1) of the Law a person is not permitted to enter the Republic if he is a “prohibited immigrant”. This category includes any person who enters or resides in the country contrary to any prohibition, condition, restriction or limitation contained in the Law or in any permit granted or issued </w:t>
      </w:r>
      <w:r>
        <w:t>under the Law (section 6(1)(k</w:t>
      </w:r>
      <w:r w:rsidRPr="00C95237">
        <w:t>)), any person who was deported from the Republic either on the basis of the Law or on the basis of any other legislation in force at the time of his</w:t>
      </w:r>
      <w:r>
        <w:t xml:space="preserve"> or </w:t>
      </w:r>
      <w:r w:rsidRPr="00C95237">
        <w:t>her deportation (section</w:t>
      </w:r>
      <w:r>
        <w:t> </w:t>
      </w:r>
      <w:r w:rsidRPr="00C95237">
        <w:t>6(1)(i)) and any alien who wishes to enter the Republic as an immigrant, but does not have in his</w:t>
      </w:r>
      <w:r>
        <w:t xml:space="preserve"> or </w:t>
      </w:r>
      <w:r w:rsidRPr="00C95237">
        <w:t>her possession an immigration permit granted in accordance with the relev</w:t>
      </w:r>
      <w:r>
        <w:t>ant regulations (section 6(1)(</w:t>
      </w:r>
      <w:r>
        <w:rPr>
          <w:rFonts w:ascii="Vrinda" w:hAnsi="Vrinda" w:cs="Vrinda"/>
        </w:rPr>
        <w:t>l</w:t>
      </w:r>
      <w:r w:rsidRPr="00C95237">
        <w:t>)).</w:t>
      </w:r>
      <w:r>
        <w:t xml:space="preserve"> </w:t>
      </w:r>
      <w:r w:rsidRPr="00E11355">
        <w:t xml:space="preserve">Furthermore, a person can be considered to be a “prohibited immigrant” on, </w:t>
      </w:r>
      <w:r w:rsidRPr="00E11355">
        <w:rPr>
          <w:i/>
        </w:rPr>
        <w:t>inter alia</w:t>
      </w:r>
      <w:r w:rsidRPr="00E11355">
        <w:t xml:space="preserve">, grounds of public order, legal order or public morals or if he </w:t>
      </w:r>
      <w:r>
        <w:t xml:space="preserve">or she </w:t>
      </w:r>
      <w:r w:rsidRPr="00E11355">
        <w:t>constitutes a threat to peace (section 6(1)(g</w:t>
      </w:r>
      <w:r>
        <w:t>)).</w:t>
      </w:r>
    </w:p>
    <w:p w:rsidR="00FA0835" w:rsidP="00FA0835" w:rsidRDefault="00FA0835">
      <w:pPr>
        <w:pStyle w:val="JuPara"/>
      </w:pPr>
      <w:r>
        <w:fldChar w:fldCharType="begin"/>
      </w:r>
      <w:r>
        <w:instrText xml:space="preserve"> SEQ level0 \*arabic </w:instrText>
      </w:r>
      <w:r>
        <w:fldChar w:fldCharType="separate"/>
      </w:r>
      <w:r w:rsidR="00C5470A">
        <w:rPr>
          <w:noProof/>
        </w:rPr>
        <w:t>63</w:t>
      </w:r>
      <w:r>
        <w:fldChar w:fldCharType="end"/>
      </w:r>
      <w:r>
        <w:t>.  Under the Law the de</w:t>
      </w:r>
      <w:r w:rsidRPr="0011063E">
        <w:t xml:space="preserve">portation and, </w:t>
      </w:r>
      <w:r>
        <w:t xml:space="preserve">in the meantime, the detention of any alien who </w:t>
      </w:r>
      <w:r w:rsidRPr="0011063E">
        <w:t>is</w:t>
      </w:r>
      <w:r>
        <w:t xml:space="preserve"> considered</w:t>
      </w:r>
      <w:r w:rsidRPr="0011063E">
        <w:t xml:space="preserve"> </w:t>
      </w:r>
      <w:r>
        <w:t>“</w:t>
      </w:r>
      <w:r w:rsidRPr="0011063E">
        <w:t>a prohibited immigrant”</w:t>
      </w:r>
      <w:r>
        <w:t xml:space="preserve"> can be ordered</w:t>
      </w:r>
      <w:r w:rsidRPr="0011063E">
        <w:t xml:space="preserve"> </w:t>
      </w:r>
      <w:r>
        <w:t>by</w:t>
      </w:r>
      <w:r w:rsidRPr="000A5815">
        <w:t xml:space="preserve"> </w:t>
      </w:r>
      <w:r w:rsidRPr="00D03C5B">
        <w:t>the Chief Immigration Officer</w:t>
      </w:r>
      <w:r>
        <w:t>, who is the Minister of the Interior</w:t>
      </w:r>
      <w:r w:rsidRPr="00D03C5B">
        <w:rPr>
          <w:color w:val="0000FF"/>
        </w:rPr>
        <w:t xml:space="preserve"> </w:t>
      </w:r>
      <w:r w:rsidRPr="00D03C5B">
        <w:t>(section 14). Section 14(6) provides that a</w:t>
      </w:r>
      <w:r w:rsidRPr="0011063E">
        <w:t xml:space="preserve"> person against whom a detention and/or deportation order has been issued shall be informed in writing, in a language which he understands, of the reasons for this decision, unless this is not desirable on public</w:t>
      </w:r>
      <w:r>
        <w:t>-</w:t>
      </w:r>
      <w:r w:rsidRPr="0011063E">
        <w:t xml:space="preserve">security grounds, and has the right to be represented </w:t>
      </w:r>
      <w:r w:rsidRPr="000652BB">
        <w:t>before the competent authorities and to request the</w:t>
      </w:r>
      <w:r w:rsidRPr="0011063E">
        <w:t xml:space="preserve"> services of an interpreter. </w:t>
      </w:r>
      <w:r>
        <w:t>In addition</w:t>
      </w:r>
      <w:r w:rsidRPr="00C95237">
        <w:t xml:space="preserve">, Regulation 19 </w:t>
      </w:r>
      <w:r w:rsidRPr="00C95237">
        <w:rPr>
          <w:szCs w:val="17"/>
        </w:rPr>
        <w:t xml:space="preserve">of the Aliens </w:t>
      </w:r>
      <w:r w:rsidRPr="00CD703C">
        <w:rPr>
          <w:szCs w:val="17"/>
        </w:rPr>
        <w:t>and Immigration Regulations of 1972 (as amended</w:t>
      </w:r>
      <w:r w:rsidRPr="00CD703C">
        <w:t>) provides that when the Immigration Officer decides that a person is a prohibited immigrant, written notice to that</w:t>
      </w:r>
      <w:r w:rsidRPr="003A5096">
        <w:t xml:space="preserve"> effect</w:t>
      </w:r>
      <w:r w:rsidRPr="00C95237">
        <w:t xml:space="preserve"> must be served on that person in accordance with the second schedule of the Regulations.</w:t>
      </w:r>
    </w:p>
    <w:p w:rsidR="00FA0835" w:rsidP="00FA0835" w:rsidRDefault="00FA0835">
      <w:pPr>
        <w:pStyle w:val="JuPara"/>
      </w:pPr>
      <w:r>
        <w:fldChar w:fldCharType="begin"/>
      </w:r>
      <w:r>
        <w:instrText xml:space="preserve"> SEQ level0 \*arabic </w:instrText>
      </w:r>
      <w:r>
        <w:fldChar w:fldCharType="separate"/>
      </w:r>
      <w:r w:rsidR="00C5470A">
        <w:rPr>
          <w:noProof/>
        </w:rPr>
        <w:t>64</w:t>
      </w:r>
      <w:r>
        <w:fldChar w:fldCharType="end"/>
      </w:r>
      <w:r>
        <w:t>.  </w:t>
      </w:r>
      <w:r w:rsidRPr="00C95237">
        <w:rPr>
          <w:bCs/>
        </w:rPr>
        <w:t xml:space="preserve">In the case of </w:t>
      </w:r>
      <w:r w:rsidRPr="00C95237">
        <w:rPr>
          <w:bCs/>
          <w:i/>
        </w:rPr>
        <w:t>Uros Stojicic</w:t>
      </w:r>
      <w:r w:rsidRPr="00C95237">
        <w:rPr>
          <w:bCs/>
        </w:rPr>
        <w:t xml:space="preserve"> v. </w:t>
      </w:r>
      <w:r>
        <w:rPr>
          <w:i/>
          <w:lang w:val="en-US"/>
        </w:rPr>
        <w:t xml:space="preserve">the Republic of Cyprus, through the Immigration Officer (judgment of 27 June 2003, case no. 1018/2002) </w:t>
      </w:r>
      <w:r w:rsidRPr="00C95237">
        <w:rPr>
          <w:bCs/>
        </w:rPr>
        <w:t xml:space="preserve">the Supreme Court pointed out that, due to its seriousness, a </w:t>
      </w:r>
      <w:r>
        <w:rPr>
          <w:bCs/>
        </w:rPr>
        <w:t xml:space="preserve">deportation order </w:t>
      </w:r>
      <w:r w:rsidRPr="00C95237">
        <w:rPr>
          <w:bCs/>
        </w:rPr>
        <w:t xml:space="preserve">was subject to restrictions and conditions of a substantive and formal nature, which aimed to safeguard the fundamental rights of persons against whom a deportation procedure </w:t>
      </w:r>
      <w:r>
        <w:rPr>
          <w:bCs/>
        </w:rPr>
        <w:t>was being carried</w:t>
      </w:r>
      <w:r w:rsidRPr="00C95237">
        <w:rPr>
          <w:bCs/>
        </w:rPr>
        <w:t xml:space="preserve"> out to information and a hearing. These safeguards </w:t>
      </w:r>
      <w:r>
        <w:rPr>
          <w:bCs/>
        </w:rPr>
        <w:t>are</w:t>
      </w:r>
      <w:r w:rsidRPr="00C95237">
        <w:rPr>
          <w:bCs/>
        </w:rPr>
        <w:t xml:space="preserve"> provided for in the domestic law, in particular, section</w:t>
      </w:r>
      <w:r>
        <w:rPr>
          <w:bCs/>
        </w:rPr>
        <w:t> </w:t>
      </w:r>
      <w:r w:rsidRPr="00C95237">
        <w:rPr>
          <w:bCs/>
        </w:rPr>
        <w:t>14(6) of the Aliens and Immigration Law and Regulation 19 of the Aliens and Immigration Regulations, as well as in Article 1 of Protocol</w:t>
      </w:r>
      <w:r>
        <w:rPr>
          <w:bCs/>
        </w:rPr>
        <w:t xml:space="preserve"> </w:t>
      </w:r>
      <w:r w:rsidRPr="00C95237">
        <w:rPr>
          <w:bCs/>
        </w:rPr>
        <w:t xml:space="preserve">No. 7 </w:t>
      </w:r>
      <w:r>
        <w:rPr>
          <w:bCs/>
        </w:rPr>
        <w:t>to</w:t>
      </w:r>
      <w:r w:rsidRPr="00C95237">
        <w:rPr>
          <w:bCs/>
        </w:rPr>
        <w:t xml:space="preserve"> the Convention. </w:t>
      </w:r>
      <w:r>
        <w:rPr>
          <w:bCs/>
        </w:rPr>
        <w:t xml:space="preserve">The Supreme Court observed that </w:t>
      </w:r>
      <w:r w:rsidRPr="0028030B">
        <w:t xml:space="preserve">Cypriot jurisprudence recognised the wide discretion of </w:t>
      </w:r>
      <w:r w:rsidRPr="008A7BA0">
        <w:t>the Immigration Officer as</w:t>
      </w:r>
      <w:r w:rsidRPr="0028030B">
        <w:t xml:space="preserve"> an integral part of state sovereignty but at the same time imposed safety </w:t>
      </w:r>
      <w:r w:rsidRPr="00661FA1">
        <w:t>measures in order</w:t>
      </w:r>
      <w:r w:rsidRPr="0028030B">
        <w:t xml:space="preserve"> to prevent arbitrary acts by state organs and abuses </w:t>
      </w:r>
      <w:r w:rsidRPr="0028030B">
        <w:rPr>
          <w:color w:val="000000"/>
          <w:szCs w:val="24"/>
        </w:rPr>
        <w:t xml:space="preserve">which could lead </w:t>
      </w:r>
      <w:r w:rsidRPr="0028030B">
        <w:t>to the infringement of fundamental and internationally safeguarded human rights.</w:t>
      </w:r>
    </w:p>
    <w:p w:rsidRPr="007D6F1F" w:rsidR="00FA0835" w:rsidP="00FA0835" w:rsidRDefault="00FA0835">
      <w:pPr>
        <w:pStyle w:val="JuPara"/>
      </w:pPr>
      <w:r w:rsidRPr="00826CE2">
        <w:t>The exception provided for in section 14(6)</w:t>
      </w:r>
      <w:r>
        <w:t>,</w:t>
      </w:r>
      <w:r w:rsidRPr="00826CE2">
        <w:t xml:space="preserve"> </w:t>
      </w:r>
      <w:r>
        <w:t xml:space="preserve">which </w:t>
      </w:r>
      <w:r w:rsidRPr="00826CE2">
        <w:t>is grounded on</w:t>
      </w:r>
      <w:r w:rsidRPr="00826CE2">
        <w:rPr>
          <w:rStyle w:val="sfbbfee58"/>
        </w:rPr>
        <w:t xml:space="preserve"> reasons of public</w:t>
      </w:r>
      <w:r>
        <w:rPr>
          <w:rStyle w:val="sfbbfee58"/>
        </w:rPr>
        <w:t xml:space="preserve"> security, will apply where the authorities consider it undesirable to inform the person concerned of the reasons for the decision to detain and deport him. For example, in </w:t>
      </w:r>
      <w:r w:rsidRPr="00B240EE">
        <w:rPr>
          <w:i/>
        </w:rPr>
        <w:t xml:space="preserve">Kamran Sharajeel </w:t>
      </w:r>
      <w:r w:rsidRPr="00B240EE">
        <w:rPr>
          <w:bCs/>
          <w:i/>
        </w:rPr>
        <w:t>v</w:t>
      </w:r>
      <w:r w:rsidRPr="00B240EE">
        <w:rPr>
          <w:bCs/>
        </w:rPr>
        <w:t xml:space="preserve">. </w:t>
      </w:r>
      <w:r w:rsidRPr="00B240EE">
        <w:rPr>
          <w:i/>
          <w:lang w:val="en-US"/>
        </w:rPr>
        <w:t>the Republic</w:t>
      </w:r>
      <w:r>
        <w:rPr>
          <w:i/>
          <w:lang w:val="en-US"/>
        </w:rPr>
        <w:t xml:space="preserve"> of Cyprus, through Minister of the Interior (judgment of 17 March 2006, case no. </w:t>
      </w:r>
      <w:r w:rsidRPr="00873975">
        <w:rPr>
          <w:i/>
          <w:lang w:val="en-US"/>
        </w:rPr>
        <w:t>725/2004</w:t>
      </w:r>
      <w:r w:rsidRPr="00873975">
        <w:t xml:space="preserve">, the Supreme Court accepted the application of the exception as </w:t>
      </w:r>
      <w:r w:rsidRPr="00873975">
        <w:rPr>
          <w:color w:val="000000"/>
        </w:rPr>
        <w:t xml:space="preserve">it was obvious from the correspondence in the file that the case </w:t>
      </w:r>
      <w:r>
        <w:rPr>
          <w:color w:val="000000"/>
        </w:rPr>
        <w:t>had been</w:t>
      </w:r>
      <w:r w:rsidRPr="00873975">
        <w:rPr>
          <w:color w:val="000000"/>
        </w:rPr>
        <w:t xml:space="preserve"> treated as urgent </w:t>
      </w:r>
      <w:r>
        <w:rPr>
          <w:color w:val="000000"/>
        </w:rPr>
        <w:t xml:space="preserve">by the authorities </w:t>
      </w:r>
      <w:r w:rsidRPr="00873975">
        <w:rPr>
          <w:color w:val="000000"/>
        </w:rPr>
        <w:t xml:space="preserve">and that the grounds </w:t>
      </w:r>
      <w:r>
        <w:rPr>
          <w:color w:val="000000"/>
        </w:rPr>
        <w:t>for the</w:t>
      </w:r>
      <w:r w:rsidRPr="00873975">
        <w:rPr>
          <w:color w:val="000000"/>
        </w:rPr>
        <w:t xml:space="preserve"> deportation concerned national security. </w:t>
      </w:r>
      <w:r>
        <w:t>The applicant in that case</w:t>
      </w:r>
      <w:r w:rsidRPr="00873975">
        <w:t xml:space="preserve"> had been arrested on the basis of information that he was reportedly involved with </w:t>
      </w:r>
      <w:r>
        <w:rPr>
          <w:rStyle w:val="sb8d990e2"/>
        </w:rPr>
        <w:t>Al-Qaeda</w:t>
      </w:r>
      <w:r w:rsidRPr="00873975">
        <w:t xml:space="preserve"> and </w:t>
      </w:r>
      <w:r>
        <w:t xml:space="preserve">was </w:t>
      </w:r>
      <w:r w:rsidRPr="00873975">
        <w:t>deported within three days of his arrest.</w:t>
      </w:r>
    </w:p>
    <w:p w:rsidR="00FA0835" w:rsidP="00FA0835" w:rsidRDefault="00FA0835">
      <w:pPr>
        <w:pStyle w:val="JuPara"/>
        <w:rPr>
          <w:rStyle w:val="JuParaChar"/>
        </w:rPr>
      </w:pPr>
      <w:r w:rsidRPr="00A0437D">
        <w:fldChar w:fldCharType="begin"/>
      </w:r>
      <w:r w:rsidRPr="00A0437D">
        <w:instrText xml:space="preserve"> SEQ level0 \*arabic </w:instrText>
      </w:r>
      <w:r w:rsidRPr="00A0437D">
        <w:fldChar w:fldCharType="separate"/>
      </w:r>
      <w:r w:rsidR="00C5470A">
        <w:rPr>
          <w:noProof/>
        </w:rPr>
        <w:t>65</w:t>
      </w:r>
      <w:r w:rsidRPr="00A0437D">
        <w:fldChar w:fldCharType="end"/>
      </w:r>
      <w:r w:rsidRPr="00A0437D">
        <w:t xml:space="preserve">.  Unauthorised entry and/or stay in Cyprus are criminal offences. Until November 2011, they were punishable by imprisonment or a fine (section 19(2)) of the Aliens and Immigration Law). Law 153(I)/2011, which entered into force in </w:t>
      </w:r>
      <w:r w:rsidRPr="00A0437D">
        <w:rPr>
          <w:rStyle w:val="sb8d990e2"/>
          <w:color w:val="000000"/>
        </w:rPr>
        <w:t xml:space="preserve">November 2011, </w:t>
      </w:r>
      <w:r w:rsidRPr="00A0437D">
        <w:t>removed the punishment of imprisonment but retained the criminal nature of the contraventions and their punishment with a fine</w:t>
      </w:r>
      <w:r>
        <w:t xml:space="preserve"> </w:t>
      </w:r>
      <w:r w:rsidRPr="00A0437D">
        <w:t>(section 18).</w:t>
      </w:r>
      <w:r w:rsidRPr="00A0437D">
        <w:rPr>
          <w:color w:val="0000FF"/>
        </w:rPr>
        <w:t xml:space="preserve"> </w:t>
      </w:r>
      <w:r w:rsidRPr="00A0437D">
        <w:rPr>
          <w:rStyle w:val="JuParaChar"/>
        </w:rPr>
        <w:t xml:space="preserve">Such punishment is not applicable to asylum seekers. Furthermore, </w:t>
      </w:r>
      <w:r w:rsidRPr="00A0437D">
        <w:t xml:space="preserve">a person who has entered the Republic illegally will not be subject to punishment solely on the basis of his illegal entry or residence, provided that he appears without unjustified delay before the authorities and gives the reasons for his illegal entry or residence (Section 7(1) of the Refugee Law, </w:t>
      </w:r>
      <w:r w:rsidRPr="00A0437D">
        <w:rPr>
          <w:rStyle w:val="JuParaChar"/>
        </w:rPr>
        <w:t>Law 6 (I) of 2000, as amended).</w:t>
      </w:r>
    </w:p>
    <w:p w:rsidR="00FA0835" w:rsidP="00FA0835" w:rsidRDefault="00FA0835">
      <w:pPr>
        <w:pStyle w:val="JuPara"/>
      </w:pPr>
      <w:r w:rsidRPr="00C95237">
        <w:fldChar w:fldCharType="begin"/>
      </w:r>
      <w:r w:rsidRPr="00C95237">
        <w:instrText xml:space="preserve"> SEQ level0 \*arabic </w:instrText>
      </w:r>
      <w:r w:rsidRPr="00C95237">
        <w:fldChar w:fldCharType="separate"/>
      </w:r>
      <w:r w:rsidR="00C5470A">
        <w:rPr>
          <w:noProof/>
        </w:rPr>
        <w:t>66</w:t>
      </w:r>
      <w:r w:rsidRPr="00C95237">
        <w:fldChar w:fldCharType="end"/>
      </w:r>
      <w:r w:rsidRPr="00C95237">
        <w:t xml:space="preserve">.  Further, section 19 A (2) </w:t>
      </w:r>
      <w:r>
        <w:t xml:space="preserve">of the Aliens and Immigration Law </w:t>
      </w:r>
      <w:r w:rsidRPr="00C95237">
        <w:t xml:space="preserve">provides, </w:t>
      </w:r>
      <w:r w:rsidRPr="00C95237">
        <w:rPr>
          <w:i/>
        </w:rPr>
        <w:t>inter alia</w:t>
      </w:r>
      <w:r w:rsidRPr="00C95237">
        <w:t xml:space="preserve">, that a person who intentionally and with the aim of </w:t>
      </w:r>
      <w:r w:rsidRPr="008D1C37">
        <w:t>obtaining profit assists a third country national to enter or pass through the</w:t>
      </w:r>
      <w:r w:rsidRPr="00C95237">
        <w:t xml:space="preserve"> Republic in breach of the Aliens and Immigration Law, commits a criminal offence which is punishable, following conviction, with imprisonment of up to eight years or </w:t>
      </w:r>
      <w:r>
        <w:t xml:space="preserve">with </w:t>
      </w:r>
      <w:r w:rsidRPr="00C95237">
        <w:t>a fine, or both.</w:t>
      </w:r>
    </w:p>
    <w:p w:rsidR="00FA0835" w:rsidP="00FA0835" w:rsidRDefault="00FA0835">
      <w:pPr>
        <w:pStyle w:val="JuH1"/>
        <w:rPr>
          <w:lang w:val="en-US"/>
        </w:rPr>
      </w:pPr>
      <w:r>
        <w:rPr>
          <w:lang w:val="en-US"/>
        </w:rPr>
        <w:t>2</w:t>
      </w:r>
      <w:r w:rsidRPr="00CB01E6">
        <w:rPr>
          <w:lang w:val="en-US"/>
        </w:rPr>
        <w:t>.  </w:t>
      </w:r>
      <w:r>
        <w:rPr>
          <w:lang w:val="en-US"/>
        </w:rPr>
        <w:t>Challenging deportation and detention orders</w:t>
      </w:r>
    </w:p>
    <w:p w:rsidR="00FA0835" w:rsidP="00FA0835" w:rsidRDefault="00FA0835">
      <w:pPr>
        <w:pStyle w:val="JuPara"/>
        <w:rPr>
          <w:lang w:val="en-US"/>
        </w:rPr>
      </w:pPr>
      <w:r>
        <w:rPr>
          <w:lang w:val="en-US"/>
        </w:rPr>
        <w:fldChar w:fldCharType="begin"/>
      </w:r>
      <w:r>
        <w:rPr>
          <w:lang w:val="en-US"/>
        </w:rPr>
        <w:instrText xml:space="preserve"> SEQ level0 \*arabic </w:instrText>
      </w:r>
      <w:r>
        <w:rPr>
          <w:lang w:val="en-US"/>
        </w:rPr>
        <w:fldChar w:fldCharType="separate"/>
      </w:r>
      <w:r w:rsidR="00C5470A">
        <w:rPr>
          <w:noProof/>
          <w:lang w:val="en-US"/>
        </w:rPr>
        <w:t>67</w:t>
      </w:r>
      <w:r>
        <w:rPr>
          <w:lang w:val="en-US"/>
        </w:rPr>
        <w:fldChar w:fldCharType="end"/>
      </w:r>
      <w:r>
        <w:rPr>
          <w:lang w:val="en-US"/>
        </w:rPr>
        <w:t>.  </w:t>
      </w:r>
      <w:r w:rsidRPr="00CB01E6">
        <w:rPr>
          <w:lang w:val="en-US"/>
        </w:rPr>
        <w:t xml:space="preserve">Deportation and detention </w:t>
      </w:r>
      <w:r w:rsidRPr="00C95237">
        <w:rPr>
          <w:lang w:val="en-US"/>
        </w:rPr>
        <w:t xml:space="preserve">orders can be challenged before the Supreme Court by way of administrative recourse under Article 146 </w:t>
      </w:r>
      <w:r>
        <w:rPr>
          <w:lang w:val="en-US"/>
        </w:rPr>
        <w:t>(</w:t>
      </w:r>
      <w:r w:rsidRPr="00C95237">
        <w:rPr>
          <w:lang w:val="en-US"/>
        </w:rPr>
        <w:t>1</w:t>
      </w:r>
      <w:r>
        <w:rPr>
          <w:lang w:val="en-US"/>
        </w:rPr>
        <w:t>)</w:t>
      </w:r>
      <w:r w:rsidRPr="00C95237">
        <w:rPr>
          <w:lang w:val="en-US"/>
        </w:rPr>
        <w:t xml:space="preserve"> of</w:t>
      </w:r>
      <w:r w:rsidRPr="00CB01E6">
        <w:rPr>
          <w:lang w:val="en-US"/>
        </w:rPr>
        <w:t xml:space="preserve"> the Constitution of the Republic of Cyprus. This provision provides as follows:</w:t>
      </w:r>
    </w:p>
    <w:p w:rsidR="00FA0835" w:rsidP="00FA0835" w:rsidRDefault="00FA0835">
      <w:pPr>
        <w:pStyle w:val="JuQuot"/>
        <w:rPr>
          <w:lang w:val="en-US"/>
        </w:rPr>
      </w:pPr>
      <w:r w:rsidRPr="00CB01E6">
        <w:rPr>
          <w:lang w:val="en-US"/>
        </w:rPr>
        <w:t>“The Supreme Constitutional Court shall have exclusive jurisdiction to adjudicate finally on a recourse made to it on a complaint that a decision, an act or omission of any organ, authority or person, exercising any executive or administrative authority is contrary to any of the provisions of this Constitution or of any law or is made in excess or in abuse of powers vested in such organ or authority or person.”</w:t>
      </w:r>
    </w:p>
    <w:p w:rsidR="00FA0835" w:rsidP="00FA0835" w:rsidRDefault="00FA0835">
      <w:pPr>
        <w:pStyle w:val="JuPara"/>
        <w:rPr>
          <w:rStyle w:val="sb8d990e2"/>
        </w:rPr>
      </w:pPr>
      <w:r w:rsidRPr="00E93FD0">
        <w:rPr>
          <w:lang w:val="en-US"/>
        </w:rPr>
        <w:fldChar w:fldCharType="begin"/>
      </w:r>
      <w:r w:rsidRPr="00E93FD0">
        <w:rPr>
          <w:lang w:val="en-US"/>
        </w:rPr>
        <w:instrText xml:space="preserve"> SEQ level0 \*arabic </w:instrText>
      </w:r>
      <w:r w:rsidRPr="00E93FD0">
        <w:rPr>
          <w:lang w:val="en-US"/>
        </w:rPr>
        <w:fldChar w:fldCharType="separate"/>
      </w:r>
      <w:r w:rsidR="00C5470A">
        <w:rPr>
          <w:noProof/>
          <w:lang w:val="en-US"/>
        </w:rPr>
        <w:t>68</w:t>
      </w:r>
      <w:r w:rsidRPr="00E93FD0">
        <w:rPr>
          <w:lang w:val="en-US"/>
        </w:rPr>
        <w:fldChar w:fldCharType="end"/>
      </w:r>
      <w:r w:rsidRPr="00E93FD0">
        <w:rPr>
          <w:lang w:val="en-US"/>
        </w:rPr>
        <w:t xml:space="preserve">.  </w:t>
      </w:r>
      <w:r w:rsidRPr="00057411">
        <w:rPr>
          <w:lang w:val="en-US"/>
        </w:rPr>
        <w:t>A</w:t>
      </w:r>
      <w:r w:rsidRPr="004C7CF3">
        <w:rPr>
          <w:lang w:val="en-US"/>
        </w:rPr>
        <w:t xml:space="preserve"> recourse</w:t>
      </w:r>
      <w:r w:rsidRPr="00E93FD0">
        <w:rPr>
          <w:lang w:val="en-US"/>
        </w:rPr>
        <w:t xml:space="preserve"> must be made within </w:t>
      </w:r>
      <w:r>
        <w:rPr>
          <w:lang w:val="en-US"/>
        </w:rPr>
        <w:t xml:space="preserve">seventy-five </w:t>
      </w:r>
      <w:r w:rsidRPr="00E93FD0">
        <w:rPr>
          <w:lang w:val="en-US"/>
        </w:rPr>
        <w:t xml:space="preserve">days of the date when the decision or act was published or, if </w:t>
      </w:r>
      <w:r>
        <w:rPr>
          <w:lang w:val="en-US"/>
        </w:rPr>
        <w:t xml:space="preserve">it was </w:t>
      </w:r>
      <w:r w:rsidRPr="00E93FD0">
        <w:rPr>
          <w:lang w:val="en-US"/>
        </w:rPr>
        <w:t>not published and in the case of an omission, when it came to the knowledge of the person m</w:t>
      </w:r>
      <w:r>
        <w:rPr>
          <w:lang w:val="en-US"/>
        </w:rPr>
        <w:t>aking the recourse (Article 146 (</w:t>
      </w:r>
      <w:r w:rsidRPr="00E93FD0">
        <w:rPr>
          <w:lang w:val="en-US"/>
        </w:rPr>
        <w:t>3</w:t>
      </w:r>
      <w:r>
        <w:rPr>
          <w:lang w:val="en-US"/>
        </w:rPr>
        <w:t>)</w:t>
      </w:r>
      <w:r w:rsidRPr="008B4B28">
        <w:rPr>
          <w:lang w:val="en-US"/>
        </w:rPr>
        <w:t xml:space="preserve">). </w:t>
      </w:r>
      <w:r w:rsidRPr="008B4B28">
        <w:rPr>
          <w:rStyle w:val="sb8d990e2"/>
        </w:rPr>
        <w:t xml:space="preserve">Should the recourse succeed, the power of the Supreme Court is confined to declaring an act or decision null or void, or, in the case of an omission, that it ought not to have occurred, </w:t>
      </w:r>
      <w:r>
        <w:rPr>
          <w:rStyle w:val="sb8d990e2"/>
        </w:rPr>
        <w:t>in</w:t>
      </w:r>
      <w:r w:rsidRPr="008B4B28">
        <w:rPr>
          <w:rStyle w:val="sb8d990e2"/>
        </w:rPr>
        <w:t xml:space="preserve"> that what had not been done </w:t>
      </w:r>
      <w:r>
        <w:rPr>
          <w:rStyle w:val="sb8d990e2"/>
        </w:rPr>
        <w:t xml:space="preserve">should have been done (Article </w:t>
      </w:r>
      <w:r w:rsidRPr="009312CF">
        <w:rPr>
          <w:rStyle w:val="sb8d990e2"/>
        </w:rPr>
        <w:t>146 (4)).</w:t>
      </w:r>
    </w:p>
    <w:p w:rsidR="00FA0835" w:rsidP="00FA0835" w:rsidRDefault="00FA0835">
      <w:pPr>
        <w:pStyle w:val="JuPara"/>
        <w:rPr>
          <w:rStyle w:val="sb8d990e2"/>
          <w:color w:val="FF0000"/>
        </w:rPr>
      </w:pPr>
      <w:r w:rsidRPr="008B4B28">
        <w:rPr>
          <w:rStyle w:val="JuParaChar"/>
        </w:rPr>
        <w:t>The jurisdiction of the Supreme Court under Article 146 is limited to review</w:t>
      </w:r>
      <w:r>
        <w:rPr>
          <w:rStyle w:val="JuParaChar"/>
        </w:rPr>
        <w:t>ing</w:t>
      </w:r>
      <w:r w:rsidRPr="008B4B28">
        <w:rPr>
          <w:rStyle w:val="JuParaChar"/>
        </w:rPr>
        <w:t xml:space="preserve"> the legality of the act, decision or omission in question on the basis of the facts and circumstances existing at the time the act, decision or omission occurred. </w:t>
      </w:r>
      <w:r w:rsidRPr="008B4B28">
        <w:rPr>
          <w:rStyle w:val="sb8d990e2"/>
        </w:rPr>
        <w:t xml:space="preserve">The Supreme Court will not go into the merits of the decision and substitute the decision of the administrative authority or organ concerned with its own decision; it will not decide the matter afresh. If the Supreme Court annuls the act or decision in question, the matter is automatically remitted to the appropriate administrative authority or organ for re-examination </w:t>
      </w:r>
      <w:r w:rsidRPr="00DD39D7">
        <w:rPr>
          <w:rStyle w:val="sb8d990e2"/>
        </w:rPr>
        <w:t>(</w:t>
      </w:r>
      <w:r>
        <w:rPr>
          <w:rStyle w:val="sb8d990e2"/>
        </w:rPr>
        <w:t xml:space="preserve">see the </w:t>
      </w:r>
      <w:r w:rsidRPr="00DD39D7">
        <w:rPr>
          <w:rStyle w:val="sb8d990e2"/>
        </w:rPr>
        <w:t xml:space="preserve">domestic case-law citations in </w:t>
      </w:r>
      <w:r w:rsidRPr="00DD39D7">
        <w:rPr>
          <w:rStyle w:val="sb8d990e2"/>
          <w:i/>
        </w:rPr>
        <w:t>Sigma Radio Television Ltd v. Cyprus</w:t>
      </w:r>
      <w:r w:rsidRPr="00DD39D7">
        <w:rPr>
          <w:rStyle w:val="sb8d990e2"/>
        </w:rPr>
        <w:t xml:space="preserve">, nos. 32181/04 and 35122/05, § 73, 21 July </w:t>
      </w:r>
      <w:r>
        <w:rPr>
          <w:rStyle w:val="sb8d990e2"/>
        </w:rPr>
        <w:t>2011</w:t>
      </w:r>
      <w:r w:rsidRPr="00DD39D7">
        <w:rPr>
          <w:rStyle w:val="sb8d990e2"/>
        </w:rPr>
        <w:t>).</w:t>
      </w:r>
    </w:p>
    <w:p w:rsidRPr="00501DA4" w:rsidR="00FA0835" w:rsidP="00FA0835" w:rsidRDefault="00FA0835">
      <w:pPr>
        <w:pStyle w:val="JuPara"/>
      </w:pPr>
      <w:r w:rsidRPr="00501DA4">
        <w:rPr>
          <w:lang w:val="en-US"/>
        </w:rPr>
        <w:fldChar w:fldCharType="begin"/>
      </w:r>
      <w:r w:rsidRPr="00501DA4">
        <w:rPr>
          <w:lang w:val="en-US"/>
        </w:rPr>
        <w:instrText xml:space="preserve"> SEQ level0 \*arabic </w:instrText>
      </w:r>
      <w:r w:rsidRPr="00501DA4">
        <w:rPr>
          <w:lang w:val="en-US"/>
        </w:rPr>
        <w:fldChar w:fldCharType="separate"/>
      </w:r>
      <w:r w:rsidR="00C5470A">
        <w:rPr>
          <w:noProof/>
          <w:lang w:val="en-US"/>
        </w:rPr>
        <w:t>69</w:t>
      </w:r>
      <w:r w:rsidRPr="00501DA4">
        <w:rPr>
          <w:lang w:val="en-US"/>
        </w:rPr>
        <w:fldChar w:fldCharType="end"/>
      </w:r>
      <w:r w:rsidRPr="00501DA4">
        <w:rPr>
          <w:lang w:val="en-US"/>
        </w:rPr>
        <w:t xml:space="preserve">.  Article 146 </w:t>
      </w:r>
      <w:r w:rsidRPr="009312CF">
        <w:rPr>
          <w:lang w:val="en-US"/>
        </w:rPr>
        <w:t>(6) provides</w:t>
      </w:r>
      <w:r w:rsidRPr="00501DA4">
        <w:rPr>
          <w:lang w:val="en-US"/>
        </w:rPr>
        <w:t xml:space="preserve"> for compensation as follows:</w:t>
      </w:r>
    </w:p>
    <w:p w:rsidRPr="00CB01E6" w:rsidR="00FA0835" w:rsidP="00FA0835" w:rsidRDefault="00FA0835">
      <w:pPr>
        <w:pStyle w:val="JuQuot"/>
        <w:rPr>
          <w:lang w:val="en-US"/>
        </w:rPr>
      </w:pPr>
      <w:r w:rsidRPr="00CB01E6">
        <w:rPr>
          <w:lang w:val="en-US"/>
        </w:rPr>
        <w:t>“Any person aggrieved by any decision or act declared to be void under paragraph 4 of this Article or by any omission declared thereunder that it ought not to have been made shall be entitled, if his claim is not met to his satisfaction by the organ, authority or person concerned, to institute legal proceedings in a court for the recovery of damages or for being granted other remedy and to recover just and equitable damages to be assessed by the court or to be granted such other just and equitable remedy as such court is empowered to grant”.</w:t>
      </w:r>
    </w:p>
    <w:p w:rsidRPr="00DD39D7" w:rsidR="00FA0835" w:rsidP="00FA0835" w:rsidRDefault="00FA0835">
      <w:pPr>
        <w:pStyle w:val="JuPara"/>
        <w:rPr>
          <w:lang w:val="en-US"/>
        </w:rPr>
      </w:pPr>
      <w:r w:rsidRPr="00E93FD0">
        <w:rPr>
          <w:lang w:val="en-US"/>
        </w:rPr>
        <w:fldChar w:fldCharType="begin"/>
      </w:r>
      <w:r w:rsidRPr="00E93FD0">
        <w:rPr>
          <w:lang w:val="en-US"/>
        </w:rPr>
        <w:instrText xml:space="preserve"> SEQ level0 \*arabic </w:instrText>
      </w:r>
      <w:r w:rsidRPr="00E93FD0">
        <w:rPr>
          <w:lang w:val="en-US"/>
        </w:rPr>
        <w:fldChar w:fldCharType="separate"/>
      </w:r>
      <w:r w:rsidR="00C5470A">
        <w:rPr>
          <w:noProof/>
          <w:lang w:val="en-US"/>
        </w:rPr>
        <w:t>70</w:t>
      </w:r>
      <w:r w:rsidRPr="00E93FD0">
        <w:rPr>
          <w:lang w:val="en-US"/>
        </w:rPr>
        <w:fldChar w:fldCharType="end"/>
      </w:r>
      <w:r w:rsidRPr="00E93FD0">
        <w:rPr>
          <w:lang w:val="en-US"/>
        </w:rPr>
        <w:t xml:space="preserve">.  The Supreme Court has held that the lawfulness of deportation and detention orders can only be examined in the context of a recourse brought under Article 146 of the Constitution and not in the context of a habeas corpus application </w:t>
      </w:r>
      <w:r w:rsidRPr="00DD39D7">
        <w:rPr>
          <w:lang w:val="en-US"/>
        </w:rPr>
        <w:t>(</w:t>
      </w:r>
      <w:r>
        <w:rPr>
          <w:lang w:val="en-US"/>
        </w:rPr>
        <w:t xml:space="preserve">see, for example, </w:t>
      </w:r>
      <w:r w:rsidRPr="00DD39D7">
        <w:rPr>
          <w:lang w:val="en-US"/>
        </w:rPr>
        <w:t>the Supreme Court</w:t>
      </w:r>
      <w:r w:rsidR="00A7319E">
        <w:rPr>
          <w:lang w:val="en-US"/>
        </w:rPr>
        <w:t>’</w:t>
      </w:r>
      <w:r>
        <w:rPr>
          <w:lang w:val="en-US"/>
        </w:rPr>
        <w:t>s judgment of 30 </w:t>
      </w:r>
      <w:r w:rsidRPr="00DD39D7">
        <w:rPr>
          <w:lang w:val="en-US"/>
        </w:rPr>
        <w:t xml:space="preserve">December 2004 in </w:t>
      </w:r>
      <w:r w:rsidRPr="00DD39D7">
        <w:rPr>
          <w:rStyle w:val="ju-005fpara-002cleft-002cfirst-0020line-003a-0020-00200-0020cm--char"/>
          <w:i/>
          <w:iCs/>
          <w:lang w:val="en-US"/>
        </w:rPr>
        <w:t>Elena Bondar</w:t>
      </w:r>
      <w:r w:rsidRPr="00DD39D7">
        <w:rPr>
          <w:lang w:val="en-US"/>
        </w:rPr>
        <w:t xml:space="preserve"> </w:t>
      </w:r>
      <w:r w:rsidRPr="00DD39D7">
        <w:rPr>
          <w:rStyle w:val="sb8d990e2"/>
        </w:rPr>
        <w:t>appeal no. 12166 against the refusal of an application for a writ of habeas corpus, (2004) 1 (C) CLR 2075</w:t>
      </w:r>
      <w:r>
        <w:rPr>
          <w:rStyle w:val="sb8d990e2"/>
        </w:rPr>
        <w:t>).</w:t>
      </w:r>
    </w:p>
    <w:p w:rsidR="00FA0835" w:rsidP="00FA0835" w:rsidRDefault="00FA0835">
      <w:pPr>
        <w:pStyle w:val="JuPara"/>
        <w:rPr>
          <w:lang w:val="en-US"/>
        </w:rPr>
      </w:pPr>
      <w:r w:rsidRPr="007D3438">
        <w:rPr>
          <w:lang w:val="en-US"/>
        </w:rPr>
        <w:fldChar w:fldCharType="begin"/>
      </w:r>
      <w:r w:rsidRPr="007D3438">
        <w:rPr>
          <w:lang w:val="en-US"/>
        </w:rPr>
        <w:instrText xml:space="preserve"> SEQ level0 \*arabic </w:instrText>
      </w:r>
      <w:r w:rsidRPr="007D3438">
        <w:rPr>
          <w:lang w:val="en-US"/>
        </w:rPr>
        <w:fldChar w:fldCharType="separate"/>
      </w:r>
      <w:r w:rsidR="00C5470A">
        <w:rPr>
          <w:noProof/>
          <w:lang w:val="en-US"/>
        </w:rPr>
        <w:t>71</w:t>
      </w:r>
      <w:r w:rsidRPr="007D3438">
        <w:rPr>
          <w:lang w:val="en-US"/>
        </w:rPr>
        <w:fldChar w:fldCharType="end"/>
      </w:r>
      <w:r w:rsidRPr="007D3438">
        <w:rPr>
          <w:lang w:val="en-US"/>
        </w:rPr>
        <w:t xml:space="preserve">.  A recourse does </w:t>
      </w:r>
      <w:r>
        <w:rPr>
          <w:lang w:val="en-US"/>
        </w:rPr>
        <w:t xml:space="preserve">not </w:t>
      </w:r>
      <w:r w:rsidRPr="007D3438">
        <w:rPr>
          <w:lang w:val="en-US"/>
        </w:rPr>
        <w:t xml:space="preserve">have automatic suspensive effect under domestic law. In order to suspend deportation an application must be made seeking a provisional order. </w:t>
      </w:r>
      <w:r w:rsidRPr="007D3438">
        <w:rPr>
          <w:lang w:val="en"/>
        </w:rPr>
        <w:t xml:space="preserve">The Supreme Court has the power to issue </w:t>
      </w:r>
      <w:r>
        <w:rPr>
          <w:lang w:val="en"/>
        </w:rPr>
        <w:t xml:space="preserve">provisional </w:t>
      </w:r>
      <w:r w:rsidRPr="007D3438">
        <w:rPr>
          <w:lang w:val="en"/>
        </w:rPr>
        <w:t xml:space="preserve">orders, suspending the enforcement of the decision taken by the administrative authority, pending the hearing </w:t>
      </w:r>
      <w:r>
        <w:rPr>
          <w:lang w:val="en"/>
        </w:rPr>
        <w:t>of the case on</w:t>
      </w:r>
      <w:r w:rsidRPr="007D3438">
        <w:rPr>
          <w:lang w:val="en"/>
        </w:rPr>
        <w:t xml:space="preserve"> the merits.</w:t>
      </w:r>
      <w:r>
        <w:rPr>
          <w:lang w:val="en"/>
        </w:rPr>
        <w:t xml:space="preserve"> A provisional order is an exceptional discretionary measure and i</w:t>
      </w:r>
      <w:r w:rsidRPr="007D3438">
        <w:rPr>
          <w:lang w:val="en"/>
        </w:rPr>
        <w:t>s decided on a case-</w:t>
      </w:r>
      <w:r>
        <w:rPr>
          <w:lang w:val="en"/>
        </w:rPr>
        <w:t>by</w:t>
      </w:r>
      <w:r w:rsidRPr="007D3438">
        <w:rPr>
          <w:lang w:val="en"/>
        </w:rPr>
        <w:t>-case basis</w:t>
      </w:r>
      <w:r>
        <w:rPr>
          <w:lang w:val="en"/>
        </w:rPr>
        <w:t xml:space="preserve"> (rule 13 of the Supreme Constitutional Court Rules </w:t>
      </w:r>
      <w:r w:rsidRPr="0008401E">
        <w:rPr>
          <w:lang w:val="en"/>
        </w:rPr>
        <w:t>1962).</w:t>
      </w:r>
      <w:r w:rsidRPr="0008401E">
        <w:rPr>
          <w:lang w:val="en-US"/>
        </w:rPr>
        <w:t xml:space="preserve"> The Supreme Court will grant a provisional order if an applicant establishes that the contested decision </w:t>
      </w:r>
      <w:r>
        <w:rPr>
          <w:lang w:val="en-US"/>
        </w:rPr>
        <w:t>is tainted by</w:t>
      </w:r>
      <w:r w:rsidRPr="008D1C37">
        <w:rPr>
          <w:lang w:val="en-US"/>
        </w:rPr>
        <w:t xml:space="preserve"> flagrant illegality or that he or she will suffer irreparable damage from its enforcement (see amongst a number of authorities, </w:t>
      </w:r>
      <w:r w:rsidRPr="008D1C37">
        <w:rPr>
          <w:i/>
          <w:lang w:val="en-US"/>
        </w:rPr>
        <w:t>Stavros Loizides</w:t>
      </w:r>
      <w:r>
        <w:rPr>
          <w:i/>
          <w:lang w:val="en-US"/>
        </w:rPr>
        <w:t xml:space="preserve"> </w:t>
      </w:r>
      <w:r w:rsidRPr="008D1C37">
        <w:rPr>
          <w:i/>
          <w:lang w:val="en-US"/>
        </w:rPr>
        <w:t xml:space="preserve">v. the Ministry of Foreign </w:t>
      </w:r>
      <w:r w:rsidRPr="008D1C37">
        <w:rPr>
          <w:lang w:val="en-US"/>
        </w:rPr>
        <w:t xml:space="preserve">Affairs (1995) 3 C.L.R. 233; </w:t>
      </w:r>
      <w:r w:rsidRPr="00461508">
        <w:rPr>
          <w:i/>
          <w:lang w:val="en-US"/>
        </w:rPr>
        <w:t>Elpida Krokidou and others v. the Republic</w:t>
      </w:r>
      <w:r w:rsidRPr="00461508">
        <w:rPr>
          <w:lang w:val="en-US"/>
        </w:rPr>
        <w:t>, (1990)</w:t>
      </w:r>
      <w:r>
        <w:rPr>
          <w:lang w:val="en-US"/>
        </w:rPr>
        <w:t xml:space="preserve"> </w:t>
      </w:r>
      <w:r w:rsidRPr="00461508">
        <w:rPr>
          <w:lang w:val="en-US"/>
        </w:rPr>
        <w:t>3</w:t>
      </w:r>
      <w:r>
        <w:rPr>
          <w:lang w:val="en-US"/>
        </w:rPr>
        <w:t>C</w:t>
      </w:r>
      <w:r w:rsidRPr="00461508">
        <w:rPr>
          <w:lang w:val="en-US"/>
        </w:rPr>
        <w:t> C.L.R. 1857</w:t>
      </w:r>
      <w:r>
        <w:rPr>
          <w:lang w:val="en-US"/>
        </w:rPr>
        <w:t>;</w:t>
      </w:r>
      <w:r w:rsidRPr="00461508">
        <w:rPr>
          <w:lang w:val="en-US"/>
        </w:rPr>
        <w:t xml:space="preserve"> and</w:t>
      </w:r>
      <w:r w:rsidRPr="008D1C37">
        <w:rPr>
          <w:lang w:val="en-US"/>
        </w:rPr>
        <w:t xml:space="preserve"> </w:t>
      </w:r>
      <w:r>
        <w:rPr>
          <w:i/>
          <w:lang w:val="en-US"/>
        </w:rPr>
        <w:t>Sydney Alfred Moyo &amp; </w:t>
      </w:r>
      <w:r w:rsidRPr="008D1C37">
        <w:rPr>
          <w:i/>
          <w:lang w:val="en-US"/>
        </w:rPr>
        <w:t>another v. the Repu</w:t>
      </w:r>
      <w:r>
        <w:rPr>
          <w:i/>
          <w:lang w:val="en-US"/>
        </w:rPr>
        <w:t>blic (1988) 3 </w:t>
      </w:r>
      <w:r w:rsidRPr="008D1C37">
        <w:rPr>
          <w:i/>
          <w:lang w:val="en-US"/>
        </w:rPr>
        <w:t>CLR 1203</w:t>
      </w:r>
      <w:r w:rsidRPr="008D1C37">
        <w:rPr>
          <w:lang w:val="en-US"/>
        </w:rPr>
        <w:t>).</w:t>
      </w:r>
    </w:p>
    <w:p w:rsidR="00FA0835" w:rsidP="00FA0835" w:rsidRDefault="00FA0835">
      <w:pPr>
        <w:pStyle w:val="JuPara"/>
        <w:rPr>
          <w:lang w:val="en-US"/>
        </w:rPr>
      </w:pPr>
      <w:r w:rsidRPr="00A0437D">
        <w:rPr>
          <w:lang w:val="en-US"/>
        </w:rPr>
        <w:fldChar w:fldCharType="begin"/>
      </w:r>
      <w:r w:rsidRPr="00A0437D">
        <w:rPr>
          <w:lang w:val="en-US"/>
        </w:rPr>
        <w:instrText xml:space="preserve"> SEQ level0 \*arabic </w:instrText>
      </w:r>
      <w:r w:rsidRPr="00A0437D">
        <w:rPr>
          <w:lang w:val="en-US"/>
        </w:rPr>
        <w:fldChar w:fldCharType="separate"/>
      </w:r>
      <w:r w:rsidR="00C5470A">
        <w:rPr>
          <w:noProof/>
          <w:lang w:val="en-US"/>
        </w:rPr>
        <w:t>72</w:t>
      </w:r>
      <w:r w:rsidRPr="00A0437D">
        <w:rPr>
          <w:lang w:val="en-US"/>
        </w:rPr>
        <w:fldChar w:fldCharType="end"/>
      </w:r>
      <w:r w:rsidRPr="00A0437D">
        <w:rPr>
          <w:lang w:val="en-US"/>
        </w:rPr>
        <w:t xml:space="preserve">.  Until recently, domestic law did not provide for legal aid in respect of a recourse under Article 146 of the Constitution against deportation and detention orders. In 2012 the </w:t>
      </w:r>
      <w:r w:rsidRPr="00A0437D">
        <w:t>Legal Aid</w:t>
      </w:r>
      <w:r w:rsidRPr="00A0437D">
        <w:rPr>
          <w:lang w:val="en-US"/>
        </w:rPr>
        <w:t xml:space="preserve"> Law </w:t>
      </w:r>
      <w:r w:rsidRPr="00A0437D">
        <w:t>(Law no. 165(I)/2002) was amended</w:t>
      </w:r>
      <w:r>
        <w:t>,</w:t>
      </w:r>
      <w:r w:rsidRPr="00A0437D">
        <w:t xml:space="preserve"> </w:t>
      </w:r>
      <w:r>
        <w:t>enabling</w:t>
      </w:r>
      <w:r w:rsidRPr="00A0437D">
        <w:t xml:space="preserve"> illegally staying third-country nationals to apply for legal aid (section 6C, Amending Law no. 8(I)/2012).</w:t>
      </w:r>
      <w:r>
        <w:rPr>
          <w:lang w:val="en-US"/>
        </w:rPr>
        <w:t xml:space="preserve"> </w:t>
      </w:r>
      <w:r w:rsidRPr="00A0437D">
        <w:rPr>
          <w:lang w:val="en-US"/>
        </w:rPr>
        <w:t>However, legal aid is limited to first</w:t>
      </w:r>
      <w:r>
        <w:rPr>
          <w:lang w:val="en-US"/>
        </w:rPr>
        <w:t>-</w:t>
      </w:r>
      <w:r w:rsidRPr="00A0437D">
        <w:rPr>
          <w:lang w:val="en-US"/>
        </w:rPr>
        <w:t>instance proceedings and will be granted only if the recourse is deemed to have a reasona</w:t>
      </w:r>
      <w:r>
        <w:rPr>
          <w:lang w:val="en-US"/>
        </w:rPr>
        <w:t>ble chance of success (sections 6 </w:t>
      </w:r>
      <w:r w:rsidRPr="00A0437D">
        <w:rPr>
          <w:lang w:val="en-US"/>
        </w:rPr>
        <w:t>C (2)(aa) and (bb)).</w:t>
      </w:r>
    </w:p>
    <w:p w:rsidR="00FA0835" w:rsidP="00FA0835" w:rsidRDefault="00FA0835">
      <w:pPr>
        <w:pStyle w:val="JuHA"/>
      </w:pPr>
      <w:r w:rsidRPr="00D71114">
        <w:t>B.  Asylum</w:t>
      </w:r>
    </w:p>
    <w:p w:rsidR="00FA0835" w:rsidP="00FA0835" w:rsidRDefault="00FA0835">
      <w:pPr>
        <w:pStyle w:val="JuPara"/>
        <w:rPr>
          <w:rStyle w:val="ju-005fpara-0020char--char"/>
          <w:lang w:val="en-US"/>
        </w:rPr>
      </w:pPr>
      <w:r>
        <w:rPr>
          <w:rStyle w:val="ju-005fpara-0020char--char"/>
          <w:lang w:val="en-US"/>
        </w:rPr>
        <w:fldChar w:fldCharType="begin"/>
      </w:r>
      <w:r>
        <w:rPr>
          <w:rStyle w:val="ju-005fpara-0020char--char"/>
          <w:lang w:val="en-US"/>
        </w:rPr>
        <w:instrText xml:space="preserve"> SEQ level0 \*arabic </w:instrText>
      </w:r>
      <w:r>
        <w:rPr>
          <w:rStyle w:val="ju-005fpara-0020char--char"/>
          <w:lang w:val="en-US"/>
        </w:rPr>
        <w:fldChar w:fldCharType="separate"/>
      </w:r>
      <w:r w:rsidR="00C5470A">
        <w:rPr>
          <w:rStyle w:val="ju-005fpara-0020char--char"/>
          <w:noProof/>
          <w:lang w:val="en-US"/>
        </w:rPr>
        <w:t>73</w:t>
      </w:r>
      <w:r>
        <w:rPr>
          <w:rStyle w:val="ju-005fpara-0020char--char"/>
          <w:lang w:val="en-US"/>
        </w:rPr>
        <w:fldChar w:fldCharType="end"/>
      </w:r>
      <w:r>
        <w:rPr>
          <w:rStyle w:val="ju-005fpara-0020char--char"/>
          <w:lang w:val="en-US"/>
        </w:rPr>
        <w:t>.  </w:t>
      </w:r>
      <w:r w:rsidRPr="00CB01E6">
        <w:rPr>
          <w:rStyle w:val="ju-005fpara-0020char--char"/>
          <w:lang w:val="en-US"/>
        </w:rPr>
        <w:t>The Cypriot Government assumed responsibility for assessing asylum claims from 1 January 2002</w:t>
      </w:r>
      <w:r>
        <w:rPr>
          <w:rStyle w:val="ju-005fpara-0020char--char"/>
          <w:lang w:val="en-US"/>
        </w:rPr>
        <w:t xml:space="preserve">. An Asylum Service was established for this purpose in </w:t>
      </w:r>
      <w:r w:rsidRPr="00CB01E6">
        <w:rPr>
          <w:rStyle w:val="ju-005fpara-0020char--char"/>
          <w:lang w:val="en-US"/>
        </w:rPr>
        <w:t>the Migration Department of the Ministry of Interior. Prior to that, the UNHCR dealt with such claims.</w:t>
      </w:r>
    </w:p>
    <w:p w:rsidRPr="00A34CFA" w:rsidR="00FA0835" w:rsidP="00FA0835" w:rsidRDefault="00FA0835">
      <w:pPr>
        <w:pStyle w:val="JuPara"/>
        <w:rPr>
          <w:rStyle w:val="JuParaChar"/>
          <w:b/>
        </w:rPr>
      </w:pPr>
      <w:r>
        <w:rPr>
          <w:rStyle w:val="ju-005fpara-0020char--char"/>
          <w:lang w:val="en-US"/>
        </w:rPr>
        <w:fldChar w:fldCharType="begin"/>
      </w:r>
      <w:r>
        <w:rPr>
          <w:rStyle w:val="ju-005fpara-0020char--char"/>
          <w:lang w:val="en-US"/>
        </w:rPr>
        <w:instrText xml:space="preserve"> SEQ level0 \*arabic </w:instrText>
      </w:r>
      <w:r>
        <w:rPr>
          <w:rStyle w:val="ju-005fpara-0020char--char"/>
          <w:lang w:val="en-US"/>
        </w:rPr>
        <w:fldChar w:fldCharType="separate"/>
      </w:r>
      <w:r w:rsidR="00C5470A">
        <w:rPr>
          <w:rStyle w:val="ju-005fpara-0020char--char"/>
          <w:noProof/>
          <w:lang w:val="en-US"/>
        </w:rPr>
        <w:t>74</w:t>
      </w:r>
      <w:r>
        <w:rPr>
          <w:rStyle w:val="ju-005fpara-0020char--char"/>
          <w:lang w:val="en-US"/>
        </w:rPr>
        <w:fldChar w:fldCharType="end"/>
      </w:r>
      <w:r>
        <w:rPr>
          <w:rStyle w:val="ju-005fpara-0020char--char"/>
          <w:lang w:val="en-US"/>
        </w:rPr>
        <w:t>.  </w:t>
      </w:r>
      <w:r w:rsidRPr="00CB01E6">
        <w:rPr>
          <w:rStyle w:val="ju-005fpara-0020char--char"/>
          <w:lang w:val="en-US"/>
        </w:rPr>
        <w:t>Asylum seekers can appeal against decision</w:t>
      </w:r>
      <w:r>
        <w:rPr>
          <w:rStyle w:val="ju-005fpara-0020char--char"/>
          <w:lang w:val="en-US"/>
        </w:rPr>
        <w:t>s</w:t>
      </w:r>
      <w:r w:rsidRPr="00CB01E6">
        <w:rPr>
          <w:rStyle w:val="ju-005fpara-0020char--char"/>
          <w:lang w:val="en-US"/>
        </w:rPr>
        <w:t xml:space="preserve"> </w:t>
      </w:r>
      <w:r>
        <w:rPr>
          <w:rStyle w:val="ju-005fpara-0020char--char"/>
          <w:lang w:val="en-US"/>
        </w:rPr>
        <w:t>by</w:t>
      </w:r>
      <w:r w:rsidRPr="00CB01E6">
        <w:rPr>
          <w:rStyle w:val="ju-005fpara-0020char--char"/>
          <w:lang w:val="en-US"/>
        </w:rPr>
        <w:t xml:space="preserve"> the Asylum Service </w:t>
      </w:r>
      <w:r w:rsidRPr="00FB4B6B">
        <w:rPr>
          <w:rStyle w:val="JuParaChar"/>
        </w:rPr>
        <w:t xml:space="preserve">to the Reviewing Authority, which was established by the Refugee Law (Law 6 (I) of 2000, as amended). </w:t>
      </w:r>
      <w:r>
        <w:rPr>
          <w:rStyle w:val="JuParaChar"/>
        </w:rPr>
        <w:t>P</w:t>
      </w:r>
      <w:r w:rsidRPr="009B774D">
        <w:rPr>
          <w:rStyle w:val="JuParaChar"/>
        </w:rPr>
        <w:t>rocedures before the Asylum Service and the Reviewing Authority are suspensive:</w:t>
      </w:r>
      <w:r>
        <w:rPr>
          <w:rStyle w:val="JuParaChar"/>
        </w:rPr>
        <w:t xml:space="preserve"> </w:t>
      </w:r>
      <w:r w:rsidRPr="009B774D">
        <w:rPr>
          <w:rStyle w:val="JuParaChar"/>
        </w:rPr>
        <w:t>asylum seekers have a right under section 8 of the Refugee Law to remain in the Republic pending the examination of their claim and, if lodged, their appeal.</w:t>
      </w:r>
      <w:r>
        <w:rPr>
          <w:rStyle w:val="JuParaChar"/>
        </w:rPr>
        <w:t xml:space="preserve"> Although</w:t>
      </w:r>
      <w:r w:rsidRPr="00E25F68">
        <w:rPr>
          <w:rStyle w:val="JuParaChar"/>
        </w:rPr>
        <w:t xml:space="preserve"> t</w:t>
      </w:r>
      <w:r>
        <w:rPr>
          <w:rStyle w:val="JuParaChar"/>
        </w:rPr>
        <w:t>he authorities</w:t>
      </w:r>
      <w:r w:rsidRPr="00E25F68">
        <w:rPr>
          <w:rStyle w:val="JuParaChar"/>
        </w:rPr>
        <w:t xml:space="preserve"> retain the power to issue deportation and detention orders against an applicant during this period, such orders can only be issued on grounds which are unrelated to the asylum application, for example, the commission of a criminal offence</w:t>
      </w:r>
      <w:r>
        <w:rPr>
          <w:rStyle w:val="JuParaChar"/>
        </w:rPr>
        <w:t>,</w:t>
      </w:r>
      <w:r w:rsidRPr="00E25F68">
        <w:rPr>
          <w:rStyle w:val="JuParaChar"/>
        </w:rPr>
        <w:t xml:space="preserve"> and they are subject to the suspensive effect (see the Supreme Court</w:t>
      </w:r>
      <w:r w:rsidR="00A7319E">
        <w:rPr>
          <w:rStyle w:val="JuParaChar"/>
        </w:rPr>
        <w:t>’</w:t>
      </w:r>
      <w:r w:rsidRPr="00E25F68">
        <w:rPr>
          <w:rStyle w:val="JuParaChar"/>
        </w:rPr>
        <w:t>s judgment of 30</w:t>
      </w:r>
      <w:r>
        <w:rPr>
          <w:rStyle w:val="JuParaChar"/>
        </w:rPr>
        <w:t xml:space="preserve"> </w:t>
      </w:r>
      <w:r w:rsidRPr="00E25F68">
        <w:rPr>
          <w:rStyle w:val="JuParaChar"/>
        </w:rPr>
        <w:t xml:space="preserve">December 2004 in the case of </w:t>
      </w:r>
      <w:r w:rsidRPr="00E25F68">
        <w:rPr>
          <w:rStyle w:val="JuParaChar"/>
          <w:i/>
        </w:rPr>
        <w:t xml:space="preserve">Asad Mohammed Rahal v the Republic of Cyprus </w:t>
      </w:r>
      <w:r w:rsidRPr="00E25F68">
        <w:rPr>
          <w:rStyle w:val="JuParaChar"/>
        </w:rPr>
        <w:t>(2004) 3 CLR 741</w:t>
      </w:r>
      <w:r w:rsidRPr="00A34CFA">
        <w:rPr>
          <w:rStyle w:val="JuParaChar"/>
        </w:rPr>
        <w:t>).</w:t>
      </w:r>
    </w:p>
    <w:p w:rsidR="00FA0835" w:rsidP="00FA0835" w:rsidRDefault="00FA0835">
      <w:pPr>
        <w:pStyle w:val="JuPara"/>
        <w:rPr>
          <w:color w:val="000000"/>
          <w:lang w:val="en-US"/>
        </w:rPr>
      </w:pPr>
      <w:r w:rsidRPr="00CB20ED">
        <w:rPr>
          <w:lang w:val="en-US"/>
        </w:rPr>
        <w:fldChar w:fldCharType="begin"/>
      </w:r>
      <w:r w:rsidRPr="00CB20ED">
        <w:rPr>
          <w:lang w:val="en-US"/>
        </w:rPr>
        <w:instrText xml:space="preserve"> SEQ level0 \*arabic </w:instrText>
      </w:r>
      <w:r w:rsidRPr="00CB20ED">
        <w:rPr>
          <w:lang w:val="en-US"/>
        </w:rPr>
        <w:fldChar w:fldCharType="separate"/>
      </w:r>
      <w:r w:rsidR="00C5470A">
        <w:rPr>
          <w:noProof/>
          <w:lang w:val="en-US"/>
        </w:rPr>
        <w:t>75</w:t>
      </w:r>
      <w:r w:rsidRPr="00CB20ED">
        <w:rPr>
          <w:lang w:val="en-US"/>
        </w:rPr>
        <w:fldChar w:fldCharType="end"/>
      </w:r>
      <w:r w:rsidRPr="00CB20ED">
        <w:rPr>
          <w:lang w:val="en-US"/>
        </w:rPr>
        <w:t xml:space="preserve">.  The decision of the Reviewing Authority can be challenged before the Supreme Court by way of </w:t>
      </w:r>
      <w:r w:rsidRPr="0008401E">
        <w:rPr>
          <w:lang w:val="en-US"/>
        </w:rPr>
        <w:t>administrative</w:t>
      </w:r>
      <w:r>
        <w:rPr>
          <w:lang w:val="en-US"/>
        </w:rPr>
        <w:t xml:space="preserve"> recourse under Article 146 (1) </w:t>
      </w:r>
      <w:r w:rsidRPr="0008401E">
        <w:rPr>
          <w:lang w:val="en-US"/>
        </w:rPr>
        <w:t xml:space="preserve">of the </w:t>
      </w:r>
      <w:r w:rsidRPr="000B2493">
        <w:rPr>
          <w:lang w:val="en-US"/>
        </w:rPr>
        <w:t>Constitution (see paragraphs 6</w:t>
      </w:r>
      <w:r>
        <w:rPr>
          <w:lang w:val="en-US"/>
        </w:rPr>
        <w:t>7-70</w:t>
      </w:r>
      <w:r w:rsidRPr="000B2493">
        <w:rPr>
          <w:lang w:val="en-US"/>
        </w:rPr>
        <w:t xml:space="preserve"> above). According to section</w:t>
      </w:r>
      <w:r w:rsidRPr="004157A3">
        <w:rPr>
          <w:lang w:val="en-US"/>
        </w:rPr>
        <w:t xml:space="preserve"> 8 of the </w:t>
      </w:r>
      <w:r>
        <w:t>Refugee Law</w:t>
      </w:r>
      <w:r w:rsidRPr="004157A3">
        <w:rPr>
          <w:lang w:val="en-US"/>
        </w:rPr>
        <w:t xml:space="preserve">, however, following the decision of the Reviewing Authority, an applicant has no longer the right to remain in the Republic. </w:t>
      </w:r>
      <w:r>
        <w:rPr>
          <w:color w:val="000000"/>
          <w:lang w:val="en-US"/>
        </w:rPr>
        <w:t xml:space="preserve">A </w:t>
      </w:r>
      <w:r w:rsidRPr="004157A3">
        <w:rPr>
          <w:color w:val="000000"/>
          <w:lang w:val="en-US"/>
        </w:rPr>
        <w:t xml:space="preserve">recourse </w:t>
      </w:r>
      <w:r>
        <w:rPr>
          <w:color w:val="000000"/>
          <w:lang w:val="en-US"/>
        </w:rPr>
        <w:t>does</w:t>
      </w:r>
      <w:r w:rsidRPr="004157A3">
        <w:rPr>
          <w:color w:val="000000"/>
          <w:lang w:val="en-US"/>
        </w:rPr>
        <w:t xml:space="preserve"> not </w:t>
      </w:r>
      <w:r>
        <w:rPr>
          <w:color w:val="000000"/>
          <w:lang w:val="en-US"/>
        </w:rPr>
        <w:t xml:space="preserve">have </w:t>
      </w:r>
      <w:r w:rsidRPr="004157A3">
        <w:rPr>
          <w:color w:val="000000"/>
          <w:lang w:val="en-US"/>
        </w:rPr>
        <w:t>automatic</w:t>
      </w:r>
      <w:r>
        <w:rPr>
          <w:color w:val="000000"/>
          <w:lang w:val="en-US"/>
        </w:rPr>
        <w:t xml:space="preserve"> </w:t>
      </w:r>
      <w:r w:rsidRPr="00CC37C9">
        <w:rPr>
          <w:color w:val="000000"/>
          <w:lang w:val="en-US"/>
        </w:rPr>
        <w:t>suspensive</w:t>
      </w:r>
      <w:r>
        <w:rPr>
          <w:color w:val="000000"/>
          <w:lang w:val="en-US"/>
        </w:rPr>
        <w:t xml:space="preserve"> effect</w:t>
      </w:r>
      <w:r w:rsidRPr="000B2493">
        <w:rPr>
          <w:color w:val="000000"/>
          <w:lang w:val="en-US"/>
        </w:rPr>
        <w:t xml:space="preserve"> (</w:t>
      </w:r>
      <w:r>
        <w:rPr>
          <w:color w:val="000000"/>
          <w:lang w:val="en-US"/>
        </w:rPr>
        <w:t>see paragraph </w:t>
      </w:r>
      <w:r w:rsidRPr="000B2493">
        <w:rPr>
          <w:color w:val="000000"/>
          <w:lang w:val="en-US"/>
        </w:rPr>
        <w:t>7</w:t>
      </w:r>
      <w:r>
        <w:rPr>
          <w:color w:val="000000"/>
          <w:lang w:val="en-US"/>
        </w:rPr>
        <w:t xml:space="preserve">1 </w:t>
      </w:r>
      <w:r w:rsidRPr="000B2493">
        <w:rPr>
          <w:color w:val="000000"/>
          <w:lang w:val="en-US"/>
        </w:rPr>
        <w:t>above).</w:t>
      </w:r>
    </w:p>
    <w:p w:rsidRPr="005F251A" w:rsidR="00FA0835" w:rsidP="00FA0835" w:rsidRDefault="00FA0835">
      <w:pPr>
        <w:pStyle w:val="JuPara"/>
        <w:rPr>
          <w:lang w:val="en-US"/>
        </w:rPr>
      </w:pPr>
      <w:r w:rsidRPr="00B06248">
        <w:fldChar w:fldCharType="begin"/>
      </w:r>
      <w:r w:rsidRPr="00B06248">
        <w:instrText xml:space="preserve"> SEQ level0 \*arabic </w:instrText>
      </w:r>
      <w:r w:rsidRPr="00B06248">
        <w:fldChar w:fldCharType="separate"/>
      </w:r>
      <w:r w:rsidR="00C5470A">
        <w:rPr>
          <w:noProof/>
        </w:rPr>
        <w:t>76</w:t>
      </w:r>
      <w:r w:rsidRPr="00B06248">
        <w:fldChar w:fldCharType="end"/>
      </w:r>
      <w:r w:rsidRPr="00B06248">
        <w:t>.  </w:t>
      </w:r>
      <w:r>
        <w:t>Finally, s</w:t>
      </w:r>
      <w:r w:rsidRPr="00B06248">
        <w:t xml:space="preserve">ection 6B of </w:t>
      </w:r>
      <w:r w:rsidRPr="005F251A">
        <w:t>the Legal Aid Law</w:t>
      </w:r>
      <w:r w:rsidRPr="005F251A">
        <w:rPr>
          <w:lang w:val="en-US"/>
        </w:rPr>
        <w:t xml:space="preserve"> </w:t>
      </w:r>
      <w:r w:rsidRPr="005F251A">
        <w:t>(Law no. 165(I)/2002</w:t>
      </w:r>
      <w:r>
        <w:t xml:space="preserve"> </w:t>
      </w:r>
      <w:r w:rsidRPr="005F251A">
        <w:t>as</w:t>
      </w:r>
      <w:r w:rsidRPr="00B06248">
        <w:t xml:space="preserve"> amended by </w:t>
      </w:r>
      <w:r w:rsidRPr="006A5FF9">
        <w:t>Amending Law 132(I)/2009),</w:t>
      </w:r>
      <w:r>
        <w:t xml:space="preserve"> provides that </w:t>
      </w:r>
      <w:r w:rsidRPr="00B06248">
        <w:t>asylum</w:t>
      </w:r>
      <w:r>
        <w:t>-</w:t>
      </w:r>
      <w:r w:rsidRPr="00B06248">
        <w:rPr>
          <w:lang w:val="en-US"/>
        </w:rPr>
        <w:t>seekers</w:t>
      </w:r>
      <w:r>
        <w:t xml:space="preserve"> may apply for legal aid </w:t>
      </w:r>
      <w:r w:rsidRPr="00B06248">
        <w:rPr>
          <w:lang w:val="en-US"/>
        </w:rPr>
        <w:t xml:space="preserve">in respect of a recourse brought under Article 146 of the </w:t>
      </w:r>
      <w:r w:rsidRPr="005F251A">
        <w:rPr>
          <w:lang w:val="en-US"/>
        </w:rPr>
        <w:t xml:space="preserve">Constitution against decisions </w:t>
      </w:r>
      <w:r>
        <w:rPr>
          <w:lang w:val="en-US"/>
        </w:rPr>
        <w:t>by</w:t>
      </w:r>
      <w:r w:rsidRPr="005F251A">
        <w:rPr>
          <w:lang w:val="en-US"/>
        </w:rPr>
        <w:t xml:space="preserve"> the Asylum Service and the Reviewing Authority. As in the case of deportation and detention</w:t>
      </w:r>
      <w:r>
        <w:rPr>
          <w:lang w:val="en-US"/>
        </w:rPr>
        <w:t xml:space="preserve"> (see paragraph 72 </w:t>
      </w:r>
      <w:r w:rsidRPr="00C5786A">
        <w:rPr>
          <w:lang w:val="en-US"/>
        </w:rPr>
        <w:t>above), legal aid will only be granted in respect of t</w:t>
      </w:r>
      <w:r w:rsidRPr="005F251A">
        <w:rPr>
          <w:lang w:val="en-US"/>
        </w:rPr>
        <w:t>he first</w:t>
      </w:r>
      <w:r>
        <w:rPr>
          <w:lang w:val="en-US"/>
        </w:rPr>
        <w:t>-</w:t>
      </w:r>
      <w:r w:rsidRPr="005F251A">
        <w:rPr>
          <w:lang w:val="en-US"/>
        </w:rPr>
        <w:t>instance proceedings (section 6 B (2)(aa)) and</w:t>
      </w:r>
      <w:r>
        <w:rPr>
          <w:lang w:val="en-US"/>
        </w:rPr>
        <w:t xml:space="preserve"> </w:t>
      </w:r>
      <w:r w:rsidRPr="005F251A">
        <w:rPr>
          <w:lang w:val="en-US"/>
        </w:rPr>
        <w:t xml:space="preserve">if </w:t>
      </w:r>
      <w:r>
        <w:rPr>
          <w:lang w:val="en-US"/>
        </w:rPr>
        <w:t>there is a prospect</w:t>
      </w:r>
      <w:r w:rsidRPr="005F251A">
        <w:rPr>
          <w:lang w:val="en-US"/>
        </w:rPr>
        <w:t xml:space="preserve"> of success (section 6B(2)(bb)).</w:t>
      </w:r>
    </w:p>
    <w:p w:rsidRPr="00D71114" w:rsidR="00FA0835" w:rsidP="00FA0835" w:rsidRDefault="00FA0835">
      <w:pPr>
        <w:pStyle w:val="JuHA"/>
        <w:rPr>
          <w:rStyle w:val="s7d2086b4"/>
        </w:rPr>
      </w:pPr>
      <w:r w:rsidRPr="00D71114">
        <w:rPr>
          <w:rStyle w:val="s7d2086b4"/>
        </w:rPr>
        <w:t>C.  </w:t>
      </w:r>
      <w:r>
        <w:rPr>
          <w:rStyle w:val="s7d2086b4"/>
        </w:rPr>
        <w:t>Cases</w:t>
      </w:r>
      <w:r w:rsidRPr="00D71114">
        <w:rPr>
          <w:rStyle w:val="s7d2086b4"/>
        </w:rPr>
        <w:t xml:space="preserve"> relied on by the parties </w:t>
      </w:r>
      <w:r w:rsidRPr="00AC725A">
        <w:rPr>
          <w:rStyle w:val="s7d2086b4"/>
        </w:rPr>
        <w:t>regarding “suspensiveness” and</w:t>
      </w:r>
      <w:r>
        <w:rPr>
          <w:rStyle w:val="s7d2086b4"/>
        </w:rPr>
        <w:t xml:space="preserve"> </w:t>
      </w:r>
      <w:r w:rsidRPr="00D71114">
        <w:rPr>
          <w:rStyle w:val="s7d2086b4"/>
        </w:rPr>
        <w:t>“speediness” in deportation and detention cases</w:t>
      </w:r>
    </w:p>
    <w:p w:rsidR="00FA0835" w:rsidP="00FA0835" w:rsidRDefault="00FA0835">
      <w:pPr>
        <w:pStyle w:val="JuH1"/>
        <w:rPr>
          <w:rStyle w:val="sfbbfee58"/>
        </w:rPr>
      </w:pPr>
      <w:r w:rsidRPr="00D71114">
        <w:rPr>
          <w:rStyle w:val="sfbbfee58"/>
        </w:rPr>
        <w:t>1.</w:t>
      </w:r>
      <w:r w:rsidRPr="00D71114">
        <w:rPr>
          <w:rStyle w:val="sb8d990e2"/>
        </w:rPr>
        <w:t>  Cases relied on by t</w:t>
      </w:r>
      <w:r w:rsidRPr="00D71114">
        <w:rPr>
          <w:rStyle w:val="sfbbfee58"/>
        </w:rPr>
        <w:t>he Government</w:t>
      </w:r>
    </w:p>
    <w:p w:rsidR="00FA0835" w:rsidP="00FA0835" w:rsidRDefault="00FA0835">
      <w:pPr>
        <w:pStyle w:val="JuPara"/>
      </w:pPr>
      <w:r>
        <w:fldChar w:fldCharType="begin"/>
      </w:r>
      <w:r>
        <w:instrText xml:space="preserve"> SEQ level0 \*arabic </w:instrText>
      </w:r>
      <w:r>
        <w:fldChar w:fldCharType="separate"/>
      </w:r>
      <w:r w:rsidR="00C5470A">
        <w:rPr>
          <w:noProof/>
        </w:rPr>
        <w:t>77</w:t>
      </w:r>
      <w:r>
        <w:fldChar w:fldCharType="end"/>
      </w:r>
      <w:r>
        <w:t>.  Recourses nos. 382/2011 (</w:t>
      </w:r>
      <w:r w:rsidRPr="008313C5">
        <w:rPr>
          <w:i/>
        </w:rPr>
        <w:t xml:space="preserve">Kazemyan Marvi Behjat </w:t>
      </w:r>
      <w:r w:rsidRPr="00EE4ED1">
        <w:t xml:space="preserve">v. </w:t>
      </w:r>
      <w:r w:rsidRPr="00EE4ED1">
        <w:rPr>
          <w:rStyle w:val="s6b621b36"/>
          <w:i/>
        </w:rPr>
        <w:t>the Republic of Cyprus –Director of the Civil Registry and Migration Department and the District Office of Kyrenia</w:t>
      </w:r>
      <w:r>
        <w:rPr>
          <w:rStyle w:val="s6b621b36"/>
        </w:rPr>
        <w:t xml:space="preserve">), </w:t>
      </w:r>
      <w:r>
        <w:t>383/2011 (</w:t>
      </w:r>
      <w:r w:rsidRPr="008313C5">
        <w:rPr>
          <w:i/>
        </w:rPr>
        <w:t>Embrahimzadeh Poustchi Omid</w:t>
      </w:r>
      <w:r w:rsidRPr="00EE4ED1">
        <w:t xml:space="preserve"> v. </w:t>
      </w:r>
      <w:r w:rsidRPr="00EE4ED1">
        <w:rPr>
          <w:rStyle w:val="s6b621b36"/>
          <w:i/>
        </w:rPr>
        <w:t>the Republic of Cyprus –Director of the Civil Registry and Migration Department and the District Office of Kyrenia</w:t>
      </w:r>
      <w:r>
        <w:rPr>
          <w:rStyle w:val="s6b621b36"/>
        </w:rPr>
        <w:t>) and 384/2011</w:t>
      </w:r>
      <w:r>
        <w:t xml:space="preserve"> (</w:t>
      </w:r>
      <w:r w:rsidRPr="008313C5">
        <w:rPr>
          <w:i/>
        </w:rPr>
        <w:t>Bagher Embrahim Zadeh</w:t>
      </w:r>
      <w:r w:rsidRPr="00EE4ED1">
        <w:t xml:space="preserve"> v. </w:t>
      </w:r>
      <w:r w:rsidRPr="00EE4ED1">
        <w:rPr>
          <w:rStyle w:val="s6b621b36"/>
          <w:i/>
        </w:rPr>
        <w:t>the Republic of Cyprus –Director of the Civil Registry and Migration Department and the District Office of Kyrenia</w:t>
      </w:r>
      <w:r>
        <w:rPr>
          <w:rStyle w:val="s6b621b36"/>
        </w:rPr>
        <w:t>) against deportation and detention orders</w:t>
      </w:r>
      <w:r>
        <w:t xml:space="preserve"> were lodged before the Supreme Court on 21 March </w:t>
      </w:r>
      <w:r w:rsidRPr="00B5474B">
        <w:t>2011</w:t>
      </w:r>
      <w:r>
        <w:t xml:space="preserve"> </w:t>
      </w:r>
      <w:r w:rsidRPr="00027972">
        <w:t>by a couple and their son.</w:t>
      </w:r>
      <w:r>
        <w:t xml:space="preserve"> </w:t>
      </w:r>
      <w:r w:rsidRPr="008476CB">
        <w:t xml:space="preserve">An </w:t>
      </w:r>
      <w:r w:rsidRPr="008476CB">
        <w:rPr>
          <w:i/>
        </w:rPr>
        <w:t xml:space="preserve">ex parte </w:t>
      </w:r>
      <w:r w:rsidRPr="008476CB">
        <w:t>application for a provisional order was filed the next day. The hearing of the</w:t>
      </w:r>
      <w:r w:rsidRPr="00B5474B">
        <w:t xml:space="preserve"> application took place on 20 April 2011. </w:t>
      </w:r>
      <w:r>
        <w:t>On that day t</w:t>
      </w:r>
      <w:r w:rsidRPr="00B5474B">
        <w:t xml:space="preserve">he </w:t>
      </w:r>
      <w:r>
        <w:t>complainants</w:t>
      </w:r>
      <w:r w:rsidRPr="00B5474B">
        <w:t xml:space="preserve"> agreed to an early hearing of the recourse and withdrew their application as part of an agreement with the Government to have their deportation suspended</w:t>
      </w:r>
      <w:r>
        <w:t xml:space="preserve"> and have an early hearing of the main </w:t>
      </w:r>
      <w:r w:rsidRPr="00B5474B">
        <w:t>proceedings</w:t>
      </w:r>
      <w:r w:rsidRPr="004F23D4">
        <w:t xml:space="preserve">. The </w:t>
      </w:r>
      <w:r>
        <w:t>cases were</w:t>
      </w:r>
      <w:r w:rsidRPr="004F23D4">
        <w:t xml:space="preserve"> then </w:t>
      </w:r>
      <w:r w:rsidRPr="004F23D4">
        <w:rPr>
          <w:rStyle w:val="sb8d990e2"/>
        </w:rPr>
        <w:t xml:space="preserve">listed for a directions hearing to be held on </w:t>
      </w:r>
      <w:r w:rsidRPr="004F23D4">
        <w:t>2 May 2001. The</w:t>
      </w:r>
      <w:r w:rsidRPr="00B5474B">
        <w:t xml:space="preserve"> recourses were event</w:t>
      </w:r>
      <w:r>
        <w:t xml:space="preserve">ually withdrawn on 10 June 2011. </w:t>
      </w:r>
      <w:r w:rsidRPr="00B5474B">
        <w:t xml:space="preserve">They lasted two months and twenty days. The </w:t>
      </w:r>
      <w:r>
        <w:t xml:space="preserve">complainants </w:t>
      </w:r>
      <w:r w:rsidRPr="00B5474B">
        <w:t>were detained throughout this period</w:t>
      </w:r>
      <w:r>
        <w:t>,</w:t>
      </w:r>
      <w:r w:rsidRPr="00B5474B">
        <w:t xml:space="preserve"> until their deportation on 17 July 2011.</w:t>
      </w:r>
    </w:p>
    <w:p w:rsidR="00FA0835" w:rsidP="00FA0835" w:rsidRDefault="00FA0835">
      <w:pPr>
        <w:pStyle w:val="JuPara"/>
      </w:pPr>
      <w:r>
        <w:fldChar w:fldCharType="begin"/>
      </w:r>
      <w:r>
        <w:instrText xml:space="preserve"> SEQ level0 \*arabic </w:instrText>
      </w:r>
      <w:r>
        <w:fldChar w:fldCharType="separate"/>
      </w:r>
      <w:r w:rsidR="00C5470A">
        <w:rPr>
          <w:noProof/>
        </w:rPr>
        <w:t>78</w:t>
      </w:r>
      <w:r>
        <w:fldChar w:fldCharType="end"/>
      </w:r>
      <w:r>
        <w:t>.  Recourse no. 601/11 (</w:t>
      </w:r>
      <w:r w:rsidRPr="008313C5">
        <w:rPr>
          <w:i/>
        </w:rPr>
        <w:t>Olha Voroniuk</w:t>
      </w:r>
      <w:r w:rsidRPr="004F23D4">
        <w:t xml:space="preserve"> </w:t>
      </w:r>
      <w:r w:rsidRPr="00AD525A">
        <w:rPr>
          <w:i/>
        </w:rPr>
        <w:t>v</w:t>
      </w:r>
      <w:r w:rsidRPr="004F23D4">
        <w:t xml:space="preserve">. </w:t>
      </w:r>
      <w:r w:rsidRPr="004F23D4">
        <w:rPr>
          <w:rStyle w:val="s6b621b36"/>
          <w:i/>
        </w:rPr>
        <w:t>Minister of the Interior and Director of the Civil Registry and Migration Department</w:t>
      </w:r>
      <w:r>
        <w:rPr>
          <w:rStyle w:val="s6b621b36"/>
        </w:rPr>
        <w:t xml:space="preserve">) against deportation and detention orders </w:t>
      </w:r>
      <w:r w:rsidRPr="004F23D4">
        <w:t>was lodged on 11 May 2011 along with an appli</w:t>
      </w:r>
      <w:r>
        <w:t xml:space="preserve">cation for a provisional order. </w:t>
      </w:r>
      <w:r w:rsidRPr="004F23D4">
        <w:t>The application was heard on 1</w:t>
      </w:r>
      <w:r>
        <w:t> </w:t>
      </w:r>
      <w:r w:rsidRPr="004F23D4">
        <w:t>June</w:t>
      </w:r>
      <w:r>
        <w:t xml:space="preserve"> </w:t>
      </w:r>
      <w:r w:rsidRPr="004F23D4">
        <w:t xml:space="preserve">2011 </w:t>
      </w:r>
      <w:r>
        <w:t>when</w:t>
      </w:r>
      <w:r w:rsidRPr="004F23D4">
        <w:t xml:space="preserve"> it was withdrawn</w:t>
      </w:r>
      <w:r>
        <w:t xml:space="preserve"> after an agreement was reached with the Government</w:t>
      </w:r>
      <w:r w:rsidRPr="004F23D4">
        <w:t xml:space="preserve">. The case was then </w:t>
      </w:r>
      <w:r w:rsidRPr="004F23D4">
        <w:rPr>
          <w:rStyle w:val="sb8d990e2"/>
        </w:rPr>
        <w:t xml:space="preserve">listed for a </w:t>
      </w:r>
      <w:r>
        <w:rPr>
          <w:rStyle w:val="sb8d990e2"/>
        </w:rPr>
        <w:t xml:space="preserve">clarifications </w:t>
      </w:r>
      <w:r w:rsidRPr="004F23D4">
        <w:rPr>
          <w:rStyle w:val="sb8d990e2"/>
        </w:rPr>
        <w:t xml:space="preserve">hearing to be held on </w:t>
      </w:r>
      <w:r>
        <w:t>29 June 2011</w:t>
      </w:r>
      <w:r w:rsidRPr="004F23D4">
        <w:t xml:space="preserve">. </w:t>
      </w:r>
      <w:r>
        <w:t xml:space="preserve">The complainant, however, </w:t>
      </w:r>
      <w:r w:rsidRPr="00C633A1">
        <w:t xml:space="preserve">withdrew the recourse </w:t>
      </w:r>
      <w:r>
        <w:t>on 28 </w:t>
      </w:r>
      <w:r w:rsidRPr="00C633A1">
        <w:t xml:space="preserve">June 2011 </w:t>
      </w:r>
      <w:r>
        <w:t>in order</w:t>
      </w:r>
      <w:r w:rsidRPr="00C633A1">
        <w:t xml:space="preserve"> to return to her country. </w:t>
      </w:r>
      <w:r w:rsidRPr="00B5474B">
        <w:t>The</w:t>
      </w:r>
      <w:r>
        <w:t xml:space="preserve"> proceedings</w:t>
      </w:r>
      <w:r w:rsidRPr="00B5474B">
        <w:t xml:space="preserve"> lasted </w:t>
      </w:r>
      <w:r>
        <w:t>one month and seventeen days</w:t>
      </w:r>
      <w:r w:rsidRPr="00C633A1">
        <w:t xml:space="preserve">. The </w:t>
      </w:r>
      <w:r>
        <w:t xml:space="preserve">complainant </w:t>
      </w:r>
      <w:r w:rsidRPr="00C633A1">
        <w:t>was detained throughout this period</w:t>
      </w:r>
      <w:r>
        <w:t xml:space="preserve">, </w:t>
      </w:r>
      <w:r w:rsidRPr="00C633A1">
        <w:t>until her deportation on 8 July 2011.</w:t>
      </w:r>
    </w:p>
    <w:p w:rsidR="00FA0835" w:rsidP="00FA0835" w:rsidRDefault="00FA0835">
      <w:pPr>
        <w:pStyle w:val="JuPara"/>
      </w:pPr>
      <w:r w:rsidRPr="001817E7">
        <w:fldChar w:fldCharType="begin"/>
      </w:r>
      <w:r w:rsidRPr="001817E7">
        <w:instrText xml:space="preserve"> SEQ level0 \*arabic </w:instrText>
      </w:r>
      <w:r w:rsidRPr="001817E7">
        <w:fldChar w:fldCharType="separate"/>
      </w:r>
      <w:r w:rsidR="00C5470A">
        <w:rPr>
          <w:noProof/>
        </w:rPr>
        <w:t>79</w:t>
      </w:r>
      <w:r w:rsidRPr="001817E7">
        <w:fldChar w:fldCharType="end"/>
      </w:r>
      <w:r w:rsidRPr="001817E7">
        <w:t>.  In recourse no. 439/2009 (</w:t>
      </w:r>
      <w:r w:rsidRPr="001817E7">
        <w:rPr>
          <w:i/>
        </w:rPr>
        <w:t>Sima Avani and Maral Mehrabi Pari</w:t>
      </w:r>
      <w:r>
        <w:rPr>
          <w:i/>
        </w:rPr>
        <w:t xml:space="preserve"> </w:t>
      </w:r>
      <w:r w:rsidRPr="001817E7">
        <w:rPr>
          <w:i/>
        </w:rPr>
        <w:t xml:space="preserve">v. the Republic of Cyprus – 1. </w:t>
      </w:r>
      <w:r w:rsidRPr="001817E7">
        <w:rPr>
          <w:rStyle w:val="s6b621b36"/>
          <w:i/>
        </w:rPr>
        <w:t>Minister of the Interior and Director of the Civil Registry and Migration Department and 2. the</w:t>
      </w:r>
      <w:r w:rsidRPr="00AD525A">
        <w:rPr>
          <w:rStyle w:val="s6b621b36"/>
          <w:i/>
        </w:rPr>
        <w:t xml:space="preserve"> </w:t>
      </w:r>
      <w:r w:rsidRPr="00AD525A">
        <w:rPr>
          <w:i/>
        </w:rPr>
        <w:t xml:space="preserve">Reviewing </w:t>
      </w:r>
      <w:r>
        <w:rPr>
          <w:i/>
        </w:rPr>
        <w:t>Authority for Refugees</w:t>
      </w:r>
      <w:r w:rsidRPr="00AD525A">
        <w:t>) lodged on 16 April 2009</w:t>
      </w:r>
      <w:r>
        <w:t xml:space="preserve">, it appears </w:t>
      </w:r>
      <w:r w:rsidRPr="00755E7D">
        <w:t xml:space="preserve">that the </w:t>
      </w:r>
      <w:r>
        <w:t xml:space="preserve">complainants </w:t>
      </w:r>
      <w:r w:rsidRPr="00755E7D">
        <w:t>challenged both the Reviewing Authority</w:t>
      </w:r>
      <w:r w:rsidR="00A7319E">
        <w:t>’</w:t>
      </w:r>
      <w:r w:rsidRPr="00755E7D">
        <w:t>s decision and the deportation and detention orders.</w:t>
      </w:r>
      <w:r>
        <w:t xml:space="preserve"> </w:t>
      </w:r>
      <w:r w:rsidRPr="00755E7D">
        <w:t>They also filed an application for a provisional</w:t>
      </w:r>
      <w:r>
        <w:t xml:space="preserve"> order. Rule </w:t>
      </w:r>
      <w:r w:rsidRPr="004A5521">
        <w:t xml:space="preserve">39 was applied by the Court. On 16 April 2009 the Supreme Court granted the </w:t>
      </w:r>
      <w:r>
        <w:t>provisional order,</w:t>
      </w:r>
      <w:r w:rsidRPr="004A5521">
        <w:t xml:space="preserve"> </w:t>
      </w:r>
      <w:r>
        <w:t>suspending the complainants</w:t>
      </w:r>
      <w:r w:rsidR="00A7319E">
        <w:t>’</w:t>
      </w:r>
      <w:r>
        <w:t xml:space="preserve"> deportation</w:t>
      </w:r>
      <w:r w:rsidRPr="004A5521">
        <w:t xml:space="preserve">. </w:t>
      </w:r>
      <w:r>
        <w:t>It then</w:t>
      </w:r>
      <w:r w:rsidRPr="004A5521">
        <w:t xml:space="preserve"> gave judgment dismissing the recourse</w:t>
      </w:r>
      <w:r>
        <w:t xml:space="preserve"> on 27 August 2009, upholding the asylum decision taken by the authorities. The p</w:t>
      </w:r>
      <w:r w:rsidRPr="004A5521">
        <w:t>roceedings lasted for four months and eleven days</w:t>
      </w:r>
      <w:r>
        <w:t xml:space="preserve">. The complainants </w:t>
      </w:r>
      <w:r w:rsidRPr="004A5521">
        <w:t xml:space="preserve">were detained </w:t>
      </w:r>
      <w:r>
        <w:t>throughout this period</w:t>
      </w:r>
      <w:r w:rsidRPr="004A5521">
        <w:t>. They were released on 1</w:t>
      </w:r>
      <w:r>
        <w:t> </w:t>
      </w:r>
      <w:r w:rsidRPr="004A5521">
        <w:t>September</w:t>
      </w:r>
      <w:r>
        <w:t xml:space="preserve"> </w:t>
      </w:r>
      <w:r w:rsidRPr="004A5521">
        <w:t>2009 and were not detaine</w:t>
      </w:r>
      <w:r>
        <w:t>d during the appeal proceedings, which were concluded on 10 October 2011 (Revisional appeal no. 150/09).</w:t>
      </w:r>
    </w:p>
    <w:p w:rsidR="00FA0835" w:rsidP="00FA0835" w:rsidRDefault="00FA0835">
      <w:pPr>
        <w:pStyle w:val="JuH1"/>
        <w:rPr>
          <w:rStyle w:val="sfbbfee58"/>
        </w:rPr>
      </w:pPr>
      <w:r w:rsidRPr="00826CE2">
        <w:rPr>
          <w:rStyle w:val="sfbbfee58"/>
        </w:rPr>
        <w:t>2.</w:t>
      </w:r>
      <w:r w:rsidRPr="00826CE2">
        <w:rPr>
          <w:rStyle w:val="sb8d990e2"/>
        </w:rPr>
        <w:t xml:space="preserve">  Cases relied on by </w:t>
      </w:r>
      <w:r w:rsidRPr="00826CE2">
        <w:rPr>
          <w:rStyle w:val="sfbbfee58"/>
        </w:rPr>
        <w:t>the applicant</w:t>
      </w:r>
    </w:p>
    <w:p w:rsidR="00FA0835" w:rsidP="00FA0835" w:rsidRDefault="00FA0835">
      <w:pPr>
        <w:pStyle w:val="JuPara"/>
      </w:pPr>
      <w:r w:rsidRPr="00B06248">
        <w:rPr>
          <w:lang w:val="en-US"/>
        </w:rPr>
        <w:fldChar w:fldCharType="begin"/>
      </w:r>
      <w:r w:rsidRPr="00B06248">
        <w:rPr>
          <w:lang w:val="en-US"/>
        </w:rPr>
        <w:instrText xml:space="preserve"> SEQ level0 \*arabic </w:instrText>
      </w:r>
      <w:r w:rsidRPr="00B06248">
        <w:rPr>
          <w:lang w:val="en-US"/>
        </w:rPr>
        <w:fldChar w:fldCharType="separate"/>
      </w:r>
      <w:r w:rsidR="00C5470A">
        <w:rPr>
          <w:noProof/>
          <w:lang w:val="en-US"/>
        </w:rPr>
        <w:t>80</w:t>
      </w:r>
      <w:r w:rsidRPr="00B06248">
        <w:rPr>
          <w:lang w:val="en-US"/>
        </w:rPr>
        <w:fldChar w:fldCharType="end"/>
      </w:r>
      <w:r w:rsidRPr="00B06248">
        <w:rPr>
          <w:lang w:val="en-US"/>
        </w:rPr>
        <w:t>.  In recourse no. 493/2010</w:t>
      </w:r>
      <w:r>
        <w:rPr>
          <w:lang w:val="en-US"/>
        </w:rPr>
        <w:t xml:space="preserve"> (</w:t>
      </w:r>
      <w:r w:rsidRPr="00B06248">
        <w:rPr>
          <w:i/>
          <w:lang w:val="en-US"/>
        </w:rPr>
        <w:t>Leonie Marlyse Yombia Ngassam</w:t>
      </w:r>
      <w:r>
        <w:rPr>
          <w:i/>
          <w:lang w:val="en-US"/>
        </w:rPr>
        <w:t xml:space="preserve"> </w:t>
      </w:r>
      <w:r w:rsidRPr="00B06248">
        <w:rPr>
          <w:i/>
          <w:lang w:val="en-US"/>
        </w:rPr>
        <w:t>v. the Republic of Cyprus -</w:t>
      </w:r>
      <w:r w:rsidRPr="00B06248">
        <w:rPr>
          <w:i/>
        </w:rPr>
        <w:t xml:space="preserve"> the General Director of the Ministry of the Interior and the Attorney-General</w:t>
      </w:r>
      <w:r w:rsidRPr="00B06248">
        <w:rPr>
          <w:i/>
          <w:lang w:val="en-US"/>
        </w:rPr>
        <w:t xml:space="preserve"> </w:t>
      </w:r>
      <w:r>
        <w:rPr>
          <w:i/>
          <w:lang w:val="en-US"/>
        </w:rPr>
        <w:t>of t</w:t>
      </w:r>
      <w:r w:rsidRPr="00B06248">
        <w:rPr>
          <w:i/>
          <w:lang w:val="en-US"/>
        </w:rPr>
        <w:t>he Republic</w:t>
      </w:r>
      <w:r w:rsidRPr="00B06248">
        <w:rPr>
          <w:lang w:val="en-US"/>
        </w:rPr>
        <w:t xml:space="preserve">) </w:t>
      </w:r>
      <w:r>
        <w:rPr>
          <w:rStyle w:val="s6b621b36"/>
        </w:rPr>
        <w:t>against deportation and detention orders,</w:t>
      </w:r>
      <w:r w:rsidRPr="00B06248">
        <w:rPr>
          <w:lang w:val="en-US"/>
        </w:rPr>
        <w:t xml:space="preserve"> an application for a provisional order was filed on </w:t>
      </w:r>
      <w:r w:rsidRPr="00B06248">
        <w:t xml:space="preserve">21 April 2010. The application was withdrawn following an agreement with the Government. Judgment was given on 20 August 2010. The proceedings therefore lasted three months and twenty-nine days, </w:t>
      </w:r>
      <w:r>
        <w:t>for the duration of which the complainant</w:t>
      </w:r>
      <w:r w:rsidRPr="00B06248">
        <w:t xml:space="preserve"> remained in detention.</w:t>
      </w:r>
    </w:p>
    <w:p w:rsidR="00FA0835" w:rsidP="00FA0835" w:rsidRDefault="00FA0835">
      <w:pPr>
        <w:pStyle w:val="JuPara"/>
      </w:pPr>
      <w:r w:rsidRPr="00265B4E">
        <w:fldChar w:fldCharType="begin"/>
      </w:r>
      <w:r w:rsidRPr="00265B4E">
        <w:instrText xml:space="preserve"> SEQ level0 \*arabic </w:instrText>
      </w:r>
      <w:r w:rsidRPr="00265B4E">
        <w:fldChar w:fldCharType="separate"/>
      </w:r>
      <w:r w:rsidR="00C5470A">
        <w:rPr>
          <w:noProof/>
        </w:rPr>
        <w:t>81</w:t>
      </w:r>
      <w:r w:rsidRPr="00265B4E">
        <w:fldChar w:fldCharType="end"/>
      </w:r>
      <w:r w:rsidRPr="00265B4E">
        <w:t>.  In recourse no. 103/2012 (</w:t>
      </w:r>
      <w:r w:rsidRPr="00265B4E">
        <w:rPr>
          <w:i/>
        </w:rPr>
        <w:t>Amr Mahmoud Youssef Mohammed Gaafar</w:t>
      </w:r>
      <w:r w:rsidRPr="00265B4E">
        <w:t xml:space="preserve"> v. </w:t>
      </w:r>
      <w:r w:rsidRPr="00265B4E">
        <w:rPr>
          <w:i/>
        </w:rPr>
        <w:t>t</w:t>
      </w:r>
      <w:r w:rsidRPr="00AD525A">
        <w:rPr>
          <w:i/>
        </w:rPr>
        <w:t xml:space="preserve">he Republic of Cyprus </w:t>
      </w:r>
      <w:r>
        <w:rPr>
          <w:i/>
        </w:rPr>
        <w:t>-</w:t>
      </w:r>
      <w:r w:rsidRPr="00AD525A">
        <w:rPr>
          <w:rStyle w:val="s6b621b36"/>
          <w:i/>
        </w:rPr>
        <w:t xml:space="preserve"> Director of the Civil Registry and Migration Department</w:t>
      </w:r>
      <w:r w:rsidRPr="00AD525A">
        <w:t xml:space="preserve"> </w:t>
      </w:r>
      <w:r w:rsidRPr="00AD525A">
        <w:rPr>
          <w:i/>
        </w:rPr>
        <w:t xml:space="preserve">and the </w:t>
      </w:r>
      <w:r w:rsidRPr="00AD525A">
        <w:rPr>
          <w:rStyle w:val="s6b621b36"/>
          <w:i/>
        </w:rPr>
        <w:t>Minister of the Interior</w:t>
      </w:r>
      <w:r>
        <w:rPr>
          <w:rStyle w:val="s6b621b36"/>
        </w:rPr>
        <w:t>)</w:t>
      </w:r>
      <w:r>
        <w:t xml:space="preserve"> </w:t>
      </w:r>
      <w:r w:rsidRPr="00AD525A">
        <w:t>the</w:t>
      </w:r>
      <w:r>
        <w:t xml:space="preserve"> application for a provisional order was filed on 24 January 2012. It was subsequently withdrawn and the Supreme Court gave judgment on 23 July 2012. The proceedings lasted five months and twenty-nine days. The complainant was detained during this period.</w:t>
      </w:r>
    </w:p>
    <w:p w:rsidR="00FA0835" w:rsidP="00FA0835" w:rsidRDefault="00FA0835">
      <w:pPr>
        <w:pStyle w:val="JuPara"/>
      </w:pPr>
      <w:r w:rsidRPr="00AD525A">
        <w:fldChar w:fldCharType="begin"/>
      </w:r>
      <w:r w:rsidRPr="00AD525A">
        <w:instrText xml:space="preserve"> SEQ level0 \*arabic </w:instrText>
      </w:r>
      <w:r w:rsidRPr="00AD525A">
        <w:fldChar w:fldCharType="separate"/>
      </w:r>
      <w:r w:rsidR="00C5470A">
        <w:rPr>
          <w:noProof/>
        </w:rPr>
        <w:t>82</w:t>
      </w:r>
      <w:r w:rsidRPr="00AD525A">
        <w:fldChar w:fldCharType="end"/>
      </w:r>
      <w:r w:rsidRPr="00AD525A">
        <w:t>.</w:t>
      </w:r>
      <w:r>
        <w:t> </w:t>
      </w:r>
      <w:r w:rsidRPr="00AD525A">
        <w:t> In recourse no. 1724/2011 (</w:t>
      </w:r>
      <w:r w:rsidRPr="00AD525A">
        <w:rPr>
          <w:i/>
        </w:rPr>
        <w:t>Mustafa Haghilo</w:t>
      </w:r>
      <w:r w:rsidRPr="00AD525A">
        <w:t xml:space="preserve"> v</w:t>
      </w:r>
      <w:r w:rsidRPr="00AD525A">
        <w:rPr>
          <w:i/>
        </w:rPr>
        <w:t>. the Republic of Cyprus – the General Director of the Ministry of the Interior and the Attorney-General</w:t>
      </w:r>
      <w:r w:rsidRPr="00AD525A">
        <w:t>)</w:t>
      </w:r>
      <w:r w:rsidRPr="002734F1">
        <w:rPr>
          <w:rStyle w:val="s6b621b36"/>
        </w:rPr>
        <w:t xml:space="preserve"> </w:t>
      </w:r>
      <w:r>
        <w:rPr>
          <w:rStyle w:val="s6b621b36"/>
        </w:rPr>
        <w:t>against deportation and detention orders,</w:t>
      </w:r>
      <w:r w:rsidRPr="00AD525A">
        <w:t xml:space="preserve"> the application for a provisional order</w:t>
      </w:r>
      <w:r>
        <w:t xml:space="preserve"> was filed on 28 </w:t>
      </w:r>
      <w:r w:rsidRPr="00AD525A">
        <w:t>December 2011. The application</w:t>
      </w:r>
      <w:r w:rsidRPr="00874BA6">
        <w:t xml:space="preserve"> was subsequently withdrawn and judgment was given on 13 July 2012. The proceedings lasted six months and fifteen days.</w:t>
      </w:r>
      <w:r>
        <w:t xml:space="preserve"> </w:t>
      </w:r>
      <w:r w:rsidRPr="00AD525A">
        <w:t>At the time of the submission of the applicant</w:t>
      </w:r>
      <w:r w:rsidR="00A7319E">
        <w:t>’</w:t>
      </w:r>
      <w:r w:rsidRPr="00AD525A">
        <w:t xml:space="preserve">s observations of 31 July 2012 </w:t>
      </w:r>
      <w:r>
        <w:t>the</w:t>
      </w:r>
      <w:r w:rsidRPr="00874BA6">
        <w:t xml:space="preserve"> appeal proceedings </w:t>
      </w:r>
      <w:r>
        <w:t>were still</w:t>
      </w:r>
      <w:r w:rsidRPr="00874BA6">
        <w:t xml:space="preserve"> pending</w:t>
      </w:r>
      <w:r>
        <w:t xml:space="preserve"> and the complainant was</w:t>
      </w:r>
      <w:r w:rsidRPr="00AD525A">
        <w:t xml:space="preserve"> </w:t>
      </w:r>
      <w:r>
        <w:t>still in</w:t>
      </w:r>
      <w:r w:rsidRPr="00AD525A">
        <w:t xml:space="preserve"> detention.</w:t>
      </w:r>
    </w:p>
    <w:p w:rsidR="00FA0835" w:rsidP="00FA0835" w:rsidRDefault="00FA0835">
      <w:pPr>
        <w:pStyle w:val="JuPara"/>
      </w:pPr>
      <w:r w:rsidRPr="00874BA6">
        <w:fldChar w:fldCharType="begin"/>
      </w:r>
      <w:r w:rsidRPr="00874BA6">
        <w:instrText xml:space="preserve"> SEQ level0 \*arabic </w:instrText>
      </w:r>
      <w:r w:rsidRPr="00874BA6">
        <w:fldChar w:fldCharType="separate"/>
      </w:r>
      <w:r w:rsidR="00C5470A">
        <w:rPr>
          <w:noProof/>
        </w:rPr>
        <w:t>83</w:t>
      </w:r>
      <w:r w:rsidRPr="00874BA6">
        <w:fldChar w:fldCharType="end"/>
      </w:r>
      <w:r w:rsidRPr="00874BA6">
        <w:t>.  </w:t>
      </w:r>
      <w:r w:rsidRPr="00265B4E">
        <w:t>Recourse no. 1723/2011 (</w:t>
      </w:r>
      <w:r w:rsidRPr="00265B4E">
        <w:rPr>
          <w:i/>
        </w:rPr>
        <w:t>Mohammad Khosh Soruor v. the Republic of Cyprus – the General Director of the Ministry of the Interior and the Attorney-General</w:t>
      </w:r>
      <w:r w:rsidRPr="00265B4E">
        <w:t xml:space="preserve">) </w:t>
      </w:r>
      <w:r>
        <w:rPr>
          <w:rStyle w:val="s6b621b36"/>
        </w:rPr>
        <w:t>against deportation and detention orders</w:t>
      </w:r>
      <w:r>
        <w:t xml:space="preserve"> </w:t>
      </w:r>
      <w:r w:rsidRPr="00265B4E">
        <w:t xml:space="preserve">was lodged on 28 December 2011 along with an application for a provisional measure. </w:t>
      </w:r>
      <w:r>
        <w:t xml:space="preserve">The application was not </w:t>
      </w:r>
      <w:r w:rsidRPr="00265B4E">
        <w:t>withdraw</w:t>
      </w:r>
      <w:r>
        <w:t>n</w:t>
      </w:r>
      <w:r w:rsidRPr="00265B4E">
        <w:t xml:space="preserve"> </w:t>
      </w:r>
      <w:r>
        <w:t>but was</w:t>
      </w:r>
      <w:r w:rsidRPr="00265B4E">
        <w:t xml:space="preserve"> dismissed </w:t>
      </w:r>
      <w:r>
        <w:t>by the Supreme Court</w:t>
      </w:r>
      <w:r w:rsidRPr="00265B4E">
        <w:t xml:space="preserve"> on 8 February 2012. </w:t>
      </w:r>
      <w:r w:rsidRPr="00AD525A">
        <w:t xml:space="preserve">At </w:t>
      </w:r>
      <w:r w:rsidRPr="00265B4E">
        <w:t>the time of the submission of the applicant</w:t>
      </w:r>
      <w:r w:rsidR="00A7319E">
        <w:t>’</w:t>
      </w:r>
      <w:r w:rsidRPr="00265B4E">
        <w:t xml:space="preserve">s observations of 31 July 2012 the main proceedings </w:t>
      </w:r>
      <w:r>
        <w:t xml:space="preserve">in this recourse </w:t>
      </w:r>
      <w:r w:rsidRPr="00265B4E">
        <w:t xml:space="preserve">were still pending and had up to </w:t>
      </w:r>
      <w:r>
        <w:t>that date lasted six months and</w:t>
      </w:r>
      <w:r w:rsidRPr="00265B4E">
        <w:t xml:space="preserve"> </w:t>
      </w:r>
      <w:r>
        <w:t>twenty-two</w:t>
      </w:r>
      <w:r w:rsidRPr="00265B4E">
        <w:t xml:space="preserve"> days.</w:t>
      </w:r>
      <w:r>
        <w:t xml:space="preserve"> The complainant was still in detention.</w:t>
      </w:r>
    </w:p>
    <w:p w:rsidR="00FA0835" w:rsidP="00FA0835" w:rsidRDefault="00FA0835">
      <w:pPr>
        <w:pStyle w:val="JuPara"/>
      </w:pPr>
      <w:r w:rsidRPr="00E37EFD">
        <w:fldChar w:fldCharType="begin"/>
      </w:r>
      <w:r w:rsidRPr="00E37EFD">
        <w:instrText xml:space="preserve"> SEQ level0 \*arabic </w:instrText>
      </w:r>
      <w:r w:rsidRPr="00E37EFD">
        <w:fldChar w:fldCharType="separate"/>
      </w:r>
      <w:r w:rsidR="00C5470A">
        <w:rPr>
          <w:noProof/>
        </w:rPr>
        <w:t>84</w:t>
      </w:r>
      <w:r w:rsidRPr="00E37EFD">
        <w:fldChar w:fldCharType="end"/>
      </w:r>
      <w:r w:rsidRPr="00E37EFD">
        <w:t xml:space="preserve">.  In recourse </w:t>
      </w:r>
      <w:r w:rsidRPr="00057411">
        <w:t>no.</w:t>
      </w:r>
      <w:r w:rsidRPr="00E37EFD">
        <w:rPr>
          <w:i/>
        </w:rPr>
        <w:t xml:space="preserve"> </w:t>
      </w:r>
      <w:r w:rsidRPr="00057411">
        <w:t>1117/2010</w:t>
      </w:r>
      <w:r w:rsidRPr="00E37EFD">
        <w:t xml:space="preserve"> (</w:t>
      </w:r>
      <w:r w:rsidRPr="00E37EFD">
        <w:rPr>
          <w:i/>
        </w:rPr>
        <w:t>Shahin Haisan Fawzy Mohammed</w:t>
      </w:r>
      <w:r>
        <w:rPr>
          <w:i/>
        </w:rPr>
        <w:t xml:space="preserve"> </w:t>
      </w:r>
      <w:r w:rsidRPr="00E37EFD">
        <w:rPr>
          <w:i/>
        </w:rPr>
        <w:t xml:space="preserve">v. the Republic of Cyprus – the General Director of the Ministry of the Interior and the Attorney-General) </w:t>
      </w:r>
      <w:r w:rsidRPr="00E37EFD">
        <w:t>the Supreme Court gave judgment on 23 December 2010</w:t>
      </w:r>
      <w:r>
        <w:t>,</w:t>
      </w:r>
      <w:r w:rsidRPr="00E37EFD">
        <w:t xml:space="preserve"> annulling deportation and detention orders issued against the complainant. Following this judgment the authorities issued new deportation and detention orders. A recourse challenging these orders along with an application for a provisional order to suspend deportation were filed on 30 December 2010 (recourse no. 1718/10; </w:t>
      </w:r>
      <w:r w:rsidRPr="00E37EFD">
        <w:rPr>
          <w:i/>
        </w:rPr>
        <w:t>Shahin Haisan Fawzy Mohammed v. the Republic of Cyprus – the General Director of the Ministry of the Interior and the Attorney-General).</w:t>
      </w:r>
      <w:r w:rsidRPr="00E37EFD">
        <w:t xml:space="preserve"> According to the minutes of the proceedings the authorities </w:t>
      </w:r>
      <w:r>
        <w:t>were</w:t>
      </w:r>
      <w:r w:rsidRPr="00E37EFD">
        <w:t xml:space="preserve"> notified of the application on 31 December 2010. On 4 January 2011, at the hearing of the application, however, the authorities informed the Court that the complainant had been deported on 2 January 2011. His representative withdrew the application but maintained the recourse. At the time, the complainant</w:t>
      </w:r>
      <w:r w:rsidR="00A7319E">
        <w:t>’</w:t>
      </w:r>
      <w:r w:rsidRPr="00E37EFD">
        <w:t>s recourse against the Reviewing Authority</w:t>
      </w:r>
      <w:r w:rsidR="00A7319E">
        <w:t>’</w:t>
      </w:r>
      <w:r w:rsidRPr="00E37EFD">
        <w:t>s decision was still pending before the Supreme Court (recourse no. 1409/2010).</w:t>
      </w:r>
    </w:p>
    <w:p w:rsidRPr="00E319EF" w:rsidR="00FA0835" w:rsidP="00FA0835" w:rsidRDefault="00FA0835">
      <w:pPr>
        <w:pStyle w:val="JuHA"/>
      </w:pPr>
      <w:r>
        <w:rPr>
          <w:rStyle w:val="s7d2086b4"/>
        </w:rPr>
        <w:t xml:space="preserve">D.  Detention </w:t>
      </w:r>
      <w:r w:rsidRPr="00B06248">
        <w:rPr>
          <w:rStyle w:val="s7d2086b4"/>
        </w:rPr>
        <w:t>pending deportation</w:t>
      </w:r>
    </w:p>
    <w:bookmarkStart w:name="RDL_detention_history" w:id="2"/>
    <w:bookmarkStart w:name="RDL_detention_preconditions" w:id="3"/>
    <w:bookmarkStart w:name="RDL_detention_maintaining" w:id="4"/>
    <w:bookmarkEnd w:id="2"/>
    <w:bookmarkEnd w:id="3"/>
    <w:bookmarkEnd w:id="4"/>
    <w:p w:rsidR="00FA0835" w:rsidP="00FA0835" w:rsidRDefault="00FA0835">
      <w:pPr>
        <w:pStyle w:val="JuPara"/>
        <w:rPr>
          <w:sz w:val="22"/>
          <w:szCs w:val="22"/>
          <w:lang w:eastAsia="en-GB"/>
        </w:rPr>
      </w:pPr>
      <w:r w:rsidRPr="00B06248">
        <w:rPr>
          <w:rStyle w:val="sb8d990e2"/>
          <w:color w:val="000000"/>
        </w:rPr>
        <w:fldChar w:fldCharType="begin"/>
      </w:r>
      <w:r w:rsidRPr="00B06248">
        <w:rPr>
          <w:rStyle w:val="sb8d990e2"/>
          <w:color w:val="000000"/>
        </w:rPr>
        <w:instrText xml:space="preserve"> SEQ level0 \*arabic </w:instrText>
      </w:r>
      <w:r w:rsidRPr="00B06248">
        <w:rPr>
          <w:rStyle w:val="sb8d990e2"/>
          <w:color w:val="000000"/>
        </w:rPr>
        <w:fldChar w:fldCharType="separate"/>
      </w:r>
      <w:r w:rsidR="00C5470A">
        <w:rPr>
          <w:rStyle w:val="sb8d990e2"/>
          <w:noProof/>
          <w:color w:val="000000"/>
        </w:rPr>
        <w:t>85</w:t>
      </w:r>
      <w:r w:rsidRPr="00B06248">
        <w:rPr>
          <w:rStyle w:val="sb8d990e2"/>
          <w:color w:val="000000"/>
        </w:rPr>
        <w:fldChar w:fldCharType="end"/>
      </w:r>
      <w:r w:rsidRPr="00B06248">
        <w:rPr>
          <w:rStyle w:val="sb8d990e2"/>
          <w:color w:val="000000"/>
        </w:rPr>
        <w:t>.</w:t>
      </w:r>
      <w:r w:rsidRPr="00874BA6">
        <w:t>  </w:t>
      </w:r>
      <w:r>
        <w:t>At</w:t>
      </w:r>
      <w:r>
        <w:rPr>
          <w:rStyle w:val="sb8d990e2"/>
          <w:color w:val="000000"/>
        </w:rPr>
        <w:t xml:space="preserve"> </w:t>
      </w:r>
      <w:r w:rsidRPr="00B06248">
        <w:rPr>
          <w:rStyle w:val="sb8d990e2"/>
          <w:color w:val="000000"/>
        </w:rPr>
        <w:t>the material time,</w:t>
      </w:r>
      <w:r>
        <w:rPr>
          <w:rStyle w:val="sb8d990e2"/>
          <w:color w:val="000000"/>
        </w:rPr>
        <w:t xml:space="preserve"> </w:t>
      </w:r>
      <w:r w:rsidRPr="00B06248">
        <w:rPr>
          <w:rStyle w:val="sb8d990e2"/>
          <w:color w:val="000000"/>
        </w:rPr>
        <w:t>Directive 2008</w:t>
      </w:r>
      <w:r w:rsidRPr="000D7530">
        <w:rPr>
          <w:rStyle w:val="sb8d990e2"/>
          <w:color w:val="000000"/>
        </w:rPr>
        <w:t>/115/EC of the European Parliament and of the Council of 16 December 2008 on common standards and procedures in Member States for returning illegally staying third</w:t>
      </w:r>
      <w:r w:rsidRPr="000D7530">
        <w:rPr>
          <w:rStyle w:val="sb8d990e2"/>
          <w:color w:val="000000"/>
        </w:rPr>
        <w:noBreakHyphen/>
        <w:t>country nationals</w:t>
      </w:r>
      <w:r>
        <w:rPr>
          <w:rStyle w:val="sb8d990e2"/>
          <w:color w:val="000000"/>
        </w:rPr>
        <w:t>,</w:t>
      </w:r>
      <w:r w:rsidRPr="000D7530">
        <w:rPr>
          <w:rStyle w:val="sb8d990e2"/>
          <w:color w:val="000000"/>
        </w:rPr>
        <w:t xml:space="preserve"> “the EU Returns Directive”</w:t>
      </w:r>
      <w:r>
        <w:rPr>
          <w:rStyle w:val="sb8d990e2"/>
          <w:color w:val="000000"/>
        </w:rPr>
        <w:t>,</w:t>
      </w:r>
      <w:r w:rsidRPr="000D7530">
        <w:rPr>
          <w:rStyle w:val="sb8d990e2"/>
          <w:color w:val="000000"/>
        </w:rPr>
        <w:t xml:space="preserve"> had not been transposed into Cypriot domestic law. </w:t>
      </w:r>
      <w:r w:rsidRPr="00B06248">
        <w:rPr>
          <w:rStyle w:val="sb8d990e2"/>
          <w:color w:val="000000"/>
        </w:rPr>
        <w:t>As the deadline for transposition expired on 24 December 2010 (see Article 20 of the Directive) the Directive had direct effect in domestic law and could therefore be relied on by an individual in court (see for example the Supreme Court judgments of 18</w:t>
      </w:r>
      <w:r>
        <w:rPr>
          <w:rStyle w:val="sb8d990e2"/>
          <w:color w:val="000000"/>
        </w:rPr>
        <w:t> </w:t>
      </w:r>
      <w:r w:rsidRPr="00B06248">
        <w:rPr>
          <w:rStyle w:val="sb8d990e2"/>
          <w:color w:val="000000"/>
        </w:rPr>
        <w:t xml:space="preserve">January 2011 in the case of </w:t>
      </w:r>
      <w:r w:rsidRPr="00B06248">
        <w:rPr>
          <w:rStyle w:val="sb8d990e2"/>
          <w:i/>
          <w:color w:val="000000"/>
        </w:rPr>
        <w:t>Shanmukan Uthajenthiran,</w:t>
      </w:r>
      <w:r w:rsidRPr="00B06248">
        <w:rPr>
          <w:rStyle w:val="sb8d990e2"/>
          <w:color w:val="000000"/>
        </w:rPr>
        <w:t xml:space="preserve"> habeas corpus application </w:t>
      </w:r>
      <w:r>
        <w:rPr>
          <w:rStyle w:val="sb8d990e2"/>
          <w:color w:val="000000"/>
        </w:rPr>
        <w:t>no. 152/2010</w:t>
      </w:r>
      <w:r w:rsidRPr="00826CE2">
        <w:rPr>
          <w:lang w:eastAsia="en-GB"/>
        </w:rPr>
        <w:t xml:space="preserve"> </w:t>
      </w:r>
      <w:r w:rsidRPr="00826CE2">
        <w:rPr>
          <w:lang w:val="en-US" w:eastAsia="en-GB"/>
        </w:rPr>
        <w:t>and of 20 January 2011</w:t>
      </w:r>
      <w:r>
        <w:rPr>
          <w:lang w:val="en-US" w:eastAsia="en-GB"/>
        </w:rPr>
        <w:t>, and</w:t>
      </w:r>
      <w:r w:rsidRPr="00826CE2">
        <w:rPr>
          <w:lang w:val="en-US" w:eastAsia="en-GB"/>
        </w:rPr>
        <w:t xml:space="preserve"> the case of </w:t>
      </w:r>
      <w:r w:rsidRPr="00826CE2">
        <w:rPr>
          <w:i/>
          <w:lang w:val="en-US" w:eastAsia="en-GB"/>
        </w:rPr>
        <w:t>Irfam Ahmad</w:t>
      </w:r>
      <w:r w:rsidRPr="00826CE2">
        <w:rPr>
          <w:lang w:val="en-US" w:eastAsia="en-GB"/>
        </w:rPr>
        <w:t>, habeas</w:t>
      </w:r>
      <w:r>
        <w:rPr>
          <w:lang w:val="en-US" w:eastAsia="en-GB"/>
        </w:rPr>
        <w:t xml:space="preserve"> corpus application 5/2011).</w:t>
      </w:r>
    </w:p>
    <w:p w:rsidR="00FA0835" w:rsidP="00FA0835" w:rsidRDefault="00FA0835">
      <w:pPr>
        <w:pStyle w:val="JuPara"/>
        <w:rPr>
          <w:rFonts w:ascii="Arial" w:hAnsi="Arial" w:cs="Arial"/>
          <w:sz w:val="28"/>
          <w:szCs w:val="28"/>
        </w:rPr>
      </w:pPr>
      <w:r w:rsidRPr="002D5CE2">
        <w:rPr>
          <w:rStyle w:val="sb8d990e2"/>
        </w:rPr>
        <w:fldChar w:fldCharType="begin"/>
      </w:r>
      <w:r w:rsidRPr="002D5CE2">
        <w:rPr>
          <w:rStyle w:val="sb8d990e2"/>
        </w:rPr>
        <w:instrText xml:space="preserve"> SEQ level0 \*arabic </w:instrText>
      </w:r>
      <w:r w:rsidRPr="002D5CE2">
        <w:rPr>
          <w:rStyle w:val="sb8d990e2"/>
        </w:rPr>
        <w:fldChar w:fldCharType="separate"/>
      </w:r>
      <w:r w:rsidR="00C5470A">
        <w:rPr>
          <w:rStyle w:val="sb8d990e2"/>
          <w:noProof/>
        </w:rPr>
        <w:t>86</w:t>
      </w:r>
      <w:r w:rsidRPr="002D5CE2">
        <w:rPr>
          <w:rStyle w:val="sb8d990e2"/>
        </w:rPr>
        <w:fldChar w:fldCharType="end"/>
      </w:r>
      <w:r w:rsidRPr="002D5CE2">
        <w:rPr>
          <w:rStyle w:val="sb8d990e2"/>
        </w:rPr>
        <w:t xml:space="preserve">.  In accordance with Article 15 §§ 5 and 6 </w:t>
      </w:r>
      <w:r>
        <w:rPr>
          <w:rStyle w:val="sb8d990e2"/>
        </w:rPr>
        <w:t xml:space="preserve">of the Directive, </w:t>
      </w:r>
      <w:r w:rsidRPr="002D5CE2">
        <w:rPr>
          <w:rStyle w:val="sb8d990e2"/>
        </w:rPr>
        <w:t>detention may be maintained as long as the conditions laid down in subsection 6 are in place, but not longer than six months. Exceptionally, if a deportee refuses to cooperate with the authorities, or there are delays in the obtaining of the necessary travel documents, or the deportee represents a national security or public order risk, detention may be prolonged for a further twelve months, to a maximum of eighteen months</w:t>
      </w:r>
      <w:r>
        <w:rPr>
          <w:rStyle w:val="sb8d990e2"/>
        </w:rPr>
        <w:t xml:space="preserve"> (see paragraph 98 below)</w:t>
      </w:r>
      <w:r w:rsidRPr="002D5CE2">
        <w:rPr>
          <w:rStyle w:val="sb8d990e2"/>
        </w:rPr>
        <w:t xml:space="preserve">. The </w:t>
      </w:r>
      <w:r>
        <w:rPr>
          <w:rStyle w:val="sb8d990e2"/>
        </w:rPr>
        <w:t>D</w:t>
      </w:r>
      <w:r w:rsidRPr="002D5CE2">
        <w:rPr>
          <w:rStyle w:val="sb8d990e2"/>
        </w:rPr>
        <w:t xml:space="preserve">irective has been invoked before the Supreme Court in habeas corpus proceedings in which detainees challenged the lawfulness of their protracted detention for the purpose of deportation (see, for example, </w:t>
      </w:r>
      <w:r w:rsidRPr="002D5CE2">
        <w:rPr>
          <w:rStyle w:val="OpiHA"/>
        </w:rPr>
        <w:t xml:space="preserve">Supreme Court judgments of 12 March 2012 in the case of </w:t>
      </w:r>
      <w:r w:rsidRPr="002D5CE2">
        <w:rPr>
          <w:rStyle w:val="OpiHA"/>
          <w:i/>
        </w:rPr>
        <w:t>Yuxian Wing</w:t>
      </w:r>
      <w:r w:rsidRPr="002D5CE2">
        <w:rPr>
          <w:rStyle w:val="OpiHA"/>
        </w:rPr>
        <w:t xml:space="preserve">, </w:t>
      </w:r>
      <w:r w:rsidRPr="002D5CE2">
        <w:rPr>
          <w:rStyle w:val="sb8d990e2"/>
        </w:rPr>
        <w:t xml:space="preserve">habeas corpus application </w:t>
      </w:r>
      <w:r>
        <w:rPr>
          <w:rStyle w:val="sb8d990e2"/>
        </w:rPr>
        <w:t>no. </w:t>
      </w:r>
      <w:r w:rsidRPr="002D5CE2">
        <w:rPr>
          <w:rStyle w:val="sb8d990e2"/>
        </w:rPr>
        <w:t>13/2012</w:t>
      </w:r>
      <w:r>
        <w:rPr>
          <w:rStyle w:val="sb8d990e2"/>
        </w:rPr>
        <w:t>; of 8 </w:t>
      </w:r>
      <w:r w:rsidRPr="002D5CE2">
        <w:rPr>
          <w:rStyle w:val="sb8d990e2"/>
        </w:rPr>
        <w:t>January 2011 in</w:t>
      </w:r>
      <w:r w:rsidRPr="002D5CE2">
        <w:rPr>
          <w:rStyle w:val="sb8d990e2"/>
          <w:i/>
          <w:color w:val="000000"/>
        </w:rPr>
        <w:t xml:space="preserve"> the case of Shanmukan Uthajenthiran</w:t>
      </w:r>
      <w:r>
        <w:rPr>
          <w:rStyle w:val="sb8d990e2"/>
          <w:i/>
          <w:color w:val="000000"/>
        </w:rPr>
        <w:t>,</w:t>
      </w:r>
      <w:r>
        <w:rPr>
          <w:rStyle w:val="sb8d990e2"/>
          <w:color w:val="000000"/>
        </w:rPr>
        <w:t xml:space="preserve"> cited above;</w:t>
      </w:r>
      <w:r w:rsidRPr="002D5CE2">
        <w:rPr>
          <w:rStyle w:val="sb8d990e2"/>
        </w:rPr>
        <w:t xml:space="preserve"> and of 22 December 2011 in the case of </w:t>
      </w:r>
      <w:r w:rsidRPr="002D5CE2">
        <w:rPr>
          <w:rStyle w:val="sb8d990e2"/>
          <w:i/>
        </w:rPr>
        <w:t>Mostafa Haghilo</w:t>
      </w:r>
      <w:r w:rsidRPr="002D5CE2">
        <w:rPr>
          <w:rStyle w:val="sb8d990e2"/>
        </w:rPr>
        <w:t>, habeas corpus application no. 133/2011).</w:t>
      </w:r>
      <w:bookmarkStart w:name="RDL_detention_judicial_review" w:id="5"/>
      <w:bookmarkStart w:name="Directive_2008_115_EC_recital_16" w:id="6"/>
      <w:bookmarkEnd w:id="5"/>
      <w:bookmarkEnd w:id="6"/>
    </w:p>
    <w:p w:rsidRPr="00F672F8" w:rsidR="00FA0835" w:rsidP="00FA0835" w:rsidRDefault="00FA0835">
      <w:pPr>
        <w:pStyle w:val="JuPara"/>
      </w:pPr>
      <w:r w:rsidRPr="00F672F8">
        <w:rPr>
          <w:rStyle w:val="sb8d990e2"/>
        </w:rPr>
        <w:fldChar w:fldCharType="begin"/>
      </w:r>
      <w:r w:rsidRPr="00F672F8">
        <w:rPr>
          <w:rStyle w:val="sb8d990e2"/>
        </w:rPr>
        <w:instrText xml:space="preserve"> SEQ level0 \*arabic </w:instrText>
      </w:r>
      <w:r w:rsidRPr="00F672F8">
        <w:rPr>
          <w:rStyle w:val="sb8d990e2"/>
        </w:rPr>
        <w:fldChar w:fldCharType="separate"/>
      </w:r>
      <w:r w:rsidR="00C5470A">
        <w:rPr>
          <w:rStyle w:val="sb8d990e2"/>
          <w:noProof/>
        </w:rPr>
        <w:t>87</w:t>
      </w:r>
      <w:r w:rsidRPr="00F672F8">
        <w:rPr>
          <w:rStyle w:val="sb8d990e2"/>
        </w:rPr>
        <w:fldChar w:fldCharType="end"/>
      </w:r>
      <w:r w:rsidRPr="00F672F8">
        <w:rPr>
          <w:rStyle w:val="sb8d990e2"/>
        </w:rPr>
        <w:t>.  </w:t>
      </w:r>
      <w:r w:rsidRPr="00F672F8">
        <w:rPr>
          <w:rStyle w:val="sb8d990e2"/>
          <w:color w:val="000000"/>
        </w:rPr>
        <w:t>In November 2011</w:t>
      </w:r>
      <w:r>
        <w:rPr>
          <w:rStyle w:val="sb8d990e2"/>
          <w:color w:val="000000"/>
        </w:rPr>
        <w:t>,</w:t>
      </w:r>
      <w:r w:rsidRPr="00F672F8">
        <w:rPr>
          <w:rStyle w:val="sb8d990e2"/>
          <w:color w:val="000000"/>
        </w:rPr>
        <w:t xml:space="preserve"> Law </w:t>
      </w:r>
      <w:r>
        <w:rPr>
          <w:rStyle w:val="sb8d990e2"/>
          <w:color w:val="000000"/>
        </w:rPr>
        <w:t xml:space="preserve">no. </w:t>
      </w:r>
      <w:r w:rsidRPr="00F672F8">
        <w:rPr>
          <w:rStyle w:val="sb8d990e2"/>
          <w:color w:val="000000"/>
        </w:rPr>
        <w:t xml:space="preserve">153(I)/2011 introduced amendments to the Aliens and Immigration Law with the aim of transposing the </w:t>
      </w:r>
      <w:r>
        <w:rPr>
          <w:rStyle w:val="sb8d990e2"/>
          <w:color w:val="000000"/>
        </w:rPr>
        <w:t>“</w:t>
      </w:r>
      <w:r w:rsidRPr="00F672F8">
        <w:rPr>
          <w:rStyle w:val="sb8d990e2"/>
          <w:color w:val="000000"/>
        </w:rPr>
        <w:t>EU Returns Directive</w:t>
      </w:r>
      <w:r>
        <w:rPr>
          <w:rStyle w:val="sb8d990e2"/>
          <w:color w:val="000000"/>
        </w:rPr>
        <w:t>”</w:t>
      </w:r>
      <w:r w:rsidRPr="00F672F8">
        <w:rPr>
          <w:rStyle w:val="sb8d990e2"/>
          <w:color w:val="000000"/>
        </w:rPr>
        <w:t>.</w:t>
      </w:r>
      <w:r>
        <w:rPr>
          <w:rStyle w:val="sb8d990e2"/>
          <w:color w:val="000000"/>
        </w:rPr>
        <w:t xml:space="preserve"> </w:t>
      </w:r>
      <w:r w:rsidRPr="003D44F9">
        <w:rPr>
          <w:rStyle w:val="sb8d990e2"/>
          <w:color w:val="000000"/>
        </w:rPr>
        <w:t>This Law</w:t>
      </w:r>
      <w:r w:rsidRPr="003D44F9">
        <w:rPr>
          <w:rStyle w:val="sb8d990e2"/>
        </w:rPr>
        <w:t xml:space="preserve"> expressly provides that h</w:t>
      </w:r>
      <w:r w:rsidRPr="003D44F9">
        <w:t xml:space="preserve">abeas corpus applications before the Supreme Court challenging the lawfulness of detention with a view to deportation can be made on length grounds (for </w:t>
      </w:r>
      <w:r>
        <w:t xml:space="preserve">the </w:t>
      </w:r>
      <w:r w:rsidRPr="003D44F9">
        <w:t>previous situation</w:t>
      </w:r>
      <w:r>
        <w:t>,</w:t>
      </w:r>
      <w:r w:rsidRPr="003D44F9">
        <w:t xml:space="preserve"> see </w:t>
      </w:r>
      <w:r w:rsidRPr="003D44F9">
        <w:rPr>
          <w:i/>
        </w:rPr>
        <w:t>Kane v. Cyprus</w:t>
      </w:r>
      <w:r w:rsidRPr="003D44F9">
        <w:t xml:space="preserve"> (dec.), no. 33655/06, 13</w:t>
      </w:r>
      <w:r>
        <w:t> </w:t>
      </w:r>
      <w:r w:rsidRPr="003D44F9">
        <w:t>September</w:t>
      </w:r>
      <w:r>
        <w:t xml:space="preserve"> </w:t>
      </w:r>
      <w:r w:rsidRPr="006A5FF9">
        <w:t>2011)).</w:t>
      </w:r>
    </w:p>
    <w:p w:rsidRPr="00CB01E6" w:rsidR="00FA0835" w:rsidP="00FA0835" w:rsidRDefault="00FA0835">
      <w:pPr>
        <w:pStyle w:val="JuHA"/>
        <w:rPr>
          <w:lang w:val="en-US"/>
        </w:rPr>
      </w:pPr>
      <w:r>
        <w:rPr>
          <w:lang w:val="en-US"/>
        </w:rPr>
        <w:t>E</w:t>
      </w:r>
      <w:r w:rsidRPr="004F01E4">
        <w:rPr>
          <w:lang w:val="en-US"/>
        </w:rPr>
        <w:t>.  Relevant Constitutional provisions</w:t>
      </w:r>
    </w:p>
    <w:p w:rsidRPr="00CF2584" w:rsidR="00FA0835" w:rsidP="00FA0835" w:rsidRDefault="00FA0835">
      <w:pPr>
        <w:pStyle w:val="JuPara"/>
        <w:rPr>
          <w:rStyle w:val="normal--char"/>
          <w:lang w:val="en-US"/>
        </w:rPr>
      </w:pPr>
      <w:r>
        <w:rPr>
          <w:lang w:val="en-US"/>
        </w:rPr>
        <w:fldChar w:fldCharType="begin"/>
      </w:r>
      <w:r>
        <w:rPr>
          <w:lang w:val="en-US"/>
        </w:rPr>
        <w:instrText xml:space="preserve"> SEQ level0 \*arabic </w:instrText>
      </w:r>
      <w:r>
        <w:rPr>
          <w:lang w:val="en-US"/>
        </w:rPr>
        <w:fldChar w:fldCharType="separate"/>
      </w:r>
      <w:r w:rsidR="00C5470A">
        <w:rPr>
          <w:noProof/>
          <w:lang w:val="en-US"/>
        </w:rPr>
        <w:t>88</w:t>
      </w:r>
      <w:r>
        <w:rPr>
          <w:lang w:val="en-US"/>
        </w:rPr>
        <w:fldChar w:fldCharType="end"/>
      </w:r>
      <w:r>
        <w:rPr>
          <w:lang w:val="en-US"/>
        </w:rPr>
        <w:t>.  </w:t>
      </w:r>
      <w:r w:rsidRPr="00CB01E6">
        <w:rPr>
          <w:lang w:val="en-US"/>
        </w:rPr>
        <w:t xml:space="preserve">Part II of the Constitution contains provisions safeguarding fundamental human rights and liberties. Article 11 protects the right to liberty and security. It reads as </w:t>
      </w:r>
      <w:r>
        <w:rPr>
          <w:lang w:val="en-US"/>
        </w:rPr>
        <w:t>follows, in so far as relevant:</w:t>
      </w:r>
    </w:p>
    <w:p w:rsidRPr="004721FB" w:rsidR="00FA0835" w:rsidP="00FA0835" w:rsidRDefault="00FA0835">
      <w:pPr>
        <w:pStyle w:val="JuHArticle"/>
      </w:pPr>
      <w:r w:rsidRPr="004721FB">
        <w:rPr>
          <w:rStyle w:val="normal--char"/>
        </w:rPr>
        <w:t>Article 11</w:t>
      </w:r>
    </w:p>
    <w:p w:rsidRPr="00CB01E6" w:rsidR="00FA0835" w:rsidP="00FA0835" w:rsidRDefault="00FA0835">
      <w:pPr>
        <w:pStyle w:val="JuQuot"/>
        <w:rPr>
          <w:lang w:val="en-US"/>
        </w:rPr>
      </w:pPr>
      <w:r w:rsidRPr="00CB01E6">
        <w:rPr>
          <w:lang w:val="en-US"/>
        </w:rPr>
        <w:t>“1.  Every person has the right to liberty and security of person.</w:t>
      </w:r>
    </w:p>
    <w:p w:rsidRPr="00CB01E6" w:rsidR="00FA0835" w:rsidP="00FA0835" w:rsidRDefault="00FA0835">
      <w:pPr>
        <w:pStyle w:val="JuQuot"/>
        <w:rPr>
          <w:lang w:val="en-US"/>
        </w:rPr>
      </w:pPr>
      <w:r w:rsidRPr="00CB01E6">
        <w:rPr>
          <w:lang w:val="en-US"/>
        </w:rPr>
        <w:t>2.  No person shall be deprived of his liberty save in the following cases when and as provided by law:</w:t>
      </w:r>
    </w:p>
    <w:p w:rsidRPr="00CB01E6" w:rsidR="00FA0835" w:rsidP="00FA0835" w:rsidRDefault="00FA0835">
      <w:pPr>
        <w:pStyle w:val="JuQuot"/>
        <w:rPr>
          <w:lang w:val="en-US"/>
        </w:rPr>
      </w:pPr>
      <w:r w:rsidRPr="00CB01E6">
        <w:rPr>
          <w:lang w:val="en-US"/>
        </w:rPr>
        <w:t>...</w:t>
      </w:r>
    </w:p>
    <w:p w:rsidRPr="00CB01E6" w:rsidR="00FA0835" w:rsidP="00FA0835" w:rsidRDefault="00FA0835">
      <w:pPr>
        <w:pStyle w:val="JuQuot"/>
        <w:rPr>
          <w:lang w:val="en-US"/>
        </w:rPr>
      </w:pPr>
      <w:r w:rsidRPr="00CB01E6">
        <w:rPr>
          <w:lang w:val="en-US"/>
        </w:rPr>
        <w:t>(f)  the arrest or detention of a person to prevent him effecting an unauthorised entry into the territory of the Republic or of an alien against whom action is being taken with a view to deportation or extradition.</w:t>
      </w:r>
    </w:p>
    <w:p w:rsidRPr="00CB01E6" w:rsidR="00FA0835" w:rsidP="00FA0835" w:rsidRDefault="00FA0835">
      <w:pPr>
        <w:pStyle w:val="JuQuot"/>
        <w:rPr>
          <w:lang w:val="en-US"/>
        </w:rPr>
      </w:pPr>
      <w:r>
        <w:t>3. Save when and as provided by law in case of a flagrant offence punishable with death or imprisonment, no person shall be arrested save under the authority of a reasoned judicial warrant issued according to the formalities prescribed by the law.</w:t>
      </w:r>
    </w:p>
    <w:p w:rsidR="00FA0835" w:rsidP="00FA0835" w:rsidRDefault="00FA0835">
      <w:pPr>
        <w:pStyle w:val="JuQuot"/>
        <w:rPr>
          <w:lang w:val="en-US"/>
        </w:rPr>
      </w:pPr>
      <w:r w:rsidRPr="00CB01E6">
        <w:rPr>
          <w:lang w:val="en-US"/>
        </w:rPr>
        <w:t>4.  Every person arrested shall be informed at the time of his arrest in a language which he understands of the reasons for his arrest and shall be allowed to have the services of a lawyer of his own choosing.</w:t>
      </w:r>
    </w:p>
    <w:p w:rsidR="00A7319E" w:rsidP="00A7319E" w:rsidRDefault="00A7319E">
      <w:pPr>
        <w:pStyle w:val="JuQuot"/>
      </w:pPr>
      <w:r w:rsidRPr="00A7319E">
        <w:t>5. The person arrested shall, as soon as is practicable after his arrest, and in any event not later than twenty-four hours after the arrest, be brought before a judge, if not earlier released.</w:t>
      </w:r>
    </w:p>
    <w:p w:rsidRPr="00CB01E6" w:rsidR="00FA0835" w:rsidP="00FA0835" w:rsidRDefault="00A7319E">
      <w:pPr>
        <w:pStyle w:val="JuQuot"/>
        <w:rPr>
          <w:lang w:val="en-US"/>
        </w:rPr>
      </w:pPr>
      <w:r>
        <w:rPr>
          <w:lang w:val="en-US"/>
        </w:rPr>
        <w:t>...</w:t>
      </w:r>
    </w:p>
    <w:p w:rsidRPr="00CB01E6" w:rsidR="00FA0835" w:rsidP="00FA0835" w:rsidRDefault="00FA0835">
      <w:pPr>
        <w:pStyle w:val="JuQuot"/>
        <w:rPr>
          <w:lang w:val="en-US"/>
        </w:rPr>
      </w:pPr>
      <w:r w:rsidRPr="00CB01E6">
        <w:rPr>
          <w:lang w:val="en-US"/>
        </w:rPr>
        <w:t>7.  Every person who is deprived of his liberty by arrest or detention shall be entitled to take proceedings by which the lawfulness of his detention shall be decided speedily by a court and his release ordered if the detention is not lawful.</w:t>
      </w:r>
    </w:p>
    <w:p w:rsidRPr="00CB01E6" w:rsidR="00FA0835" w:rsidP="00FA0835" w:rsidRDefault="00FA0835">
      <w:pPr>
        <w:pStyle w:val="JuQuot"/>
        <w:rPr>
          <w:lang w:val="en-US"/>
        </w:rPr>
      </w:pPr>
      <w:r w:rsidRPr="00CB01E6">
        <w:rPr>
          <w:lang w:val="en-US"/>
        </w:rPr>
        <w:t>8.  Every person who has been the victim of arrest or detention in contravention of the provisions of this Article shall have an enforceable right to compensation”.</w:t>
      </w:r>
    </w:p>
    <w:p w:rsidRPr="006F6414" w:rsidR="00FA0835" w:rsidP="00FA0835" w:rsidRDefault="00FA0835">
      <w:pPr>
        <w:pStyle w:val="JuHA"/>
        <w:rPr>
          <w:lang w:val="en-US"/>
        </w:rPr>
      </w:pPr>
      <w:r>
        <w:rPr>
          <w:lang w:val="en-US"/>
        </w:rPr>
        <w:t>F</w:t>
      </w:r>
      <w:r w:rsidRPr="004F01E4">
        <w:rPr>
          <w:lang w:val="en-US"/>
        </w:rPr>
        <w:t>.</w:t>
      </w:r>
      <w:r w:rsidRPr="004F01E4">
        <w:t>  </w:t>
      </w:r>
      <w:r w:rsidRPr="004F01E4">
        <w:rPr>
          <w:lang w:val="en-US"/>
        </w:rPr>
        <w:t>Other relevant domestic law</w:t>
      </w:r>
    </w:p>
    <w:p w:rsidR="00FA0835" w:rsidP="00FA0835" w:rsidRDefault="00FA0835">
      <w:pPr>
        <w:pStyle w:val="JuH1"/>
        <w:rPr>
          <w:lang w:val="en-US"/>
        </w:rPr>
      </w:pPr>
      <w:r>
        <w:rPr>
          <w:lang w:val="en-US"/>
        </w:rPr>
        <w:t>1.  </w:t>
      </w:r>
      <w:r w:rsidRPr="006F6414">
        <w:rPr>
          <w:lang w:val="en-US"/>
        </w:rPr>
        <w:t>The Police Law</w:t>
      </w:r>
    </w:p>
    <w:p w:rsidR="00FA0835" w:rsidP="00FA0835" w:rsidRDefault="00FA0835">
      <w:pPr>
        <w:pStyle w:val="JuPara"/>
        <w:rPr>
          <w:lang w:val="en-US"/>
        </w:rPr>
      </w:pPr>
      <w:r w:rsidRPr="0035587B">
        <w:rPr>
          <w:lang w:val="en-US"/>
        </w:rPr>
        <w:fldChar w:fldCharType="begin"/>
      </w:r>
      <w:r w:rsidRPr="0035587B">
        <w:rPr>
          <w:lang w:val="en-US"/>
        </w:rPr>
        <w:instrText xml:space="preserve"> SEQ level0 \*arabic </w:instrText>
      </w:r>
      <w:r w:rsidRPr="0035587B">
        <w:rPr>
          <w:lang w:val="en-US"/>
        </w:rPr>
        <w:fldChar w:fldCharType="separate"/>
      </w:r>
      <w:r w:rsidR="00C5470A">
        <w:rPr>
          <w:noProof/>
          <w:lang w:val="en-US"/>
        </w:rPr>
        <w:t>89</w:t>
      </w:r>
      <w:r w:rsidRPr="0035587B">
        <w:rPr>
          <w:lang w:val="en-US"/>
        </w:rPr>
        <w:fldChar w:fldCharType="end"/>
      </w:r>
      <w:r w:rsidRPr="0035587B">
        <w:rPr>
          <w:lang w:val="en-US"/>
        </w:rPr>
        <w:t>.  </w:t>
      </w:r>
      <w:r>
        <w:rPr>
          <w:lang w:val="en-US"/>
        </w:rPr>
        <w:t>Section 24(2) of the Police Law 2004 (Law no. 73(I)/2004) concerns the general powers and duties of members of the police. It reads as follows:</w:t>
      </w:r>
    </w:p>
    <w:p w:rsidRPr="009F6A30" w:rsidR="00FA0835" w:rsidP="00FA0835" w:rsidRDefault="00FA0835">
      <w:pPr>
        <w:pStyle w:val="JuQuot"/>
        <w:rPr>
          <w:color w:val="000000"/>
          <w:lang w:eastAsia="en-GB"/>
        </w:rPr>
      </w:pPr>
      <w:r>
        <w:rPr>
          <w:color w:val="000000"/>
          <w:lang w:val="en-US"/>
        </w:rPr>
        <w:t>“</w:t>
      </w:r>
      <w:r w:rsidRPr="009F6A30">
        <w:rPr>
          <w:color w:val="000000"/>
          <w:lang w:val="en-US"/>
        </w:rPr>
        <w:t>It is the duty of every member of the police readily to obey and execute all the orders and warrants which are lawfully issued to him by any competent authority, to collect and transmit information which affect</w:t>
      </w:r>
      <w:r>
        <w:rPr>
          <w:color w:val="000000"/>
          <w:lang w:val="en-US"/>
        </w:rPr>
        <w:t>s</w:t>
      </w:r>
      <w:r w:rsidRPr="009F6A30">
        <w:rPr>
          <w:color w:val="000000"/>
          <w:lang w:val="en-US"/>
        </w:rPr>
        <w:t xml:space="preserve"> public peace and the security of the Cyprus Republic, to prevent the commission of offences and public nuisance, to discover and bring transgressors to justice and to arrest all persons who he is lawfully authorised to arrest, for the arrest of whom there is a satisfactory ground.</w:t>
      </w:r>
      <w:r>
        <w:rPr>
          <w:color w:val="000000"/>
          <w:lang w:val="en-US"/>
        </w:rPr>
        <w:t>”</w:t>
      </w:r>
    </w:p>
    <w:p w:rsidRPr="009F6A30" w:rsidR="00FA0835" w:rsidP="00FA0835" w:rsidRDefault="00FA0835">
      <w:pPr>
        <w:pStyle w:val="JuPara"/>
        <w:rPr>
          <w:color w:val="000000"/>
          <w:lang w:eastAsia="en-GB"/>
        </w:rPr>
      </w:pPr>
      <w:r>
        <w:rPr>
          <w:lang w:val="en-US"/>
        </w:rPr>
        <w:fldChar w:fldCharType="begin"/>
      </w:r>
      <w:r>
        <w:rPr>
          <w:lang w:val="en-US"/>
        </w:rPr>
        <w:instrText xml:space="preserve"> SEQ level0 \*arabic </w:instrText>
      </w:r>
      <w:r>
        <w:rPr>
          <w:lang w:val="en-US"/>
        </w:rPr>
        <w:fldChar w:fldCharType="separate"/>
      </w:r>
      <w:r w:rsidR="00C5470A">
        <w:rPr>
          <w:noProof/>
          <w:lang w:val="en-US"/>
        </w:rPr>
        <w:t>90</w:t>
      </w:r>
      <w:r>
        <w:rPr>
          <w:lang w:val="en-US"/>
        </w:rPr>
        <w:fldChar w:fldCharType="end"/>
      </w:r>
      <w:r>
        <w:rPr>
          <w:lang w:val="en-US"/>
        </w:rPr>
        <w:t>.  Section 29(1)(c) and (d) of the Police Law concerns the duty of</w:t>
      </w:r>
      <w:r w:rsidRPr="009F6A30">
        <w:rPr>
          <w:color w:val="000000"/>
          <w:lang w:val="en-US"/>
        </w:rPr>
        <w:t xml:space="preserve"> the police to keep order </w:t>
      </w:r>
      <w:r>
        <w:rPr>
          <w:color w:val="000000"/>
          <w:lang w:val="en-US"/>
        </w:rPr>
        <w:t>o</w:t>
      </w:r>
      <w:r w:rsidRPr="009F6A30">
        <w:rPr>
          <w:color w:val="000000"/>
          <w:lang w:val="en-US"/>
        </w:rPr>
        <w:t>n public roads</w:t>
      </w:r>
      <w:r>
        <w:rPr>
          <w:color w:val="000000"/>
          <w:lang w:val="en-US"/>
        </w:rPr>
        <w:t>. Its reads as follows:</w:t>
      </w:r>
    </w:p>
    <w:p w:rsidR="00FA0835" w:rsidP="00FA0835" w:rsidRDefault="00FA0835">
      <w:pPr>
        <w:pStyle w:val="JuQuot"/>
        <w:rPr>
          <w:color w:val="000000"/>
          <w:lang w:val="en-US"/>
        </w:rPr>
      </w:pPr>
      <w:r>
        <w:rPr>
          <w:color w:val="000000"/>
          <w:lang w:val="en-US"/>
        </w:rPr>
        <w:t>“</w:t>
      </w:r>
      <w:r w:rsidRPr="009F6A30">
        <w:rPr>
          <w:color w:val="000000"/>
          <w:lang w:val="en-US"/>
        </w:rPr>
        <w:t>(1)</w:t>
      </w:r>
      <w:r>
        <w:rPr>
          <w:color w:val="000000"/>
          <w:lang w:val="en-US"/>
        </w:rPr>
        <w:t>  </w:t>
      </w:r>
      <w:r w:rsidRPr="009F6A30">
        <w:rPr>
          <w:color w:val="000000"/>
          <w:lang w:val="en-US"/>
        </w:rPr>
        <w:t>It is the duty of every member of the police:</w:t>
      </w:r>
    </w:p>
    <w:p w:rsidRPr="009F6A30" w:rsidR="00FA0835" w:rsidP="00FA0835" w:rsidRDefault="00FA0835">
      <w:pPr>
        <w:pStyle w:val="JuQuot"/>
        <w:rPr>
          <w:color w:val="000000"/>
          <w:lang w:eastAsia="en-GB"/>
        </w:rPr>
      </w:pPr>
      <w:r>
        <w:rPr>
          <w:color w:val="000000"/>
          <w:lang w:val="en-US"/>
        </w:rPr>
        <w:t>...</w:t>
      </w:r>
    </w:p>
    <w:p w:rsidR="00FA0835" w:rsidP="00FA0835" w:rsidRDefault="00FA0835">
      <w:pPr>
        <w:pStyle w:val="JuQuot"/>
        <w:rPr>
          <w:color w:val="000000"/>
          <w:lang w:val="en-US"/>
        </w:rPr>
      </w:pPr>
      <w:r w:rsidRPr="009F6A30">
        <w:rPr>
          <w:color w:val="000000"/>
          <w:lang w:val="en-US"/>
        </w:rPr>
        <w:t>(c)</w:t>
      </w:r>
      <w:r>
        <w:rPr>
          <w:color w:val="000000"/>
          <w:lang w:val="en-US"/>
        </w:rPr>
        <w:t>  </w:t>
      </w:r>
      <w:r w:rsidRPr="009F6A30">
        <w:rPr>
          <w:color w:val="000000"/>
          <w:lang w:val="en-US"/>
        </w:rPr>
        <w:t>to maintain order on public roads, streets, crossings, in airports and places of disembarkation and in other places of public recreation or places to which the public has access and</w:t>
      </w:r>
    </w:p>
    <w:p w:rsidR="00FA0835" w:rsidP="00FA0835" w:rsidRDefault="00FA0835">
      <w:pPr>
        <w:pStyle w:val="JuQuot"/>
        <w:rPr>
          <w:color w:val="000000"/>
          <w:lang w:val="en-US"/>
        </w:rPr>
      </w:pPr>
      <w:r w:rsidRPr="009F6A30">
        <w:rPr>
          <w:color w:val="000000"/>
          <w:lang w:val="en-US"/>
        </w:rPr>
        <w:t>(d)</w:t>
      </w:r>
      <w:r>
        <w:rPr>
          <w:color w:val="000000"/>
          <w:lang w:val="en-US"/>
        </w:rPr>
        <w:t>  </w:t>
      </w:r>
      <w:r w:rsidRPr="009F6A30">
        <w:rPr>
          <w:color w:val="000000"/>
          <w:lang w:val="en-US"/>
        </w:rPr>
        <w:t>to regulate movement and the maintenance of order in cases of obstructions on public roads and streets or in other places of public recreation or places to which the public has access.</w:t>
      </w:r>
      <w:r>
        <w:rPr>
          <w:color w:val="000000"/>
          <w:lang w:val="en-US"/>
        </w:rPr>
        <w:t>”</w:t>
      </w:r>
    </w:p>
    <w:p w:rsidR="00FA0835" w:rsidP="00FA0835" w:rsidRDefault="00FA0835">
      <w:pPr>
        <w:pStyle w:val="JuH1"/>
        <w:rPr>
          <w:lang w:val="en-US"/>
        </w:rPr>
      </w:pPr>
      <w:r>
        <w:rPr>
          <w:lang w:val="en-US"/>
        </w:rPr>
        <w:t>2.  </w:t>
      </w:r>
      <w:r w:rsidRPr="006F6414">
        <w:rPr>
          <w:lang w:val="en-US"/>
        </w:rPr>
        <w:t>The Public Roads Law and the Prevention of Pollution of Public Roads and Places Law</w:t>
      </w:r>
    </w:p>
    <w:p w:rsidR="00FA0835" w:rsidP="00FA0835" w:rsidRDefault="00FA0835">
      <w:pPr>
        <w:pStyle w:val="JuPara"/>
      </w:pPr>
      <w:r>
        <w:rPr>
          <w:lang w:val="en-US"/>
        </w:rPr>
        <w:fldChar w:fldCharType="begin"/>
      </w:r>
      <w:r>
        <w:rPr>
          <w:lang w:val="en-US"/>
        </w:rPr>
        <w:instrText xml:space="preserve"> SEQ level0 \*arabic </w:instrText>
      </w:r>
      <w:r>
        <w:rPr>
          <w:lang w:val="en-US"/>
        </w:rPr>
        <w:fldChar w:fldCharType="separate"/>
      </w:r>
      <w:r w:rsidR="00C5470A">
        <w:rPr>
          <w:noProof/>
          <w:lang w:val="en-US"/>
        </w:rPr>
        <w:t>91</w:t>
      </w:r>
      <w:r>
        <w:rPr>
          <w:lang w:val="en-US"/>
        </w:rPr>
        <w:fldChar w:fldCharType="end"/>
      </w:r>
      <w:r>
        <w:rPr>
          <w:lang w:val="en-US"/>
        </w:rPr>
        <w:t>.  </w:t>
      </w:r>
      <w:r w:rsidRPr="00985449">
        <w:rPr>
          <w:lang w:val="en-US"/>
        </w:rPr>
        <w:t xml:space="preserve">Section 3 of the Public Roads Law (Cap. 83 as amended) provides, </w:t>
      </w:r>
      <w:r w:rsidRPr="00985449">
        <w:rPr>
          <w:i/>
          <w:lang w:val="en-US"/>
        </w:rPr>
        <w:t>inter alia</w:t>
      </w:r>
      <w:r w:rsidRPr="00985449">
        <w:rPr>
          <w:lang w:val="en-US"/>
        </w:rPr>
        <w:t xml:space="preserve">, that </w:t>
      </w:r>
      <w:r>
        <w:rPr>
          <w:lang w:val="en-US"/>
        </w:rPr>
        <w:t xml:space="preserve">it is </w:t>
      </w:r>
      <w:r w:rsidRPr="00985449">
        <w:t xml:space="preserve">a criminal offence punishable </w:t>
      </w:r>
      <w:r>
        <w:t>by</w:t>
      </w:r>
      <w:r w:rsidRPr="00985449">
        <w:t xml:space="preserve"> imprisonment </w:t>
      </w:r>
      <w:r>
        <w:rPr>
          <w:lang w:val="en-US"/>
        </w:rPr>
        <w:t>to</w:t>
      </w:r>
      <w:r w:rsidRPr="00985449">
        <w:rPr>
          <w:lang w:val="en-US"/>
        </w:rPr>
        <w:t xml:space="preserve"> place </w:t>
      </w:r>
      <w:r w:rsidRPr="006133FD">
        <w:rPr>
          <w:lang w:val="en-US"/>
        </w:rPr>
        <w:t xml:space="preserve">any </w:t>
      </w:r>
      <w:r>
        <w:rPr>
          <w:lang w:val="en-US"/>
        </w:rPr>
        <w:t>rubbish</w:t>
      </w:r>
      <w:r w:rsidRPr="00985449">
        <w:rPr>
          <w:lang w:val="en-US"/>
        </w:rPr>
        <w:t xml:space="preserve"> or any other </w:t>
      </w:r>
      <w:r>
        <w:rPr>
          <w:lang w:val="en-US"/>
        </w:rPr>
        <w:t>matter or thing whatsoever</w:t>
      </w:r>
      <w:r w:rsidRPr="00985449">
        <w:rPr>
          <w:lang w:val="en-US"/>
        </w:rPr>
        <w:t xml:space="preserve"> on any public </w:t>
      </w:r>
      <w:r w:rsidRPr="00B10099">
        <w:t xml:space="preserve">road, or </w:t>
      </w:r>
      <w:r>
        <w:t>allow</w:t>
      </w:r>
      <w:r w:rsidRPr="00B10099">
        <w:t xml:space="preserve"> any</w:t>
      </w:r>
      <w:r w:rsidRPr="00985449">
        <w:t xml:space="preserve"> filth, refuse, </w:t>
      </w:r>
      <w:r>
        <w:t>offensive matter</w:t>
      </w:r>
      <w:r w:rsidRPr="00985449">
        <w:t xml:space="preserve"> </w:t>
      </w:r>
      <w:r>
        <w:t>or thing</w:t>
      </w:r>
      <w:r w:rsidRPr="00985449">
        <w:t xml:space="preserve"> </w:t>
      </w:r>
      <w:r>
        <w:t>whatsoever t</w:t>
      </w:r>
      <w:r w:rsidRPr="00985449">
        <w:t>o flow or run in</w:t>
      </w:r>
      <w:r>
        <w:t>to</w:t>
      </w:r>
      <w:r w:rsidRPr="00985449">
        <w:t xml:space="preserve"> or onto it, or intentionally obstruct </w:t>
      </w:r>
      <w:r>
        <w:t xml:space="preserve">the </w:t>
      </w:r>
      <w:r w:rsidRPr="00985449">
        <w:t>free passage</w:t>
      </w:r>
      <w:r>
        <w:t xml:space="preserve"> of the road</w:t>
      </w:r>
      <w:r w:rsidRPr="00985449">
        <w:t xml:space="preserve"> (section</w:t>
      </w:r>
      <w:r>
        <w:t> </w:t>
      </w:r>
      <w:r w:rsidRPr="00985449">
        <w:t>3).</w:t>
      </w:r>
    </w:p>
    <w:p w:rsidR="00FA0835" w:rsidP="00FA0835" w:rsidRDefault="00FA0835">
      <w:pPr>
        <w:pStyle w:val="JuPara"/>
        <w:rPr>
          <w:lang w:val="en-US"/>
        </w:rPr>
      </w:pPr>
      <w:r w:rsidRPr="00985449">
        <w:rPr>
          <w:lang w:val="en-US"/>
        </w:rPr>
        <w:fldChar w:fldCharType="begin"/>
      </w:r>
      <w:r w:rsidRPr="00985449">
        <w:rPr>
          <w:lang w:val="en-US"/>
        </w:rPr>
        <w:instrText xml:space="preserve"> SEQ level0 \*arabic </w:instrText>
      </w:r>
      <w:r w:rsidRPr="00985449">
        <w:rPr>
          <w:lang w:val="en-US"/>
        </w:rPr>
        <w:fldChar w:fldCharType="separate"/>
      </w:r>
      <w:r w:rsidR="00C5470A">
        <w:rPr>
          <w:noProof/>
          <w:lang w:val="en-US"/>
        </w:rPr>
        <w:t>92</w:t>
      </w:r>
      <w:r w:rsidRPr="00985449">
        <w:rPr>
          <w:lang w:val="en-US"/>
        </w:rPr>
        <w:fldChar w:fldCharType="end"/>
      </w:r>
      <w:r w:rsidRPr="00985449">
        <w:rPr>
          <w:lang w:val="en-US"/>
        </w:rPr>
        <w:t>.  </w:t>
      </w:r>
      <w:r w:rsidR="009266B1">
        <w:t xml:space="preserve">Section 3(1) of the Prevention of Pollution of Public Roads and Places Law of 1992 (Law no. 19(I)/92 </w:t>
      </w:r>
      <w:r w:rsidR="009266B1">
        <w:rPr>
          <w:color w:val="000000"/>
        </w:rPr>
        <w:t xml:space="preserve">as amended) provides, </w:t>
      </w:r>
      <w:r w:rsidR="009266B1">
        <w:rPr>
          <w:i/>
          <w:iCs/>
          <w:color w:val="000000"/>
        </w:rPr>
        <w:t>inter alia</w:t>
      </w:r>
      <w:r w:rsidR="009266B1">
        <w:rPr>
          <w:color w:val="000000"/>
        </w:rPr>
        <w:t xml:space="preserve">, that it is </w:t>
      </w:r>
      <w:r w:rsidR="009266B1">
        <w:t>a criminal offence punishable by imprisonment</w:t>
      </w:r>
      <w:r w:rsidR="009266B1">
        <w:rPr>
          <w:color w:val="000000"/>
        </w:rPr>
        <w:t xml:space="preserve"> to put, throw, leave,</w:t>
      </w:r>
      <w:r w:rsidR="009266B1">
        <w:rPr>
          <w:b/>
          <w:bCs/>
        </w:rPr>
        <w:t xml:space="preserve"> </w:t>
      </w:r>
      <w:r w:rsidR="009266B1">
        <w:t>or</w:t>
      </w:r>
      <w:r w:rsidR="009266B1">
        <w:rPr>
          <w:b/>
          <w:bCs/>
        </w:rPr>
        <w:t xml:space="preserve"> </w:t>
      </w:r>
      <w:r w:rsidR="009266B1">
        <w:t>tolerate or allow the throwing or leaving of, any refuse, waste or filth on a public road or in another public place.</w:t>
      </w:r>
    </w:p>
    <w:p w:rsidR="00FA0835" w:rsidP="00FA0835" w:rsidRDefault="00FA0835">
      <w:pPr>
        <w:pStyle w:val="JuH1"/>
        <w:rPr>
          <w:rStyle w:val="sb8d990e2"/>
        </w:rPr>
      </w:pPr>
      <w:r>
        <w:rPr>
          <w:lang w:val="en-US"/>
        </w:rPr>
        <w:t>3.  </w:t>
      </w:r>
      <w:r>
        <w:rPr>
          <w:rStyle w:val="sb8d990e2"/>
        </w:rPr>
        <w:t>The Law on the Rights of Persons who are Arrested and Detained</w:t>
      </w:r>
    </w:p>
    <w:p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93</w:t>
      </w:r>
      <w:r>
        <w:rPr>
          <w:rStyle w:val="sb8d990e2"/>
        </w:rPr>
        <w:fldChar w:fldCharType="end"/>
      </w:r>
      <w:r>
        <w:rPr>
          <w:rStyle w:val="sb8d990e2"/>
        </w:rPr>
        <w:t xml:space="preserve">.  The Law on the Rights of Persons who are Arrested and Detained (Law no. 163(I)/2005) introduced a number of provisions regulating the rights and treatment of arrestees held in custody. It provides, </w:t>
      </w:r>
      <w:r w:rsidRPr="00CF156C">
        <w:rPr>
          <w:rStyle w:val="sb8d990e2"/>
          <w:i/>
        </w:rPr>
        <w:t>inter alia,</w:t>
      </w:r>
      <w:r>
        <w:rPr>
          <w:rStyle w:val="sb8d990e2"/>
        </w:rPr>
        <w:t xml:space="preserve"> </w:t>
      </w:r>
      <w:r w:rsidRPr="00CF156C">
        <w:rPr>
          <w:rStyle w:val="sb8d990e2"/>
        </w:rPr>
        <w:t xml:space="preserve">for </w:t>
      </w:r>
      <w:r w:rsidRPr="00CF156C">
        <w:t xml:space="preserve">the right of a person who is arrested by the police to a </w:t>
      </w:r>
      <w:r>
        <w:t xml:space="preserve">private </w:t>
      </w:r>
      <w:r w:rsidRPr="00CF156C">
        <w:t xml:space="preserve">telephone call to a lawyer of his or her choice immediately after his </w:t>
      </w:r>
      <w:r>
        <w:t xml:space="preserve">or her </w:t>
      </w:r>
      <w:r w:rsidRPr="00CF156C">
        <w:t>arrest</w:t>
      </w:r>
      <w:r>
        <w:t xml:space="preserve"> </w:t>
      </w:r>
      <w:r w:rsidRPr="00CF156C">
        <w:t>(section 3(1)(a)</w:t>
      </w:r>
      <w:r>
        <w:t>)</w:t>
      </w:r>
      <w:r w:rsidRPr="00CF156C">
        <w:t>.</w:t>
      </w:r>
    </w:p>
    <w:p w:rsidRPr="00CE4B43" w:rsidR="00FA0835" w:rsidP="00FA0835" w:rsidRDefault="00FA0835">
      <w:pPr>
        <w:pStyle w:val="JuHIRoman"/>
      </w:pPr>
      <w:r w:rsidRPr="00545887">
        <w:rPr>
          <w:rStyle w:val="sb8d990e2"/>
        </w:rPr>
        <w:t>III.</w:t>
      </w:r>
      <w:r w:rsidRPr="00545887">
        <w:t>  </w:t>
      </w:r>
      <w:r w:rsidRPr="00545887">
        <w:rPr>
          <w:rStyle w:val="sb8d990e2"/>
        </w:rPr>
        <w:t>INTERNATIONAL TEXTS AND DOCUMENTS</w:t>
      </w:r>
    </w:p>
    <w:p w:rsidR="00FA0835" w:rsidP="00FA0835" w:rsidRDefault="00FA0835">
      <w:pPr>
        <w:pStyle w:val="JuHA"/>
        <w:rPr>
          <w:lang w:eastAsia="en-GB"/>
        </w:rPr>
      </w:pPr>
      <w:r w:rsidRPr="00545887">
        <w:rPr>
          <w:rStyle w:val="s7d2086b4"/>
        </w:rPr>
        <w:t>A.</w:t>
      </w:r>
      <w:r w:rsidRPr="00545887">
        <w:rPr>
          <w:lang w:eastAsia="en-GB"/>
        </w:rPr>
        <w:t>  </w:t>
      </w:r>
      <w:r>
        <w:rPr>
          <w:lang w:eastAsia="en-GB"/>
        </w:rPr>
        <w:t>Relevant Council of Europe documents</w:t>
      </w:r>
    </w:p>
    <w:p w:rsidRPr="001A0EEA" w:rsidR="00FA0835" w:rsidP="00FA0835" w:rsidRDefault="00FA0835">
      <w:pPr>
        <w:pStyle w:val="JuH1"/>
        <w:rPr>
          <w:rStyle w:val="s7d2086b4"/>
        </w:rPr>
      </w:pPr>
      <w:r>
        <w:rPr>
          <w:rStyle w:val="s7d2086b4"/>
        </w:rPr>
        <w:t>1.</w:t>
      </w:r>
      <w:r w:rsidRPr="001A0EEA">
        <w:rPr>
          <w:lang w:eastAsia="en-GB"/>
        </w:rPr>
        <w:t>  </w:t>
      </w:r>
      <w:r w:rsidRPr="001A0EEA">
        <w:rPr>
          <w:rStyle w:val="s7d2086b4"/>
        </w:rPr>
        <w:t>Guidelines of the Committee of Ministers of the Council of Europe</w:t>
      </w:r>
    </w:p>
    <w:p w:rsidR="00FA0835" w:rsidP="00FA0835" w:rsidRDefault="00FA0835">
      <w:pPr>
        <w:pStyle w:val="JuPara"/>
      </w:pPr>
      <w:r>
        <w:rPr>
          <w:lang w:eastAsia="en-GB"/>
        </w:rPr>
        <w:fldChar w:fldCharType="begin"/>
      </w:r>
      <w:r>
        <w:rPr>
          <w:lang w:eastAsia="en-GB"/>
        </w:rPr>
        <w:instrText xml:space="preserve"> SEQ level0 \*arabic </w:instrText>
      </w:r>
      <w:r>
        <w:rPr>
          <w:lang w:eastAsia="en-GB"/>
        </w:rPr>
        <w:fldChar w:fldCharType="separate"/>
      </w:r>
      <w:r w:rsidR="00C5470A">
        <w:rPr>
          <w:noProof/>
          <w:lang w:eastAsia="en-GB"/>
        </w:rPr>
        <w:t>94</w:t>
      </w:r>
      <w:r>
        <w:rPr>
          <w:lang w:eastAsia="en-GB"/>
        </w:rPr>
        <w:fldChar w:fldCharType="end"/>
      </w:r>
      <w:r>
        <w:rPr>
          <w:lang w:eastAsia="en-GB"/>
        </w:rPr>
        <w:t>.  Guideline X of the Guidelines o</w:t>
      </w:r>
      <w:r w:rsidRPr="007E3FAB">
        <w:rPr>
          <w:lang w:eastAsia="en-GB"/>
        </w:rPr>
        <w:t>n human rights protection</w:t>
      </w:r>
      <w:r w:rsidRPr="007E3FAB">
        <w:rPr>
          <w:rFonts w:ascii="Verdana" w:hAnsi="Verdana"/>
          <w:lang w:eastAsia="en-GB"/>
        </w:rPr>
        <w:t xml:space="preserve"> </w:t>
      </w:r>
      <w:r w:rsidRPr="004206F2">
        <w:rPr>
          <w:lang w:eastAsia="en-GB"/>
        </w:rPr>
        <w:t>in the context of accelerated asylum procedures</w:t>
      </w:r>
      <w:r w:rsidRPr="004206F2">
        <w:rPr>
          <w:rFonts w:ascii="Verdana" w:hAnsi="Verdana"/>
          <w:lang w:eastAsia="en-GB"/>
        </w:rPr>
        <w:t xml:space="preserve"> </w:t>
      </w:r>
      <w:r w:rsidRPr="004206F2">
        <w:rPr>
          <w:iCs/>
          <w:lang w:eastAsia="en-GB"/>
        </w:rPr>
        <w:t>adopted by the Committee of Ministers on 1 July 2009</w:t>
      </w:r>
      <w:r w:rsidRPr="004206F2">
        <w:rPr>
          <w:rFonts w:ascii="Verdana" w:hAnsi="Verdana"/>
          <w:lang w:eastAsia="en-GB"/>
        </w:rPr>
        <w:t xml:space="preserve"> </w:t>
      </w:r>
      <w:r w:rsidRPr="004206F2">
        <w:rPr>
          <w:iCs/>
          <w:lang w:eastAsia="en-GB"/>
        </w:rPr>
        <w:t>at the 1062nd meeting of the Ministers</w:t>
      </w:r>
      <w:r w:rsidR="00A7319E">
        <w:rPr>
          <w:iCs/>
          <w:lang w:eastAsia="en-GB"/>
        </w:rPr>
        <w:t>’</w:t>
      </w:r>
      <w:r w:rsidRPr="004206F2">
        <w:rPr>
          <w:iCs/>
          <w:lang w:eastAsia="en-GB"/>
        </w:rPr>
        <w:t xml:space="preserve"> Deputies</w:t>
      </w:r>
      <w:r>
        <w:rPr>
          <w:iCs/>
          <w:lang w:eastAsia="en-GB"/>
        </w:rPr>
        <w:t xml:space="preserve"> provides for the right to effective and suspensive remedie</w:t>
      </w:r>
      <w:r w:rsidRPr="00545887">
        <w:rPr>
          <w:iCs/>
          <w:lang w:eastAsia="en-GB"/>
        </w:rPr>
        <w:t>s</w:t>
      </w:r>
      <w:r w:rsidRPr="00545887">
        <w:rPr>
          <w:lang w:eastAsia="en-GB"/>
        </w:rPr>
        <w:t>.</w:t>
      </w:r>
      <w:r>
        <w:rPr>
          <w:rFonts w:ascii="Verdana" w:hAnsi="Verdana"/>
          <w:lang w:eastAsia="en-GB"/>
        </w:rPr>
        <w:t xml:space="preserve"> </w:t>
      </w:r>
      <w:r w:rsidRPr="004206F2">
        <w:t>It reads as follows:</w:t>
      </w:r>
    </w:p>
    <w:p w:rsidR="00FA0835" w:rsidP="00FA0835" w:rsidRDefault="00FA0835">
      <w:pPr>
        <w:pStyle w:val="JuQuot"/>
        <w:rPr>
          <w:rFonts w:ascii="Verdana" w:hAnsi="Verdana"/>
          <w:lang w:eastAsia="en-GB"/>
        </w:rPr>
      </w:pPr>
      <w:r>
        <w:t>“</w:t>
      </w:r>
      <w:r w:rsidRPr="007E3FAB">
        <w:rPr>
          <w:lang w:eastAsia="en-GB"/>
        </w:rPr>
        <w:t>1. Asylum seekers whose applications are rejected shall have the right to have the decision reviewed by a means constituting an effective remedy.</w:t>
      </w:r>
    </w:p>
    <w:p w:rsidR="00FA0835" w:rsidP="00FA0835" w:rsidRDefault="00FA0835">
      <w:pPr>
        <w:pStyle w:val="JuQuot"/>
        <w:rPr>
          <w:lang w:eastAsia="en-GB"/>
        </w:rPr>
      </w:pPr>
      <w:r w:rsidRPr="007E3FAB">
        <w:rPr>
          <w:lang w:eastAsia="en-GB"/>
        </w:rPr>
        <w:t>2. Where asylum seekers submit an arguable claim that the execution of a removal decision could lead to a real risk of persecution or the death penalty, torture or inhuman or degrading treatment or punishment, the remedy against the removal decision shall have susp</w:t>
      </w:r>
      <w:r>
        <w:rPr>
          <w:lang w:eastAsia="en-GB"/>
        </w:rPr>
        <w:t>ensive effect.”</w:t>
      </w:r>
    </w:p>
    <w:p w:rsidRPr="00A30583" w:rsidR="00FA0835" w:rsidP="00FA0835" w:rsidRDefault="00FA0835">
      <w:pPr>
        <w:pStyle w:val="JuH1"/>
      </w:pPr>
      <w:r w:rsidRPr="00A30583">
        <w:rPr>
          <w:rStyle w:val="s6b621b36"/>
        </w:rPr>
        <w:t>2.</w:t>
      </w:r>
      <w:r w:rsidRPr="00A30583">
        <w:rPr>
          <w:lang w:eastAsia="en-GB"/>
        </w:rPr>
        <w:t>  </w:t>
      </w:r>
      <w:r w:rsidRPr="00A30583">
        <w:rPr>
          <w:rStyle w:val="s6b621b36"/>
        </w:rPr>
        <w:t>The Commissioner for Human Rights</w:t>
      </w:r>
    </w:p>
    <w:p w:rsidRPr="00A30583" w:rsidR="00FA0835" w:rsidP="00FA0835" w:rsidRDefault="00FA0835">
      <w:pPr>
        <w:pStyle w:val="JuPara"/>
      </w:pPr>
      <w:r w:rsidRPr="00A30583">
        <w:rPr>
          <w:rStyle w:val="sb8d990e2"/>
        </w:rPr>
        <w:fldChar w:fldCharType="begin"/>
      </w:r>
      <w:r w:rsidRPr="00A30583">
        <w:rPr>
          <w:rStyle w:val="sb8d990e2"/>
        </w:rPr>
        <w:instrText xml:space="preserve"> SEQ level0 \*arabic </w:instrText>
      </w:r>
      <w:r w:rsidRPr="00A30583">
        <w:rPr>
          <w:rStyle w:val="sb8d990e2"/>
        </w:rPr>
        <w:fldChar w:fldCharType="separate"/>
      </w:r>
      <w:r w:rsidR="00C5470A">
        <w:rPr>
          <w:rStyle w:val="sb8d990e2"/>
          <w:noProof/>
        </w:rPr>
        <w:t>95</w:t>
      </w:r>
      <w:r w:rsidRPr="00A30583">
        <w:rPr>
          <w:rStyle w:val="sb8d990e2"/>
        </w:rPr>
        <w:fldChar w:fldCharType="end"/>
      </w:r>
      <w:r w:rsidRPr="00A30583">
        <w:rPr>
          <w:rStyle w:val="sb8d990e2"/>
        </w:rPr>
        <w:t>.  The Commissioner for Human Rights issued a recommendation concerning the rights of aliens wishing to enter a Council of Europe member State and the enforcement of expulsion orders (CommDH(2001)19). This recommendation of 19 September 2001 included the following paragraph:</w:t>
      </w:r>
    </w:p>
    <w:p w:rsidR="00FA0835" w:rsidP="00FA0835" w:rsidRDefault="00FA0835">
      <w:pPr>
        <w:pStyle w:val="JuQuot"/>
        <w:rPr>
          <w:rStyle w:val="sfbbfee58"/>
        </w:rPr>
      </w:pPr>
      <w:r w:rsidRPr="00A30583">
        <w:rPr>
          <w:rStyle w:val="sfbbfee58"/>
        </w:rPr>
        <w:t>“11. It is essential that the right of judicial remedy within the meaning of Article 13 of the ECHR be not only guaranteed in law but also granted in practice when a person alleges that the competent authorities have contravened or are likely to contravene a right guaranteed by the ECHR. The right of effective remedy must be guaranteed to anyone wishing to challenge a refoulement or expulsion order. It must be capable of suspending enforcement of an expulsion order, at least where contravention of Articles 2 or 3 of the ECHR is alleged.”</w:t>
      </w:r>
    </w:p>
    <w:p w:rsidRPr="0073490C" w:rsidR="00FA0835" w:rsidP="00FA0835" w:rsidRDefault="00FA0835">
      <w:pPr>
        <w:pStyle w:val="JuH1"/>
        <w:rPr>
          <w:lang w:eastAsia="en-GB"/>
        </w:rPr>
      </w:pPr>
      <w:r>
        <w:rPr>
          <w:rStyle w:val="s7d2086b4"/>
        </w:rPr>
        <w:t>3</w:t>
      </w:r>
      <w:r w:rsidRPr="00771E74">
        <w:rPr>
          <w:rStyle w:val="s7d2086b4"/>
        </w:rPr>
        <w:t>.</w:t>
      </w:r>
      <w:r w:rsidRPr="00771E74">
        <w:rPr>
          <w:lang w:eastAsia="en-GB"/>
        </w:rPr>
        <w:t>  </w:t>
      </w:r>
      <w:r w:rsidRPr="00A30583">
        <w:rPr>
          <w:lang w:eastAsia="en-GB"/>
        </w:rPr>
        <w:t>ECRI</w:t>
      </w:r>
      <w:r w:rsidRPr="00ED1B59">
        <w:rPr>
          <w:lang w:eastAsia="en-GB"/>
        </w:rPr>
        <w:t xml:space="preserve"> </w:t>
      </w:r>
      <w:r>
        <w:rPr>
          <w:lang w:eastAsia="en-GB"/>
        </w:rPr>
        <w:t>reports on Cyprus</w:t>
      </w:r>
    </w:p>
    <w:p w:rsidRPr="00ED1B59" w:rsidR="00FA0835" w:rsidP="00FA0835" w:rsidRDefault="00FA0835">
      <w:pPr>
        <w:pStyle w:val="JuPara"/>
        <w:rPr>
          <w:rFonts w:eastAsia="Calibri"/>
          <w:lang w:val="en-US"/>
        </w:rPr>
      </w:pPr>
      <w:r>
        <w:rPr>
          <w:rFonts w:eastAsia="Calibri"/>
          <w:lang w:val="en-US"/>
        </w:rPr>
        <w:fldChar w:fldCharType="begin"/>
      </w:r>
      <w:r>
        <w:rPr>
          <w:rFonts w:eastAsia="Calibri"/>
          <w:lang w:val="en-US"/>
        </w:rPr>
        <w:instrText xml:space="preserve"> SEQ level0 \*arabic </w:instrText>
      </w:r>
      <w:r>
        <w:rPr>
          <w:rFonts w:eastAsia="Calibri"/>
          <w:lang w:val="en-US"/>
        </w:rPr>
        <w:fldChar w:fldCharType="separate"/>
      </w:r>
      <w:r w:rsidR="00C5470A">
        <w:rPr>
          <w:rFonts w:eastAsia="Calibri"/>
          <w:noProof/>
          <w:lang w:val="en-US"/>
        </w:rPr>
        <w:t>96</w:t>
      </w:r>
      <w:r>
        <w:rPr>
          <w:rFonts w:eastAsia="Calibri"/>
          <w:lang w:val="en-US"/>
        </w:rPr>
        <w:fldChar w:fldCharType="end"/>
      </w:r>
      <w:r>
        <w:rPr>
          <w:rFonts w:eastAsia="Calibri"/>
          <w:lang w:val="en-US"/>
        </w:rPr>
        <w:t>.  </w:t>
      </w:r>
      <w:r w:rsidRPr="00ED1B59">
        <w:rPr>
          <w:rFonts w:eastAsia="Calibri"/>
          <w:lang w:val="en-US"/>
        </w:rPr>
        <w:t>The European Commission against Racism and Intolerance (ECRI) published its third report on Cyprus on 16 December 2005. The relevant parts read as follows:</w:t>
      </w:r>
    </w:p>
    <w:p w:rsidR="00FA0835" w:rsidP="00FA0835" w:rsidRDefault="00FA0835">
      <w:pPr>
        <w:pStyle w:val="JuQuot"/>
        <w:spacing w:before="0" w:after="0"/>
        <w:rPr>
          <w:rFonts w:eastAsia="Calibri"/>
          <w:lang w:val="en-US" w:eastAsia="en-US"/>
        </w:rPr>
      </w:pPr>
    </w:p>
    <w:p w:rsidR="00FA0835" w:rsidP="00FA0835" w:rsidRDefault="00FA0835">
      <w:pPr>
        <w:pStyle w:val="JuQuot"/>
        <w:spacing w:before="0" w:after="0"/>
        <w:rPr>
          <w:rFonts w:eastAsia="Calibri"/>
          <w:lang w:val="en-US" w:eastAsia="en-US"/>
        </w:rPr>
      </w:pPr>
      <w:r>
        <w:rPr>
          <w:rFonts w:eastAsia="Calibri"/>
          <w:lang w:val="en-US" w:eastAsia="en-US"/>
        </w:rPr>
        <w:t>“</w:t>
      </w:r>
      <w:r w:rsidRPr="00ED1B59">
        <w:rPr>
          <w:rFonts w:eastAsia="Calibri"/>
          <w:lang w:val="en-US" w:eastAsia="en-US"/>
        </w:rPr>
        <w:t>56.</w:t>
      </w:r>
      <w:r>
        <w:rPr>
          <w:rFonts w:eastAsia="Calibri"/>
          <w:lang w:val="en-US" w:eastAsia="en-US"/>
        </w:rPr>
        <w:t>  </w:t>
      </w:r>
      <w:r w:rsidRPr="00ED1B59">
        <w:rPr>
          <w:rFonts w:eastAsia="Calibri"/>
          <w:lang w:val="en-US" w:eastAsia="en-US"/>
        </w:rPr>
        <w:t>ECRI is also concerned that deportations of asylum seekers have sometimes</w:t>
      </w:r>
      <w:r>
        <w:rPr>
          <w:rFonts w:eastAsia="Calibri"/>
          <w:lang w:val="en-US" w:eastAsia="en-US"/>
        </w:rPr>
        <w:t xml:space="preserve"> </w:t>
      </w:r>
      <w:r w:rsidRPr="00ED1B59">
        <w:rPr>
          <w:rFonts w:eastAsia="Calibri"/>
          <w:lang w:val="en-US" w:eastAsia="en-US"/>
        </w:rPr>
        <w:t>been carried out in a way that jeopardises respect of the principle of non</w:t>
      </w:r>
      <w:r>
        <w:rPr>
          <w:rFonts w:eastAsia="Calibri"/>
          <w:lang w:val="en-US" w:eastAsia="en-US"/>
        </w:rPr>
        <w:t>-</w:t>
      </w:r>
      <w:r w:rsidRPr="00ED1B59">
        <w:rPr>
          <w:rFonts w:eastAsia="Calibri"/>
          <w:lang w:val="en-US" w:eastAsia="en-US"/>
        </w:rPr>
        <w:t>refoulement.</w:t>
      </w:r>
      <w:r>
        <w:rPr>
          <w:rFonts w:eastAsia="Calibri"/>
          <w:lang w:val="en-US" w:eastAsia="en-US"/>
        </w:rPr>
        <w:t xml:space="preserve"> </w:t>
      </w:r>
      <w:r w:rsidRPr="00ED1B59">
        <w:rPr>
          <w:rFonts w:eastAsia="Calibri"/>
          <w:lang w:val="en-US" w:eastAsia="en-US"/>
        </w:rPr>
        <w:t>It has been reported to ECRI that deportations are effectively</w:t>
      </w:r>
      <w:r>
        <w:rPr>
          <w:rFonts w:eastAsia="Calibri"/>
          <w:lang w:val="en-US" w:eastAsia="en-US"/>
        </w:rPr>
        <w:t xml:space="preserve"> </w:t>
      </w:r>
      <w:r w:rsidRPr="00ED1B59">
        <w:rPr>
          <w:rFonts w:eastAsia="Calibri"/>
          <w:lang w:val="en-US" w:eastAsia="en-US"/>
        </w:rPr>
        <w:t>carried out before the individual has been given a chance to even formally apply</w:t>
      </w:r>
      <w:r>
        <w:rPr>
          <w:rFonts w:eastAsia="Calibri"/>
          <w:lang w:val="en-US" w:eastAsia="en-US"/>
        </w:rPr>
        <w:t xml:space="preserve"> </w:t>
      </w:r>
      <w:r w:rsidRPr="00ED1B59">
        <w:rPr>
          <w:rFonts w:eastAsia="Calibri"/>
          <w:lang w:val="en-US" w:eastAsia="en-US"/>
        </w:rPr>
        <w:t>for asylum. However, deportations have also been carried out after an asylum</w:t>
      </w:r>
      <w:r>
        <w:rPr>
          <w:rFonts w:eastAsia="Calibri"/>
          <w:lang w:val="en-US" w:eastAsia="en-US"/>
        </w:rPr>
        <w:t xml:space="preserve"> </w:t>
      </w:r>
      <w:r w:rsidRPr="00ED1B59">
        <w:rPr>
          <w:rFonts w:eastAsia="Calibri"/>
          <w:lang w:val="en-US" w:eastAsia="en-US"/>
        </w:rPr>
        <w:t>application has been filed and before the completion of its examination. This</w:t>
      </w:r>
      <w:r>
        <w:rPr>
          <w:rFonts w:eastAsia="Calibri"/>
          <w:lang w:val="en-US" w:eastAsia="en-US"/>
        </w:rPr>
        <w:t xml:space="preserve"> </w:t>
      </w:r>
      <w:r w:rsidRPr="00ED1B59">
        <w:rPr>
          <w:rFonts w:eastAsia="Calibri"/>
          <w:lang w:val="en-US" w:eastAsia="en-US"/>
        </w:rPr>
        <w:t>has reportedly included cases where the files were arbitrarily closed or the</w:t>
      </w:r>
      <w:r>
        <w:rPr>
          <w:rFonts w:eastAsia="Calibri"/>
          <w:lang w:val="en-US" w:eastAsia="en-US"/>
        </w:rPr>
        <w:t xml:space="preserve"> </w:t>
      </w:r>
      <w:r w:rsidRPr="00ED1B59">
        <w:rPr>
          <w:rFonts w:eastAsia="Calibri"/>
          <w:lang w:val="en-US" w:eastAsia="en-US"/>
        </w:rPr>
        <w:t>asylum seeker was forced to withdraw the application, but also cases where the</w:t>
      </w:r>
      <w:r>
        <w:rPr>
          <w:rFonts w:eastAsia="Calibri"/>
          <w:lang w:val="en-US" w:eastAsia="en-US"/>
        </w:rPr>
        <w:t xml:space="preserve"> </w:t>
      </w:r>
      <w:r w:rsidRPr="00ED1B59">
        <w:rPr>
          <w:rFonts w:eastAsia="Calibri"/>
          <w:lang w:val="en-US" w:eastAsia="en-US"/>
        </w:rPr>
        <w:t>asylum claim was still pending in the first or second instance. Furthermore,</w:t>
      </w:r>
      <w:r>
        <w:rPr>
          <w:rFonts w:eastAsia="Calibri"/>
          <w:lang w:val="en-US" w:eastAsia="en-US"/>
        </w:rPr>
        <w:t xml:space="preserve"> </w:t>
      </w:r>
      <w:r w:rsidRPr="00ED1B59">
        <w:rPr>
          <w:rFonts w:eastAsia="Calibri"/>
          <w:lang w:val="en-US" w:eastAsia="en-US"/>
        </w:rPr>
        <w:t>since filing an appeal for judicial review before the Supreme Court does not</w:t>
      </w:r>
      <w:r>
        <w:rPr>
          <w:rFonts w:eastAsia="Calibri"/>
          <w:lang w:val="en-US" w:eastAsia="en-US"/>
        </w:rPr>
        <w:t xml:space="preserve"> </w:t>
      </w:r>
      <w:r w:rsidRPr="00ED1B59">
        <w:rPr>
          <w:rFonts w:eastAsia="Calibri"/>
          <w:lang w:val="en-US" w:eastAsia="en-US"/>
        </w:rPr>
        <w:t>have a suspensive effect on the deportation order, deportations of asylum</w:t>
      </w:r>
      <w:r>
        <w:rPr>
          <w:rFonts w:eastAsia="Calibri"/>
          <w:lang w:val="en-US" w:eastAsia="en-US"/>
        </w:rPr>
        <w:t xml:space="preserve"> </w:t>
      </w:r>
      <w:r w:rsidRPr="00ED1B59">
        <w:rPr>
          <w:rFonts w:eastAsia="Calibri"/>
          <w:lang w:val="en-US" w:eastAsia="en-US"/>
        </w:rPr>
        <w:t>seekers who file such an appeal are reportedly carried out as a rule before its</w:t>
      </w:r>
      <w:r>
        <w:rPr>
          <w:rFonts w:eastAsia="Calibri"/>
          <w:lang w:val="en-US" w:eastAsia="en-US"/>
        </w:rPr>
        <w:t xml:space="preserve"> </w:t>
      </w:r>
      <w:r w:rsidRPr="00ED1B59">
        <w:rPr>
          <w:rFonts w:eastAsia="Calibri"/>
          <w:lang w:val="en-US" w:eastAsia="en-US"/>
        </w:rPr>
        <w:t>examination is completed.</w:t>
      </w:r>
    </w:p>
    <w:p w:rsidRPr="00ED1B59" w:rsidR="00FA0835" w:rsidP="00FA0835" w:rsidRDefault="00FA0835">
      <w:pPr>
        <w:pStyle w:val="JuQuot"/>
        <w:spacing w:before="0" w:after="0"/>
        <w:rPr>
          <w:rFonts w:eastAsia="Calibri"/>
          <w:lang w:val="en-US" w:eastAsia="en-US"/>
        </w:rPr>
      </w:pPr>
      <w:r>
        <w:rPr>
          <w:rFonts w:eastAsia="Calibri"/>
          <w:lang w:val="en-US" w:eastAsia="en-US"/>
        </w:rPr>
        <w:t>...</w:t>
      </w:r>
    </w:p>
    <w:p w:rsidRPr="001A0EEA" w:rsidR="00FA0835" w:rsidP="00FA0835" w:rsidRDefault="00FA0835">
      <w:pPr>
        <w:pStyle w:val="JuQuot"/>
        <w:spacing w:before="0" w:after="0"/>
        <w:rPr>
          <w:rFonts w:eastAsia="Calibri"/>
          <w:lang w:val="en-US" w:eastAsia="en-US"/>
        </w:rPr>
      </w:pPr>
      <w:r w:rsidRPr="00ED1B59">
        <w:rPr>
          <w:rFonts w:eastAsia="Calibri"/>
          <w:lang w:val="en-US" w:eastAsia="en-US"/>
        </w:rPr>
        <w:t>61.</w:t>
      </w:r>
      <w:r>
        <w:rPr>
          <w:rFonts w:eastAsia="Calibri"/>
          <w:lang w:val="en-US" w:eastAsia="en-US"/>
        </w:rPr>
        <w:t>  </w:t>
      </w:r>
      <w:r w:rsidRPr="00ED1B59">
        <w:rPr>
          <w:rFonts w:eastAsia="Calibri"/>
          <w:lang w:val="en-US" w:eastAsia="en-US"/>
        </w:rPr>
        <w:t>ECRI urges the Cypriot authorities to ensure that the asylum seekers</w:t>
      </w:r>
      <w:r w:rsidR="00A7319E">
        <w:rPr>
          <w:rFonts w:eastAsia="Calibri"/>
          <w:lang w:val="en-US" w:eastAsia="en-US"/>
        </w:rPr>
        <w:t>’</w:t>
      </w:r>
      <w:r w:rsidRPr="00ED1B59">
        <w:rPr>
          <w:rFonts w:eastAsia="Calibri"/>
          <w:lang w:val="en-US" w:eastAsia="en-US"/>
        </w:rPr>
        <w:t xml:space="preserve"> right to</w:t>
      </w:r>
      <w:r>
        <w:rPr>
          <w:rFonts w:eastAsia="Calibri"/>
          <w:lang w:val="en-US" w:eastAsia="en-US"/>
        </w:rPr>
        <w:t xml:space="preserve"> </w:t>
      </w:r>
      <w:r w:rsidRPr="00ED1B59">
        <w:rPr>
          <w:rFonts w:eastAsia="Calibri"/>
          <w:lang w:val="en-US" w:eastAsia="en-US"/>
        </w:rPr>
        <w:t xml:space="preserve">protection from </w:t>
      </w:r>
      <w:r w:rsidRPr="00ED1B59">
        <w:rPr>
          <w:rFonts w:eastAsia="Calibri"/>
          <w:i/>
          <w:iCs/>
          <w:lang w:val="en-US" w:eastAsia="en-US"/>
        </w:rPr>
        <w:t xml:space="preserve">refoulement </w:t>
      </w:r>
      <w:r w:rsidRPr="00ED1B59">
        <w:rPr>
          <w:rFonts w:eastAsia="Calibri"/>
          <w:lang w:val="en-US" w:eastAsia="en-US"/>
        </w:rPr>
        <w:t>is thoroughly respected. In this respect, it</w:t>
      </w:r>
      <w:r>
        <w:rPr>
          <w:rFonts w:eastAsia="Calibri"/>
          <w:lang w:val="en-US" w:eastAsia="en-US"/>
        </w:rPr>
        <w:t xml:space="preserve"> </w:t>
      </w:r>
      <w:r w:rsidRPr="00ED1B59">
        <w:rPr>
          <w:rFonts w:eastAsia="Calibri"/>
          <w:lang w:val="en-US" w:eastAsia="en-US"/>
        </w:rPr>
        <w:t>recommends that the Cypriot authorities ensure that deportations are not carried</w:t>
      </w:r>
      <w:r>
        <w:rPr>
          <w:rFonts w:eastAsia="Calibri"/>
          <w:lang w:val="en-US" w:eastAsia="en-US"/>
        </w:rPr>
        <w:t xml:space="preserve"> </w:t>
      </w:r>
      <w:r w:rsidRPr="00ED1B59">
        <w:rPr>
          <w:rFonts w:eastAsia="Calibri"/>
          <w:lang w:val="en-US" w:eastAsia="en-US"/>
        </w:rPr>
        <w:t>out before asylum procedures at all instances are completed</w:t>
      </w:r>
      <w:r>
        <w:rPr>
          <w:rFonts w:eastAsia="Calibri"/>
          <w:lang w:val="en-US" w:eastAsia="en-US"/>
        </w:rPr>
        <w:t>.”</w:t>
      </w:r>
    </w:p>
    <w:p w:rsidRPr="00ED1B59" w:rsidR="00FA0835" w:rsidP="00FA0835" w:rsidRDefault="00FA0835">
      <w:pPr>
        <w:pStyle w:val="JuQuot"/>
        <w:spacing w:before="0" w:after="0"/>
        <w:rPr>
          <w:rFonts w:ascii="Calibri" w:hAnsi="Calibri" w:eastAsia="Calibri"/>
          <w:lang w:val="en-US" w:eastAsia="en-US"/>
        </w:rPr>
      </w:pPr>
    </w:p>
    <w:p w:rsidR="00FA0835" w:rsidP="00FA0835" w:rsidRDefault="00FA0835">
      <w:pPr>
        <w:suppressAutoHyphens w:val="0"/>
        <w:spacing w:after="200" w:line="276" w:lineRule="auto"/>
        <w:rPr>
          <w:rStyle w:val="OpiHA"/>
        </w:rPr>
      </w:pPr>
      <w:r w:rsidRPr="00505A1D">
        <w:rPr>
          <w:rFonts w:eastAsia="Calibri"/>
          <w:lang w:val="en-US" w:eastAsia="en-US"/>
        </w:rPr>
        <w:fldChar w:fldCharType="begin"/>
      </w:r>
      <w:r w:rsidRPr="00505A1D">
        <w:rPr>
          <w:rFonts w:eastAsia="Calibri"/>
          <w:lang w:val="en-US" w:eastAsia="en-US"/>
        </w:rPr>
        <w:instrText xml:space="preserve"> SEQ level0 \*arabic </w:instrText>
      </w:r>
      <w:r w:rsidRPr="00505A1D">
        <w:rPr>
          <w:rFonts w:eastAsia="Calibri"/>
          <w:lang w:val="en-US" w:eastAsia="en-US"/>
        </w:rPr>
        <w:fldChar w:fldCharType="separate"/>
      </w:r>
      <w:r w:rsidR="00C5470A">
        <w:rPr>
          <w:rFonts w:eastAsia="Calibri"/>
          <w:noProof/>
          <w:lang w:val="en-US" w:eastAsia="en-US"/>
        </w:rPr>
        <w:t>97</w:t>
      </w:r>
      <w:r w:rsidRPr="00505A1D">
        <w:rPr>
          <w:rFonts w:eastAsia="Calibri"/>
          <w:lang w:val="en-US" w:eastAsia="en-US"/>
        </w:rPr>
        <w:fldChar w:fldCharType="end"/>
      </w:r>
      <w:r w:rsidRPr="00505A1D">
        <w:rPr>
          <w:rFonts w:eastAsia="Calibri"/>
          <w:lang w:val="en-US" w:eastAsia="en-US"/>
        </w:rPr>
        <w:t>.  In its subsequent periodic report (fourth monitoring cycle) on Cyprus, published on 31 May 2011, ECRI stated as follows:</w:t>
      </w:r>
    </w:p>
    <w:p w:rsidRPr="008200D2" w:rsidR="00FA0835" w:rsidP="00FA0835" w:rsidRDefault="00FA0835">
      <w:pPr>
        <w:pStyle w:val="JuQuot"/>
        <w:spacing w:before="0" w:after="0"/>
        <w:rPr>
          <w:rFonts w:eastAsia="Calibri"/>
          <w:i/>
          <w:lang w:val="en-US" w:eastAsia="en-US"/>
        </w:rPr>
      </w:pPr>
      <w:r>
        <w:rPr>
          <w:rFonts w:eastAsia="Calibri"/>
          <w:lang w:val="en-US" w:eastAsia="en-US"/>
        </w:rPr>
        <w:t>“</w:t>
      </w:r>
      <w:r w:rsidRPr="008200D2">
        <w:rPr>
          <w:rFonts w:eastAsia="Calibri"/>
          <w:i/>
          <w:lang w:val="en-US" w:eastAsia="en-US"/>
        </w:rPr>
        <w:t>Asylum seekers and refugees</w:t>
      </w:r>
    </w:p>
    <w:p w:rsidR="00FA0835" w:rsidP="00FA0835" w:rsidRDefault="00FA0835">
      <w:pPr>
        <w:pStyle w:val="JuQuot"/>
        <w:spacing w:before="0" w:after="0"/>
        <w:rPr>
          <w:rFonts w:eastAsia="Calibri"/>
          <w:lang w:val="en-US" w:eastAsia="en-US"/>
        </w:rPr>
      </w:pPr>
    </w:p>
    <w:p w:rsidR="00FA0835" w:rsidP="00FA0835" w:rsidRDefault="00FA0835">
      <w:pPr>
        <w:pStyle w:val="JuQuot"/>
        <w:spacing w:before="0" w:after="0"/>
        <w:rPr>
          <w:rFonts w:eastAsia="Calibri"/>
          <w:lang w:val="en-US" w:eastAsia="en-US"/>
        </w:rPr>
      </w:pPr>
      <w:r w:rsidRPr="00ED1B59">
        <w:rPr>
          <w:rFonts w:eastAsia="Calibri"/>
          <w:lang w:val="en-US" w:eastAsia="en-US"/>
        </w:rPr>
        <w:t>172. In its third report, ECRI made a large number of recommendations related to</w:t>
      </w:r>
      <w:r>
        <w:rPr>
          <w:rFonts w:eastAsia="Calibri"/>
          <w:lang w:val="en-US" w:eastAsia="en-US"/>
        </w:rPr>
        <w:t> </w:t>
      </w:r>
      <w:r w:rsidRPr="00ED1B59">
        <w:rPr>
          <w:rFonts w:eastAsia="Calibri"/>
          <w:lang w:val="en-US" w:eastAsia="en-US"/>
        </w:rPr>
        <w:t>asylum seekers, namely that the authorities (i) ensure that adequate human and</w:t>
      </w:r>
      <w:r>
        <w:rPr>
          <w:rFonts w:eastAsia="Calibri"/>
          <w:lang w:val="en-US" w:eastAsia="en-US"/>
        </w:rPr>
        <w:t xml:space="preserve"> </w:t>
      </w:r>
      <w:r w:rsidRPr="00ED1B59">
        <w:rPr>
          <w:rFonts w:eastAsia="Calibri"/>
          <w:lang w:val="en-US" w:eastAsia="en-US"/>
        </w:rPr>
        <w:t>financial resources are available to deal effectively and within a reasonable time</w:t>
      </w:r>
      <w:r>
        <w:rPr>
          <w:rFonts w:eastAsia="Calibri"/>
          <w:lang w:val="en-US" w:eastAsia="en-US"/>
        </w:rPr>
        <w:t xml:space="preserve"> </w:t>
      </w:r>
      <w:r w:rsidRPr="00ED1B59">
        <w:rPr>
          <w:rFonts w:eastAsia="Calibri"/>
          <w:lang w:val="en-US" w:eastAsia="en-US"/>
        </w:rPr>
        <w:t>with all asylum applications; (ii) ensure that asylum seekers only be detained</w:t>
      </w:r>
      <w:r>
        <w:rPr>
          <w:rFonts w:eastAsia="Calibri"/>
          <w:lang w:val="en-US" w:eastAsia="en-US"/>
        </w:rPr>
        <w:t xml:space="preserve"> </w:t>
      </w:r>
      <w:r w:rsidRPr="00ED1B59">
        <w:rPr>
          <w:rFonts w:eastAsia="Calibri"/>
          <w:lang w:val="en-US" w:eastAsia="en-US"/>
        </w:rPr>
        <w:t>when it is absolutely necessary and that measures alternative to detention be</w:t>
      </w:r>
      <w:r>
        <w:rPr>
          <w:rFonts w:eastAsia="Calibri"/>
          <w:lang w:val="en-US" w:eastAsia="en-US"/>
        </w:rPr>
        <w:t xml:space="preserve"> </w:t>
      </w:r>
      <w:r w:rsidRPr="00ED1B59">
        <w:rPr>
          <w:rFonts w:eastAsia="Calibri"/>
          <w:lang w:val="en-US" w:eastAsia="en-US"/>
        </w:rPr>
        <w:t>used in all other cases; (iii) take urgent measures to ensure that the right of</w:t>
      </w:r>
      <w:r>
        <w:rPr>
          <w:rFonts w:eastAsia="Calibri"/>
          <w:lang w:val="en-US" w:eastAsia="en-US"/>
        </w:rPr>
        <w:t xml:space="preserve"> </w:t>
      </w:r>
      <w:r w:rsidRPr="00ED1B59">
        <w:rPr>
          <w:rFonts w:eastAsia="Calibri"/>
          <w:lang w:val="en-US" w:eastAsia="en-US"/>
        </w:rPr>
        <w:t>persons to apply for asylum is thoroughly respected; (iv) ensure that clear</w:t>
      </w:r>
      <w:r>
        <w:rPr>
          <w:rFonts w:eastAsia="Calibri"/>
          <w:lang w:val="en-US" w:eastAsia="en-US"/>
        </w:rPr>
        <w:t xml:space="preserve"> </w:t>
      </w:r>
      <w:r w:rsidRPr="00ED1B59">
        <w:rPr>
          <w:rFonts w:eastAsia="Calibri"/>
          <w:lang w:val="en-US" w:eastAsia="en-US"/>
        </w:rPr>
        <w:t>information on the rights of asylum seekers and the procedures to apply for</w:t>
      </w:r>
      <w:r>
        <w:rPr>
          <w:rFonts w:eastAsia="Calibri"/>
          <w:lang w:val="en-US" w:eastAsia="en-US"/>
        </w:rPr>
        <w:t xml:space="preserve"> </w:t>
      </w:r>
      <w:r w:rsidRPr="00ED1B59">
        <w:rPr>
          <w:rFonts w:eastAsia="Calibri"/>
          <w:lang w:val="en-US" w:eastAsia="en-US"/>
        </w:rPr>
        <w:t>asylum is available in a language that asylum seekers understand at police</w:t>
      </w:r>
      <w:r>
        <w:rPr>
          <w:rFonts w:eastAsia="Calibri"/>
          <w:lang w:val="en-US" w:eastAsia="en-US"/>
        </w:rPr>
        <w:t xml:space="preserve"> </w:t>
      </w:r>
      <w:r w:rsidRPr="00ED1B59">
        <w:rPr>
          <w:rFonts w:eastAsia="Calibri"/>
          <w:lang w:val="en-US" w:eastAsia="en-US"/>
        </w:rPr>
        <w:t>stations and at all places where they may apply for asylum; (v) increase training</w:t>
      </w:r>
      <w:r>
        <w:rPr>
          <w:rFonts w:eastAsia="Calibri"/>
          <w:lang w:val="en-US" w:eastAsia="en-US"/>
        </w:rPr>
        <w:t xml:space="preserve"> </w:t>
      </w:r>
      <w:r w:rsidRPr="00ED1B59">
        <w:rPr>
          <w:rFonts w:eastAsia="Calibri"/>
          <w:lang w:val="en-US" w:eastAsia="en-US"/>
        </w:rPr>
        <w:t>of the police in human r</w:t>
      </w:r>
      <w:r>
        <w:rPr>
          <w:rFonts w:eastAsia="Calibri"/>
          <w:lang w:val="en-US" w:eastAsia="en-US"/>
        </w:rPr>
        <w:t>ights, including asylum and non</w:t>
      </w:r>
      <w:r>
        <w:rPr>
          <w:rFonts w:eastAsia="Calibri"/>
          <w:lang w:val="en-US" w:eastAsia="en-US"/>
        </w:rPr>
        <w:noBreakHyphen/>
      </w:r>
      <w:r w:rsidRPr="00ED1B59">
        <w:rPr>
          <w:rFonts w:eastAsia="Calibri"/>
          <w:lang w:val="en-US" w:eastAsia="en-US"/>
        </w:rPr>
        <w:t>discrimination issues;</w:t>
      </w:r>
      <w:r>
        <w:rPr>
          <w:rFonts w:eastAsia="Calibri"/>
          <w:lang w:val="en-US" w:eastAsia="en-US"/>
        </w:rPr>
        <w:t xml:space="preserve"> </w:t>
      </w:r>
      <w:r w:rsidRPr="00ED1B59">
        <w:rPr>
          <w:rFonts w:eastAsia="Calibri"/>
          <w:lang w:val="en-US" w:eastAsia="en-US"/>
        </w:rPr>
        <w:t>(vi) ensure that any alleged instance of ill treatment of asylum seekers by police</w:t>
      </w:r>
      <w:r>
        <w:rPr>
          <w:rFonts w:eastAsia="Calibri"/>
          <w:lang w:val="en-US" w:eastAsia="en-US"/>
        </w:rPr>
        <w:t xml:space="preserve"> </w:t>
      </w:r>
      <w:r w:rsidRPr="00ED1B59">
        <w:rPr>
          <w:rFonts w:eastAsia="Calibri"/>
          <w:lang w:val="en-US" w:eastAsia="en-US"/>
        </w:rPr>
        <w:t>officers is thoroughly and rapidly investigated and that the persons found</w:t>
      </w:r>
      <w:r>
        <w:rPr>
          <w:rFonts w:eastAsia="Calibri"/>
          <w:lang w:val="en-US" w:eastAsia="en-US"/>
        </w:rPr>
        <w:t xml:space="preserve"> </w:t>
      </w:r>
      <w:r w:rsidRPr="00ED1B59">
        <w:rPr>
          <w:rFonts w:eastAsia="Calibri"/>
          <w:lang w:val="en-US" w:eastAsia="en-US"/>
        </w:rPr>
        <w:t>responsible are duly punished; (vii) take measures to improve asylum seekers</w:t>
      </w:r>
      <w:r w:rsidR="00A7319E">
        <w:rPr>
          <w:rFonts w:eastAsia="Calibri"/>
          <w:lang w:val="en-US" w:eastAsia="en-US"/>
        </w:rPr>
        <w:t>’</w:t>
      </w:r>
      <w:r>
        <w:rPr>
          <w:rFonts w:eastAsia="Calibri"/>
          <w:lang w:val="en-US" w:eastAsia="en-US"/>
        </w:rPr>
        <w:t xml:space="preserve"> </w:t>
      </w:r>
      <w:r w:rsidRPr="00ED1B59">
        <w:rPr>
          <w:rFonts w:eastAsia="Calibri"/>
          <w:lang w:val="en-US" w:eastAsia="en-US"/>
        </w:rPr>
        <w:t>access to free or inexpensive legal aid and representation; (viii) take urgent</w:t>
      </w:r>
      <w:r>
        <w:rPr>
          <w:rFonts w:eastAsia="Calibri"/>
          <w:lang w:val="en-US" w:eastAsia="en-US"/>
        </w:rPr>
        <w:t xml:space="preserve"> </w:t>
      </w:r>
      <w:r w:rsidRPr="00ED1B59">
        <w:rPr>
          <w:rFonts w:eastAsia="Calibri"/>
          <w:lang w:val="en-US" w:eastAsia="en-US"/>
        </w:rPr>
        <w:t>measures to ensure that asylum seekers can access in practice all rights to</w:t>
      </w:r>
      <w:r>
        <w:rPr>
          <w:rFonts w:eastAsia="Calibri"/>
          <w:lang w:val="en-US" w:eastAsia="en-US"/>
        </w:rPr>
        <w:t xml:space="preserve"> </w:t>
      </w:r>
      <w:r w:rsidRPr="00ED1B59">
        <w:rPr>
          <w:rFonts w:eastAsia="Calibri"/>
          <w:lang w:val="en-US" w:eastAsia="en-US"/>
        </w:rPr>
        <w:t>which they are entitled by law, including in such areas as healthcare provision,</w:t>
      </w:r>
      <w:r>
        <w:rPr>
          <w:rFonts w:eastAsia="Calibri"/>
          <w:lang w:val="en-US" w:eastAsia="en-US"/>
        </w:rPr>
        <w:t xml:space="preserve"> </w:t>
      </w:r>
      <w:r w:rsidRPr="00ED1B59">
        <w:rPr>
          <w:rFonts w:eastAsia="Calibri"/>
          <w:lang w:val="en-US" w:eastAsia="en-US"/>
        </w:rPr>
        <w:t>welfare services, education and employment; (ix) ensure that asylum seekers</w:t>
      </w:r>
      <w:r>
        <w:rPr>
          <w:rFonts w:eastAsia="Calibri"/>
          <w:lang w:val="en-US" w:eastAsia="en-US"/>
        </w:rPr>
        <w:t xml:space="preserve"> </w:t>
      </w:r>
      <w:r w:rsidRPr="00ED1B59">
        <w:rPr>
          <w:rFonts w:eastAsia="Calibri"/>
          <w:lang w:val="en-US" w:eastAsia="en-US"/>
        </w:rPr>
        <w:t>are not discriminated against in exercising the right to employment granted to</w:t>
      </w:r>
      <w:r>
        <w:rPr>
          <w:rFonts w:eastAsia="Calibri"/>
          <w:lang w:val="en-US" w:eastAsia="en-US"/>
        </w:rPr>
        <w:t xml:space="preserve"> </w:t>
      </w:r>
      <w:r w:rsidRPr="00ED1B59">
        <w:rPr>
          <w:rFonts w:eastAsia="Calibri"/>
          <w:lang w:val="en-US" w:eastAsia="en-US"/>
        </w:rPr>
        <w:t>them by law, underlining that any measures taken by the Cypriot authorities with</w:t>
      </w:r>
      <w:r>
        <w:rPr>
          <w:rFonts w:eastAsia="Calibri"/>
          <w:lang w:val="en-US" w:eastAsia="en-US"/>
        </w:rPr>
        <w:t xml:space="preserve"> </w:t>
      </w:r>
      <w:r w:rsidRPr="00ED1B59">
        <w:rPr>
          <w:rFonts w:eastAsia="Calibri"/>
          <w:lang w:val="en-US" w:eastAsia="en-US"/>
        </w:rPr>
        <w:t>respect to asylum seekers</w:t>
      </w:r>
      <w:r w:rsidR="00A7319E">
        <w:rPr>
          <w:rFonts w:eastAsia="Calibri"/>
          <w:lang w:val="en-US" w:eastAsia="en-US"/>
        </w:rPr>
        <w:t>’</w:t>
      </w:r>
      <w:r w:rsidRPr="00ED1B59">
        <w:rPr>
          <w:rFonts w:eastAsia="Calibri"/>
          <w:lang w:val="en-US" w:eastAsia="en-US"/>
        </w:rPr>
        <w:t xml:space="preserve"> access to employment and welfare benefits should</w:t>
      </w:r>
      <w:r>
        <w:rPr>
          <w:rFonts w:eastAsia="Calibri"/>
          <w:lang w:val="en-US" w:eastAsia="en-US"/>
        </w:rPr>
        <w:t xml:space="preserve"> </w:t>
      </w:r>
      <w:r w:rsidRPr="00ED1B59">
        <w:rPr>
          <w:rFonts w:eastAsia="Calibri"/>
          <w:lang w:val="en-US" w:eastAsia="en-US"/>
        </w:rPr>
        <w:t>not push these persons towards illegality; (x) ensure that the asylum seekers</w:t>
      </w:r>
      <w:r w:rsidR="00A7319E">
        <w:rPr>
          <w:rFonts w:eastAsia="Calibri"/>
          <w:lang w:val="en-US" w:eastAsia="en-US"/>
        </w:rPr>
        <w:t>’</w:t>
      </w:r>
      <w:r>
        <w:rPr>
          <w:rFonts w:eastAsia="Calibri"/>
          <w:lang w:val="en-US" w:eastAsia="en-US"/>
        </w:rPr>
        <w:t xml:space="preserve"> </w:t>
      </w:r>
      <w:r w:rsidRPr="00ED1B59">
        <w:rPr>
          <w:rFonts w:eastAsia="Calibri"/>
          <w:lang w:val="en-US" w:eastAsia="en-US"/>
        </w:rPr>
        <w:t>right to protection from refoulement is thoroughly respected and that</w:t>
      </w:r>
      <w:r>
        <w:rPr>
          <w:rFonts w:eastAsia="Calibri"/>
          <w:lang w:val="en-US" w:eastAsia="en-US"/>
        </w:rPr>
        <w:t xml:space="preserve"> </w:t>
      </w:r>
      <w:r w:rsidRPr="00ED1B59">
        <w:rPr>
          <w:rFonts w:eastAsia="Calibri"/>
          <w:lang w:val="en-US" w:eastAsia="en-US"/>
        </w:rPr>
        <w:t>deportations are not carried out before asylum procedures at all instances are</w:t>
      </w:r>
      <w:r>
        <w:rPr>
          <w:rFonts w:eastAsia="Calibri"/>
          <w:lang w:val="en-US" w:eastAsia="en-US"/>
        </w:rPr>
        <w:t xml:space="preserve"> </w:t>
      </w:r>
      <w:r w:rsidRPr="00ED1B59">
        <w:rPr>
          <w:rFonts w:eastAsia="Calibri"/>
          <w:lang w:val="en-US" w:eastAsia="en-US"/>
        </w:rPr>
        <w:t>completed; (xi) refrain from adopting deterrent policies in the field of asylum and</w:t>
      </w:r>
      <w:r>
        <w:rPr>
          <w:rFonts w:eastAsia="Calibri"/>
          <w:lang w:val="en-US" w:eastAsia="en-US"/>
        </w:rPr>
        <w:t xml:space="preserve"> </w:t>
      </w:r>
      <w:r w:rsidRPr="00ED1B59">
        <w:rPr>
          <w:rFonts w:eastAsia="Calibri"/>
          <w:lang w:val="en-US" w:eastAsia="en-US"/>
        </w:rPr>
        <w:t>from presenting any asylum policies to the public as deterrent policies.</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ED1B59">
        <w:rPr>
          <w:rFonts w:eastAsia="Calibri"/>
          <w:lang w:val="en-US" w:eastAsia="en-US"/>
        </w:rPr>
        <w:t>173. ECRI notes that relatively little has changed in respect of the numerous</w:t>
      </w:r>
      <w:r>
        <w:rPr>
          <w:rFonts w:eastAsia="Calibri"/>
          <w:lang w:val="en-US" w:eastAsia="en-US"/>
        </w:rPr>
        <w:t xml:space="preserve"> </w:t>
      </w:r>
      <w:r w:rsidRPr="00ED1B59">
        <w:rPr>
          <w:rFonts w:eastAsia="Calibri"/>
          <w:lang w:val="en-US" w:eastAsia="en-US"/>
        </w:rPr>
        <w:t>concerns raised in its third report. Some of the above issues have already been</w:t>
      </w:r>
      <w:r>
        <w:rPr>
          <w:rFonts w:eastAsia="Calibri"/>
          <w:lang w:val="en-US" w:eastAsia="en-US"/>
        </w:rPr>
        <w:t xml:space="preserve"> </w:t>
      </w:r>
      <w:r w:rsidRPr="00ED1B59">
        <w:rPr>
          <w:rFonts w:eastAsia="Calibri"/>
          <w:lang w:val="en-US" w:eastAsia="en-US"/>
        </w:rPr>
        <w:t>addressed in other parts of this report. Below are some additional observations</w:t>
      </w:r>
      <w:r>
        <w:rPr>
          <w:rFonts w:eastAsia="Calibri"/>
          <w:lang w:val="en-US" w:eastAsia="en-US"/>
        </w:rPr>
        <w:t xml:space="preserve"> </w:t>
      </w:r>
      <w:r w:rsidRPr="00ED1B59">
        <w:rPr>
          <w:rFonts w:eastAsia="Calibri"/>
          <w:lang w:val="en-US" w:eastAsia="en-US"/>
        </w:rPr>
        <w:t>relating to asylum seekers.</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Pr>
          <w:rFonts w:eastAsia="Calibri"/>
          <w:lang w:val="en-US" w:eastAsia="en-US"/>
        </w:rPr>
        <w:t>...</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ED1B59">
        <w:rPr>
          <w:rFonts w:eastAsia="Calibri"/>
          <w:lang w:val="en-US" w:eastAsia="en-US"/>
        </w:rPr>
        <w:t>183. As for legal aid, this is not available in administrative proceedings. ECRI notes</w:t>
      </w:r>
      <w:r>
        <w:rPr>
          <w:rFonts w:eastAsia="Calibri"/>
          <w:lang w:val="en-US" w:eastAsia="en-US"/>
        </w:rPr>
        <w:t xml:space="preserve"> </w:t>
      </w:r>
      <w:r w:rsidRPr="00ED1B59">
        <w:rPr>
          <w:rFonts w:eastAsia="Calibri"/>
          <w:lang w:val="en-US" w:eastAsia="en-US"/>
        </w:rPr>
        <w:t>that the first two instances in the asylum procedure, before the Asylum Service</w:t>
      </w:r>
      <w:r>
        <w:rPr>
          <w:rFonts w:eastAsia="Calibri"/>
          <w:lang w:val="en-US" w:eastAsia="en-US"/>
        </w:rPr>
        <w:t xml:space="preserve"> </w:t>
      </w:r>
      <w:r w:rsidRPr="00ED1B59">
        <w:rPr>
          <w:rFonts w:eastAsia="Calibri"/>
          <w:lang w:val="en-US" w:eastAsia="en-US"/>
        </w:rPr>
        <w:t>and the Refugee Reviewing Authority, are both administrative proceedings. The</w:t>
      </w:r>
      <w:r>
        <w:rPr>
          <w:rFonts w:eastAsia="Calibri"/>
          <w:lang w:val="en-US" w:eastAsia="en-US"/>
        </w:rPr>
        <w:t xml:space="preserve"> </w:t>
      </w:r>
      <w:r w:rsidRPr="00ED1B59">
        <w:rPr>
          <w:rFonts w:eastAsia="Calibri"/>
          <w:lang w:val="en-US" w:eastAsia="en-US"/>
        </w:rPr>
        <w:t>authorities have stated that according to the Refugee Law, an applicant has the</w:t>
      </w:r>
      <w:r>
        <w:rPr>
          <w:rFonts w:eastAsia="Calibri"/>
          <w:lang w:val="en-US" w:eastAsia="en-US"/>
        </w:rPr>
        <w:t xml:space="preserve"> </w:t>
      </w:r>
      <w:r w:rsidRPr="00ED1B59">
        <w:rPr>
          <w:rFonts w:eastAsia="Calibri"/>
          <w:lang w:val="en-US" w:eastAsia="en-US"/>
        </w:rPr>
        <w:t>right to have a lawyer or legal advisor at his/her own cost during all stages of</w:t>
      </w:r>
      <w:r>
        <w:rPr>
          <w:rFonts w:eastAsia="Calibri"/>
          <w:lang w:val="en-US" w:eastAsia="en-US"/>
        </w:rPr>
        <w:t xml:space="preserve"> </w:t>
      </w:r>
      <w:r w:rsidRPr="00ED1B59">
        <w:rPr>
          <w:rFonts w:eastAsia="Calibri"/>
          <w:lang w:val="en-US" w:eastAsia="en-US"/>
        </w:rPr>
        <w:t>the asylum procedure and that asylum seekers have access to free legal aid</w:t>
      </w:r>
      <w:r>
        <w:rPr>
          <w:rFonts w:eastAsia="Calibri"/>
          <w:lang w:val="en-US" w:eastAsia="en-US"/>
        </w:rPr>
        <w:t xml:space="preserve"> </w:t>
      </w:r>
      <w:r w:rsidRPr="00ED1B59">
        <w:rPr>
          <w:rFonts w:eastAsia="Calibri"/>
          <w:lang w:val="en-US" w:eastAsia="en-US"/>
        </w:rPr>
        <w:t>through the programmes funded by the European Refugee Fund and the</w:t>
      </w:r>
      <w:r>
        <w:rPr>
          <w:rFonts w:eastAsia="Calibri"/>
          <w:lang w:val="en-US" w:eastAsia="en-US"/>
        </w:rPr>
        <w:t xml:space="preserve"> </w:t>
      </w:r>
      <w:r w:rsidRPr="00ED1B59">
        <w:rPr>
          <w:rFonts w:eastAsia="Calibri"/>
          <w:lang w:val="en-US" w:eastAsia="en-US"/>
        </w:rPr>
        <w:t>Republic of Cyprus. In reality, however, few asylum seekers have the financial</w:t>
      </w:r>
      <w:r>
        <w:rPr>
          <w:rFonts w:eastAsia="Calibri"/>
          <w:lang w:val="en-US" w:eastAsia="en-US"/>
        </w:rPr>
        <w:t xml:space="preserve"> </w:t>
      </w:r>
      <w:r w:rsidRPr="00ED1B59">
        <w:rPr>
          <w:rFonts w:eastAsia="Calibri"/>
          <w:lang w:val="en-US" w:eastAsia="en-US"/>
        </w:rPr>
        <w:t>resources to engage private lawyers and there are only two NGOs functioning</w:t>
      </w:r>
      <w:r>
        <w:rPr>
          <w:rFonts w:eastAsia="Calibri"/>
          <w:lang w:val="en-US" w:eastAsia="en-US"/>
        </w:rPr>
        <w:t xml:space="preserve"> </w:t>
      </w:r>
      <w:r w:rsidRPr="00ED1B59">
        <w:rPr>
          <w:rFonts w:eastAsia="Calibri"/>
          <w:lang w:val="en-US" w:eastAsia="en-US"/>
        </w:rPr>
        <w:t>in the country with an interest in assisting asylum seekers.</w:t>
      </w:r>
    </w:p>
    <w:p w:rsidR="00FA0835" w:rsidP="00FA0835" w:rsidRDefault="00FA0835">
      <w:pPr>
        <w:pStyle w:val="JuQuot"/>
        <w:spacing w:before="0" w:after="0"/>
        <w:ind w:firstLine="0"/>
        <w:rPr>
          <w:rFonts w:eastAsia="Calibri"/>
          <w:lang w:val="en-US" w:eastAsia="en-US"/>
        </w:rPr>
      </w:pPr>
      <w:r>
        <w:rPr>
          <w:rFonts w:eastAsia="Calibri"/>
          <w:lang w:val="en-US" w:eastAsia="en-US"/>
        </w:rPr>
        <w:t>...</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ED1B59">
        <w:rPr>
          <w:rFonts w:eastAsia="Calibri"/>
          <w:lang w:val="en-US" w:eastAsia="en-US"/>
        </w:rPr>
        <w:t>185. A person whose asylum application is rejected at second instance may appeal</w:t>
      </w:r>
      <w:r>
        <w:rPr>
          <w:rFonts w:eastAsia="Calibri"/>
          <w:lang w:val="en-US" w:eastAsia="en-US"/>
        </w:rPr>
        <w:t xml:space="preserve"> </w:t>
      </w:r>
      <w:r w:rsidRPr="00ED1B59">
        <w:rPr>
          <w:rFonts w:eastAsia="Calibri"/>
          <w:lang w:val="en-US" w:eastAsia="en-US"/>
        </w:rPr>
        <w:t>to the Supreme Court for judicial review. The recent Law 132(I)/2009 amended</w:t>
      </w:r>
      <w:r>
        <w:rPr>
          <w:rFonts w:eastAsia="Calibri"/>
          <w:lang w:val="en-US" w:eastAsia="en-US"/>
        </w:rPr>
        <w:t xml:space="preserve"> </w:t>
      </w:r>
      <w:r w:rsidRPr="00ED1B59">
        <w:rPr>
          <w:rFonts w:eastAsia="Calibri"/>
          <w:lang w:val="en-US" w:eastAsia="en-US"/>
        </w:rPr>
        <w:t>the Legal Aid Law of 2002, in accordance with the EU Council Directive</w:t>
      </w:r>
      <w:r>
        <w:rPr>
          <w:rFonts w:eastAsia="Calibri"/>
          <w:lang w:val="en-US" w:eastAsia="en-US"/>
        </w:rPr>
        <w:t xml:space="preserve"> </w:t>
      </w:r>
      <w:r w:rsidRPr="00ED1B59">
        <w:rPr>
          <w:rFonts w:eastAsia="Calibri"/>
          <w:lang w:val="en-US" w:eastAsia="en-US"/>
        </w:rPr>
        <w:t>2005/85/EC on minimum standards on procedures in Member States for</w:t>
      </w:r>
      <w:r>
        <w:rPr>
          <w:rFonts w:eastAsia="Calibri"/>
          <w:lang w:val="en-US" w:eastAsia="en-US"/>
        </w:rPr>
        <w:t xml:space="preserve"> </w:t>
      </w:r>
      <w:r w:rsidRPr="00ED1B59">
        <w:rPr>
          <w:rFonts w:eastAsia="Calibri"/>
          <w:lang w:val="en-US" w:eastAsia="en-US"/>
        </w:rPr>
        <w:t>granting and withdrawing refugee status, to extend eligibility for free legal aid,</w:t>
      </w:r>
      <w:r>
        <w:rPr>
          <w:rFonts w:eastAsia="Calibri"/>
          <w:lang w:val="en-US" w:eastAsia="en-US"/>
        </w:rPr>
        <w:t xml:space="preserve"> </w:t>
      </w:r>
      <w:r w:rsidRPr="00ED1B59">
        <w:rPr>
          <w:rFonts w:eastAsia="Calibri"/>
          <w:lang w:val="en-US" w:eastAsia="en-US"/>
        </w:rPr>
        <w:t>including advice, help and representation, to asylum seekers and refugees in</w:t>
      </w:r>
      <w:r>
        <w:rPr>
          <w:rFonts w:eastAsia="Calibri"/>
          <w:lang w:val="en-US" w:eastAsia="en-US"/>
        </w:rPr>
        <w:t xml:space="preserve"> </w:t>
      </w:r>
      <w:r w:rsidRPr="00ED1B59">
        <w:rPr>
          <w:rFonts w:eastAsia="Calibri"/>
          <w:lang w:val="en-US" w:eastAsia="en-US"/>
        </w:rPr>
        <w:t>appeals before the Supreme Court. ECRI notes that applications for legal aid</w:t>
      </w:r>
      <w:r>
        <w:rPr>
          <w:rFonts w:eastAsia="Calibri"/>
          <w:lang w:val="en-US" w:eastAsia="en-US"/>
        </w:rPr>
        <w:t xml:space="preserve"> </w:t>
      </w:r>
      <w:r w:rsidRPr="00ED1B59">
        <w:rPr>
          <w:rFonts w:eastAsia="Calibri"/>
          <w:lang w:val="en-US" w:eastAsia="en-US"/>
        </w:rPr>
        <w:t>are subject to a means and merits test: asylum seekers must demonstrate that</w:t>
      </w:r>
      <w:r>
        <w:rPr>
          <w:rFonts w:eastAsia="Calibri"/>
          <w:lang w:val="en-US" w:eastAsia="en-US"/>
        </w:rPr>
        <w:t xml:space="preserve"> </w:t>
      </w:r>
      <w:r w:rsidRPr="00ED1B59">
        <w:rPr>
          <w:rFonts w:eastAsia="Calibri"/>
          <w:lang w:val="en-US" w:eastAsia="en-US"/>
        </w:rPr>
        <w:t>they lack sufficient financial resources and that the appeal is likely to succeed.</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1621B2">
        <w:rPr>
          <w:rFonts w:eastAsia="Calibri"/>
          <w:lang w:val="en-US" w:eastAsia="en-US"/>
        </w:rPr>
        <w:t>186. International and civil society organisations have reported major difficulties in the application of the new legislation. Firstly, no information has been provided to asylum seekers of the new legal aid possibility. Secondly, since most asylum seekers do not have sufficient command of the Greek language, it is almost impossible for them to formulate a successful legal aid application, particularly as regards the merits test. Thirdly, it is reported that as soon as a negative second instance decision is taken, a deportation order is faxed to the police and rejected asylum seekers are frequently arrested before they even receive the letter informing them of the negative decision of the Refugee Reviewing Authority or have a chance to appeal to the Supreme Court. Filing an appeal in any case does not have a suspensive effect on the deportation order. This raises questions concerning respect of the principle of non-refoulement. The authorities, however, have assured ECRI that the Asylum Service takes all necessary measures to ensure that the principle of non-refoulement is fully respected and that no deportation takes place before the examination of an asylum case is completed. Lastly, if legal aid is granted there is no list of lawyers specialising in asylum for asylum seekers to choose from.</w:t>
      </w:r>
    </w:p>
    <w:p w:rsidR="00FA0835" w:rsidP="00FA0835" w:rsidRDefault="00FA0835">
      <w:pPr>
        <w:pStyle w:val="JuQuot"/>
        <w:spacing w:before="0" w:after="0"/>
        <w:ind w:firstLine="0"/>
        <w:rPr>
          <w:rFonts w:eastAsia="Calibri"/>
          <w:lang w:val="en-US" w:eastAsia="en-US"/>
        </w:rPr>
      </w:pPr>
    </w:p>
    <w:p w:rsidRPr="001621B2" w:rsidR="00FA0835" w:rsidP="00FA0835" w:rsidRDefault="00FA0835">
      <w:pPr>
        <w:pStyle w:val="JuQuot"/>
        <w:spacing w:before="0" w:after="0"/>
        <w:ind w:firstLine="0"/>
        <w:rPr>
          <w:rFonts w:eastAsia="Calibri"/>
          <w:lang w:val="en-US" w:eastAsia="en-US"/>
        </w:rPr>
      </w:pPr>
      <w:r w:rsidRPr="001621B2">
        <w:rPr>
          <w:rFonts w:eastAsia="Calibri"/>
          <w:lang w:val="en-US" w:eastAsia="en-US"/>
        </w:rPr>
        <w:t>187. ECRI understands that only two asylum seekers have been granted legal aid since the adoption of the amendment in December 2009 and around 100 have represented themselves before the Supreme Court without legal aid. Moreover, very few decisions have been made by the Supreme Court to send a case back to the Refugee Reviewing Authority.</w:t>
      </w:r>
    </w:p>
    <w:p w:rsidRPr="001621B2"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1621B2">
        <w:rPr>
          <w:rFonts w:eastAsia="Calibri"/>
          <w:lang w:val="en-US" w:eastAsia="en-US"/>
        </w:rPr>
        <w:t>188. ECRI recommends that the authorities ensure that asylum seekers have access to appropriate legal aid throughout the asylum application procedure and not just at the appeal stage.</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1621B2">
        <w:rPr>
          <w:rFonts w:eastAsia="Calibri"/>
          <w:lang w:val="en-US" w:eastAsia="en-US"/>
        </w:rPr>
        <w:t>189. ECRI recommends that the authorities ensure that asylum seekers are fully aware of the availability of legal aid to challenge negative asylum decisions before the Supreme Court.</w:t>
      </w:r>
    </w:p>
    <w:p w:rsidR="00FA0835" w:rsidP="00FA0835" w:rsidRDefault="00FA0835">
      <w:pPr>
        <w:pStyle w:val="JuQuot"/>
        <w:spacing w:before="0" w:after="0"/>
        <w:ind w:firstLine="0"/>
        <w:rPr>
          <w:rFonts w:eastAsia="Calibri"/>
          <w:lang w:val="en-US" w:eastAsia="en-US"/>
        </w:rPr>
      </w:pPr>
    </w:p>
    <w:p w:rsidR="00FA0835" w:rsidP="00FA0835" w:rsidRDefault="00FA0835">
      <w:pPr>
        <w:pStyle w:val="JuQuot"/>
        <w:spacing w:before="0" w:after="0"/>
        <w:ind w:firstLine="0"/>
        <w:rPr>
          <w:rFonts w:eastAsia="Calibri"/>
          <w:lang w:val="en-US" w:eastAsia="en-US"/>
        </w:rPr>
      </w:pPr>
      <w:r w:rsidRPr="001621B2">
        <w:rPr>
          <w:rFonts w:eastAsia="Calibri"/>
          <w:lang w:val="en-US" w:eastAsia="en-US"/>
        </w:rPr>
        <w:t>195. As administrative decisions, detention and deportation can be appealed at the</w:t>
      </w:r>
      <w:r>
        <w:rPr>
          <w:rFonts w:eastAsia="Calibri"/>
          <w:lang w:val="en-US" w:eastAsia="en-US"/>
        </w:rPr>
        <w:t xml:space="preserve"> </w:t>
      </w:r>
      <w:r w:rsidRPr="001621B2">
        <w:rPr>
          <w:rFonts w:eastAsia="Calibri"/>
          <w:lang w:val="en-US" w:eastAsia="en-US"/>
        </w:rPr>
        <w:t>Supreme Court. However, as observed in ECRI</w:t>
      </w:r>
      <w:r w:rsidR="00A7319E">
        <w:rPr>
          <w:rFonts w:eastAsia="Calibri"/>
          <w:lang w:val="en-US" w:eastAsia="en-US"/>
        </w:rPr>
        <w:t>’</w:t>
      </w:r>
      <w:r w:rsidRPr="001621B2">
        <w:rPr>
          <w:rFonts w:eastAsia="Calibri"/>
          <w:lang w:val="en-US" w:eastAsia="en-US"/>
        </w:rPr>
        <w:t>s third report, an appeal has no</w:t>
      </w:r>
      <w:r>
        <w:rPr>
          <w:rFonts w:eastAsia="Calibri"/>
          <w:lang w:val="en-US" w:eastAsia="en-US"/>
        </w:rPr>
        <w:t xml:space="preserve"> </w:t>
      </w:r>
      <w:r w:rsidRPr="001621B2">
        <w:rPr>
          <w:rFonts w:eastAsia="Calibri"/>
          <w:lang w:val="en-US" w:eastAsia="en-US"/>
        </w:rPr>
        <w:t>suspensive effect, unless an interim injunction is granted by the Supreme Court.</w:t>
      </w:r>
      <w:r>
        <w:rPr>
          <w:rFonts w:eastAsia="Calibri"/>
          <w:lang w:val="en-US" w:eastAsia="en-US"/>
        </w:rPr>
        <w:t>”</w:t>
      </w:r>
    </w:p>
    <w:p w:rsidR="00FA0835" w:rsidP="00FA0835" w:rsidRDefault="00FA0835">
      <w:pPr>
        <w:pStyle w:val="JuHA"/>
        <w:rPr>
          <w:rStyle w:val="s7d2086b4"/>
        </w:rPr>
      </w:pPr>
      <w:r w:rsidRPr="00545887">
        <w:rPr>
          <w:rStyle w:val="s7d2086b4"/>
        </w:rPr>
        <w:t>B.</w:t>
      </w:r>
      <w:r w:rsidRPr="00545887">
        <w:rPr>
          <w:lang w:eastAsia="en-GB"/>
        </w:rPr>
        <w:t>  </w:t>
      </w:r>
      <w:r w:rsidRPr="00545887">
        <w:rPr>
          <w:rStyle w:val="s7d2086b4"/>
        </w:rPr>
        <w:t>Relevant European Union Law</w:t>
      </w:r>
    </w:p>
    <w:p w:rsidRPr="000B50B1" w:rsidR="00FA0835" w:rsidP="00FA0835" w:rsidRDefault="00FA0835">
      <w:pPr>
        <w:pStyle w:val="JuPara"/>
        <w:rPr>
          <w:lang w:eastAsia="en-GB"/>
        </w:rPr>
      </w:pPr>
      <w:r w:rsidRPr="004206F2">
        <w:rPr>
          <w:lang w:eastAsia="en-GB"/>
        </w:rPr>
        <w:fldChar w:fldCharType="begin"/>
      </w:r>
      <w:r w:rsidRPr="004206F2">
        <w:rPr>
          <w:lang w:eastAsia="en-GB"/>
        </w:rPr>
        <w:instrText xml:space="preserve"> SEQ level0 \*arabic </w:instrText>
      </w:r>
      <w:r w:rsidRPr="004206F2">
        <w:rPr>
          <w:lang w:eastAsia="en-GB"/>
        </w:rPr>
        <w:fldChar w:fldCharType="separate"/>
      </w:r>
      <w:r w:rsidR="00C5470A">
        <w:rPr>
          <w:noProof/>
          <w:lang w:eastAsia="en-GB"/>
        </w:rPr>
        <w:t>98</w:t>
      </w:r>
      <w:r w:rsidRPr="004206F2">
        <w:rPr>
          <w:lang w:eastAsia="en-GB"/>
        </w:rPr>
        <w:fldChar w:fldCharType="end"/>
      </w:r>
      <w:r w:rsidRPr="00D2390B">
        <w:rPr>
          <w:lang w:eastAsia="en-GB"/>
        </w:rPr>
        <w:t>.  Article 15 of Directive 2008/115/EC of the European Parliament and of the Council of 16 December 2008 on common standards and procedures in Member States for returning illegally staying third-country nationals</w:t>
      </w:r>
      <w:r>
        <w:rPr>
          <w:lang w:eastAsia="en-GB"/>
        </w:rPr>
        <w:t xml:space="preserve"> stipulates </w:t>
      </w:r>
      <w:r w:rsidRPr="00D2390B">
        <w:rPr>
          <w:lang w:eastAsia="en-GB"/>
        </w:rPr>
        <w:t>that:</w:t>
      </w:r>
    </w:p>
    <w:p w:rsidRPr="00D2390B" w:rsidR="00FA0835" w:rsidP="00FA0835" w:rsidRDefault="00FA0835">
      <w:pPr>
        <w:pStyle w:val="JuQuot"/>
        <w:spacing w:before="100" w:beforeAutospacing="1" w:after="100" w:afterAutospacing="1"/>
        <w:rPr>
          <w:lang w:val="en" w:eastAsia="en-GB"/>
        </w:rPr>
      </w:pPr>
      <w:r>
        <w:rPr>
          <w:lang w:val="en" w:eastAsia="en-GB"/>
        </w:rPr>
        <w:t>“</w:t>
      </w:r>
      <w:r w:rsidRPr="00D2390B">
        <w:rPr>
          <w:lang w:val="en" w:eastAsia="en-GB"/>
        </w:rPr>
        <w:t>1.</w:t>
      </w:r>
      <w:r>
        <w:rPr>
          <w:lang w:val="en" w:eastAsia="en-GB"/>
        </w:rPr>
        <w:t>  </w:t>
      </w:r>
      <w:r w:rsidRPr="00D2390B">
        <w:rPr>
          <w:lang w:val="en" w:eastAsia="en-GB"/>
        </w:rPr>
        <w:t>Unless other sufficient but less coercive measures can be applied effectively in a specific case, Member States may only keep in detention a third-country national who is the subject of return procedures in order to prepare the return and/or carry out the removal process, in particular when:</w:t>
      </w:r>
    </w:p>
    <w:p w:rsidRPr="00D2390B" w:rsidR="00FA0835" w:rsidP="00FA0835" w:rsidRDefault="00FA0835">
      <w:pPr>
        <w:pStyle w:val="JuQuot"/>
        <w:spacing w:before="100" w:beforeAutospacing="1" w:after="100" w:afterAutospacing="1"/>
        <w:rPr>
          <w:lang w:val="en" w:eastAsia="en-GB"/>
        </w:rPr>
      </w:pPr>
      <w:r w:rsidRPr="00D2390B">
        <w:rPr>
          <w:lang w:val="en" w:eastAsia="en-GB"/>
        </w:rPr>
        <w:t>(a)</w:t>
      </w:r>
      <w:r>
        <w:rPr>
          <w:lang w:val="en" w:eastAsia="en-GB"/>
        </w:rPr>
        <w:t>  </w:t>
      </w:r>
      <w:r w:rsidRPr="00D2390B">
        <w:rPr>
          <w:lang w:val="en" w:eastAsia="en-GB"/>
        </w:rPr>
        <w:t>there is a risk of absconding or</w:t>
      </w:r>
    </w:p>
    <w:p w:rsidRPr="00D2390B" w:rsidR="00FA0835" w:rsidP="00FA0835" w:rsidRDefault="00FA0835">
      <w:pPr>
        <w:pStyle w:val="JuQuot"/>
        <w:spacing w:before="100" w:beforeAutospacing="1" w:after="100" w:afterAutospacing="1"/>
        <w:rPr>
          <w:lang w:val="en" w:eastAsia="en-GB"/>
        </w:rPr>
      </w:pPr>
      <w:r w:rsidRPr="00D2390B">
        <w:rPr>
          <w:lang w:val="en" w:eastAsia="en-GB"/>
        </w:rPr>
        <w:t>(b)</w:t>
      </w:r>
      <w:r>
        <w:rPr>
          <w:lang w:val="en" w:eastAsia="en-GB"/>
        </w:rPr>
        <w:t>  </w:t>
      </w:r>
      <w:r w:rsidRPr="00D2390B">
        <w:rPr>
          <w:lang w:val="en" w:eastAsia="en-GB"/>
        </w:rPr>
        <w:t>the third-country national concerned avoids or hampers the preparation of return or the removal process.</w:t>
      </w:r>
    </w:p>
    <w:p w:rsidRPr="00D2390B" w:rsidR="00FA0835" w:rsidP="00FA0835" w:rsidRDefault="00FA0835">
      <w:pPr>
        <w:pStyle w:val="JuQuot"/>
        <w:spacing w:before="100" w:beforeAutospacing="1" w:after="100" w:afterAutospacing="1"/>
        <w:rPr>
          <w:lang w:val="en" w:eastAsia="en-GB"/>
        </w:rPr>
      </w:pPr>
      <w:r w:rsidRPr="00D2390B">
        <w:rPr>
          <w:lang w:val="en" w:eastAsia="en-GB"/>
        </w:rPr>
        <w:t>Any detention shall be for as short a period as possible and only maintained as long as removal arrangements are in progress and executed with due diligence</w:t>
      </w:r>
    </w:p>
    <w:p w:rsidR="00FA0835" w:rsidP="00FA0835" w:rsidRDefault="00FA0835">
      <w:pPr>
        <w:pStyle w:val="JuQuot"/>
        <w:spacing w:before="100" w:beforeAutospacing="1" w:after="100" w:afterAutospacing="1"/>
        <w:rPr>
          <w:lang w:val="en"/>
        </w:rPr>
      </w:pPr>
      <w:r w:rsidRPr="00D2390B">
        <w:rPr>
          <w:lang w:val="en"/>
        </w:rPr>
        <w:t>2.</w:t>
      </w:r>
      <w:r>
        <w:rPr>
          <w:lang w:val="en"/>
        </w:rPr>
        <w:t>  </w:t>
      </w:r>
      <w:r w:rsidRPr="00D2390B">
        <w:rPr>
          <w:lang w:val="en"/>
        </w:rPr>
        <w:t>Detention shall be ordered by administrative or judicial authorities.</w:t>
      </w:r>
    </w:p>
    <w:p w:rsidRPr="00D2390B" w:rsidR="00FA0835" w:rsidP="00FA0835" w:rsidRDefault="00FA0835">
      <w:pPr>
        <w:pStyle w:val="JuQuot"/>
        <w:spacing w:before="100" w:beforeAutospacing="1" w:after="100" w:afterAutospacing="1"/>
        <w:rPr>
          <w:lang w:val="en"/>
        </w:rPr>
      </w:pPr>
      <w:r w:rsidRPr="00D2390B">
        <w:rPr>
          <w:lang w:val="en"/>
        </w:rPr>
        <w:t>Detention shall be ordered in writing with reasons being given in fact and in law.</w:t>
      </w:r>
    </w:p>
    <w:p w:rsidRPr="00D2390B" w:rsidR="00FA0835" w:rsidP="00FA0835" w:rsidRDefault="00FA0835">
      <w:pPr>
        <w:pStyle w:val="JuQuot"/>
        <w:spacing w:before="100" w:beforeAutospacing="1" w:after="100" w:afterAutospacing="1"/>
        <w:rPr>
          <w:lang w:val="en"/>
        </w:rPr>
      </w:pPr>
      <w:r w:rsidRPr="00D2390B">
        <w:rPr>
          <w:lang w:val="en"/>
        </w:rPr>
        <w:t>When detention has been ordered by administrative authorities, Member States shall:</w:t>
      </w:r>
    </w:p>
    <w:p w:rsidRPr="00D2390B" w:rsidR="00FA0835" w:rsidP="00FA0835" w:rsidRDefault="00FA0835">
      <w:pPr>
        <w:pStyle w:val="JuQuot"/>
        <w:spacing w:before="100" w:beforeAutospacing="1" w:after="100" w:afterAutospacing="1"/>
        <w:rPr>
          <w:lang w:eastAsia="en-GB"/>
        </w:rPr>
      </w:pPr>
      <w:r w:rsidRPr="00D2390B">
        <w:rPr>
          <w:lang w:eastAsia="en-GB"/>
        </w:rPr>
        <w:t>(a)</w:t>
      </w:r>
      <w:r>
        <w:rPr>
          <w:lang w:eastAsia="en-GB"/>
        </w:rPr>
        <w:t>  </w:t>
      </w:r>
      <w:r w:rsidRPr="00D2390B">
        <w:rPr>
          <w:lang w:eastAsia="en-GB"/>
        </w:rPr>
        <w:t>either provide for a speedy judicial review of the lawfulness of detention to be decided on as speedily as possible from the beginning of detention;</w:t>
      </w:r>
    </w:p>
    <w:p w:rsidR="00FA0835" w:rsidP="00FA0835" w:rsidRDefault="00FA0835">
      <w:pPr>
        <w:pStyle w:val="JuQuot"/>
        <w:spacing w:before="100" w:beforeAutospacing="1" w:after="100" w:afterAutospacing="1"/>
        <w:rPr>
          <w:lang w:eastAsia="en-GB"/>
        </w:rPr>
      </w:pPr>
      <w:r w:rsidRPr="00D2390B">
        <w:rPr>
          <w:lang w:eastAsia="en-GB"/>
        </w:rPr>
        <w:t>(b)</w:t>
      </w:r>
      <w:r>
        <w:rPr>
          <w:lang w:eastAsia="en-GB"/>
        </w:rPr>
        <w:t>  </w:t>
      </w:r>
      <w:r w:rsidRPr="00D2390B">
        <w:rPr>
          <w:lang w:eastAsia="en-GB"/>
        </w:rPr>
        <w:t>or grant the third-country national concerned the right to take proceedings by means of which the lawfulness of detention shall be subject to a speedy judicial review to be decided on as speedily as possible after the launch of the relevant proceedings. In such a case Member States shall immediately inform the third-country national concerned about the possibility of taking such proceedings.”</w:t>
      </w:r>
    </w:p>
    <w:p w:rsidRPr="00D2390B" w:rsidR="00FA0835" w:rsidP="00FA0835" w:rsidRDefault="00FA0835">
      <w:pPr>
        <w:pStyle w:val="JuQuot"/>
        <w:spacing w:before="100" w:beforeAutospacing="1" w:after="100" w:afterAutospacing="1"/>
        <w:rPr>
          <w:lang w:val="en" w:eastAsia="en-GB"/>
        </w:rPr>
      </w:pPr>
      <w:r w:rsidRPr="00D2390B">
        <w:rPr>
          <w:lang w:val="en" w:eastAsia="en-GB"/>
        </w:rPr>
        <w:t>The third-country national concerned shall be released immediately if the detention is not lawful.</w:t>
      </w:r>
    </w:p>
    <w:p w:rsidRPr="00D2390B" w:rsidR="00FA0835" w:rsidP="00FA0835" w:rsidRDefault="00FA0835">
      <w:pPr>
        <w:pStyle w:val="JuQuot"/>
        <w:spacing w:before="100" w:beforeAutospacing="1" w:after="100" w:afterAutospacing="1"/>
        <w:rPr>
          <w:lang w:val="en" w:eastAsia="en-GB"/>
        </w:rPr>
      </w:pPr>
      <w:r w:rsidRPr="00D2390B">
        <w:rPr>
          <w:lang w:val="en" w:eastAsia="en-GB"/>
        </w:rPr>
        <w:t>3.</w:t>
      </w:r>
      <w:r>
        <w:rPr>
          <w:lang w:val="en" w:eastAsia="en-GB"/>
        </w:rPr>
        <w:t>  </w:t>
      </w:r>
      <w:r w:rsidRPr="00D2390B">
        <w:rPr>
          <w:lang w:val="en" w:eastAsia="en-GB"/>
        </w:rPr>
        <w:t>In every case, detention shall be reviewed at reasonable intervals of time either on application by the third-country national concerned or ex officio. In the case of prolonged detention periods, reviews shall be subject to the supervision of a judicial authority.</w:t>
      </w:r>
    </w:p>
    <w:p w:rsidRPr="00D2390B" w:rsidR="00FA0835" w:rsidP="00FA0835" w:rsidRDefault="00FA0835">
      <w:pPr>
        <w:pStyle w:val="JuQuot"/>
        <w:spacing w:before="100" w:beforeAutospacing="1" w:after="100" w:afterAutospacing="1"/>
        <w:rPr>
          <w:lang w:val="en" w:eastAsia="en-GB"/>
        </w:rPr>
      </w:pPr>
      <w:r w:rsidRPr="00D2390B">
        <w:rPr>
          <w:lang w:val="en" w:eastAsia="en-GB"/>
        </w:rPr>
        <w:t>4.</w:t>
      </w:r>
      <w:r>
        <w:rPr>
          <w:lang w:val="en" w:eastAsia="en-GB"/>
        </w:rPr>
        <w:t>  </w:t>
      </w:r>
      <w:r w:rsidRPr="00D2390B">
        <w:rPr>
          <w:lang w:val="en" w:eastAsia="en-GB"/>
        </w:rPr>
        <w:t>When it appears that a reasonable prospect of removal no longer exists for legal or other considerations or the conditions laid down in paragraph 1 no longer exist, detention ceases to be justified and the person concerned shall be released immediately.</w:t>
      </w:r>
    </w:p>
    <w:p w:rsidRPr="00D2390B" w:rsidR="00FA0835" w:rsidP="00FA0835" w:rsidRDefault="00FA0835">
      <w:pPr>
        <w:pStyle w:val="JuQuot"/>
        <w:spacing w:before="100" w:beforeAutospacing="1" w:after="100" w:afterAutospacing="1"/>
        <w:rPr>
          <w:lang w:val="en" w:eastAsia="en-GB"/>
        </w:rPr>
      </w:pPr>
      <w:r w:rsidRPr="00D2390B">
        <w:rPr>
          <w:lang w:val="en" w:eastAsia="en-GB"/>
        </w:rPr>
        <w:t>5.</w:t>
      </w:r>
      <w:r>
        <w:rPr>
          <w:lang w:val="en" w:eastAsia="en-GB"/>
        </w:rPr>
        <w:t>  </w:t>
      </w:r>
      <w:r w:rsidRPr="00D2390B">
        <w:rPr>
          <w:lang w:val="en" w:eastAsia="en-GB"/>
        </w:rPr>
        <w:t>Detention shall be maintained for as long a period as the conditions laid down in paragraph 1 are fulfilled and it is necessary to ensure successful removal. Each Member State shall set a limited period of detention, which may not exceed six months.</w:t>
      </w:r>
    </w:p>
    <w:p w:rsidRPr="00D2390B" w:rsidR="00FA0835" w:rsidP="00FA0835" w:rsidRDefault="00FA0835">
      <w:pPr>
        <w:pStyle w:val="JuQuot"/>
        <w:spacing w:before="100" w:beforeAutospacing="1" w:after="100" w:afterAutospacing="1"/>
        <w:rPr>
          <w:lang w:val="en" w:eastAsia="en-GB"/>
        </w:rPr>
      </w:pPr>
      <w:r w:rsidRPr="00D2390B">
        <w:rPr>
          <w:lang w:val="en" w:eastAsia="en-GB"/>
        </w:rPr>
        <w:t>6.</w:t>
      </w:r>
      <w:r>
        <w:rPr>
          <w:lang w:val="en" w:eastAsia="en-GB"/>
        </w:rPr>
        <w:t>  </w:t>
      </w:r>
      <w:r w:rsidRPr="00D2390B">
        <w:rPr>
          <w:lang w:val="en" w:eastAsia="en-GB"/>
        </w:rPr>
        <w:t>Member States may not extend the period referred to in paragraph 5 except for a limited period not exceeding a further twelve months in accordance with national law in cases where regardless of all their reasonable efforts the removal operation is likely to last longer owing to:</w:t>
      </w:r>
    </w:p>
    <w:p w:rsidRPr="00D2390B" w:rsidR="00FA0835" w:rsidP="00FA0835" w:rsidRDefault="00FA0835">
      <w:pPr>
        <w:pStyle w:val="JuQuot"/>
        <w:spacing w:before="100" w:beforeAutospacing="1" w:after="100" w:afterAutospacing="1"/>
        <w:rPr>
          <w:lang w:val="en" w:eastAsia="en-GB"/>
        </w:rPr>
      </w:pPr>
      <w:r w:rsidRPr="00D2390B">
        <w:rPr>
          <w:lang w:val="en" w:eastAsia="en-GB"/>
        </w:rPr>
        <w:t>(a)</w:t>
      </w:r>
      <w:r>
        <w:rPr>
          <w:lang w:val="en" w:eastAsia="en-GB"/>
        </w:rPr>
        <w:t>  </w:t>
      </w:r>
      <w:r w:rsidRPr="00D2390B">
        <w:rPr>
          <w:lang w:val="en" w:eastAsia="en-GB"/>
        </w:rPr>
        <w:t>a lack of cooperation by the third-country national concerned, or</w:t>
      </w:r>
    </w:p>
    <w:p w:rsidRPr="00D2390B" w:rsidR="00FA0835" w:rsidP="00FA0835" w:rsidRDefault="00FA0835">
      <w:pPr>
        <w:pStyle w:val="JuQuot"/>
        <w:spacing w:before="100" w:beforeAutospacing="1" w:after="100" w:afterAutospacing="1"/>
        <w:rPr>
          <w:lang w:val="en" w:eastAsia="en-GB"/>
        </w:rPr>
      </w:pPr>
      <w:r w:rsidRPr="00D2390B">
        <w:rPr>
          <w:lang w:val="en" w:eastAsia="en-GB"/>
        </w:rPr>
        <w:t>(b)</w:t>
      </w:r>
      <w:r>
        <w:rPr>
          <w:lang w:val="en" w:eastAsia="en-GB"/>
        </w:rPr>
        <w:t>  </w:t>
      </w:r>
      <w:r w:rsidRPr="00D2390B">
        <w:rPr>
          <w:lang w:val="en" w:eastAsia="en-GB"/>
        </w:rPr>
        <w:t>delays in obtaining the necessary documentation from third countries.</w:t>
      </w:r>
      <w:r>
        <w:rPr>
          <w:lang w:val="en" w:eastAsia="en-GB"/>
        </w:rPr>
        <w:t>”</w:t>
      </w:r>
    </w:p>
    <w:p w:rsidR="00FA0835" w:rsidP="00FA0835" w:rsidRDefault="00FA0835">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C5470A">
        <w:rPr>
          <w:noProof/>
          <w:lang w:eastAsia="en-GB"/>
        </w:rPr>
        <w:t>99</w:t>
      </w:r>
      <w:r>
        <w:rPr>
          <w:lang w:eastAsia="en-GB"/>
        </w:rPr>
        <w:fldChar w:fldCharType="end"/>
      </w:r>
      <w:r>
        <w:rPr>
          <w:lang w:eastAsia="en-GB"/>
        </w:rPr>
        <w:t>.  </w:t>
      </w:r>
      <w:r w:rsidRPr="004206F2">
        <w:rPr>
          <w:lang w:eastAsia="en-GB"/>
        </w:rPr>
        <w:t xml:space="preserve">Article </w:t>
      </w:r>
      <w:r>
        <w:rPr>
          <w:lang w:eastAsia="en-GB"/>
        </w:rPr>
        <w:t>18</w:t>
      </w:r>
      <w:r>
        <w:t xml:space="preserve"> (2)</w:t>
      </w:r>
      <w:r w:rsidRPr="004206F2">
        <w:rPr>
          <w:lang w:eastAsia="en-GB"/>
        </w:rPr>
        <w:t xml:space="preserve"> of </w:t>
      </w:r>
      <w:r>
        <w:rPr>
          <w:lang w:eastAsia="en-GB"/>
        </w:rPr>
        <w:t xml:space="preserve">Council </w:t>
      </w:r>
      <w:r w:rsidRPr="004206F2">
        <w:rPr>
          <w:lang w:eastAsia="en-GB"/>
        </w:rPr>
        <w:t>Directive 200</w:t>
      </w:r>
      <w:r>
        <w:rPr>
          <w:lang w:eastAsia="en-GB"/>
        </w:rPr>
        <w:t>5</w:t>
      </w:r>
      <w:r w:rsidRPr="004206F2">
        <w:rPr>
          <w:lang w:eastAsia="en-GB"/>
        </w:rPr>
        <w:t>/</w:t>
      </w:r>
      <w:r>
        <w:rPr>
          <w:lang w:eastAsia="en-GB"/>
        </w:rPr>
        <w:t>85</w:t>
      </w:r>
      <w:r w:rsidRPr="004206F2">
        <w:rPr>
          <w:lang w:eastAsia="en-GB"/>
        </w:rPr>
        <w:t>/EC of 1 December 200</w:t>
      </w:r>
      <w:r>
        <w:rPr>
          <w:lang w:eastAsia="en-GB"/>
        </w:rPr>
        <w:t>5</w:t>
      </w:r>
      <w:r w:rsidRPr="004206F2">
        <w:rPr>
          <w:lang w:eastAsia="en-GB"/>
        </w:rPr>
        <w:t xml:space="preserve"> on </w:t>
      </w:r>
      <w:r>
        <w:rPr>
          <w:lang w:eastAsia="en-GB"/>
        </w:rPr>
        <w:t>minimum</w:t>
      </w:r>
      <w:r w:rsidRPr="004206F2">
        <w:rPr>
          <w:lang w:eastAsia="en-GB"/>
        </w:rPr>
        <w:t xml:space="preserve"> standards </w:t>
      </w:r>
      <w:r>
        <w:rPr>
          <w:lang w:eastAsia="en-GB"/>
        </w:rPr>
        <w:t>on</w:t>
      </w:r>
      <w:r w:rsidRPr="004206F2">
        <w:rPr>
          <w:lang w:eastAsia="en-GB"/>
        </w:rPr>
        <w:t xml:space="preserve"> procedures in Member States for </w:t>
      </w:r>
      <w:r>
        <w:rPr>
          <w:lang w:eastAsia="en-GB"/>
        </w:rPr>
        <w:t>granting and withdrawing refugee status</w:t>
      </w:r>
      <w:r w:rsidRPr="004206F2">
        <w:rPr>
          <w:lang w:eastAsia="en-GB"/>
        </w:rPr>
        <w:t xml:space="preserve"> </w:t>
      </w:r>
      <w:r>
        <w:t xml:space="preserve">provides that </w:t>
      </w:r>
      <w:r>
        <w:rPr>
          <w:lang w:eastAsia="en-GB"/>
        </w:rPr>
        <w:t>where an applicant for asylum is held in detention, Member States shall ensure that there is a possibility of speedy judicial review.</w:t>
      </w:r>
    </w:p>
    <w:p w:rsidR="00FA0835" w:rsidP="00FA0835" w:rsidRDefault="00FA0835">
      <w:pPr>
        <w:pStyle w:val="JuHA"/>
        <w:rPr>
          <w:rStyle w:val="s7d2086b4"/>
        </w:rPr>
      </w:pPr>
      <w:r>
        <w:rPr>
          <w:rStyle w:val="s7d2086b4"/>
        </w:rPr>
        <w:t>C.</w:t>
      </w:r>
      <w:r>
        <w:rPr>
          <w:rFonts w:eastAsia="AmnestyTradeGothic-BdCn20"/>
        </w:rPr>
        <w:t>  </w:t>
      </w:r>
      <w:r>
        <w:rPr>
          <w:rStyle w:val="s7d2086b4"/>
        </w:rPr>
        <w:t>Amnesty International reports</w:t>
      </w:r>
    </w:p>
    <w:p w:rsidR="00FA0835" w:rsidP="00FA0835" w:rsidRDefault="00FA0835">
      <w:pPr>
        <w:pStyle w:val="JuH1"/>
        <w:rPr>
          <w:rFonts w:eastAsia="AmnestyTradeGothic-BdCn20"/>
        </w:rPr>
      </w:pPr>
      <w:r>
        <w:rPr>
          <w:rFonts w:eastAsia="AmnestyTradeGothic-BdCn20"/>
        </w:rPr>
        <w:t>1.</w:t>
      </w:r>
      <w:r w:rsidRPr="00A419AE">
        <w:rPr>
          <w:rFonts w:eastAsia="AmnestyTradeGothic-BdCn20"/>
        </w:rPr>
        <w:t>  </w:t>
      </w:r>
      <w:r>
        <w:rPr>
          <w:rFonts w:eastAsia="AmnestyTradeGothic-BdCn20"/>
        </w:rPr>
        <w:t>Report concerning the detention of migrants and asylum-seekers in Cyprus</w:t>
      </w:r>
    </w:p>
    <w:p w:rsidR="00FA0835" w:rsidP="00FA0835" w:rsidRDefault="00FA0835">
      <w:pPr>
        <w:pStyle w:val="JuPara"/>
        <w:rPr>
          <w:rStyle w:val="sb8d990e2"/>
        </w:rPr>
      </w:pPr>
      <w:r>
        <w:rPr>
          <w:rFonts w:eastAsia="AmnestyTradeGothic-BdCn20"/>
        </w:rPr>
        <w:fldChar w:fldCharType="begin"/>
      </w:r>
      <w:r>
        <w:rPr>
          <w:rFonts w:eastAsia="AmnestyTradeGothic-BdCn20"/>
        </w:rPr>
        <w:instrText xml:space="preserve"> SEQ level0 \*arabic </w:instrText>
      </w:r>
      <w:r>
        <w:rPr>
          <w:rFonts w:eastAsia="AmnestyTradeGothic-BdCn20"/>
        </w:rPr>
        <w:fldChar w:fldCharType="separate"/>
      </w:r>
      <w:r w:rsidR="00C5470A">
        <w:rPr>
          <w:rFonts w:eastAsia="AmnestyTradeGothic-BdCn20"/>
          <w:noProof/>
        </w:rPr>
        <w:t>100</w:t>
      </w:r>
      <w:r>
        <w:rPr>
          <w:rFonts w:eastAsia="AmnestyTradeGothic-BdCn20"/>
        </w:rPr>
        <w:fldChar w:fldCharType="end"/>
      </w:r>
      <w:r>
        <w:rPr>
          <w:rFonts w:eastAsia="AmnestyTradeGothic-BdCn20"/>
        </w:rPr>
        <w:t>.  </w:t>
      </w:r>
      <w:r>
        <w:rPr>
          <w:rStyle w:val="sb8d990e2"/>
        </w:rPr>
        <w:t>I</w:t>
      </w:r>
      <w:r w:rsidRPr="00682F9F">
        <w:rPr>
          <w:rStyle w:val="sb8d990e2"/>
        </w:rPr>
        <w:t xml:space="preserve">n June 2012 </w:t>
      </w:r>
      <w:r w:rsidRPr="00682F9F">
        <w:rPr>
          <w:rStyle w:val="wordhighlighted"/>
        </w:rPr>
        <w:t>Amnesty International</w:t>
      </w:r>
      <w:r w:rsidRPr="00682F9F">
        <w:rPr>
          <w:rStyle w:val="sb8d990e2"/>
        </w:rPr>
        <w:t xml:space="preserve"> published a report on the detention of migrants and asylum-seekers in Cyprus </w:t>
      </w:r>
      <w:r>
        <w:rPr>
          <w:rStyle w:val="sb8d990e2"/>
        </w:rPr>
        <w:t>en</w:t>
      </w:r>
      <w:r w:rsidRPr="00682F9F">
        <w:rPr>
          <w:rStyle w:val="sb8d990e2"/>
        </w:rPr>
        <w:t>titled “Punishment without a crime”.</w:t>
      </w:r>
    </w:p>
    <w:p w:rsidR="00FA0835" w:rsidP="00FA0835" w:rsidRDefault="00FA0835">
      <w:pPr>
        <w:pStyle w:val="JuPara"/>
      </w:pPr>
      <w:r w:rsidRPr="00682F9F">
        <w:rPr>
          <w:rStyle w:val="sb8d990e2"/>
        </w:rPr>
        <w:fldChar w:fldCharType="begin"/>
      </w:r>
      <w:r w:rsidRPr="00682F9F">
        <w:rPr>
          <w:rStyle w:val="sb8d990e2"/>
        </w:rPr>
        <w:instrText xml:space="preserve"> SEQ level0 \*arabic </w:instrText>
      </w:r>
      <w:r w:rsidRPr="00682F9F">
        <w:rPr>
          <w:rStyle w:val="sb8d990e2"/>
        </w:rPr>
        <w:fldChar w:fldCharType="separate"/>
      </w:r>
      <w:r w:rsidR="00C5470A">
        <w:rPr>
          <w:rStyle w:val="sb8d990e2"/>
          <w:noProof/>
        </w:rPr>
        <w:t>101</w:t>
      </w:r>
      <w:r w:rsidRPr="00682F9F">
        <w:rPr>
          <w:rStyle w:val="sb8d990e2"/>
        </w:rPr>
        <w:fldChar w:fldCharType="end"/>
      </w:r>
      <w:r w:rsidRPr="00682F9F">
        <w:rPr>
          <w:rStyle w:val="sb8d990e2"/>
        </w:rPr>
        <w:t xml:space="preserve">.  In the report </w:t>
      </w:r>
      <w:r w:rsidRPr="00682F9F">
        <w:t xml:space="preserve">Amnesty International, noted, </w:t>
      </w:r>
      <w:r w:rsidRPr="00682F9F">
        <w:rPr>
          <w:i/>
        </w:rPr>
        <w:t>inter alia</w:t>
      </w:r>
      <w:r w:rsidRPr="00682F9F">
        <w:t>, that it had been made aware of asylum-seekers whose claims had been rejected at the initial stage and at appeal level, and who ha</w:t>
      </w:r>
      <w:r>
        <w:t>d</w:t>
      </w:r>
      <w:r w:rsidRPr="00682F9F">
        <w:t xml:space="preserve"> subsequently been apprehended and </w:t>
      </w:r>
      <w:r>
        <w:t>kept</w:t>
      </w:r>
      <w:r w:rsidRPr="00682F9F">
        <w:t xml:space="preserve"> in detention pending deportation even though they were awaiting a decision by the Supreme Court on their challenge</w:t>
      </w:r>
      <w:r>
        <w:t>s</w:t>
      </w:r>
      <w:r w:rsidRPr="00682F9F">
        <w:t xml:space="preserve"> against the rejection of their asylum application</w:t>
      </w:r>
      <w:r>
        <w:t>s</w:t>
      </w:r>
      <w:r w:rsidRPr="00682F9F">
        <w:t xml:space="preserve">. This was because </w:t>
      </w:r>
      <w:r>
        <w:t xml:space="preserve">although </w:t>
      </w:r>
      <w:r w:rsidRPr="00682F9F">
        <w:t>an application to the Supreme Court did not automatically suspend the deportation process</w:t>
      </w:r>
      <w:r>
        <w:t>,</w:t>
      </w:r>
      <w:r w:rsidRPr="00682F9F">
        <w:t xml:space="preserve"> an application to suspend the deportation, </w:t>
      </w:r>
      <w:r>
        <w:t xml:space="preserve">including </w:t>
      </w:r>
      <w:r w:rsidRPr="00682F9F">
        <w:t>as an interim measure</w:t>
      </w:r>
      <w:r>
        <w:t>,</w:t>
      </w:r>
      <w:r w:rsidRPr="00682F9F">
        <w:t xml:space="preserve"> had to be lodged with the Supreme Court. The suspension was not granted automaticall</w:t>
      </w:r>
      <w:r>
        <w:t>y; an applicant had</w:t>
      </w:r>
      <w:r w:rsidRPr="00682F9F">
        <w:t xml:space="preserve"> to </w:t>
      </w:r>
      <w:r>
        <w:t>establish flagrant illegality</w:t>
      </w:r>
      <w:r w:rsidRPr="00FF529D">
        <w:t xml:space="preserve"> or</w:t>
      </w:r>
      <w:r>
        <w:t xml:space="preserve"> irreparable damage</w:t>
      </w:r>
      <w:r w:rsidRPr="00682F9F">
        <w:t>. This therefore meant that in Cyprus asylum-seeker</w:t>
      </w:r>
      <w:r>
        <w:t>s</w:t>
      </w:r>
      <w:r w:rsidRPr="00682F9F">
        <w:t xml:space="preserve"> </w:t>
      </w:r>
      <w:r>
        <w:t>might</w:t>
      </w:r>
      <w:r w:rsidRPr="00682F9F">
        <w:t xml:space="preserve"> be at risk of forcible return to a place where they were at serious risk of human rights violations (breaching the principle </w:t>
      </w:r>
      <w:r w:rsidRPr="001817E7">
        <w:t xml:space="preserve">of </w:t>
      </w:r>
      <w:r w:rsidRPr="001817E7">
        <w:rPr>
          <w:i/>
          <w:iCs/>
        </w:rPr>
        <w:t>non-refoulement</w:t>
      </w:r>
      <w:r w:rsidRPr="001817E7">
        <w:t>) before their claim was finally determined unless the Sup</w:t>
      </w:r>
      <w:r w:rsidRPr="00682F9F">
        <w:t>reme Court agreed to s</w:t>
      </w:r>
      <w:r>
        <w:t xml:space="preserve">uspend the deportation order or, </w:t>
      </w:r>
      <w:r w:rsidRPr="00682F9F">
        <w:t>in cases where the asylum</w:t>
      </w:r>
      <w:r>
        <w:t xml:space="preserve"> </w:t>
      </w:r>
      <w:r w:rsidRPr="00682F9F">
        <w:t>-seeker</w:t>
      </w:r>
      <w:r>
        <w:t>s</w:t>
      </w:r>
      <w:r w:rsidRPr="00682F9F">
        <w:t xml:space="preserve"> had petitioned the </w:t>
      </w:r>
      <w:r>
        <w:t>Court,</w:t>
      </w:r>
      <w:r w:rsidRPr="00682F9F">
        <w:t xml:space="preserve"> an interim measure had been granted.</w:t>
      </w:r>
    </w:p>
    <w:p w:rsidRPr="000624AD" w:rsidR="00FA0835" w:rsidP="00FA0835" w:rsidRDefault="00FA0835">
      <w:pPr>
        <w:pStyle w:val="JuPara"/>
      </w:pPr>
      <w:r w:rsidRPr="00682F9F">
        <w:rPr>
          <w:rStyle w:val="sb8d990e2"/>
        </w:rPr>
        <w:fldChar w:fldCharType="begin"/>
      </w:r>
      <w:r w:rsidRPr="00682F9F">
        <w:rPr>
          <w:rStyle w:val="sb8d990e2"/>
        </w:rPr>
        <w:instrText xml:space="preserve"> SEQ level0 \*arabic </w:instrText>
      </w:r>
      <w:r w:rsidRPr="00682F9F">
        <w:rPr>
          <w:rStyle w:val="sb8d990e2"/>
        </w:rPr>
        <w:fldChar w:fldCharType="separate"/>
      </w:r>
      <w:r w:rsidR="00C5470A">
        <w:rPr>
          <w:rStyle w:val="sb8d990e2"/>
          <w:noProof/>
        </w:rPr>
        <w:t>102</w:t>
      </w:r>
      <w:r w:rsidRPr="00682F9F">
        <w:rPr>
          <w:rStyle w:val="sb8d990e2"/>
        </w:rPr>
        <w:fldChar w:fldCharType="end"/>
      </w:r>
      <w:r w:rsidRPr="00682F9F">
        <w:rPr>
          <w:rStyle w:val="sb8d990e2"/>
        </w:rPr>
        <w:t>.  </w:t>
      </w:r>
      <w:r w:rsidRPr="00FF529D">
        <w:rPr>
          <w:rStyle w:val="sb8d990e2"/>
        </w:rPr>
        <w:t xml:space="preserve">As regards the safeguards against unlawful detention, </w:t>
      </w:r>
      <w:r w:rsidRPr="000624AD">
        <w:t xml:space="preserve">Amnesty International pointed out that it had documented several cases attesting to a failure by the police authorities to explain to immigration detainees the reasons for their detention, its possible length and the rights they </w:t>
      </w:r>
      <w:r>
        <w:t>had</w:t>
      </w:r>
      <w:r w:rsidRPr="000624AD">
        <w:t xml:space="preserve"> whilst in detention. Detainees and their lawyers had told Amnesty International that often they were not provided with the reasons</w:t>
      </w:r>
      <w:r>
        <w:t xml:space="preserve"> </w:t>
      </w:r>
      <w:r w:rsidRPr="000624AD">
        <w:t>and justification</w:t>
      </w:r>
      <w:r>
        <w:t xml:space="preserve"> for</w:t>
      </w:r>
      <w:r w:rsidRPr="000624AD">
        <w:t xml:space="preserve"> detention. Usually, detainees </w:t>
      </w:r>
      <w:r>
        <w:t>were</w:t>
      </w:r>
      <w:r w:rsidRPr="000624AD">
        <w:t xml:space="preserve"> given a short letter simply referring to the legislative provisions under which </w:t>
      </w:r>
      <w:r w:rsidRPr="00B658AC">
        <w:t>their detention had been ordered and to the fact that they were being detained pending deportation. In some cases, deportation and detention orders had been handed to the individuals concerned several months into their detention.</w:t>
      </w:r>
      <w:r>
        <w:t xml:space="preserve"> The report noted that </w:t>
      </w:r>
      <w:r w:rsidRPr="001621B2">
        <w:t xml:space="preserve">such shortcomings were particularly common in relation to detained asylum-seekers. A large number interviewed by Amnesty International, particularly those whose applications were pending, did not appear to know how long they would be detained, even when they were aware of the grounds </w:t>
      </w:r>
      <w:r>
        <w:t>for</w:t>
      </w:r>
      <w:r w:rsidRPr="001621B2">
        <w:t xml:space="preserve"> their detention.</w:t>
      </w:r>
    </w:p>
    <w:p w:rsidR="00FA0835" w:rsidP="00FA0835" w:rsidRDefault="00FA0835">
      <w:pPr>
        <w:pStyle w:val="JuPara"/>
      </w:pPr>
      <w:r>
        <w:fldChar w:fldCharType="begin"/>
      </w:r>
      <w:r>
        <w:instrText xml:space="preserve"> SEQ level0 \*arabic </w:instrText>
      </w:r>
      <w:r>
        <w:fldChar w:fldCharType="separate"/>
      </w:r>
      <w:r w:rsidR="00C5470A">
        <w:rPr>
          <w:noProof/>
        </w:rPr>
        <w:t>103</w:t>
      </w:r>
      <w:r>
        <w:fldChar w:fldCharType="end"/>
      </w:r>
      <w:r>
        <w:t>.  </w:t>
      </w:r>
      <w:r w:rsidRPr="000624AD">
        <w:t>Furthermore, referring to the remedies available in Cyprus against detention</w:t>
      </w:r>
      <w:r>
        <w:t>,</w:t>
      </w:r>
      <w:r w:rsidRPr="000624AD">
        <w:t xml:space="preserve"> the report observed that according to lawyers, the average length of </w:t>
      </w:r>
      <w:r>
        <w:t>a recourse under A</w:t>
      </w:r>
      <w:r w:rsidRPr="000624AD">
        <w:t>rticle 146 of the Constitution was one and a half years</w:t>
      </w:r>
      <w:r>
        <w:t>,</w:t>
      </w:r>
      <w:r w:rsidRPr="000624AD">
        <w:t xml:space="preserve"> whereas in a habeas corpus application </w:t>
      </w:r>
      <w:r>
        <w:t>it wa</w:t>
      </w:r>
      <w:r w:rsidRPr="000624AD">
        <w:t>s one or two months. In the case of an appeal against an unsuccessful application, the length of the appeal proceedings in</w:t>
      </w:r>
      <w:r>
        <w:t xml:space="preserve"> both cases was about five years o</w:t>
      </w:r>
      <w:r w:rsidRPr="000624AD">
        <w:t>n average. In addition, according to domestic legislation, the Minister of Interior review</w:t>
      </w:r>
      <w:r>
        <w:t>ed</w:t>
      </w:r>
      <w:r w:rsidRPr="000624AD">
        <w:t xml:space="preserve"> immigration</w:t>
      </w:r>
      <w:r>
        <w:t xml:space="preserve"> detention orders either on his or </w:t>
      </w:r>
      <w:r w:rsidRPr="000624AD">
        <w:t xml:space="preserve">her own initiative every two months, or at a reasonable time following an application by the detainee. The Minister </w:t>
      </w:r>
      <w:r>
        <w:t>was</w:t>
      </w:r>
      <w:r w:rsidRPr="000624AD">
        <w:t xml:space="preserve"> also solely responsible for any decision to prolong detention for an additional maximum period of </w:t>
      </w:r>
      <w:r>
        <w:t>twelve</w:t>
      </w:r>
      <w:r w:rsidRPr="000624AD">
        <w:t xml:space="preserve"> months. However, the lack of automatic judicial review of the decision to detain </w:t>
      </w:r>
      <w:r>
        <w:t>was</w:t>
      </w:r>
      <w:r w:rsidRPr="000624AD">
        <w:t xml:space="preserve"> a cause of major concern. Referring to</w:t>
      </w:r>
      <w:r>
        <w:t xml:space="preserve"> Article 5 § 4 of the Convention, </w:t>
      </w:r>
      <w:r w:rsidRPr="000624AD">
        <w:t>Article 18</w:t>
      </w:r>
      <w:r>
        <w:t xml:space="preserve"> </w:t>
      </w:r>
      <w:r w:rsidRPr="000624AD">
        <w:t>(2) of the Asylum Procedures Directive and Article 15</w:t>
      </w:r>
      <w:r>
        <w:t xml:space="preserve"> </w:t>
      </w:r>
      <w:r w:rsidRPr="000624AD">
        <w:t>(2) of the EU Returns Directive the report conclude</w:t>
      </w:r>
      <w:r>
        <w:t>d</w:t>
      </w:r>
      <w:r w:rsidRPr="000624AD">
        <w:t xml:space="preserve"> that because of the lack of an automatic judicial review of the administrative orders to detain, especially in cases of prolonged detention, it</w:t>
      </w:r>
      <w:r>
        <w:t xml:space="preserve"> was</w:t>
      </w:r>
      <w:r w:rsidRPr="000624AD">
        <w:t xml:space="preserve"> clear that the procedural safeguards in Cypriot law </w:t>
      </w:r>
      <w:r>
        <w:t>fe</w:t>
      </w:r>
      <w:r w:rsidRPr="000624AD">
        <w:t>ll short of international and regional standards</w:t>
      </w:r>
      <w:r>
        <w:t>.</w:t>
      </w:r>
    </w:p>
    <w:p w:rsidRPr="000624AD" w:rsidR="00FA0835" w:rsidP="00FA0835" w:rsidRDefault="00FA0835">
      <w:pPr>
        <w:pStyle w:val="JuPara"/>
      </w:pPr>
      <w:r w:rsidRPr="00B658AC">
        <w:fldChar w:fldCharType="begin"/>
      </w:r>
      <w:r w:rsidRPr="00B658AC">
        <w:instrText xml:space="preserve"> SEQ level0 \*arabic </w:instrText>
      </w:r>
      <w:r w:rsidRPr="00B658AC">
        <w:fldChar w:fldCharType="separate"/>
      </w:r>
      <w:r w:rsidR="00C5470A">
        <w:rPr>
          <w:noProof/>
        </w:rPr>
        <w:t>104</w:t>
      </w:r>
      <w:r w:rsidRPr="00B658AC">
        <w:fldChar w:fldCharType="end"/>
      </w:r>
      <w:r w:rsidRPr="00B658AC">
        <w:t xml:space="preserve">.  The report concluded that </w:t>
      </w:r>
      <w:r w:rsidRPr="00B658AC">
        <w:rPr>
          <w:rStyle w:val="sb8d990e2"/>
          <w:szCs w:val="24"/>
        </w:rPr>
        <w:t>t</w:t>
      </w:r>
      <w:r w:rsidRPr="00B658AC">
        <w:rPr>
          <w:lang w:eastAsia="en-GB"/>
        </w:rPr>
        <w:t>h</w:t>
      </w:r>
      <w:r w:rsidRPr="000624AD">
        <w:rPr>
          <w:lang w:eastAsia="en-GB"/>
        </w:rPr>
        <w:t xml:space="preserve">e routine detention of irregular migrants and of a large number of asylum-seekers </w:t>
      </w:r>
      <w:r>
        <w:rPr>
          <w:lang w:eastAsia="en-GB"/>
        </w:rPr>
        <w:t>was in clear violation of</w:t>
      </w:r>
      <w:r w:rsidRPr="000624AD">
        <w:rPr>
          <w:rFonts w:ascii="AmnestyTradeGothic" w:hAnsi="AmnestyTradeGothic" w:cs="AmnestyTradeGothic"/>
          <w:color w:val="000000"/>
          <w:lang w:eastAsia="en-GB"/>
        </w:rPr>
        <w:t xml:space="preserve"> </w:t>
      </w:r>
      <w:r w:rsidRPr="000624AD">
        <w:rPr>
          <w:color w:val="000000"/>
          <w:lang w:eastAsia="en-GB"/>
        </w:rPr>
        <w:t>Cyprus</w:t>
      </w:r>
      <w:r w:rsidR="00A7319E">
        <w:rPr>
          <w:color w:val="000000"/>
          <w:lang w:eastAsia="en-GB"/>
        </w:rPr>
        <w:t>’</w:t>
      </w:r>
      <w:r w:rsidRPr="000624AD">
        <w:rPr>
          <w:color w:val="000000"/>
          <w:lang w:eastAsia="en-GB"/>
        </w:rPr>
        <w:t xml:space="preserve"> human rights obligations. </w:t>
      </w:r>
      <w:r>
        <w:rPr>
          <w:color w:val="000000"/>
          <w:lang w:eastAsia="en-GB"/>
        </w:rPr>
        <w:t>It considered that t</w:t>
      </w:r>
      <w:r w:rsidRPr="000624AD">
        <w:rPr>
          <w:color w:val="000000"/>
          <w:lang w:eastAsia="en-GB"/>
        </w:rPr>
        <w:t xml:space="preserve">his pattern of abuse </w:t>
      </w:r>
      <w:r>
        <w:rPr>
          <w:color w:val="000000"/>
          <w:lang w:eastAsia="en-GB"/>
        </w:rPr>
        <w:t>was</w:t>
      </w:r>
      <w:r w:rsidRPr="000624AD">
        <w:rPr>
          <w:color w:val="000000"/>
          <w:lang w:eastAsia="en-GB"/>
        </w:rPr>
        <w:t xml:space="preserve"> partly due to inadequate</w:t>
      </w:r>
      <w:r>
        <w:t xml:space="preserve"> </w:t>
      </w:r>
      <w:r w:rsidRPr="000624AD">
        <w:rPr>
          <w:color w:val="000000"/>
          <w:lang w:eastAsia="en-GB"/>
        </w:rPr>
        <w:t xml:space="preserve">legislation, but more often it </w:t>
      </w:r>
      <w:r>
        <w:rPr>
          <w:color w:val="000000"/>
          <w:lang w:eastAsia="en-GB"/>
        </w:rPr>
        <w:t>was</w:t>
      </w:r>
      <w:r w:rsidRPr="000624AD">
        <w:rPr>
          <w:color w:val="000000"/>
          <w:lang w:eastAsia="en-GB"/>
        </w:rPr>
        <w:t xml:space="preserve"> down to the practice of the </w:t>
      </w:r>
      <w:r>
        <w:rPr>
          <w:color w:val="000000"/>
          <w:lang w:eastAsia="en-GB"/>
        </w:rPr>
        <w:t xml:space="preserve">authorities. Lastly, the report set out a number of recommendations to </w:t>
      </w:r>
      <w:r w:rsidRPr="00FF529D">
        <w:rPr>
          <w:color w:val="000000"/>
          <w:lang w:eastAsia="en-GB"/>
        </w:rPr>
        <w:t>the Cypriot authorities. These</w:t>
      </w:r>
      <w:r>
        <w:rPr>
          <w:color w:val="000000"/>
          <w:lang w:eastAsia="en-GB"/>
        </w:rPr>
        <w:t xml:space="preserve"> include, in so far as relevant:</w:t>
      </w:r>
    </w:p>
    <w:p w:rsidR="00FA0835" w:rsidP="00FA0835" w:rsidRDefault="00FA0835">
      <w:pPr>
        <w:pStyle w:val="JuPara"/>
        <w:rPr>
          <w:lang w:eastAsia="en-GB"/>
        </w:rPr>
      </w:pPr>
      <w:r>
        <w:rPr>
          <w:lang w:eastAsia="en-GB"/>
        </w:rPr>
        <w:t xml:space="preserve">- </w:t>
      </w:r>
      <w:r w:rsidRPr="00FF529D">
        <w:rPr>
          <w:lang w:eastAsia="en-GB"/>
        </w:rPr>
        <w:t>Ending the detention of asylum-seekers for immigration purposes in law and in practice, in line with international human rights standards which require that such detention is only used in exceptional circumstances;</w:t>
      </w:r>
    </w:p>
    <w:p w:rsidR="00FA0835" w:rsidP="00FA0835" w:rsidRDefault="00FA0835">
      <w:pPr>
        <w:pStyle w:val="JuPara"/>
        <w:rPr>
          <w:lang w:eastAsia="en-GB"/>
        </w:rPr>
      </w:pPr>
      <w:r w:rsidRPr="00FF529D">
        <w:rPr>
          <w:lang w:eastAsia="en-GB"/>
        </w:rPr>
        <w:t>-</w:t>
      </w:r>
      <w:r>
        <w:rPr>
          <w:lang w:eastAsia="en-GB"/>
        </w:rPr>
        <w:t xml:space="preserve"> </w:t>
      </w:r>
      <w:r w:rsidRPr="00FF529D">
        <w:rPr>
          <w:lang w:eastAsia="en-GB"/>
        </w:rPr>
        <w:t>Ensuring that the recourse to the Supreme Court regarding a decision rejecting</w:t>
      </w:r>
      <w:r>
        <w:rPr>
          <w:lang w:eastAsia="en-GB"/>
        </w:rPr>
        <w:t xml:space="preserve"> an asylum application at the initial stage or at appeal level automatically suspends the implementation of a deportation order;</w:t>
      </w:r>
    </w:p>
    <w:p w:rsidRPr="00FF529D" w:rsidR="00FA0835" w:rsidP="00FA0835" w:rsidRDefault="00FA0835">
      <w:pPr>
        <w:pStyle w:val="JuPara"/>
        <w:rPr>
          <w:lang w:eastAsia="en-GB"/>
        </w:rPr>
      </w:pPr>
      <w:r w:rsidRPr="00FF529D">
        <w:rPr>
          <w:lang w:eastAsia="en-GB"/>
        </w:rPr>
        <w:t>-</w:t>
      </w:r>
      <w:r>
        <w:rPr>
          <w:lang w:eastAsia="en-GB"/>
        </w:rPr>
        <w:t xml:space="preserve"> </w:t>
      </w:r>
      <w:r w:rsidRPr="00FF529D">
        <w:rPr>
          <w:lang w:eastAsia="en-GB"/>
        </w:rPr>
        <w:t>Ensuring that the decision to detain is automatically reviewed by a judicial body periodically on the basis of clear legislative criteria;</w:t>
      </w:r>
    </w:p>
    <w:p w:rsidR="00FA0835" w:rsidP="00FA0835" w:rsidRDefault="00FA0835">
      <w:pPr>
        <w:pStyle w:val="JuPara"/>
        <w:rPr>
          <w:lang w:eastAsia="en-GB"/>
        </w:rPr>
      </w:pPr>
      <w:r w:rsidRPr="00FF529D">
        <w:rPr>
          <w:lang w:eastAsia="en-GB"/>
        </w:rPr>
        <w:t>-</w:t>
      </w:r>
      <w:r>
        <w:rPr>
          <w:lang w:eastAsia="en-GB"/>
        </w:rPr>
        <w:t xml:space="preserve"> </w:t>
      </w:r>
      <w:r w:rsidRPr="00FF529D">
        <w:rPr>
          <w:lang w:eastAsia="en-GB"/>
        </w:rPr>
        <w:t>Ensu</w:t>
      </w:r>
      <w:r>
        <w:rPr>
          <w:lang w:eastAsia="en-GB"/>
        </w:rPr>
        <w:t>r</w:t>
      </w:r>
      <w:r w:rsidRPr="00FF529D">
        <w:rPr>
          <w:lang w:eastAsia="en-GB"/>
        </w:rPr>
        <w:t xml:space="preserve">ing that migrants and asylum-seekers deprived of their liberty </w:t>
      </w:r>
      <w:r>
        <w:rPr>
          <w:lang w:eastAsia="en-GB"/>
        </w:rPr>
        <w:t>a</w:t>
      </w:r>
      <w:r w:rsidRPr="00FF529D">
        <w:rPr>
          <w:lang w:eastAsia="en-GB"/>
        </w:rPr>
        <w:t xml:space="preserve">re promptly informed in a language they understand, in writing, of the reasons for their detention, of the available appeal mechanisms and of the regulations </w:t>
      </w:r>
      <w:r w:rsidRPr="00F428FD">
        <w:rPr>
          <w:lang w:eastAsia="en-GB"/>
        </w:rPr>
        <w:t>of the detention facility.</w:t>
      </w:r>
      <w:r w:rsidRPr="00FF529D">
        <w:rPr>
          <w:lang w:eastAsia="en-GB"/>
        </w:rPr>
        <w:t xml:space="preserve"> The decision to detain must entail reasoned grounds with reference to law and fact;</w:t>
      </w:r>
    </w:p>
    <w:p w:rsidRPr="002D5CE2" w:rsidR="00FA0835" w:rsidP="00FA0835" w:rsidRDefault="00FA0835">
      <w:pPr>
        <w:pStyle w:val="JuPara"/>
        <w:rPr>
          <w:lang w:eastAsia="en-GB"/>
        </w:rPr>
      </w:pPr>
      <w:r w:rsidRPr="002D5CE2">
        <w:rPr>
          <w:lang w:eastAsia="en-GB"/>
        </w:rPr>
        <w:t>-</w:t>
      </w:r>
      <w:r>
        <w:rPr>
          <w:lang w:eastAsia="en-GB"/>
        </w:rPr>
        <w:t xml:space="preserve"> </w:t>
      </w:r>
      <w:r w:rsidRPr="002D5CE2">
        <w:rPr>
          <w:lang w:eastAsia="en-GB"/>
        </w:rPr>
        <w:t>Ensuring that detention was always for the shortest possible time;</w:t>
      </w:r>
    </w:p>
    <w:p w:rsidRPr="002D5CE2" w:rsidR="00FA0835" w:rsidP="00FA0835" w:rsidRDefault="00FA0835">
      <w:pPr>
        <w:pStyle w:val="JuPara"/>
        <w:rPr>
          <w:lang w:eastAsia="en-GB"/>
        </w:rPr>
      </w:pPr>
      <w:r w:rsidRPr="002D5CE2">
        <w:rPr>
          <w:lang w:eastAsia="en-GB"/>
        </w:rPr>
        <w:t>-</w:t>
      </w:r>
      <w:r>
        <w:rPr>
          <w:lang w:eastAsia="en-GB"/>
        </w:rPr>
        <w:t xml:space="preserve"> </w:t>
      </w:r>
      <w:r w:rsidRPr="002D5CE2">
        <w:rPr>
          <w:lang w:eastAsia="en-GB"/>
        </w:rPr>
        <w:t>Ensuring that the maximum duration for detention provided in law is reasonable;</w:t>
      </w:r>
    </w:p>
    <w:p w:rsidRPr="00FF529D" w:rsidR="00FA0835" w:rsidP="00FA0835" w:rsidRDefault="00FA0835">
      <w:pPr>
        <w:pStyle w:val="JuPara"/>
        <w:rPr>
          <w:lang w:eastAsia="en-GB"/>
        </w:rPr>
      </w:pPr>
      <w:r w:rsidRPr="002D5CE2">
        <w:rPr>
          <w:lang w:eastAsia="en-GB"/>
        </w:rPr>
        <w:t>-</w:t>
      </w:r>
      <w:r>
        <w:rPr>
          <w:lang w:eastAsia="en-GB"/>
        </w:rPr>
        <w:t xml:space="preserve"> </w:t>
      </w:r>
      <w:r w:rsidRPr="002D5CE2">
        <w:rPr>
          <w:lang w:eastAsia="en-GB"/>
        </w:rPr>
        <w:t>Ensuring</w:t>
      </w:r>
      <w:r w:rsidRPr="00FF529D">
        <w:rPr>
          <w:lang w:eastAsia="en-GB"/>
        </w:rPr>
        <w:t xml:space="preserve"> that migrants and asylum-seekers were granted effective access to remedies against administrative </w:t>
      </w:r>
      <w:r>
        <w:rPr>
          <w:lang w:eastAsia="en-GB"/>
        </w:rPr>
        <w:t>deportation and detention orders</w:t>
      </w:r>
      <w:r w:rsidRPr="00FF529D">
        <w:rPr>
          <w:lang w:eastAsia="en-GB"/>
        </w:rPr>
        <w:t>, including through the assistance of free legal aid to challenge detention and/or deportation and adequate interpretation where necessary;</w:t>
      </w:r>
    </w:p>
    <w:p w:rsidRPr="007E7262" w:rsidR="00FA0835" w:rsidP="00FA0835" w:rsidRDefault="00FA0835">
      <w:pPr>
        <w:pStyle w:val="JuPara"/>
        <w:rPr>
          <w:lang w:eastAsia="en-GB"/>
        </w:rPr>
      </w:pPr>
      <w:r w:rsidRPr="00FF529D">
        <w:rPr>
          <w:lang w:eastAsia="en-GB"/>
        </w:rPr>
        <w:t>-</w:t>
      </w:r>
      <w:r>
        <w:rPr>
          <w:lang w:eastAsia="en-GB"/>
        </w:rPr>
        <w:t xml:space="preserve"> </w:t>
      </w:r>
      <w:r w:rsidRPr="00FF529D">
        <w:rPr>
          <w:lang w:eastAsia="en-GB"/>
        </w:rPr>
        <w:t xml:space="preserve">Ensuring that deportation procedures contain adequate procedural safeguards, including the ability to challenge individually the decision to deport, access to competent interpretation services and legal counsel, and </w:t>
      </w:r>
      <w:r>
        <w:rPr>
          <w:lang w:eastAsia="en-GB"/>
        </w:rPr>
        <w:t>access to appeal before a judge.</w:t>
      </w:r>
    </w:p>
    <w:p w:rsidR="00FA0835" w:rsidP="00FA0835" w:rsidRDefault="00FA0835">
      <w:pPr>
        <w:pStyle w:val="JuH1"/>
        <w:rPr>
          <w:rFonts w:eastAsia="AmnestyTradeGothic-BdCn20"/>
        </w:rPr>
      </w:pPr>
      <w:r w:rsidRPr="00A419AE">
        <w:rPr>
          <w:rFonts w:eastAsia="AmnestyTradeGothic-BdCn20"/>
        </w:rPr>
        <w:t>2.  Annual report of 2011</w:t>
      </w:r>
    </w:p>
    <w:p w:rsidR="00FA0835" w:rsidP="00FA0835" w:rsidRDefault="00FA0835">
      <w:pPr>
        <w:pStyle w:val="JuPara"/>
        <w:rPr>
          <w:rFonts w:eastAsia="AmnestyTradeGothic-BdCn20"/>
        </w:rPr>
      </w:pPr>
      <w:r w:rsidRPr="00A419AE">
        <w:rPr>
          <w:rFonts w:eastAsia="AmnestyTradeGothic-BdCn20"/>
        </w:rPr>
        <w:fldChar w:fldCharType="begin"/>
      </w:r>
      <w:r w:rsidRPr="00A419AE">
        <w:rPr>
          <w:rFonts w:eastAsia="AmnestyTradeGothic-BdCn20"/>
        </w:rPr>
        <w:instrText xml:space="preserve"> SEQ level0 \*arabic </w:instrText>
      </w:r>
      <w:r w:rsidRPr="00A419AE">
        <w:rPr>
          <w:rFonts w:eastAsia="AmnestyTradeGothic-BdCn20"/>
        </w:rPr>
        <w:fldChar w:fldCharType="separate"/>
      </w:r>
      <w:r w:rsidR="00C5470A">
        <w:rPr>
          <w:rFonts w:eastAsia="AmnestyTradeGothic-BdCn20"/>
          <w:noProof/>
        </w:rPr>
        <w:t>105</w:t>
      </w:r>
      <w:r w:rsidRPr="00A419AE">
        <w:rPr>
          <w:rFonts w:eastAsia="AmnestyTradeGothic-BdCn20"/>
        </w:rPr>
        <w:fldChar w:fldCharType="end"/>
      </w:r>
      <w:r w:rsidRPr="00A419AE">
        <w:rPr>
          <w:rFonts w:eastAsia="AmnestyTradeGothic-BdCn20"/>
        </w:rPr>
        <w:t xml:space="preserve">.  The chapter on Cyprus in the Amnesty </w:t>
      </w:r>
      <w:r>
        <w:rPr>
          <w:rFonts w:eastAsia="AmnestyTradeGothic-BdCn20"/>
        </w:rPr>
        <w:t>I</w:t>
      </w:r>
      <w:r w:rsidRPr="00A419AE">
        <w:rPr>
          <w:rFonts w:eastAsia="AmnestyTradeGothic-BdCn20"/>
        </w:rPr>
        <w:t xml:space="preserve">nternational 2011 annual </w:t>
      </w:r>
      <w:r>
        <w:rPr>
          <w:rFonts w:eastAsia="AmnestyTradeGothic-BdCn20"/>
        </w:rPr>
        <w:t>report refers,</w:t>
      </w:r>
      <w:r w:rsidRPr="00A419AE">
        <w:rPr>
          <w:rFonts w:eastAsia="AmnestyTradeGothic-BdCn20"/>
        </w:rPr>
        <w:t xml:space="preserve"> </w:t>
      </w:r>
      <w:r w:rsidRPr="00A419AE">
        <w:rPr>
          <w:rFonts w:eastAsia="AmnestyTradeGothic-BdCn20"/>
          <w:i/>
        </w:rPr>
        <w:t>inter alia</w:t>
      </w:r>
      <w:r w:rsidRPr="00A419AE">
        <w:rPr>
          <w:rFonts w:eastAsia="AmnestyTradeGothic-BdCn20"/>
        </w:rPr>
        <w:t>, to the events of June 2010. In so far as relevant, it states as follows:</w:t>
      </w:r>
    </w:p>
    <w:p w:rsidR="00FA0835" w:rsidP="00FA0835" w:rsidRDefault="00FA0835">
      <w:pPr>
        <w:pStyle w:val="JuQuot"/>
        <w:rPr>
          <w:rFonts w:eastAsia="AmnestyTradeGothic-Light"/>
        </w:rPr>
      </w:pPr>
      <w:r>
        <w:rPr>
          <w:rFonts w:eastAsia="AmnestyTradeGothic-BdCn20"/>
        </w:rPr>
        <w:t xml:space="preserve"> “</w:t>
      </w:r>
      <w:r w:rsidRPr="002613BD">
        <w:rPr>
          <w:rFonts w:eastAsia="AmnestyTradeGothic-Light"/>
        </w:rPr>
        <w:t xml:space="preserve">In late May, around 250 Syrian Kurd </w:t>
      </w:r>
      <w:r>
        <w:rPr>
          <w:rFonts w:eastAsia="AmnestyTradeGothic-Light"/>
        </w:rPr>
        <w:t>protesters</w:t>
      </w:r>
      <w:r>
        <w:rPr>
          <w:rFonts w:eastAsia="AmnestyTradeGothic-BdCn20"/>
          <w:sz w:val="24"/>
        </w:rPr>
        <w:t xml:space="preserve"> </w:t>
      </w:r>
      <w:r w:rsidRPr="002613BD">
        <w:rPr>
          <w:rFonts w:eastAsia="AmnestyTradeGothic-Light"/>
        </w:rPr>
        <w:t>camped outside the “EU House” in Nicosia to protest</w:t>
      </w:r>
      <w:r>
        <w:rPr>
          <w:rFonts w:eastAsia="AmnestyTradeGothic-BdCn20"/>
          <w:sz w:val="24"/>
        </w:rPr>
        <w:t xml:space="preserve"> </w:t>
      </w:r>
      <w:r w:rsidRPr="002613BD">
        <w:rPr>
          <w:rFonts w:eastAsia="AmnestyTradeGothic-Light"/>
        </w:rPr>
        <w:t>against the authorities</w:t>
      </w:r>
      <w:r w:rsidR="00A7319E">
        <w:rPr>
          <w:rFonts w:eastAsia="AmnestyTradeGothic-Light"/>
        </w:rPr>
        <w:t>’</w:t>
      </w:r>
      <w:r w:rsidRPr="002613BD">
        <w:rPr>
          <w:rFonts w:eastAsia="AmnestyTradeGothic-Light"/>
        </w:rPr>
        <w:t xml:space="preserve"> rejection of their asylum claims</w:t>
      </w:r>
      <w:r>
        <w:rPr>
          <w:rFonts w:eastAsia="AmnestyTradeGothic-BdCn20"/>
          <w:sz w:val="24"/>
        </w:rPr>
        <w:t xml:space="preserve"> </w:t>
      </w:r>
      <w:r w:rsidRPr="002613BD">
        <w:rPr>
          <w:rFonts w:eastAsia="AmnestyTradeGothic-Light"/>
        </w:rPr>
        <w:t>and to protest about residence rights. On 11 June,</w:t>
      </w:r>
      <w:r>
        <w:rPr>
          <w:rFonts w:eastAsia="AmnestyTradeGothic-BdCn20"/>
          <w:sz w:val="24"/>
        </w:rPr>
        <w:t xml:space="preserve"> </w:t>
      </w:r>
      <w:r w:rsidRPr="002613BD">
        <w:rPr>
          <w:rFonts w:eastAsia="AmnestyTradeGothic-Light"/>
        </w:rPr>
        <w:t xml:space="preserve">143 of the </w:t>
      </w:r>
      <w:r>
        <w:rPr>
          <w:rFonts w:eastAsia="AmnestyTradeGothic-Light"/>
        </w:rPr>
        <w:t>protesters</w:t>
      </w:r>
      <w:r w:rsidRPr="002613BD">
        <w:rPr>
          <w:rFonts w:eastAsia="AmnestyTradeGothic-Light"/>
        </w:rPr>
        <w:t>, including children, were</w:t>
      </w:r>
      <w:r>
        <w:rPr>
          <w:rFonts w:eastAsia="AmnestyTradeGothic-BdCn20"/>
          <w:sz w:val="24"/>
        </w:rPr>
        <w:t xml:space="preserve"> </w:t>
      </w:r>
      <w:r w:rsidRPr="002613BD">
        <w:rPr>
          <w:rFonts w:eastAsia="AmnestyTradeGothic-Light"/>
        </w:rPr>
        <w:t>reportedly arrested during an early morning police</w:t>
      </w:r>
      <w:r>
        <w:rPr>
          <w:rFonts w:eastAsia="AmnestyTradeGothic-BdCn20"/>
          <w:sz w:val="24"/>
        </w:rPr>
        <w:t xml:space="preserve"> </w:t>
      </w:r>
      <w:r w:rsidRPr="002613BD">
        <w:rPr>
          <w:rFonts w:eastAsia="AmnestyTradeGothic-Light"/>
        </w:rPr>
        <w:t>operation. Several of them were released immediately</w:t>
      </w:r>
      <w:r>
        <w:rPr>
          <w:rFonts w:eastAsia="AmnestyTradeGothic-BdCn20"/>
          <w:sz w:val="24"/>
        </w:rPr>
        <w:t xml:space="preserve"> </w:t>
      </w:r>
      <w:r w:rsidRPr="002613BD">
        <w:rPr>
          <w:rFonts w:eastAsia="AmnestyTradeGothic-Light"/>
        </w:rPr>
        <w:t>but, according to reports, 23 were forcibly removed to</w:t>
      </w:r>
      <w:r>
        <w:rPr>
          <w:rFonts w:eastAsia="AmnestyTradeGothic-BdCn20"/>
          <w:sz w:val="24"/>
        </w:rPr>
        <w:t xml:space="preserve"> </w:t>
      </w:r>
      <w:r w:rsidRPr="002613BD">
        <w:rPr>
          <w:rFonts w:eastAsia="AmnestyTradeGothic-Light"/>
        </w:rPr>
        <w:t>Syria that day. On 14 June, the European Court of</w:t>
      </w:r>
      <w:r>
        <w:rPr>
          <w:rFonts w:eastAsia="AmnestyTradeGothic-BdCn20"/>
          <w:sz w:val="24"/>
        </w:rPr>
        <w:t xml:space="preserve"> </w:t>
      </w:r>
      <w:r w:rsidRPr="002613BD">
        <w:rPr>
          <w:rFonts w:eastAsia="AmnestyTradeGothic-Light"/>
        </w:rPr>
        <w:t>Human Rights issued interim measures requesting</w:t>
      </w:r>
      <w:r>
        <w:rPr>
          <w:rFonts w:eastAsia="AmnestyTradeGothic-BdCn20"/>
          <w:sz w:val="24"/>
        </w:rPr>
        <w:t xml:space="preserve"> </w:t>
      </w:r>
      <w:r w:rsidRPr="002613BD">
        <w:rPr>
          <w:rFonts w:eastAsia="AmnestyTradeGothic-Light"/>
        </w:rPr>
        <w:t>that Cyprus suspend the removal of the 44 who were</w:t>
      </w:r>
      <w:r>
        <w:rPr>
          <w:rFonts w:eastAsia="AmnestyTradeGothic-BdCn20"/>
          <w:sz w:val="24"/>
        </w:rPr>
        <w:t xml:space="preserve"> </w:t>
      </w:r>
      <w:r w:rsidRPr="002613BD">
        <w:rPr>
          <w:rFonts w:eastAsia="AmnestyTradeGothic-Light"/>
        </w:rPr>
        <w:t>still in detention. Seven of these were then released,</w:t>
      </w:r>
      <w:r>
        <w:rPr>
          <w:rFonts w:eastAsia="AmnestyTradeGothic-BdCn20"/>
          <w:sz w:val="24"/>
        </w:rPr>
        <w:t xml:space="preserve"> </w:t>
      </w:r>
      <w:r w:rsidRPr="002613BD">
        <w:rPr>
          <w:rFonts w:eastAsia="AmnestyTradeGothic-Light"/>
        </w:rPr>
        <w:t>either because they had pending asylum applications</w:t>
      </w:r>
      <w:r>
        <w:rPr>
          <w:rFonts w:eastAsia="AmnestyTradeGothic-BdCn20"/>
          <w:sz w:val="24"/>
        </w:rPr>
        <w:t xml:space="preserve"> </w:t>
      </w:r>
      <w:r w:rsidRPr="002613BD">
        <w:rPr>
          <w:rFonts w:eastAsia="AmnestyTradeGothic-Light"/>
        </w:rPr>
        <w:t>or were stateless. According to reports, of those</w:t>
      </w:r>
      <w:r>
        <w:rPr>
          <w:rFonts w:eastAsia="AmnestyTradeGothic-BdCn20"/>
          <w:sz w:val="24"/>
        </w:rPr>
        <w:t xml:space="preserve"> </w:t>
      </w:r>
      <w:r w:rsidRPr="002613BD">
        <w:rPr>
          <w:rFonts w:eastAsia="AmnestyTradeGothic-Light"/>
        </w:rPr>
        <w:t>remaining, 32 were forcibly removed to Syria after the</w:t>
      </w:r>
      <w:r>
        <w:rPr>
          <w:rFonts w:eastAsia="AmnestyTradeGothic-BdCn20"/>
          <w:sz w:val="24"/>
        </w:rPr>
        <w:t xml:space="preserve"> </w:t>
      </w:r>
      <w:r w:rsidRPr="002613BD">
        <w:rPr>
          <w:rFonts w:eastAsia="AmnestyTradeGothic-Light"/>
        </w:rPr>
        <w:t>European Court lifted the interim measures in their</w:t>
      </w:r>
      <w:r>
        <w:rPr>
          <w:rFonts w:eastAsia="AmnestyTradeGothic-BdCn20"/>
          <w:sz w:val="24"/>
        </w:rPr>
        <w:t xml:space="preserve"> </w:t>
      </w:r>
      <w:r w:rsidRPr="002613BD">
        <w:rPr>
          <w:rFonts w:eastAsia="AmnestyTradeGothic-Light"/>
        </w:rPr>
        <w:t>cases in September. The remaining five continued to</w:t>
      </w:r>
      <w:r>
        <w:rPr>
          <w:rFonts w:eastAsia="AmnestyTradeGothic-BdCn20"/>
          <w:sz w:val="24"/>
        </w:rPr>
        <w:t xml:space="preserve"> </w:t>
      </w:r>
      <w:r w:rsidRPr="002613BD">
        <w:rPr>
          <w:rFonts w:eastAsia="AmnestyTradeGothic-Light"/>
        </w:rPr>
        <w:t xml:space="preserve">be detained in Cyprus. </w:t>
      </w:r>
      <w:r w:rsidRPr="00F16894">
        <w:rPr>
          <w:rFonts w:eastAsia="AmnestyTradeGothic-Light"/>
        </w:rPr>
        <w:t>Seventeen of those forcibly</w:t>
      </w:r>
      <w:r w:rsidRPr="00F16894">
        <w:rPr>
          <w:rFonts w:eastAsia="AmnestyTradeGothic-BdCn20"/>
          <w:sz w:val="24"/>
        </w:rPr>
        <w:t xml:space="preserve"> </w:t>
      </w:r>
      <w:r w:rsidRPr="00F16894">
        <w:rPr>
          <w:rFonts w:eastAsia="AmnestyTradeGothic-Light"/>
        </w:rPr>
        <w:t>removed were reportedly arrested and detained upon</w:t>
      </w:r>
      <w:r w:rsidRPr="00F16894">
        <w:rPr>
          <w:rFonts w:eastAsia="AmnestyTradeGothic-BdCn20"/>
          <w:sz w:val="24"/>
        </w:rPr>
        <w:t xml:space="preserve"> </w:t>
      </w:r>
      <w:r w:rsidRPr="00F16894">
        <w:rPr>
          <w:rFonts w:eastAsia="AmnestyTradeGothic-Light"/>
        </w:rPr>
        <w:t>or after their arrival in Syria.”</w:t>
      </w:r>
    </w:p>
    <w:p w:rsidRPr="007C0F93" w:rsidR="00FA0835" w:rsidP="00FA0835" w:rsidRDefault="00FA0835">
      <w:pPr>
        <w:pStyle w:val="JuHHead"/>
      </w:pPr>
      <w:r w:rsidRPr="0026722F">
        <w:rPr>
          <w:rStyle w:val="s32a37344"/>
        </w:rPr>
        <w:t>THE LAW</w:t>
      </w:r>
    </w:p>
    <w:p w:rsidR="00FA0835" w:rsidP="00FA0835" w:rsidRDefault="00FA0835">
      <w:pPr>
        <w:pStyle w:val="JuHIRoman"/>
      </w:pPr>
      <w:r w:rsidRPr="0011250F">
        <w:t>I.  ALLEGED VIOLATION OF ARTICLE</w:t>
      </w:r>
      <w:r>
        <w:t>S 2 AND</w:t>
      </w:r>
      <w:r w:rsidRPr="0011250F">
        <w:t xml:space="preserve"> </w:t>
      </w:r>
      <w:r>
        <w:t>3 OF</w:t>
      </w:r>
      <w:r w:rsidRPr="0011250F">
        <w:t xml:space="preserve"> THE CONVENTION</w:t>
      </w:r>
    </w:p>
    <w:p w:rsidR="00FA0835" w:rsidP="00FA0835" w:rsidRDefault="00FA0835">
      <w:pPr>
        <w:pStyle w:val="JuPara"/>
      </w:pPr>
      <w:r w:rsidRPr="000507C1">
        <w:fldChar w:fldCharType="begin"/>
      </w:r>
      <w:r w:rsidRPr="000507C1">
        <w:instrText xml:space="preserve"> SEQ level0 \*arabic </w:instrText>
      </w:r>
      <w:r w:rsidRPr="000507C1">
        <w:fldChar w:fldCharType="separate"/>
      </w:r>
      <w:r w:rsidR="00C5470A">
        <w:rPr>
          <w:noProof/>
        </w:rPr>
        <w:t>106</w:t>
      </w:r>
      <w:r w:rsidRPr="000507C1">
        <w:fldChar w:fldCharType="end"/>
      </w:r>
      <w:r w:rsidRPr="000507C1">
        <w:t>.  Relying o</w:t>
      </w:r>
      <w:r>
        <w:t>n</w:t>
      </w:r>
      <w:r w:rsidRPr="000507C1">
        <w:t xml:space="preserve"> Articles 2 and 3 of the Convention, the applicant complained that if deported to Syria, he would </w:t>
      </w:r>
      <w:r>
        <w:t xml:space="preserve">be exposed to a real </w:t>
      </w:r>
      <w:r w:rsidRPr="000507C1">
        <w:t xml:space="preserve">risk </w:t>
      </w:r>
      <w:r>
        <w:t xml:space="preserve">of </w:t>
      </w:r>
      <w:r w:rsidRPr="000507C1">
        <w:t xml:space="preserve">death </w:t>
      </w:r>
      <w:r>
        <w:t>or torture or inhuman or</w:t>
      </w:r>
      <w:r w:rsidRPr="000507C1">
        <w:t xml:space="preserve"> degrading treatment. These provisions read as follows:</w:t>
      </w:r>
    </w:p>
    <w:p w:rsidRPr="00236439" w:rsidR="00FA0835" w:rsidP="00FA0835" w:rsidRDefault="00FA0835">
      <w:pPr>
        <w:pStyle w:val="JuHArticle"/>
      </w:pPr>
      <w:r w:rsidRPr="00236439">
        <w:t>Article 2</w:t>
      </w:r>
    </w:p>
    <w:p w:rsidRPr="00236439" w:rsidR="00FA0835" w:rsidP="00FA0835" w:rsidRDefault="00FA0835">
      <w:pPr>
        <w:pStyle w:val="JuQuot"/>
      </w:pPr>
      <w:r w:rsidRPr="00236439">
        <w:t>“1.  Everyone</w:t>
      </w:r>
      <w:r w:rsidR="00A7319E">
        <w:t>’</w:t>
      </w:r>
      <w:r w:rsidRPr="00236439">
        <w:t>s right to life shall be protected by law. No one shall be deprived of his life intentionally save in the execution of a sentence of a court following his conviction of a crime for which this penalty is provided by law.</w:t>
      </w:r>
    </w:p>
    <w:p w:rsidRPr="00236439" w:rsidR="00FA0835" w:rsidP="00FA0835" w:rsidRDefault="00FA0835">
      <w:pPr>
        <w:pStyle w:val="JuQuot"/>
      </w:pPr>
      <w:r w:rsidRPr="00236439">
        <w:t>...”</w:t>
      </w:r>
    </w:p>
    <w:p w:rsidRPr="00236439" w:rsidR="00FA0835" w:rsidP="00FA0835" w:rsidRDefault="00FA0835">
      <w:pPr>
        <w:pStyle w:val="JuHArticle"/>
      </w:pPr>
      <w:r w:rsidRPr="00236439">
        <w:t>Article 3</w:t>
      </w:r>
    </w:p>
    <w:p w:rsidR="00FA0835" w:rsidP="00FA0835" w:rsidRDefault="00FA0835">
      <w:pPr>
        <w:pStyle w:val="JuQuot"/>
      </w:pPr>
      <w:r w:rsidRPr="00236439">
        <w:t>“No one shall be subjected to torture or to inhuman or degrading treatment or punishment.”</w:t>
      </w:r>
    </w:p>
    <w:p w:rsidR="00FA0835" w:rsidP="00FA0835" w:rsidRDefault="00FA0835">
      <w:pPr>
        <w:pStyle w:val="JuHA"/>
      </w:pPr>
      <w:r w:rsidRPr="00664640">
        <w:t>A.</w:t>
      </w:r>
      <w:r w:rsidRPr="0011250F">
        <w:t>  </w:t>
      </w:r>
      <w:r w:rsidRPr="00664640">
        <w:t>The</w:t>
      </w:r>
      <w:r>
        <w:t xml:space="preserve"> parties</w:t>
      </w:r>
      <w:r w:rsidR="00A7319E">
        <w:t>’</w:t>
      </w:r>
      <w:r>
        <w:t xml:space="preserve"> submissions</w:t>
      </w:r>
    </w:p>
    <w:p w:rsidRPr="00A56459" w:rsidR="00FA0835" w:rsidP="00FA0835" w:rsidRDefault="00FA0835">
      <w:pPr>
        <w:pStyle w:val="JuParaLast"/>
        <w:spacing w:before="0"/>
      </w:pPr>
      <w:r>
        <w:fldChar w:fldCharType="begin"/>
      </w:r>
      <w:r>
        <w:instrText xml:space="preserve"> SEQ level0 \*arabic </w:instrText>
      </w:r>
      <w:r>
        <w:fldChar w:fldCharType="separate"/>
      </w:r>
      <w:r w:rsidR="00C5470A">
        <w:rPr>
          <w:noProof/>
        </w:rPr>
        <w:t>107</w:t>
      </w:r>
      <w:r>
        <w:fldChar w:fldCharType="end"/>
      </w:r>
      <w:r>
        <w:t>.  </w:t>
      </w:r>
      <w:r w:rsidRPr="00B22422">
        <w:t>The Government</w:t>
      </w:r>
      <w:r>
        <w:t xml:space="preserve"> </w:t>
      </w:r>
      <w:r>
        <w:rPr>
          <w:rStyle w:val="sb8d990e2"/>
        </w:rPr>
        <w:t>submitted that the applicant could no longer claim to be a victim of</w:t>
      </w:r>
      <w:r w:rsidRPr="0026619D">
        <w:t xml:space="preserve"> </w:t>
      </w:r>
      <w:r>
        <w:t xml:space="preserve">the </w:t>
      </w:r>
      <w:r w:rsidRPr="00A21EE9">
        <w:t xml:space="preserve">alleged violation of </w:t>
      </w:r>
      <w:r w:rsidRPr="00533EFA">
        <w:t>Articles 2 and 3 of the Convention</w:t>
      </w:r>
      <w:r>
        <w:rPr>
          <w:rStyle w:val="sb8d990e2"/>
        </w:rPr>
        <w:t xml:space="preserve"> as he</w:t>
      </w:r>
      <w:r w:rsidRPr="00A21EE9">
        <w:t xml:space="preserve"> had been granted refugee status on 29 April 2011 and would therefore not be deport</w:t>
      </w:r>
      <w:r>
        <w:t>ed. Accordingly, they invited the Court to declare the applicant</w:t>
      </w:r>
      <w:r w:rsidR="00A7319E">
        <w:t>’</w:t>
      </w:r>
      <w:r>
        <w:t>s complaints under these provisions inadmissible on this ground. In the alternative</w:t>
      </w:r>
      <w:r w:rsidRPr="00BE18E7">
        <w:t xml:space="preserve">, the Government </w:t>
      </w:r>
      <w:r>
        <w:t>argued</w:t>
      </w:r>
      <w:r w:rsidRPr="00BE18E7">
        <w:t xml:space="preserve"> that the applicant had failed to exhaust domestic remedies. </w:t>
      </w:r>
      <w:r w:rsidRPr="00DA2219">
        <w:t xml:space="preserve">They noted in this respect that </w:t>
      </w:r>
      <w:r>
        <w:t>the applicant</w:t>
      </w:r>
      <w:r w:rsidRPr="00DA2219">
        <w:t xml:space="preserve"> had not, in the course of his recourse before the Supreme Court, filed</w:t>
      </w:r>
      <w:r w:rsidRPr="00BE18E7">
        <w:t xml:space="preserve"> an application seeking </w:t>
      </w:r>
      <w:r>
        <w:t>a provisional order</w:t>
      </w:r>
      <w:r w:rsidRPr="00BE18E7">
        <w:t xml:space="preserve"> to suspend his deportation. Further, he had </w:t>
      </w:r>
      <w:r w:rsidRPr="00DA2219">
        <w:t xml:space="preserve">not brought a </w:t>
      </w:r>
      <w:r w:rsidRPr="00DA2219">
        <w:rPr>
          <w:rStyle w:val="sb8d990e2"/>
        </w:rPr>
        <w:t>recourse against the deportation and detention orders issued against him.</w:t>
      </w:r>
    </w:p>
    <w:p w:rsidRPr="00894221" w:rsidR="00FA0835" w:rsidP="00FA0835" w:rsidRDefault="00FA0835">
      <w:pPr>
        <w:pStyle w:val="JuPara"/>
      </w:pPr>
      <w:r w:rsidRPr="00B2291B">
        <w:fldChar w:fldCharType="begin"/>
      </w:r>
      <w:r w:rsidRPr="00B2291B">
        <w:instrText xml:space="preserve"> SEQ level0 \*arabic </w:instrText>
      </w:r>
      <w:r w:rsidRPr="00B2291B">
        <w:fldChar w:fldCharType="separate"/>
      </w:r>
      <w:r w:rsidR="00C5470A">
        <w:rPr>
          <w:noProof/>
        </w:rPr>
        <w:t>108</w:t>
      </w:r>
      <w:r w:rsidRPr="00B2291B">
        <w:fldChar w:fldCharType="end"/>
      </w:r>
      <w:r w:rsidRPr="00B2291B">
        <w:t xml:space="preserve">.  The applicant accepted that he </w:t>
      </w:r>
      <w:r>
        <w:t>no longer</w:t>
      </w:r>
      <w:r w:rsidRPr="00B2291B">
        <w:t xml:space="preserve"> </w:t>
      </w:r>
      <w:r>
        <w:t xml:space="preserve">faced </w:t>
      </w:r>
      <w:r w:rsidRPr="00B2291B">
        <w:t xml:space="preserve">a risk of deportation to </w:t>
      </w:r>
      <w:r>
        <w:t>Syria and</w:t>
      </w:r>
      <w:r w:rsidRPr="00B2291B">
        <w:t xml:space="preserve"> the question of violation of Articles 2 and 3 </w:t>
      </w:r>
      <w:r>
        <w:t xml:space="preserve">of the Convention taken alone </w:t>
      </w:r>
      <w:r w:rsidRPr="00B2291B">
        <w:t>was not</w:t>
      </w:r>
      <w:r>
        <w:t xml:space="preserve"> as</w:t>
      </w:r>
      <w:r w:rsidRPr="00B2291B">
        <w:t xml:space="preserve"> such </w:t>
      </w:r>
      <w:r>
        <w:t>in</w:t>
      </w:r>
      <w:r w:rsidRPr="00B2291B">
        <w:t xml:space="preserve"> issue anymore. He submitted that his recognition as a </w:t>
      </w:r>
      <w:r w:rsidRPr="00154E25">
        <w:t xml:space="preserve">refugee was in substance an acknowledgment by the Government that his deportation to Syria would have been in violation </w:t>
      </w:r>
      <w:r>
        <w:t>of these provisions</w:t>
      </w:r>
      <w:r w:rsidRPr="00BE18E7">
        <w:t xml:space="preserve">. He stressed, however, that </w:t>
      </w:r>
      <w:r>
        <w:t xml:space="preserve">if </w:t>
      </w:r>
      <w:r w:rsidRPr="00BE18E7">
        <w:t xml:space="preserve">it had not been for the application of Rule 39 </w:t>
      </w:r>
      <w:r>
        <w:t xml:space="preserve">of the Rules of Court </w:t>
      </w:r>
      <w:r w:rsidRPr="00BE18E7">
        <w:t>by the Court he would have been deported by the authorities</w:t>
      </w:r>
      <w:r w:rsidRPr="00DA2219">
        <w:t>. In reply to the Government</w:t>
      </w:r>
      <w:r w:rsidR="00A7319E">
        <w:t>’</w:t>
      </w:r>
      <w:r w:rsidRPr="00DA2219">
        <w:t>s plea of non-exhaustion he maintained that he did not have an effective domestic remedy at his disposal</w:t>
      </w:r>
      <w:r>
        <w:t xml:space="preserve"> as required by Article 35 § 1</w:t>
      </w:r>
      <w:r w:rsidRPr="00DA2219">
        <w:t xml:space="preserve"> of the Convention</w:t>
      </w:r>
      <w:r w:rsidRPr="00894221">
        <w:t xml:space="preserve">. In this respect, the applicant pointed out, </w:t>
      </w:r>
      <w:r w:rsidRPr="00894221">
        <w:rPr>
          <w:i/>
        </w:rPr>
        <w:t>inter alia</w:t>
      </w:r>
      <w:r w:rsidRPr="00894221">
        <w:t xml:space="preserve">, that a recourse against </w:t>
      </w:r>
      <w:r>
        <w:t>a</w:t>
      </w:r>
      <w:r w:rsidRPr="00894221">
        <w:t xml:space="preserve"> decision </w:t>
      </w:r>
      <w:r>
        <w:t>by</w:t>
      </w:r>
      <w:r w:rsidRPr="00894221">
        <w:t xml:space="preserve"> the Reviewing Authority </w:t>
      </w:r>
      <w:r>
        <w:t>or</w:t>
      </w:r>
      <w:r w:rsidRPr="00894221">
        <w:t xml:space="preserve"> against </w:t>
      </w:r>
      <w:r w:rsidRPr="00C11D68">
        <w:t>deportation and detention orders</w:t>
      </w:r>
      <w:r w:rsidRPr="00894221">
        <w:t xml:space="preserve"> did not have automatic suspensive effect. Neither did an application for </w:t>
      </w:r>
      <w:r>
        <w:t xml:space="preserve">a provisional </w:t>
      </w:r>
      <w:r w:rsidRPr="00894221">
        <w:t xml:space="preserve">measure to suspend deportation made in the context of such proceedings. </w:t>
      </w:r>
      <w:r>
        <w:t>Lastly</w:t>
      </w:r>
      <w:r w:rsidRPr="00894221">
        <w:t>, the applicant argued that the scope of the recourse proceedings before the Supreme Court was too limited</w:t>
      </w:r>
      <w:r>
        <w:t>,</w:t>
      </w:r>
      <w:r w:rsidRPr="00894221">
        <w:t xml:space="preserve"> as it did not entail an examination of the merits of the administrative decisions concerning asylum and deportation.</w:t>
      </w:r>
    </w:p>
    <w:p w:rsidR="00FA0835" w:rsidP="00FA0835" w:rsidRDefault="00FA0835">
      <w:pPr>
        <w:pStyle w:val="JuHA"/>
      </w:pPr>
      <w:r w:rsidRPr="00697B9B">
        <w:t>B</w:t>
      </w:r>
      <w:r>
        <w:t>.</w:t>
      </w:r>
      <w:r w:rsidRPr="0011250F">
        <w:t>  </w:t>
      </w:r>
      <w:r w:rsidRPr="00697B9B">
        <w:t>The</w:t>
      </w:r>
      <w:r>
        <w:t xml:space="preserve"> Court</w:t>
      </w:r>
      <w:r w:rsidR="00A7319E">
        <w:t>’</w:t>
      </w:r>
      <w:r>
        <w:t>s assessment</w:t>
      </w:r>
    </w:p>
    <w:p w:rsidRPr="00AC39BF" w:rsidR="00FA0835" w:rsidP="00FA0835" w:rsidRDefault="00FA0835">
      <w:pPr>
        <w:pStyle w:val="JuH1"/>
      </w:pPr>
      <w:r>
        <w:t>1.</w:t>
      </w:r>
      <w:r w:rsidRPr="0011250F">
        <w:t>  </w:t>
      </w:r>
      <w:r>
        <w:t>Victim status</w:t>
      </w:r>
    </w:p>
    <w:p w:rsidR="00FA0835" w:rsidP="00FA0835" w:rsidRDefault="00FA0835">
      <w:pPr>
        <w:pStyle w:val="JuPara"/>
        <w:rPr>
          <w:rStyle w:val="sb8d990e2"/>
        </w:rPr>
      </w:pPr>
      <w:r w:rsidRPr="00015031">
        <w:fldChar w:fldCharType="begin"/>
      </w:r>
      <w:r w:rsidRPr="00015031">
        <w:instrText xml:space="preserve"> SEQ level0 \*arabic </w:instrText>
      </w:r>
      <w:r w:rsidRPr="00015031">
        <w:fldChar w:fldCharType="separate"/>
      </w:r>
      <w:r w:rsidR="00C5470A">
        <w:rPr>
          <w:noProof/>
        </w:rPr>
        <w:t>109</w:t>
      </w:r>
      <w:r w:rsidRPr="00015031">
        <w:fldChar w:fldCharType="end"/>
      </w:r>
      <w:r w:rsidRPr="00015031">
        <w:t>.  </w:t>
      </w:r>
      <w:r w:rsidRPr="00015031">
        <w:rPr>
          <w:rStyle w:val="sb8d990e2"/>
        </w:rPr>
        <w:t xml:space="preserve">The Court reiterates </w:t>
      </w:r>
      <w:r>
        <w:rPr>
          <w:rStyle w:val="sb8d990e2"/>
        </w:rPr>
        <w:t>that, as a general rule, a decision or measure favourable to the applicant is not sufficient to deprive him of his status as a “victim” unless the national authorities have acknowledged, either expressly or in substance</w:t>
      </w:r>
      <w:r w:rsidRPr="00673476">
        <w:rPr>
          <w:rStyle w:val="sb8d990e2"/>
        </w:rPr>
        <w:t>, and then afforded redress for the breach of the Convention</w:t>
      </w:r>
      <w:r>
        <w:rPr>
          <w:rStyle w:val="sb8d990e2"/>
        </w:rPr>
        <w:t xml:space="preserve"> (see, amongst many other authorities,</w:t>
      </w:r>
      <w:r w:rsidRPr="00334D66">
        <w:rPr>
          <w:i/>
          <w:szCs w:val="24"/>
          <w:lang w:eastAsia="en-US"/>
        </w:rPr>
        <w:t xml:space="preserve"> </w:t>
      </w:r>
      <w:r w:rsidRPr="00C21DB5">
        <w:rPr>
          <w:i/>
          <w:szCs w:val="22"/>
          <w:lang w:eastAsia="en-US"/>
        </w:rPr>
        <w:t xml:space="preserve">Nada v. Switzerland </w:t>
      </w:r>
      <w:r>
        <w:rPr>
          <w:szCs w:val="22"/>
          <w:lang w:eastAsia="en-US"/>
        </w:rPr>
        <w:t>[GC], no. </w:t>
      </w:r>
      <w:r w:rsidRPr="00C21DB5">
        <w:rPr>
          <w:szCs w:val="22"/>
          <w:lang w:eastAsia="en-US"/>
        </w:rPr>
        <w:t>10593/08</w:t>
      </w:r>
      <w:r w:rsidRPr="00C21DB5">
        <w:rPr>
          <w:snapToGrid w:val="0"/>
          <w:szCs w:val="24"/>
          <w:lang w:val="pt-BR" w:eastAsia="en-US"/>
        </w:rPr>
        <w:t xml:space="preserve">, § </w:t>
      </w:r>
      <w:r>
        <w:rPr>
          <w:snapToGrid w:val="0"/>
          <w:szCs w:val="24"/>
          <w:lang w:val="pt-BR" w:eastAsia="en-US"/>
        </w:rPr>
        <w:t>128</w:t>
      </w:r>
      <w:r w:rsidRPr="00C21DB5">
        <w:rPr>
          <w:snapToGrid w:val="0"/>
          <w:szCs w:val="24"/>
          <w:lang w:val="pt-BR" w:eastAsia="en-US"/>
        </w:rPr>
        <w:t xml:space="preserve">, </w:t>
      </w:r>
      <w:r w:rsidRPr="00C21DB5">
        <w:rPr>
          <w:snapToGrid w:val="0"/>
          <w:szCs w:val="22"/>
          <w:lang w:eastAsia="en-US"/>
        </w:rPr>
        <w:t>ECHR 2012</w:t>
      </w:r>
      <w:r>
        <w:rPr>
          <w:snapToGrid w:val="0"/>
          <w:szCs w:val="22"/>
          <w:lang w:eastAsia="en-US"/>
        </w:rPr>
        <w:t xml:space="preserve">; </w:t>
      </w:r>
      <w:r w:rsidRPr="00334D66">
        <w:rPr>
          <w:rStyle w:val="sb8d990e2"/>
          <w:i/>
        </w:rPr>
        <w:t>I</w:t>
      </w:r>
      <w:r w:rsidRPr="00AE43B8">
        <w:rPr>
          <w:i/>
          <w:lang w:eastAsia="en-US"/>
        </w:rPr>
        <w:t>.M. v. France</w:t>
      </w:r>
      <w:r w:rsidRPr="00AE43B8">
        <w:rPr>
          <w:lang w:eastAsia="en-US"/>
        </w:rPr>
        <w:t>, no. 9152/09</w:t>
      </w:r>
      <w:r w:rsidRPr="00AE43B8">
        <w:rPr>
          <w:snapToGrid w:val="0"/>
          <w:szCs w:val="24"/>
          <w:lang w:val="pt-BR" w:eastAsia="en-US"/>
        </w:rPr>
        <w:t xml:space="preserve">, §§ </w:t>
      </w:r>
      <w:r>
        <w:rPr>
          <w:snapToGrid w:val="0"/>
          <w:szCs w:val="24"/>
          <w:lang w:val="pt-BR" w:eastAsia="en-US"/>
        </w:rPr>
        <w:t>94-95</w:t>
      </w:r>
      <w:r w:rsidRPr="00AE43B8">
        <w:rPr>
          <w:snapToGrid w:val="0"/>
          <w:szCs w:val="24"/>
          <w:lang w:val="pt-BR" w:eastAsia="en-US"/>
        </w:rPr>
        <w:t xml:space="preserve">, </w:t>
      </w:r>
      <w:r>
        <w:rPr>
          <w:szCs w:val="24"/>
          <w:lang w:val="pt-BR" w:eastAsia="en-US"/>
        </w:rPr>
        <w:t>2 </w:t>
      </w:r>
      <w:r w:rsidRPr="00AE43B8">
        <w:rPr>
          <w:szCs w:val="24"/>
          <w:lang w:val="pt-BR" w:eastAsia="en-US"/>
        </w:rPr>
        <w:t xml:space="preserve">February </w:t>
      </w:r>
      <w:r w:rsidRPr="00AE43B8">
        <w:rPr>
          <w:snapToGrid w:val="0"/>
          <w:szCs w:val="24"/>
          <w:lang w:val="pt-BR" w:eastAsia="en-US"/>
        </w:rPr>
        <w:t>2012</w:t>
      </w:r>
      <w:r>
        <w:rPr>
          <w:snapToGrid w:val="0"/>
          <w:szCs w:val="24"/>
          <w:lang w:val="pt-BR" w:eastAsia="en-US"/>
        </w:rPr>
        <w:t xml:space="preserve">; </w:t>
      </w:r>
      <w:r w:rsidRPr="004A07B9">
        <w:rPr>
          <w:snapToGrid w:val="0"/>
          <w:szCs w:val="24"/>
          <w:lang w:val="pt-BR" w:eastAsia="en-US"/>
        </w:rPr>
        <w:t xml:space="preserve">and </w:t>
      </w:r>
      <w:r w:rsidRPr="00095482">
        <w:rPr>
          <w:i/>
          <w:lang w:eastAsia="en-US"/>
        </w:rPr>
        <w:t>Gebremedhin [Gaberamadhien] v. France</w:t>
      </w:r>
      <w:r>
        <w:rPr>
          <w:lang w:eastAsia="en-US"/>
        </w:rPr>
        <w:t>, no. </w:t>
      </w:r>
      <w:r w:rsidRPr="004A07B9">
        <w:rPr>
          <w:lang w:eastAsia="en-US"/>
        </w:rPr>
        <w:t>25389/05, § 56, ECHR 2007</w:t>
      </w:r>
      <w:r w:rsidRPr="004A07B9">
        <w:rPr>
          <w:lang w:eastAsia="en-US"/>
        </w:rPr>
        <w:noBreakHyphen/>
        <w:t>II</w:t>
      </w:r>
      <w:r>
        <w:rPr>
          <w:rStyle w:val="sb8d990e2"/>
        </w:rPr>
        <w:t>).</w:t>
      </w:r>
    </w:p>
    <w:p w:rsidR="00FA0835" w:rsidP="00FA0835" w:rsidRDefault="00FA0835">
      <w:pPr>
        <w:pStyle w:val="JuPara"/>
      </w:pPr>
      <w:r>
        <w:fldChar w:fldCharType="begin"/>
      </w:r>
      <w:r>
        <w:instrText xml:space="preserve"> SEQ level0 \*arabic </w:instrText>
      </w:r>
      <w:r>
        <w:fldChar w:fldCharType="separate"/>
      </w:r>
      <w:r w:rsidR="00C5470A">
        <w:rPr>
          <w:noProof/>
        </w:rPr>
        <w:t>110</w:t>
      </w:r>
      <w:r>
        <w:fldChar w:fldCharType="end"/>
      </w:r>
      <w:r>
        <w:t>.  </w:t>
      </w:r>
      <w:r w:rsidRPr="00885A6F">
        <w:t>The Court notes that in the present case the applicant, on 29</w:t>
      </w:r>
      <w:r>
        <w:t> </w:t>
      </w:r>
      <w:r w:rsidRPr="00885A6F">
        <w:t>April</w:t>
      </w:r>
      <w:r>
        <w:t xml:space="preserve"> </w:t>
      </w:r>
      <w:r w:rsidRPr="00885A6F">
        <w:t>2011, was granted refugee status</w:t>
      </w:r>
      <w:r>
        <w:t xml:space="preserve">. </w:t>
      </w:r>
      <w:r w:rsidRPr="00510D3B">
        <w:rPr>
          <w:rStyle w:val="wordhighlighted"/>
        </w:rPr>
        <w:t>The</w:t>
      </w:r>
      <w:r w:rsidRPr="00510D3B">
        <w:t xml:space="preserve"> President</w:t>
      </w:r>
      <w:r>
        <w:t xml:space="preserve"> of the First Section</w:t>
      </w:r>
      <w:r w:rsidRPr="00510D3B">
        <w:t xml:space="preserve"> </w:t>
      </w:r>
      <w:r w:rsidRPr="00510D3B">
        <w:rPr>
          <w:rStyle w:val="wordhighlighted"/>
        </w:rPr>
        <w:t>decided</w:t>
      </w:r>
      <w:r w:rsidRPr="00510D3B">
        <w:t xml:space="preserve"> </w:t>
      </w:r>
      <w:r w:rsidRPr="00510D3B">
        <w:rPr>
          <w:rStyle w:val="wordhighlighted"/>
        </w:rPr>
        <w:t>to</w:t>
      </w:r>
      <w:r w:rsidRPr="00510D3B">
        <w:t xml:space="preserve"> discontinue </w:t>
      </w:r>
      <w:r w:rsidRPr="00510D3B">
        <w:rPr>
          <w:rStyle w:val="wordhighlighted"/>
        </w:rPr>
        <w:t>the</w:t>
      </w:r>
      <w:r w:rsidRPr="00510D3B">
        <w:t xml:space="preserve"> application of Rule 39 on this basis. </w:t>
      </w:r>
      <w:r>
        <w:t xml:space="preserve">As the applicant is no longer at risk of deportation to Syria, he can no longer claim to be a victim of a violation of his rights under Articles 2 and 3 of the Convention within the meaning of Article 34 of the Convention. It follows that this </w:t>
      </w:r>
      <w:r w:rsidRPr="0016072E">
        <w:t xml:space="preserve">part of the application must be rejected </w:t>
      </w:r>
      <w:r>
        <w:rPr>
          <w:rStyle w:val="sb8d990e2"/>
        </w:rPr>
        <w:t xml:space="preserve">as being incompatible </w:t>
      </w:r>
      <w:r w:rsidRPr="00510D3B">
        <w:rPr>
          <w:rStyle w:val="s6b621b36"/>
          <w:i/>
        </w:rPr>
        <w:t>ratione personae</w:t>
      </w:r>
      <w:r>
        <w:rPr>
          <w:rStyle w:val="sb8d990e2"/>
        </w:rPr>
        <w:t xml:space="preserve"> with the Convention, pursuant to Article 35 §§ 3 (a) and 4 of </w:t>
      </w:r>
      <w:r w:rsidRPr="00510D3B">
        <w:t>the Convention.</w:t>
      </w:r>
    </w:p>
    <w:p w:rsidRPr="003768FC" w:rsidR="00FA0835" w:rsidP="00FA0835" w:rsidRDefault="00FA0835">
      <w:pPr>
        <w:pStyle w:val="JuH1"/>
      </w:pPr>
      <w:r w:rsidRPr="003768FC">
        <w:t>2.  Exhaustion of domestic remedies</w:t>
      </w:r>
    </w:p>
    <w:p w:rsidR="00FA0835" w:rsidP="00FA0835" w:rsidRDefault="00FA0835">
      <w:pPr>
        <w:pStyle w:val="JuPara"/>
        <w:rPr>
          <w:rStyle w:val="sb8d990e2"/>
        </w:rPr>
      </w:pPr>
      <w:r w:rsidRPr="003768FC">
        <w:fldChar w:fldCharType="begin"/>
      </w:r>
      <w:r w:rsidRPr="003768FC">
        <w:instrText xml:space="preserve"> SEQ level0 \*arabic </w:instrText>
      </w:r>
      <w:r w:rsidRPr="003768FC">
        <w:fldChar w:fldCharType="separate"/>
      </w:r>
      <w:r w:rsidR="00C5470A">
        <w:rPr>
          <w:noProof/>
        </w:rPr>
        <w:t>111</w:t>
      </w:r>
      <w:r w:rsidRPr="003768FC">
        <w:fldChar w:fldCharType="end"/>
      </w:r>
      <w:r w:rsidRPr="003768FC">
        <w:t xml:space="preserve">.  In view of the above conclusion, the Court </w:t>
      </w:r>
      <w:r w:rsidRPr="003768FC">
        <w:rPr>
          <w:rStyle w:val="sb8d990e2"/>
        </w:rPr>
        <w:t>does not need to examine the question of exhaustion of domestic remedies raised by the Government.</w:t>
      </w:r>
    </w:p>
    <w:p w:rsidRPr="0011250F" w:rsidR="00FA0835" w:rsidP="00FA0835" w:rsidRDefault="00FA0835">
      <w:pPr>
        <w:pStyle w:val="JuHIRoman"/>
      </w:pPr>
      <w:r w:rsidRPr="00C4210E">
        <w:t xml:space="preserve">II.  ALLEGED VIOLATION OF ARTICLE 13 TAKEN </w:t>
      </w:r>
      <w:r>
        <w:t>IN CONJUNCTION</w:t>
      </w:r>
      <w:r w:rsidRPr="00C4210E">
        <w:t xml:space="preserve"> WITH ARTICLES 2 AND 3 OF THE CONVENTION</w:t>
      </w:r>
    </w:p>
    <w:p w:rsidRPr="0000569E" w:rsidR="00FA0835" w:rsidP="00FA0835" w:rsidRDefault="00FA0835">
      <w:pPr>
        <w:pStyle w:val="JuPara"/>
      </w:pPr>
      <w:r w:rsidRPr="00C43DEA">
        <w:fldChar w:fldCharType="begin"/>
      </w:r>
      <w:r w:rsidRPr="00C43DEA">
        <w:instrText xml:space="preserve"> SEQ level0 \*arabic </w:instrText>
      </w:r>
      <w:r w:rsidRPr="00C43DEA">
        <w:fldChar w:fldCharType="separate"/>
      </w:r>
      <w:r w:rsidR="00C5470A">
        <w:rPr>
          <w:noProof/>
        </w:rPr>
        <w:t>112</w:t>
      </w:r>
      <w:r w:rsidRPr="00C43DEA">
        <w:fldChar w:fldCharType="end"/>
      </w:r>
      <w:r w:rsidRPr="00C43DEA">
        <w:t>.  Relying on Article 13 of the Convention, the applicant complained of the lack of an</w:t>
      </w:r>
      <w:r>
        <w:t xml:space="preserve"> </w:t>
      </w:r>
      <w:r w:rsidRPr="00697B9B">
        <w:t xml:space="preserve">effective domestic remedy with regard to his complaints under Articles 2 and 3. In particular, he complained that </w:t>
      </w:r>
      <w:r>
        <w:t xml:space="preserve">a recourse </w:t>
      </w:r>
      <w:r w:rsidRPr="00697B9B">
        <w:t xml:space="preserve">challenging the decisions of the Reviewing Authority and </w:t>
      </w:r>
      <w:r>
        <w:t xml:space="preserve">the </w:t>
      </w:r>
      <w:r w:rsidRPr="00697B9B">
        <w:t xml:space="preserve">deportation and detention orders </w:t>
      </w:r>
      <w:r>
        <w:t>did not have</w:t>
      </w:r>
      <w:r w:rsidRPr="00697B9B">
        <w:t xml:space="preserve"> automatic suspensive effect and did not entail an examination of the merits</w:t>
      </w:r>
      <w:r w:rsidRPr="005454D2">
        <w:t xml:space="preserve"> of the administrative decisions.</w:t>
      </w:r>
      <w:r>
        <w:t xml:space="preserve"> Article </w:t>
      </w:r>
      <w:r w:rsidRPr="005454D2">
        <w:t>13 provides as follows:</w:t>
      </w:r>
    </w:p>
    <w:p w:rsidRPr="00771231" w:rsidR="00FA0835" w:rsidP="00FA0835" w:rsidRDefault="00FA0835">
      <w:pPr>
        <w:pStyle w:val="JuHArticle"/>
      </w:pPr>
      <w:r>
        <w:t>Article 13</w:t>
      </w:r>
    </w:p>
    <w:p w:rsidR="00FA0835" w:rsidP="00FA0835" w:rsidRDefault="00FA0835">
      <w:pPr>
        <w:pStyle w:val="JuQuot"/>
        <w:rPr>
          <w:rFonts w:ascii="Arial" w:hAnsi="Arial" w:cs="Arial"/>
        </w:rPr>
      </w:pPr>
      <w:r>
        <w:t>“Everyone whose rights and freedoms as set forth in [the] Convention are violated shall have an effective remedy before a national authority notwithstanding that the violation has been committed by persons acting in an official capacity.”</w:t>
      </w:r>
    </w:p>
    <w:p w:rsidRPr="0011250F" w:rsidR="00FA0835" w:rsidP="00FA0835" w:rsidRDefault="00FA0835">
      <w:pPr>
        <w:pStyle w:val="JuHA"/>
        <w:outlineLvl w:val="0"/>
      </w:pPr>
      <w:r w:rsidRPr="0011250F">
        <w:t>A.  Admissibility</w:t>
      </w:r>
    </w:p>
    <w:p w:rsidRPr="003E2E87" w:rsidR="00FA0835" w:rsidP="00FA0835" w:rsidRDefault="00FA0835">
      <w:pPr>
        <w:pStyle w:val="JuH1"/>
      </w:pPr>
      <w:r>
        <w:t>1.  The parties</w:t>
      </w:r>
      <w:r w:rsidR="00A7319E">
        <w:t>’</w:t>
      </w:r>
      <w:r>
        <w:t xml:space="preserve"> submissions</w:t>
      </w:r>
    </w:p>
    <w:p w:rsidR="00FA0835" w:rsidP="00FA0835" w:rsidRDefault="00FA0835">
      <w:pPr>
        <w:pStyle w:val="JuPara"/>
      </w:pPr>
      <w:r>
        <w:fldChar w:fldCharType="begin"/>
      </w:r>
      <w:r>
        <w:instrText xml:space="preserve"> SEQ level0 \*arabic </w:instrText>
      </w:r>
      <w:r>
        <w:fldChar w:fldCharType="separate"/>
      </w:r>
      <w:r w:rsidR="00C5470A">
        <w:rPr>
          <w:noProof/>
        </w:rPr>
        <w:t>113</w:t>
      </w:r>
      <w:r>
        <w:fldChar w:fldCharType="end"/>
      </w:r>
      <w:r>
        <w:t>.  Despite the fact that he had been granted refugee status, the applicant considered that the Court should still proceed to examine his complaint under Article 13 of the Convention taken together with Articles 2 and 3. He submitted that he had had an arguable claim under the latter provisions. The authorities</w:t>
      </w:r>
      <w:r w:rsidR="00A7319E">
        <w:t>’</w:t>
      </w:r>
      <w:r>
        <w:t xml:space="preserve"> decision to grant him refugee status confirmed this. He argued that he could still continue to claim to be a victim of a violation of Article 13 as he never had an effective domestic remedy at his disposal for the violation of his Convention rights. The applicant emphasised that he had not been removed to Syria only because of the interim measure </w:t>
      </w:r>
      <w:r w:rsidRPr="00AC45BD">
        <w:t>indicated by the Court to the Cypriot Government</w:t>
      </w:r>
      <w:r w:rsidRPr="000E6A55">
        <w:t>.</w:t>
      </w:r>
    </w:p>
    <w:p w:rsidRPr="00DE0F69" w:rsidR="00FA0835" w:rsidP="00FA0835" w:rsidRDefault="00FA0835">
      <w:pPr>
        <w:pStyle w:val="NormalWeb"/>
        <w:spacing w:before="0" w:beforeAutospacing="0" w:after="0" w:afterAutospacing="0"/>
        <w:ind w:firstLine="284"/>
        <w:jc w:val="both"/>
      </w:pPr>
      <w:r w:rsidRPr="00BF1F78">
        <w:fldChar w:fldCharType="begin"/>
      </w:r>
      <w:r w:rsidRPr="00BF1F78">
        <w:instrText xml:space="preserve"> SEQ level0 \*arabic </w:instrText>
      </w:r>
      <w:r w:rsidRPr="00BF1F78">
        <w:fldChar w:fldCharType="separate"/>
      </w:r>
      <w:r w:rsidR="00C5470A">
        <w:rPr>
          <w:noProof/>
        </w:rPr>
        <w:t>114</w:t>
      </w:r>
      <w:r w:rsidRPr="00BF1F78">
        <w:fldChar w:fldCharType="end"/>
      </w:r>
      <w:r w:rsidRPr="00BF1F78">
        <w:t>.  The Government did not make any</w:t>
      </w:r>
      <w:r>
        <w:t xml:space="preserve"> specific submissions on this matter.</w:t>
      </w:r>
    </w:p>
    <w:p w:rsidRPr="003E2E87" w:rsidR="00FA0835" w:rsidP="00FA0835" w:rsidRDefault="00FA0835">
      <w:pPr>
        <w:pStyle w:val="JuH1"/>
      </w:pPr>
      <w:r>
        <w:t>2.  The Court</w:t>
      </w:r>
      <w:r w:rsidR="00A7319E">
        <w:t>’</w:t>
      </w:r>
      <w:r>
        <w:t>s assessment</w:t>
      </w:r>
    </w:p>
    <w:p w:rsidRPr="00DE0F69" w:rsidR="00FA0835" w:rsidP="00FA0835" w:rsidRDefault="00FA0835">
      <w:pPr>
        <w:pStyle w:val="NormalWeb"/>
        <w:spacing w:before="0" w:beforeAutospacing="0" w:after="0" w:afterAutospacing="0"/>
        <w:ind w:firstLine="284"/>
        <w:jc w:val="both"/>
      </w:pPr>
      <w:r w:rsidRPr="004C6176">
        <w:fldChar w:fldCharType="begin"/>
      </w:r>
      <w:r w:rsidRPr="004C6176">
        <w:instrText xml:space="preserve"> SEQ level0 \*arabic </w:instrText>
      </w:r>
      <w:r w:rsidRPr="004C6176">
        <w:fldChar w:fldCharType="separate"/>
      </w:r>
      <w:r w:rsidR="00C5470A">
        <w:rPr>
          <w:noProof/>
        </w:rPr>
        <w:t>115</w:t>
      </w:r>
      <w:r w:rsidRPr="004C6176">
        <w:fldChar w:fldCharType="end"/>
      </w:r>
      <w:r>
        <w:t>.  </w:t>
      </w:r>
      <w:r w:rsidRPr="005454D2">
        <w:t>Although the respondent State did not raise any objection as to the Court</w:t>
      </w:r>
      <w:r w:rsidR="00A7319E">
        <w:t>’</w:t>
      </w:r>
      <w:r w:rsidRPr="005454D2">
        <w:t xml:space="preserve">s competence </w:t>
      </w:r>
      <w:r w:rsidRPr="005454D2">
        <w:rPr>
          <w:i/>
          <w:iCs/>
        </w:rPr>
        <w:t>ratione personae</w:t>
      </w:r>
      <w:r w:rsidRPr="005454D2">
        <w:t xml:space="preserve">, this issue calls for consideration </w:t>
      </w:r>
      <w:r>
        <w:rPr>
          <w:i/>
          <w:iCs/>
        </w:rPr>
        <w:t>proprio motu</w:t>
      </w:r>
      <w:r w:rsidRPr="005454D2">
        <w:rPr>
          <w:i/>
          <w:iCs/>
        </w:rPr>
        <w:t xml:space="preserve"> </w:t>
      </w:r>
      <w:r w:rsidRPr="005454D2">
        <w:t>by the Court.</w:t>
      </w:r>
    </w:p>
    <w:p w:rsidR="00FA0835" w:rsidP="00FA0835" w:rsidRDefault="00FA0835">
      <w:pPr>
        <w:pStyle w:val="JuPara"/>
        <w:rPr>
          <w:rStyle w:val="sb8d990e2"/>
          <w:highlight w:val="magenta"/>
        </w:rPr>
      </w:pPr>
      <w:r>
        <w:fldChar w:fldCharType="begin"/>
      </w:r>
      <w:r>
        <w:instrText xml:space="preserve"> SEQ level0 \*arabic </w:instrText>
      </w:r>
      <w:r>
        <w:fldChar w:fldCharType="separate"/>
      </w:r>
      <w:r w:rsidR="00C5470A">
        <w:rPr>
          <w:noProof/>
        </w:rPr>
        <w:t>116</w:t>
      </w:r>
      <w:r>
        <w:fldChar w:fldCharType="end"/>
      </w:r>
      <w:r>
        <w:t>.  </w:t>
      </w:r>
      <w:r>
        <w:rPr>
          <w:rStyle w:val="sb8d990e2"/>
        </w:rPr>
        <w:t>Article 13</w:t>
      </w:r>
      <w:r w:rsidRPr="00926E7E">
        <w:t xml:space="preserve"> </w:t>
      </w:r>
      <w:r>
        <w:t xml:space="preserve">of the Convention </w:t>
      </w:r>
      <w:r w:rsidRPr="00DA2219">
        <w:t xml:space="preserve">guarantees the availability at national level of a remedy to enforce - and hence to allege non-compliance with - the substance of the Convention rights and freedoms in whatever form they may happen to be secured in the domestic legal order. </w:t>
      </w:r>
      <w:r>
        <w:rPr>
          <w:rStyle w:val="sb8d990e2"/>
        </w:rPr>
        <w:t xml:space="preserve">However, Article 13 </w:t>
      </w:r>
      <w:r w:rsidRPr="00DA2219">
        <w:rPr>
          <w:rStyle w:val="sb8d990e2"/>
        </w:rPr>
        <w:t>cannot reasonably be interpreted so as to require a</w:t>
      </w:r>
      <w:r>
        <w:rPr>
          <w:rStyle w:val="sb8d990e2"/>
        </w:rPr>
        <w:t xml:space="preserve"> remedy in domestic law in respect of any supposed grievance under the Convention that an individual may have, no matter how unmeritorious his complaint may be: the grievance must be an arguable one in terms of the Convention </w:t>
      </w:r>
      <w:r w:rsidRPr="00697B9B">
        <w:rPr>
          <w:rStyle w:val="sb8d990e2"/>
        </w:rPr>
        <w:t xml:space="preserve">(see </w:t>
      </w:r>
      <w:r w:rsidRPr="00697B9B">
        <w:rPr>
          <w:i/>
          <w:lang w:eastAsia="en-US"/>
        </w:rPr>
        <w:t>Boyle and Rice v. the United Kingdom</w:t>
      </w:r>
      <w:r>
        <w:rPr>
          <w:lang w:eastAsia="en-US"/>
        </w:rPr>
        <w:t>, 27 April 1988, § 52, Series A no. </w:t>
      </w:r>
      <w:r w:rsidRPr="00697B9B">
        <w:rPr>
          <w:lang w:eastAsia="en-US"/>
        </w:rPr>
        <w:t>131</w:t>
      </w:r>
      <w:r>
        <w:rPr>
          <w:lang w:eastAsia="en-US"/>
        </w:rPr>
        <w:t>).</w:t>
      </w:r>
    </w:p>
    <w:p w:rsidR="00FA0835" w:rsidP="00FA0835" w:rsidRDefault="00FA0835">
      <w:pPr>
        <w:pStyle w:val="JuPara"/>
        <w:rPr>
          <w:lang w:eastAsia="en-US"/>
        </w:rPr>
      </w:pPr>
      <w:r w:rsidRPr="00926E7E">
        <w:rPr>
          <w:rStyle w:val="sb8d990e2"/>
        </w:rPr>
        <w:fldChar w:fldCharType="begin"/>
      </w:r>
      <w:r w:rsidRPr="00926E7E">
        <w:rPr>
          <w:rStyle w:val="sb8d990e2"/>
        </w:rPr>
        <w:instrText xml:space="preserve"> SEQ level0 \*arabic </w:instrText>
      </w:r>
      <w:r w:rsidRPr="00926E7E">
        <w:rPr>
          <w:rStyle w:val="sb8d990e2"/>
        </w:rPr>
        <w:fldChar w:fldCharType="separate"/>
      </w:r>
      <w:r w:rsidR="00C5470A">
        <w:rPr>
          <w:rStyle w:val="sb8d990e2"/>
          <w:noProof/>
        </w:rPr>
        <w:t>117</w:t>
      </w:r>
      <w:r w:rsidRPr="00926E7E">
        <w:rPr>
          <w:rStyle w:val="sb8d990e2"/>
        </w:rPr>
        <w:fldChar w:fldCharType="end"/>
      </w:r>
      <w:r w:rsidRPr="00926E7E">
        <w:rPr>
          <w:rStyle w:val="sb8d990e2"/>
        </w:rPr>
        <w:t>.  </w:t>
      </w:r>
      <w:r w:rsidRPr="00926E7E">
        <w:t xml:space="preserve">The Court has refrained from giving an abstract definition of the notion of </w:t>
      </w:r>
      <w:r w:rsidRPr="00926E7E">
        <w:rPr>
          <w:rStyle w:val="wordhighlighted"/>
        </w:rPr>
        <w:t>arguability,</w:t>
      </w:r>
      <w:r w:rsidRPr="00926E7E">
        <w:t xml:space="preserve"> preferring in each case to determine, in the light of the particular facts and the nature of the legal issue or issues raised, whether a</w:t>
      </w:r>
      <w:r>
        <w:t xml:space="preserve"> </w:t>
      </w:r>
      <w:r w:rsidRPr="00926E7E">
        <w:t xml:space="preserve">claim of </w:t>
      </w:r>
      <w:r>
        <w:t xml:space="preserve">a </w:t>
      </w:r>
      <w:r w:rsidRPr="00926E7E">
        <w:t xml:space="preserve">violation forming the basis of a complaint under Article 13 is arguable and, if so, whether the requirements of this provision were met in relation thereto. In making its assessment the Court will also give consideration to its findings on the admissibility of the substantive claim (see </w:t>
      </w:r>
      <w:r w:rsidRPr="00926E7E">
        <w:rPr>
          <w:i/>
          <w:lang w:eastAsia="en-US"/>
        </w:rPr>
        <w:t>Ivan Atanasov v. Bulgaria</w:t>
      </w:r>
      <w:r w:rsidRPr="00926E7E">
        <w:rPr>
          <w:lang w:eastAsia="en-US"/>
        </w:rPr>
        <w:t>, no. 12853/03</w:t>
      </w:r>
      <w:r w:rsidRPr="00926E7E">
        <w:rPr>
          <w:snapToGrid w:val="0"/>
          <w:szCs w:val="24"/>
          <w:lang w:val="pt-BR" w:eastAsia="en-US"/>
        </w:rPr>
        <w:t>, §§ 100-101, 2</w:t>
      </w:r>
      <w:r>
        <w:rPr>
          <w:snapToGrid w:val="0"/>
          <w:szCs w:val="24"/>
          <w:lang w:val="pt-BR" w:eastAsia="en-US"/>
        </w:rPr>
        <w:t xml:space="preserve"> </w:t>
      </w:r>
      <w:r w:rsidRPr="00926E7E">
        <w:rPr>
          <w:snapToGrid w:val="0"/>
          <w:szCs w:val="24"/>
          <w:lang w:val="pt-BR" w:eastAsia="en-US"/>
        </w:rPr>
        <w:t>December</w:t>
      </w:r>
      <w:r>
        <w:rPr>
          <w:snapToGrid w:val="0"/>
          <w:szCs w:val="24"/>
          <w:lang w:val="pt-BR" w:eastAsia="en-US"/>
        </w:rPr>
        <w:t xml:space="preserve"> </w:t>
      </w:r>
      <w:r w:rsidRPr="00926E7E">
        <w:rPr>
          <w:snapToGrid w:val="0"/>
          <w:szCs w:val="24"/>
          <w:lang w:val="pt-BR" w:eastAsia="en-US"/>
        </w:rPr>
        <w:t>2010</w:t>
      </w:r>
      <w:r>
        <w:rPr>
          <w:snapToGrid w:val="0"/>
          <w:szCs w:val="24"/>
          <w:lang w:val="pt-BR" w:eastAsia="en-US"/>
        </w:rPr>
        <w:t xml:space="preserve">, and </w:t>
      </w:r>
      <w:r w:rsidRPr="00697B9B">
        <w:rPr>
          <w:i/>
          <w:lang w:eastAsia="en-US"/>
        </w:rPr>
        <w:t>Boyle and Rice</w:t>
      </w:r>
      <w:r>
        <w:rPr>
          <w:i/>
          <w:lang w:eastAsia="en-US"/>
        </w:rPr>
        <w:t>,</w:t>
      </w:r>
      <w:r>
        <w:rPr>
          <w:lang w:eastAsia="en-US"/>
        </w:rPr>
        <w:t xml:space="preserve"> cited above,</w:t>
      </w:r>
      <w:r>
        <w:rPr>
          <w:i/>
          <w:lang w:eastAsia="en-US"/>
        </w:rPr>
        <w:t xml:space="preserve"> </w:t>
      </w:r>
      <w:r>
        <w:rPr>
          <w:lang w:eastAsia="en-US"/>
        </w:rPr>
        <w:t>§ 54).</w:t>
      </w:r>
      <w:r w:rsidRPr="00926E7E">
        <w:t xml:space="preserve"> The fact, however, that a substantive claim is declared inadmissible does not necessarily exclude the operation of Article 13</w:t>
      </w:r>
      <w:r w:rsidRPr="00AA1361">
        <w:rPr>
          <w:i/>
          <w:lang w:eastAsia="en-US"/>
        </w:rPr>
        <w:t xml:space="preserve"> </w:t>
      </w:r>
      <w:r>
        <w:rPr>
          <w:lang w:eastAsia="en-US"/>
        </w:rPr>
        <w:t xml:space="preserve">(see </w:t>
      </w:r>
      <w:r>
        <w:rPr>
          <w:i/>
          <w:lang w:eastAsia="en-US"/>
        </w:rPr>
        <w:t xml:space="preserve">I. </w:t>
      </w:r>
      <w:r w:rsidRPr="00697B9B">
        <w:rPr>
          <w:i/>
          <w:lang w:eastAsia="en-US"/>
        </w:rPr>
        <w:t xml:space="preserve">M. </w:t>
      </w:r>
      <w:r w:rsidRPr="00697B9B">
        <w:rPr>
          <w:lang w:eastAsia="en-US"/>
        </w:rPr>
        <w:t xml:space="preserve">and </w:t>
      </w:r>
      <w:r w:rsidRPr="00697B9B">
        <w:rPr>
          <w:i/>
          <w:lang w:eastAsia="en-US"/>
        </w:rPr>
        <w:t>Gebremedhin</w:t>
      </w:r>
      <w:r>
        <w:rPr>
          <w:i/>
          <w:lang w:eastAsia="en-US"/>
        </w:rPr>
        <w:t xml:space="preserve">, </w:t>
      </w:r>
      <w:r>
        <w:rPr>
          <w:lang w:eastAsia="en-US"/>
        </w:rPr>
        <w:t>and,</w:t>
      </w:r>
      <w:r w:rsidRPr="008C4986">
        <w:rPr>
          <w:rStyle w:val="Strong"/>
          <w:b w:val="0"/>
          <w:i/>
          <w:color w:val="000000"/>
        </w:rPr>
        <w:t xml:space="preserve"> </w:t>
      </w:r>
      <w:r w:rsidRPr="00CD1EB7">
        <w:rPr>
          <w:rStyle w:val="Strong"/>
          <w:b w:val="0"/>
          <w:i/>
          <w:color w:val="000000"/>
        </w:rPr>
        <w:t>mutatis mutandis</w:t>
      </w:r>
      <w:r>
        <w:rPr>
          <w:rStyle w:val="Strong"/>
          <w:b w:val="0"/>
          <w:i/>
          <w:color w:val="000000"/>
        </w:rPr>
        <w:t>,</w:t>
      </w:r>
      <w:r>
        <w:rPr>
          <w:lang w:eastAsia="en-US"/>
        </w:rPr>
        <w:t xml:space="preserve"> </w:t>
      </w:r>
      <w:r w:rsidRPr="00697B9B">
        <w:rPr>
          <w:i/>
          <w:lang w:eastAsia="en-US"/>
        </w:rPr>
        <w:t>Boyle and Rice</w:t>
      </w:r>
      <w:r>
        <w:rPr>
          <w:i/>
          <w:lang w:eastAsia="en-US"/>
        </w:rPr>
        <w:t xml:space="preserve">, </w:t>
      </w:r>
      <w:r>
        <w:rPr>
          <w:lang w:eastAsia="en-US"/>
        </w:rPr>
        <w:t xml:space="preserve">§§ </w:t>
      </w:r>
      <w:r w:rsidRPr="00685278">
        <w:rPr>
          <w:lang w:eastAsia="en-US"/>
        </w:rPr>
        <w:t>54</w:t>
      </w:r>
      <w:r>
        <w:rPr>
          <w:lang w:eastAsia="en-US"/>
        </w:rPr>
        <w:t>-55;</w:t>
      </w:r>
      <w:r>
        <w:rPr>
          <w:i/>
          <w:lang w:eastAsia="en-US"/>
        </w:rPr>
        <w:t xml:space="preserve"> </w:t>
      </w:r>
      <w:r>
        <w:rPr>
          <w:lang w:eastAsia="en-US"/>
        </w:rPr>
        <w:t>all cited above)</w:t>
      </w:r>
      <w:r w:rsidRPr="00926E7E">
        <w:t>.</w:t>
      </w:r>
    </w:p>
    <w:p w:rsidRPr="00D5041D" w:rsidR="00FA0835" w:rsidP="00FA0835" w:rsidRDefault="00FA0835">
      <w:pPr>
        <w:pStyle w:val="JuPara"/>
        <w:rPr>
          <w:color w:val="000000"/>
        </w:rPr>
      </w:pPr>
      <w:r>
        <w:fldChar w:fldCharType="begin"/>
      </w:r>
      <w:r>
        <w:instrText xml:space="preserve"> SEQ level0 \*arabic </w:instrText>
      </w:r>
      <w:r>
        <w:fldChar w:fldCharType="separate"/>
      </w:r>
      <w:r w:rsidR="00C5470A">
        <w:rPr>
          <w:noProof/>
        </w:rPr>
        <w:t>118</w:t>
      </w:r>
      <w:r>
        <w:fldChar w:fldCharType="end"/>
      </w:r>
      <w:r>
        <w:t>.  </w:t>
      </w:r>
      <w:r w:rsidRPr="00723796">
        <w:t>More specifically</w:t>
      </w:r>
      <w:r>
        <w:t>, and of relevance to the present case</w:t>
      </w:r>
      <w:r w:rsidRPr="00723796">
        <w:t>, in deportation</w:t>
      </w:r>
      <w:r>
        <w:t xml:space="preserve"> cases</w:t>
      </w:r>
      <w:r w:rsidRPr="00723796">
        <w:t xml:space="preserve"> the Court has taken the view that loss of victim status in respect of alleged violations of Articles 2 and 3 of the Convention </w:t>
      </w:r>
      <w:r>
        <w:t>because</w:t>
      </w:r>
      <w:r w:rsidRPr="00723796">
        <w:t xml:space="preserve"> an applicant was no longer exposed to the threat </w:t>
      </w:r>
      <w:r w:rsidRPr="00586B66">
        <w:t>of deportation did</w:t>
      </w:r>
      <w:r w:rsidRPr="009B6736">
        <w:t xml:space="preserve"> not</w:t>
      </w:r>
      <w:r>
        <w:t xml:space="preserve"> necessarily render that complaint </w:t>
      </w:r>
      <w:r w:rsidRPr="009B6736">
        <w:t xml:space="preserve">non-arguable or deprive an </w:t>
      </w:r>
      <w:r w:rsidRPr="00697B9B">
        <w:t xml:space="preserve">applicant of his victim status </w:t>
      </w:r>
      <w:r>
        <w:t>for the purposes of</w:t>
      </w:r>
      <w:r w:rsidRPr="00697B9B">
        <w:t xml:space="preserve"> Article 13. </w:t>
      </w:r>
      <w:r>
        <w:t>F</w:t>
      </w:r>
      <w:r w:rsidRPr="00697B9B">
        <w:t>or example</w:t>
      </w:r>
      <w:r>
        <w:t>,</w:t>
      </w:r>
      <w:r w:rsidRPr="00697B9B">
        <w:t xml:space="preserve"> in both the cases of </w:t>
      </w:r>
      <w:r w:rsidRPr="00697B9B">
        <w:rPr>
          <w:i/>
        </w:rPr>
        <w:t>I</w:t>
      </w:r>
      <w:r w:rsidRPr="00697B9B">
        <w:rPr>
          <w:i/>
          <w:lang w:eastAsia="en-US"/>
        </w:rPr>
        <w:t xml:space="preserve">.M. </w:t>
      </w:r>
      <w:r w:rsidRPr="00697B9B">
        <w:rPr>
          <w:lang w:eastAsia="en-US"/>
        </w:rPr>
        <w:t xml:space="preserve">and </w:t>
      </w:r>
      <w:r w:rsidRPr="00697B9B">
        <w:rPr>
          <w:i/>
          <w:lang w:eastAsia="en-US"/>
        </w:rPr>
        <w:t xml:space="preserve">Gebremedhin </w:t>
      </w:r>
      <w:r w:rsidRPr="00697B9B">
        <w:rPr>
          <w:lang w:eastAsia="en-US"/>
        </w:rPr>
        <w:t xml:space="preserve">(cited above), although the Court </w:t>
      </w:r>
      <w:r>
        <w:rPr>
          <w:lang w:eastAsia="en-US"/>
        </w:rPr>
        <w:t>ruled</w:t>
      </w:r>
      <w:r w:rsidRPr="00697B9B">
        <w:rPr>
          <w:lang w:eastAsia="en-US"/>
        </w:rPr>
        <w:t xml:space="preserve"> that the applicants could no longer</w:t>
      </w:r>
      <w:r>
        <w:rPr>
          <w:lang w:eastAsia="en-US"/>
        </w:rPr>
        <w:t xml:space="preserve"> be considered as victims in respect of the alleged violation of Article 3, it found that the main complaint raised an issue </w:t>
      </w:r>
      <w:r w:rsidRPr="00D5041D">
        <w:rPr>
          <w:lang w:eastAsia="en-US"/>
        </w:rPr>
        <w:t>of substance and that, in the particular circumstances, the applicants were still victims of the alleged violation of Article 13 taken together with Article 3.</w:t>
      </w:r>
      <w:r>
        <w:rPr>
          <w:lang w:eastAsia="en-US"/>
        </w:rPr>
        <w:t xml:space="preserve"> </w:t>
      </w:r>
      <w:r w:rsidRPr="00D5041D">
        <w:rPr>
          <w:color w:val="000000"/>
        </w:rPr>
        <w:t xml:space="preserve">The same approach was taken recently by the Court in the case of </w:t>
      </w:r>
      <w:r w:rsidRPr="00D5041D">
        <w:rPr>
          <w:i/>
          <w:color w:val="000000"/>
        </w:rPr>
        <w:t>De Souza Ribeiro</w:t>
      </w:r>
      <w:r w:rsidRPr="00D5041D">
        <w:rPr>
          <w:color w:val="000000"/>
        </w:rPr>
        <w:t xml:space="preserve"> in relation to a deportation</w:t>
      </w:r>
      <w:r>
        <w:rPr>
          <w:color w:val="000000"/>
        </w:rPr>
        <w:t xml:space="preserve"> complaint under Articles 8 and </w:t>
      </w:r>
      <w:r w:rsidRPr="00D5041D">
        <w:rPr>
          <w:color w:val="000000"/>
        </w:rPr>
        <w:t>13 (</w:t>
      </w:r>
      <w:r w:rsidRPr="00D5041D">
        <w:rPr>
          <w:i/>
          <w:color w:val="000000"/>
        </w:rPr>
        <w:t>De Souza Ribeiro</w:t>
      </w:r>
      <w:r w:rsidRPr="00D5041D">
        <w:rPr>
          <w:color w:val="000000"/>
        </w:rPr>
        <w:t xml:space="preserve"> </w:t>
      </w:r>
      <w:r w:rsidRPr="00D5041D">
        <w:rPr>
          <w:i/>
          <w:color w:val="000000"/>
        </w:rPr>
        <w:t>v. France</w:t>
      </w:r>
      <w:r w:rsidRPr="00D5041D">
        <w:rPr>
          <w:color w:val="000000"/>
        </w:rPr>
        <w:t xml:space="preserve"> [G</w:t>
      </w:r>
      <w:r>
        <w:rPr>
          <w:color w:val="000000"/>
        </w:rPr>
        <w:t>C], no. 22689/07, §§ 84</w:t>
      </w:r>
      <w:r>
        <w:rPr>
          <w:color w:val="000000"/>
        </w:rPr>
        <w:noBreakHyphen/>
        <w:t>100, 13 </w:t>
      </w:r>
      <w:r w:rsidRPr="00D5041D">
        <w:rPr>
          <w:color w:val="000000"/>
        </w:rPr>
        <w:t>December 2012</w:t>
      </w:r>
      <w:r>
        <w:rPr>
          <w:color w:val="000000"/>
        </w:rPr>
        <w:t>,</w:t>
      </w:r>
      <w:r w:rsidRPr="00D5041D">
        <w:rPr>
          <w:color w:val="000000"/>
        </w:rPr>
        <w:t xml:space="preserve"> read together with </w:t>
      </w:r>
      <w:bookmarkStart w:name="File3" w:id="7"/>
      <w:r w:rsidRPr="00D5041D">
        <w:rPr>
          <w:i/>
          <w:color w:val="000000"/>
        </w:rPr>
        <w:t>De Souza</w:t>
      </w:r>
      <w:bookmarkEnd w:id="7"/>
      <w:r w:rsidRPr="00D5041D">
        <w:rPr>
          <w:i/>
          <w:color w:val="000000"/>
        </w:rPr>
        <w:t xml:space="preserve"> Ribeiro v. France</w:t>
      </w:r>
      <w:r>
        <w:rPr>
          <w:color w:val="000000"/>
        </w:rPr>
        <w:t>, no. </w:t>
      </w:r>
      <w:r w:rsidRPr="00D5041D">
        <w:rPr>
          <w:color w:val="000000"/>
        </w:rPr>
        <w:t>22689/07, §§ 22-26, 30 June 2011).</w:t>
      </w:r>
    </w:p>
    <w:p w:rsidR="00FA0835" w:rsidP="00FA0835" w:rsidRDefault="00FA0835">
      <w:pPr>
        <w:pStyle w:val="JuPara"/>
        <w:rPr>
          <w:rStyle w:val="Strong"/>
          <w:b w:val="0"/>
          <w:color w:val="000000"/>
        </w:rPr>
      </w:pPr>
      <w:r>
        <w:rPr>
          <w:lang w:eastAsia="en-US"/>
        </w:rPr>
        <w:fldChar w:fldCharType="begin"/>
      </w:r>
      <w:r>
        <w:rPr>
          <w:lang w:eastAsia="en-US"/>
        </w:rPr>
        <w:instrText xml:space="preserve"> SEQ level0 \*arabic </w:instrText>
      </w:r>
      <w:r>
        <w:rPr>
          <w:lang w:eastAsia="en-US"/>
        </w:rPr>
        <w:fldChar w:fldCharType="separate"/>
      </w:r>
      <w:r w:rsidR="00C5470A">
        <w:rPr>
          <w:noProof/>
          <w:lang w:eastAsia="en-US"/>
        </w:rPr>
        <w:t>119</w:t>
      </w:r>
      <w:r>
        <w:rPr>
          <w:lang w:eastAsia="en-US"/>
        </w:rPr>
        <w:fldChar w:fldCharType="end"/>
      </w:r>
      <w:r>
        <w:rPr>
          <w:lang w:eastAsia="en-US"/>
        </w:rPr>
        <w:t>.  In the present case, having examined the case file, the Court considers that the applicant</w:t>
      </w:r>
      <w:r w:rsidR="00A7319E">
        <w:rPr>
          <w:lang w:eastAsia="en-US"/>
        </w:rPr>
        <w:t>’</w:t>
      </w:r>
      <w:r>
        <w:rPr>
          <w:lang w:eastAsia="en-US"/>
        </w:rPr>
        <w:t xml:space="preserve">s complaints under Articles 2 and </w:t>
      </w:r>
      <w:r w:rsidRPr="000413D6">
        <w:rPr>
          <w:lang w:eastAsia="en-US"/>
        </w:rPr>
        <w:t xml:space="preserve">3 </w:t>
      </w:r>
      <w:r>
        <w:rPr>
          <w:lang w:eastAsia="en-US"/>
        </w:rPr>
        <w:t>did raise a</w:t>
      </w:r>
      <w:r>
        <w:rPr>
          <w:rStyle w:val="sb8d990e2"/>
        </w:rPr>
        <w:t xml:space="preserve"> serious question as to the compatibility of his intended deportation in June 2010 with those provisions. </w:t>
      </w:r>
      <w:r w:rsidRPr="007E1D43">
        <w:rPr>
          <w:rStyle w:val="sb8d990e2"/>
        </w:rPr>
        <w:t>It therefore finds that he can rely on Article 13.</w:t>
      </w:r>
      <w:r>
        <w:rPr>
          <w:rStyle w:val="sb8d990e2"/>
        </w:rPr>
        <w:t xml:space="preserve"> </w:t>
      </w:r>
      <w:r>
        <w:rPr>
          <w:rStyle w:val="Strong"/>
          <w:b w:val="0"/>
          <w:color w:val="000000"/>
        </w:rPr>
        <w:t xml:space="preserve">The Court observes in this respect that the Reviewing Authority in its decision granting the applicant refugee status held that the </w:t>
      </w:r>
      <w:r w:rsidRPr="00AD00E2">
        <w:rPr>
          <w:rStyle w:val="Strong"/>
          <w:b w:val="0"/>
          <w:color w:val="000000"/>
        </w:rPr>
        <w:t xml:space="preserve">applicant had proved, in a convincing manner, that his fear of persecution and </w:t>
      </w:r>
      <w:r>
        <w:rPr>
          <w:rStyle w:val="Strong"/>
          <w:b w:val="0"/>
          <w:color w:val="000000"/>
        </w:rPr>
        <w:t xml:space="preserve">the </w:t>
      </w:r>
      <w:r w:rsidRPr="00AD00E2">
        <w:rPr>
          <w:rStyle w:val="Strong"/>
          <w:b w:val="0"/>
          <w:color w:val="000000"/>
        </w:rPr>
        <w:t>danger to his life in the</w:t>
      </w:r>
      <w:r w:rsidRPr="00CA45A8">
        <w:rPr>
          <w:rStyle w:val="Strong"/>
          <w:b w:val="0"/>
          <w:color w:val="000000"/>
        </w:rPr>
        <w:t xml:space="preserve"> event</w:t>
      </w:r>
      <w:r>
        <w:rPr>
          <w:rStyle w:val="Strong"/>
          <w:b w:val="0"/>
          <w:color w:val="000000"/>
        </w:rPr>
        <w:t xml:space="preserve"> of his return to Syria was objectively credible </w:t>
      </w:r>
      <w:r w:rsidRPr="0029664A">
        <w:rPr>
          <w:rStyle w:val="Strong"/>
          <w:b w:val="0"/>
          <w:color w:val="000000"/>
        </w:rPr>
        <w:t>because of his political activity</w:t>
      </w:r>
      <w:r>
        <w:rPr>
          <w:rStyle w:val="Strong"/>
          <w:b w:val="0"/>
          <w:color w:val="000000"/>
        </w:rPr>
        <w:t xml:space="preserve"> in </w:t>
      </w:r>
      <w:r w:rsidRPr="000A1866">
        <w:rPr>
          <w:rStyle w:val="Strong"/>
          <w:b w:val="0"/>
          <w:color w:val="000000"/>
        </w:rPr>
        <w:t>Cyprus</w:t>
      </w:r>
      <w:r>
        <w:rPr>
          <w:rStyle w:val="Strong"/>
          <w:b w:val="0"/>
          <w:color w:val="000000"/>
        </w:rPr>
        <w:t xml:space="preserve"> (see, </w:t>
      </w:r>
      <w:r w:rsidRPr="00CD1EB7">
        <w:rPr>
          <w:rStyle w:val="Strong"/>
          <w:b w:val="0"/>
          <w:i/>
          <w:color w:val="000000"/>
        </w:rPr>
        <w:t>mutatis mutandis</w:t>
      </w:r>
      <w:r>
        <w:rPr>
          <w:rStyle w:val="Strong"/>
          <w:b w:val="0"/>
          <w:color w:val="000000"/>
        </w:rPr>
        <w:t xml:space="preserve">, </w:t>
      </w:r>
      <w:r w:rsidRPr="00003BCE">
        <w:rPr>
          <w:rStyle w:val="Strong"/>
          <w:b w:val="0"/>
          <w:i/>
          <w:color w:val="000000"/>
        </w:rPr>
        <w:t>S.F. and Others v.</w:t>
      </w:r>
      <w:r>
        <w:rPr>
          <w:rStyle w:val="Strong"/>
          <w:b w:val="0"/>
          <w:i/>
          <w:color w:val="000000"/>
        </w:rPr>
        <w:t> </w:t>
      </w:r>
      <w:r w:rsidRPr="00003BCE">
        <w:rPr>
          <w:rStyle w:val="Strong"/>
          <w:b w:val="0"/>
          <w:i/>
          <w:color w:val="000000"/>
        </w:rPr>
        <w:t>Sweden</w:t>
      </w:r>
      <w:r>
        <w:rPr>
          <w:rStyle w:val="Strong"/>
          <w:b w:val="0"/>
          <w:color w:val="000000"/>
        </w:rPr>
        <w:t xml:space="preserve">, no. 52077/10, </w:t>
      </w:r>
      <w:r>
        <w:rPr>
          <w:color w:val="000000"/>
        </w:rPr>
        <w:t xml:space="preserve">§§ 68-71, 15 May 2012 on the relevance of </w:t>
      </w:r>
      <w:r w:rsidRPr="00003BCE">
        <w:rPr>
          <w:i/>
          <w:color w:val="000000"/>
        </w:rPr>
        <w:t>sur place</w:t>
      </w:r>
      <w:r>
        <w:rPr>
          <w:color w:val="000000"/>
        </w:rPr>
        <w:t xml:space="preserve"> activity in the receiving country)</w:t>
      </w:r>
      <w:r w:rsidRPr="000A1866">
        <w:rPr>
          <w:rStyle w:val="Strong"/>
          <w:b w:val="0"/>
          <w:color w:val="000000"/>
        </w:rPr>
        <w:t>.</w:t>
      </w:r>
    </w:p>
    <w:p w:rsidR="00FA0835" w:rsidP="00FA0835" w:rsidRDefault="00FA0835">
      <w:pPr>
        <w:pStyle w:val="JuPara"/>
        <w:rPr>
          <w:rStyle w:val="sb8d990e2"/>
        </w:rPr>
      </w:pPr>
      <w:r w:rsidRPr="00267A93">
        <w:rPr>
          <w:rStyle w:val="sb8d990e2"/>
        </w:rPr>
        <w:fldChar w:fldCharType="begin"/>
      </w:r>
      <w:r w:rsidRPr="00267A93">
        <w:rPr>
          <w:rStyle w:val="sb8d990e2"/>
        </w:rPr>
        <w:instrText xml:space="preserve"> SEQ level0 \*arabic </w:instrText>
      </w:r>
      <w:r w:rsidRPr="00267A93">
        <w:rPr>
          <w:rStyle w:val="sb8d990e2"/>
        </w:rPr>
        <w:fldChar w:fldCharType="separate"/>
      </w:r>
      <w:r w:rsidR="00C5470A">
        <w:rPr>
          <w:rStyle w:val="sb8d990e2"/>
          <w:noProof/>
        </w:rPr>
        <w:t>120</w:t>
      </w:r>
      <w:r w:rsidRPr="00267A93">
        <w:rPr>
          <w:rStyle w:val="sb8d990e2"/>
        </w:rPr>
        <w:fldChar w:fldCharType="end"/>
      </w:r>
      <w:r w:rsidRPr="00267A93">
        <w:rPr>
          <w:rStyle w:val="sb8d990e2"/>
        </w:rPr>
        <w:t>. </w:t>
      </w:r>
      <w:r>
        <w:rPr>
          <w:rStyle w:val="sb8d990e2"/>
        </w:rPr>
        <w:t> In the circumstances, it cannot be said that the applicant can no longer claim to be a victim of the alleged violation of Article 13 taken in conjunction with Articles 2 and 3.</w:t>
      </w:r>
    </w:p>
    <w:p w:rsidR="00FA0835" w:rsidP="00FA0835" w:rsidRDefault="00FA0835">
      <w:pPr>
        <w:pStyle w:val="JuPara"/>
        <w:rPr>
          <w:rStyle w:val="sb8d990e2"/>
        </w:rPr>
      </w:pPr>
      <w:r w:rsidRPr="000B64A8">
        <w:rPr>
          <w:rStyle w:val="sb8d990e2"/>
        </w:rPr>
        <w:t xml:space="preserve">Firstly, as in the cases of </w:t>
      </w:r>
      <w:r w:rsidRPr="000B64A8">
        <w:rPr>
          <w:i/>
        </w:rPr>
        <w:t>I</w:t>
      </w:r>
      <w:r w:rsidRPr="000B64A8">
        <w:rPr>
          <w:i/>
          <w:lang w:eastAsia="en-US"/>
        </w:rPr>
        <w:t xml:space="preserve">.M. </w:t>
      </w:r>
      <w:r w:rsidRPr="000B64A8">
        <w:rPr>
          <w:lang w:eastAsia="en-US"/>
        </w:rPr>
        <w:t xml:space="preserve">and </w:t>
      </w:r>
      <w:r w:rsidRPr="000B64A8">
        <w:rPr>
          <w:i/>
          <w:lang w:eastAsia="en-US"/>
        </w:rPr>
        <w:t xml:space="preserve">Gebremedhin </w:t>
      </w:r>
      <w:r w:rsidRPr="000B64A8">
        <w:rPr>
          <w:lang w:eastAsia="en-US"/>
        </w:rPr>
        <w:t>(both cited above), the facts constituting the alleged violation had already materialised by the time the risk of the applicant</w:t>
      </w:r>
      <w:r w:rsidR="00A7319E">
        <w:rPr>
          <w:lang w:eastAsia="en-US"/>
        </w:rPr>
        <w:t>’</w:t>
      </w:r>
      <w:r w:rsidRPr="000B64A8">
        <w:rPr>
          <w:lang w:eastAsia="en-US"/>
        </w:rPr>
        <w:t xml:space="preserve">s deportation had </w:t>
      </w:r>
      <w:r>
        <w:rPr>
          <w:lang w:eastAsia="en-US"/>
        </w:rPr>
        <w:t>ceased to exist</w:t>
      </w:r>
      <w:r w:rsidRPr="000B64A8">
        <w:rPr>
          <w:lang w:eastAsia="en-US"/>
        </w:rPr>
        <w:t xml:space="preserve">. </w:t>
      </w:r>
      <w:r w:rsidRPr="000B64A8">
        <w:rPr>
          <w:rStyle w:val="sb8d990e2"/>
        </w:rPr>
        <w:t>The applicant</w:t>
      </w:r>
      <w:r w:rsidR="00A7319E">
        <w:rPr>
          <w:rStyle w:val="sb8d990e2"/>
        </w:rPr>
        <w:t>’</w:t>
      </w:r>
      <w:r w:rsidRPr="000B64A8">
        <w:rPr>
          <w:rStyle w:val="sb8d990e2"/>
        </w:rPr>
        <w:t xml:space="preserve">s complaint is that when he was under threat of deportation </w:t>
      </w:r>
      <w:r>
        <w:rPr>
          <w:rStyle w:val="sb8d990e2"/>
        </w:rPr>
        <w:t>there was no</w:t>
      </w:r>
      <w:r w:rsidRPr="000B64A8">
        <w:rPr>
          <w:rStyle w:val="sb8d990e2"/>
        </w:rPr>
        <w:t xml:space="preserve"> effective domestic remedy in respect of his </w:t>
      </w:r>
      <w:r>
        <w:rPr>
          <w:rStyle w:val="sb8d990e2"/>
        </w:rPr>
        <w:t>complaints under Articles 2 and </w:t>
      </w:r>
      <w:r w:rsidRPr="000B64A8">
        <w:rPr>
          <w:rStyle w:val="sb8d990e2"/>
        </w:rPr>
        <w:t xml:space="preserve">3. </w:t>
      </w:r>
      <w:r>
        <w:rPr>
          <w:rStyle w:val="sb8d990e2"/>
        </w:rPr>
        <w:t>The Court notes</w:t>
      </w:r>
      <w:r w:rsidRPr="000B64A8">
        <w:rPr>
          <w:rStyle w:val="sb8d990e2"/>
        </w:rPr>
        <w:t xml:space="preserve"> in this regard that at the time the applicant was to be sent </w:t>
      </w:r>
      <w:r w:rsidRPr="00AC5D67">
        <w:rPr>
          <w:rStyle w:val="sb8d990e2"/>
        </w:rPr>
        <w:t>back to Syria</w:t>
      </w:r>
      <w:r w:rsidRPr="00BF434F">
        <w:rPr>
          <w:rStyle w:val="sb8d990e2"/>
        </w:rPr>
        <w:t>,</w:t>
      </w:r>
      <w:r w:rsidRPr="000B64A8">
        <w:rPr>
          <w:rStyle w:val="sb8d990e2"/>
        </w:rPr>
        <w:t xml:space="preserve"> </w:t>
      </w:r>
      <w:r w:rsidRPr="00C5682C">
        <w:rPr>
          <w:rStyle w:val="sb8d990e2"/>
        </w:rPr>
        <w:t>his asylum application was being re-examined by the authorities</w:t>
      </w:r>
      <w:r w:rsidRPr="00C5682C">
        <w:rPr>
          <w:rStyle w:val="sb8d990e2"/>
          <w:b/>
          <w:color w:val="0000FF"/>
        </w:rPr>
        <w:t xml:space="preserve"> </w:t>
      </w:r>
      <w:r w:rsidRPr="00C5682C">
        <w:rPr>
          <w:rStyle w:val="sb8d990e2"/>
        </w:rPr>
        <w:t>and that it appears from the file that his deportation was halted</w:t>
      </w:r>
      <w:r w:rsidRPr="00C5682C">
        <w:t xml:space="preserve"> only because of the application by the Court of Rule 39. The decision granting the </w:t>
      </w:r>
      <w:r w:rsidRPr="00C5682C">
        <w:rPr>
          <w:rStyle w:val="sb8d990e2"/>
        </w:rPr>
        <w:t>applicant refugee status</w:t>
      </w:r>
      <w:r w:rsidRPr="000B64A8">
        <w:rPr>
          <w:rStyle w:val="sb8d990e2"/>
        </w:rPr>
        <w:t xml:space="preserve"> was taken more than ten months after he lodged his complaints before this Court.</w:t>
      </w:r>
      <w:r>
        <w:rPr>
          <w:rStyle w:val="sb8d990e2"/>
        </w:rPr>
        <w:t xml:space="preserve"> </w:t>
      </w:r>
      <w:r w:rsidRPr="00851564">
        <w:rPr>
          <w:rStyle w:val="sb8d990e2"/>
        </w:rPr>
        <w:t>Secondly, although the authorities</w:t>
      </w:r>
      <w:r w:rsidR="00A7319E">
        <w:rPr>
          <w:rStyle w:val="sb8d990e2"/>
        </w:rPr>
        <w:t>’</w:t>
      </w:r>
      <w:r w:rsidRPr="00851564">
        <w:rPr>
          <w:rStyle w:val="sb8d990e2"/>
        </w:rPr>
        <w:t xml:space="preserve"> decision to grant the applicant asylum has removed the risk that he will be deported, that decision does not acknowledge and redress his claim under Article 13 in conjunction with Articles 2 and 3 about </w:t>
      </w:r>
      <w:r>
        <w:rPr>
          <w:rStyle w:val="sb8d990e2"/>
        </w:rPr>
        <w:t xml:space="preserve">the </w:t>
      </w:r>
      <w:r w:rsidRPr="00851564">
        <w:rPr>
          <w:rStyle w:val="sb8d990e2"/>
        </w:rPr>
        <w:t>effectiveness of judicial review proceedings (see</w:t>
      </w:r>
      <w:r w:rsidRPr="000413D6">
        <w:rPr>
          <w:rStyle w:val="sb8d990e2"/>
        </w:rPr>
        <w:t xml:space="preserve"> </w:t>
      </w:r>
      <w:r w:rsidRPr="000B2493">
        <w:rPr>
          <w:rStyle w:val="sb8d990e2"/>
        </w:rPr>
        <w:t xml:space="preserve">paragraphs </w:t>
      </w:r>
      <w:r w:rsidRPr="00BF434F">
        <w:rPr>
          <w:rStyle w:val="sb8d990e2"/>
        </w:rPr>
        <w:t>109-110</w:t>
      </w:r>
      <w:r>
        <w:rPr>
          <w:rStyle w:val="sb8d990e2"/>
        </w:rPr>
        <w:t xml:space="preserve"> </w:t>
      </w:r>
      <w:r w:rsidRPr="000B2493">
        <w:rPr>
          <w:rStyle w:val="sb8d990e2"/>
        </w:rPr>
        <w:t>above). It cannot</w:t>
      </w:r>
      <w:r>
        <w:rPr>
          <w:rStyle w:val="sb8d990e2"/>
        </w:rPr>
        <w:t xml:space="preserve"> therefore deprive him</w:t>
      </w:r>
      <w:r w:rsidRPr="00267A93">
        <w:rPr>
          <w:rStyle w:val="sb8d990e2"/>
        </w:rPr>
        <w:t xml:space="preserve"> of his status as a “victim”</w:t>
      </w:r>
      <w:r>
        <w:rPr>
          <w:rStyle w:val="sb8d990e2"/>
        </w:rPr>
        <w:t xml:space="preserve"> in respect of his complaint under this head.</w:t>
      </w:r>
    </w:p>
    <w:p w:rsidR="00FA0835" w:rsidP="00FA0835" w:rsidRDefault="00FA0835">
      <w:pPr>
        <w:pStyle w:val="JuPara"/>
        <w:rPr>
          <w:rStyle w:val="sb8d990e2"/>
        </w:rPr>
      </w:pPr>
      <w:r w:rsidRPr="00AA52BC">
        <w:rPr>
          <w:rStyle w:val="sb8d990e2"/>
        </w:rPr>
        <w:fldChar w:fldCharType="begin"/>
      </w:r>
      <w:r w:rsidRPr="00AA52BC">
        <w:rPr>
          <w:rStyle w:val="sb8d990e2"/>
        </w:rPr>
        <w:instrText xml:space="preserve"> SEQ level0 \*arabic </w:instrText>
      </w:r>
      <w:r w:rsidRPr="00AA52BC">
        <w:rPr>
          <w:rStyle w:val="sb8d990e2"/>
        </w:rPr>
        <w:fldChar w:fldCharType="separate"/>
      </w:r>
      <w:r w:rsidR="00C5470A">
        <w:rPr>
          <w:rStyle w:val="sb8d990e2"/>
          <w:noProof/>
        </w:rPr>
        <w:t>121</w:t>
      </w:r>
      <w:r w:rsidRPr="00AA52BC">
        <w:rPr>
          <w:rStyle w:val="sb8d990e2"/>
        </w:rPr>
        <w:fldChar w:fldCharType="end"/>
      </w:r>
      <w:r w:rsidRPr="00AA52BC">
        <w:rPr>
          <w:rStyle w:val="sb8d990e2"/>
        </w:rPr>
        <w:t>.  </w:t>
      </w:r>
      <w:r>
        <w:rPr>
          <w:rStyle w:val="sb8d990e2"/>
        </w:rPr>
        <w:t>In the light of the foregoing and given that this complaint is not inadmissible on any other grounds, it must be declared admissible.</w:t>
      </w:r>
    </w:p>
    <w:p w:rsidRPr="0011250F" w:rsidR="00FA0835" w:rsidP="00FA0835" w:rsidRDefault="00FA0835">
      <w:pPr>
        <w:pStyle w:val="JuHA"/>
        <w:outlineLvl w:val="0"/>
      </w:pPr>
      <w:r w:rsidRPr="0011250F">
        <w:t>B.  Merits</w:t>
      </w:r>
    </w:p>
    <w:p w:rsidR="00FA0835" w:rsidP="00FA0835" w:rsidRDefault="00FA0835">
      <w:pPr>
        <w:pStyle w:val="JuH1"/>
      </w:pPr>
      <w:r>
        <w:t>1.  The parties</w:t>
      </w:r>
      <w:r w:rsidR="00A7319E">
        <w:t>’</w:t>
      </w:r>
      <w:r>
        <w:t xml:space="preserve"> submissions</w:t>
      </w:r>
    </w:p>
    <w:p w:rsidRPr="00A80110" w:rsidR="00FA0835" w:rsidP="00FA0835" w:rsidRDefault="00FA0835">
      <w:pPr>
        <w:pStyle w:val="JuHa0"/>
      </w:pPr>
      <w:r w:rsidRPr="00A80110">
        <w:t>(a)  The applicant</w:t>
      </w:r>
    </w:p>
    <w:p w:rsidR="00FA0835" w:rsidP="00FA0835" w:rsidRDefault="00FA0835">
      <w:pPr>
        <w:pStyle w:val="JuPara"/>
        <w:rPr>
          <w:i/>
          <w:lang w:eastAsia="en-US"/>
        </w:rPr>
      </w:pPr>
      <w:r w:rsidRPr="00A80110">
        <w:fldChar w:fldCharType="begin"/>
      </w:r>
      <w:r w:rsidRPr="00A80110">
        <w:instrText xml:space="preserve"> SEQ level0 \*arabic </w:instrText>
      </w:r>
      <w:r w:rsidRPr="00A80110">
        <w:fldChar w:fldCharType="separate"/>
      </w:r>
      <w:r w:rsidR="00C5470A">
        <w:rPr>
          <w:noProof/>
        </w:rPr>
        <w:t>122</w:t>
      </w:r>
      <w:r w:rsidRPr="00A80110">
        <w:fldChar w:fldCharType="end"/>
      </w:r>
      <w:r w:rsidRPr="00A80110">
        <w:t>.  The applicant claimed that there was no</w:t>
      </w:r>
      <w:r w:rsidRPr="00A80110">
        <w:rPr>
          <w:rStyle w:val="sb8d990e2"/>
        </w:rPr>
        <w:t xml:space="preserve"> effective remedy in relation to his complaints under</w:t>
      </w:r>
      <w:r>
        <w:rPr>
          <w:rStyle w:val="sb8d990e2"/>
        </w:rPr>
        <w:t xml:space="preserve"> Articles 2 and 3 of the Convention as required by Article 13. Referring to the Court</w:t>
      </w:r>
      <w:r w:rsidR="00A7319E">
        <w:rPr>
          <w:rStyle w:val="sb8d990e2"/>
        </w:rPr>
        <w:t>’</w:t>
      </w:r>
      <w:r>
        <w:rPr>
          <w:rStyle w:val="sb8d990e2"/>
        </w:rPr>
        <w:t>s judgment in the case of</w:t>
      </w:r>
      <w:r w:rsidRPr="00DF4573">
        <w:rPr>
          <w:i/>
          <w:lang w:eastAsia="en-US"/>
        </w:rPr>
        <w:t xml:space="preserve"> </w:t>
      </w:r>
      <w:r w:rsidRPr="00372117">
        <w:rPr>
          <w:i/>
          <w:lang w:eastAsia="en-US"/>
        </w:rPr>
        <w:t xml:space="preserve">M.S.S. v. Belgium and Greece </w:t>
      </w:r>
      <w:r>
        <w:rPr>
          <w:lang w:eastAsia="en-US"/>
        </w:rPr>
        <w:t>(</w:t>
      </w:r>
      <w:r w:rsidRPr="00372117">
        <w:rPr>
          <w:lang w:eastAsia="en-US"/>
        </w:rPr>
        <w:t xml:space="preserve">[GC], no. 30696/09, </w:t>
      </w:r>
      <w:r>
        <w:rPr>
          <w:lang w:eastAsia="en-US"/>
        </w:rPr>
        <w:t xml:space="preserve">§§ 288-293, </w:t>
      </w:r>
      <w:r w:rsidRPr="00372117">
        <w:rPr>
          <w:lang w:eastAsia="en-US"/>
        </w:rPr>
        <w:t>ECHR</w:t>
      </w:r>
      <w:r>
        <w:rPr>
          <w:lang w:eastAsia="en-US"/>
        </w:rPr>
        <w:t xml:space="preserve"> </w:t>
      </w:r>
      <w:r w:rsidRPr="00372117">
        <w:rPr>
          <w:lang w:eastAsia="en-US"/>
        </w:rPr>
        <w:t>2011</w:t>
      </w:r>
      <w:r>
        <w:rPr>
          <w:lang w:eastAsia="en-US"/>
        </w:rPr>
        <w:t>)</w:t>
      </w:r>
      <w:r>
        <w:t>,</w:t>
      </w:r>
      <w:r>
        <w:rPr>
          <w:i/>
          <w:lang w:eastAsia="en-US"/>
        </w:rPr>
        <w:t xml:space="preserve"> </w:t>
      </w:r>
      <w:r>
        <w:rPr>
          <w:lang w:eastAsia="en-US"/>
        </w:rPr>
        <w:t xml:space="preserve">he argued that the domestic remedies fell short of the requirements </w:t>
      </w:r>
      <w:r>
        <w:rPr>
          <w:rStyle w:val="sb8d990e2"/>
        </w:rPr>
        <w:t>of Article 13 enunciated by the Court in its case-law.</w:t>
      </w:r>
    </w:p>
    <w:p w:rsidR="00FA0835" w:rsidP="00FA0835" w:rsidRDefault="00FA0835">
      <w:pPr>
        <w:pStyle w:val="JuPara"/>
      </w:pPr>
      <w:r w:rsidRPr="00ED32CB">
        <w:rPr>
          <w:lang w:eastAsia="en-US"/>
        </w:rPr>
        <w:fldChar w:fldCharType="begin"/>
      </w:r>
      <w:r w:rsidRPr="00ED32CB">
        <w:rPr>
          <w:lang w:eastAsia="en-US"/>
        </w:rPr>
        <w:instrText xml:space="preserve"> SEQ level0 \*arabic </w:instrText>
      </w:r>
      <w:r w:rsidRPr="00ED32CB">
        <w:rPr>
          <w:lang w:eastAsia="en-US"/>
        </w:rPr>
        <w:fldChar w:fldCharType="separate"/>
      </w:r>
      <w:r w:rsidR="00C5470A">
        <w:rPr>
          <w:noProof/>
          <w:lang w:eastAsia="en-US"/>
        </w:rPr>
        <w:t>123</w:t>
      </w:r>
      <w:r w:rsidRPr="00ED32CB">
        <w:rPr>
          <w:lang w:eastAsia="en-US"/>
        </w:rPr>
        <w:fldChar w:fldCharType="end"/>
      </w:r>
      <w:r>
        <w:rPr>
          <w:i/>
          <w:lang w:eastAsia="en-US"/>
        </w:rPr>
        <w:t>.  </w:t>
      </w:r>
      <w:r w:rsidRPr="00716FD7">
        <w:t xml:space="preserve">First of all, a recourse before the Supreme Court against </w:t>
      </w:r>
      <w:r>
        <w:t xml:space="preserve">a </w:t>
      </w:r>
      <w:r w:rsidRPr="00716FD7">
        <w:t>decision</w:t>
      </w:r>
      <w:r w:rsidRPr="00716FD7" w:rsidDel="004A061E">
        <w:t xml:space="preserve"> </w:t>
      </w:r>
      <w:r>
        <w:t xml:space="preserve">by the </w:t>
      </w:r>
      <w:r w:rsidRPr="00716FD7">
        <w:t xml:space="preserve">Reviewing Authority </w:t>
      </w:r>
      <w:r>
        <w:t xml:space="preserve">or deportation and detention orders did not have automatic suspensive effect; nor did the filing of an application for a provisional order. If an application for such an order was filed, whether or not deportation would be suspended </w:t>
      </w:r>
      <w:r w:rsidRPr="00DF4573">
        <w:t>boiled down to a matter of practice which rested on the authorities</w:t>
      </w:r>
      <w:r w:rsidR="00A7319E">
        <w:t>’</w:t>
      </w:r>
      <w:r w:rsidRPr="00DF4573">
        <w:t xml:space="preserve"> discretion and required </w:t>
      </w:r>
      <w:r>
        <w:t xml:space="preserve">a </w:t>
      </w:r>
      <w:r w:rsidRPr="00DF4573">
        <w:t xml:space="preserve">concession on the part of </w:t>
      </w:r>
      <w:r>
        <w:t>the</w:t>
      </w:r>
      <w:r w:rsidRPr="00DF4573">
        <w:t xml:space="preserve"> applicant.</w:t>
      </w:r>
      <w:r>
        <w:t xml:space="preserve"> Moreover, and contrary to the Government</w:t>
      </w:r>
      <w:r w:rsidR="00A7319E">
        <w:t>’</w:t>
      </w:r>
      <w:r>
        <w:t xml:space="preserve">s submissions, the authorities did not always suspend deportation orders. The applicant relied on the court record in a recourse challenging a decision by the Reviewing Authority in a case in which deportation </w:t>
      </w:r>
      <w:r w:rsidRPr="00E86005">
        <w:t>had taken place despite the fact that an application for a provisional order to suspend the execution of the deportation order</w:t>
      </w:r>
      <w:r w:rsidRPr="004A061E">
        <w:t xml:space="preserve"> </w:t>
      </w:r>
      <w:r w:rsidRPr="00E86005">
        <w:t>had been filed. The person concerned had been deported the day before the hearing of the application</w:t>
      </w:r>
      <w:r w:rsidRPr="00173904">
        <w:t xml:space="preserve"> by the Supreme Court. As a result the application was </w:t>
      </w:r>
      <w:r w:rsidRPr="006F020C">
        <w:t>withdrawn</w:t>
      </w:r>
      <w:r>
        <w:t xml:space="preserve"> </w:t>
      </w:r>
      <w:r w:rsidRPr="00C5682C">
        <w:t>(</w:t>
      </w:r>
      <w:r w:rsidRPr="00C5682C">
        <w:rPr>
          <w:i/>
        </w:rPr>
        <w:t>Shahin Haisan Fawzy Mohammed</w:t>
      </w:r>
      <w:r w:rsidRPr="00C5682C">
        <w:t>, see paragraph 84 above).</w:t>
      </w:r>
      <w:r w:rsidRPr="006F020C">
        <w:t xml:space="preserve"> The applicant also claimed that asylum</w:t>
      </w:r>
      <w:r>
        <w:t>-</w:t>
      </w:r>
      <w:r w:rsidRPr="006F020C">
        <w:t xml:space="preserve">seekers faced a number of difficulties in filing applications for </w:t>
      </w:r>
      <w:r>
        <w:t>provisional order</w:t>
      </w:r>
      <w:r w:rsidRPr="006F020C">
        <w:t>s</w:t>
      </w:r>
      <w:r>
        <w:t>. Such an order would only be granted on proof of</w:t>
      </w:r>
      <w:r w:rsidRPr="006F020C">
        <w:t xml:space="preserve"> </w:t>
      </w:r>
      <w:r w:rsidRPr="00C5682C">
        <w:t>flagrant</w:t>
      </w:r>
      <w:r w:rsidRPr="003F4AB5">
        <w:t xml:space="preserve"> illegality or irreparable damage. </w:t>
      </w:r>
      <w:r w:rsidRPr="00ED0F8B">
        <w:t>Further, until recently</w:t>
      </w:r>
      <w:r>
        <w:t>,</w:t>
      </w:r>
      <w:r w:rsidRPr="00ED0F8B">
        <w:t xml:space="preserve"> legal aid was </w:t>
      </w:r>
      <w:r>
        <w:t xml:space="preserve">not </w:t>
      </w:r>
      <w:r w:rsidRPr="00ED0F8B">
        <w:t>available either for the institution of a recourse against deportation and detention orders or for an application for a provisional order</w:t>
      </w:r>
      <w:r>
        <w:t xml:space="preserve"> </w:t>
      </w:r>
      <w:r w:rsidRPr="000B2493">
        <w:t xml:space="preserve">(see </w:t>
      </w:r>
      <w:r w:rsidRPr="00527B3D">
        <w:t>paragraph 7</w:t>
      </w:r>
      <w:r>
        <w:t>2</w:t>
      </w:r>
      <w:r w:rsidRPr="000B2493">
        <w:t xml:space="preserve"> above).</w:t>
      </w:r>
    </w:p>
    <w:p w:rsidR="00FA0835" w:rsidP="00FA0835" w:rsidRDefault="00FA0835">
      <w:pPr>
        <w:pStyle w:val="JuPara"/>
      </w:pPr>
      <w:r w:rsidRPr="00873D75">
        <w:rPr>
          <w:rStyle w:val="sb8d990e2"/>
        </w:rPr>
        <w:fldChar w:fldCharType="begin"/>
      </w:r>
      <w:r w:rsidRPr="00873D75">
        <w:rPr>
          <w:rStyle w:val="sb8d990e2"/>
        </w:rPr>
        <w:instrText xml:space="preserve"> SEQ level0 \*arabic </w:instrText>
      </w:r>
      <w:r w:rsidRPr="00873D75">
        <w:rPr>
          <w:rStyle w:val="sb8d990e2"/>
        </w:rPr>
        <w:fldChar w:fldCharType="separate"/>
      </w:r>
      <w:r w:rsidR="00C5470A">
        <w:rPr>
          <w:rStyle w:val="sb8d990e2"/>
          <w:noProof/>
        </w:rPr>
        <w:t>124</w:t>
      </w:r>
      <w:r w:rsidRPr="00873D75">
        <w:rPr>
          <w:rStyle w:val="sb8d990e2"/>
        </w:rPr>
        <w:fldChar w:fldCharType="end"/>
      </w:r>
      <w:r w:rsidRPr="00873D75">
        <w:rPr>
          <w:rStyle w:val="sb8d990e2"/>
        </w:rPr>
        <w:t>.  F</w:t>
      </w:r>
      <w:r w:rsidRPr="00CD53E6">
        <w:rPr>
          <w:rStyle w:val="sb8d990e2"/>
        </w:rPr>
        <w:t>urthermore, although</w:t>
      </w:r>
      <w:r>
        <w:rPr>
          <w:rStyle w:val="sb8d990e2"/>
        </w:rPr>
        <w:t xml:space="preserve"> a </w:t>
      </w:r>
      <w:r w:rsidRPr="00CD53E6">
        <w:rPr>
          <w:rStyle w:val="sb8d990e2"/>
        </w:rPr>
        <w:t>decision</w:t>
      </w:r>
      <w:r>
        <w:rPr>
          <w:rStyle w:val="sb8d990e2"/>
        </w:rPr>
        <w:t xml:space="preserve"> by </w:t>
      </w:r>
      <w:r w:rsidRPr="00CD53E6">
        <w:rPr>
          <w:rStyle w:val="sb8d990e2"/>
        </w:rPr>
        <w:t>the Reviewing Authority was subject to judicial review, the Supreme Court could only examine its legality and could not examine the merits of the case. The scope of the Supreme Court</w:t>
      </w:r>
      <w:r w:rsidR="00A7319E">
        <w:rPr>
          <w:rStyle w:val="sb8d990e2"/>
        </w:rPr>
        <w:t>’</w:t>
      </w:r>
      <w:r w:rsidRPr="00CD53E6">
        <w:rPr>
          <w:rStyle w:val="sb8d990e2"/>
        </w:rPr>
        <w:t>s jurisdiction was therefore too limited.</w:t>
      </w:r>
      <w:r w:rsidRPr="00CD53E6">
        <w:t xml:space="preserve"> Moreover, although it was possible</w:t>
      </w:r>
      <w:r>
        <w:t>,</w:t>
      </w:r>
      <w:r w:rsidRPr="00CD53E6">
        <w:t xml:space="preserve"> </w:t>
      </w:r>
      <w:r>
        <w:t>in view of</w:t>
      </w:r>
      <w:r w:rsidRPr="00CD53E6">
        <w:t xml:space="preserve"> recent amendments to the relevant domestic legislation</w:t>
      </w:r>
      <w:r>
        <w:t>,</w:t>
      </w:r>
      <w:r w:rsidRPr="00CD53E6">
        <w:t xml:space="preserve"> to apply for legal aid when challenging an asylum decision</w:t>
      </w:r>
      <w:r>
        <w:t>, it</w:t>
      </w:r>
      <w:r w:rsidRPr="00CD53E6">
        <w:t xml:space="preserve"> was rarely granted. The Supreme Court </w:t>
      </w:r>
      <w:r w:rsidRPr="00B94F4E">
        <w:t xml:space="preserve">would only approve an application if it held that the recourse had a reasonable chance of success. It was, however, for the person concerned to establish the likelihood of success, which was a difficult hurdle to </w:t>
      </w:r>
      <w:r w:rsidRPr="00283424">
        <w:t xml:space="preserve">surmount since he or she </w:t>
      </w:r>
      <w:r>
        <w:t>would</w:t>
      </w:r>
      <w:r w:rsidRPr="00283424">
        <w:t xml:space="preserve"> not have legal representation at that stage.</w:t>
      </w:r>
    </w:p>
    <w:p w:rsidRPr="00C5682C" w:rsidR="00FA0835" w:rsidP="00FA0835" w:rsidRDefault="00FA0835">
      <w:pPr>
        <w:pStyle w:val="JuPara"/>
        <w:rPr>
          <w:rStyle w:val="sb8d990e2"/>
        </w:rPr>
      </w:pPr>
      <w:r w:rsidRPr="007B2301">
        <w:fldChar w:fldCharType="begin"/>
      </w:r>
      <w:r w:rsidRPr="007B2301">
        <w:instrText xml:space="preserve"> SEQ level0 \*arabic </w:instrText>
      </w:r>
      <w:r w:rsidRPr="007B2301">
        <w:fldChar w:fldCharType="separate"/>
      </w:r>
      <w:r w:rsidR="00C5470A">
        <w:rPr>
          <w:noProof/>
        </w:rPr>
        <w:t>125</w:t>
      </w:r>
      <w:r w:rsidRPr="007B2301">
        <w:fldChar w:fldCharType="end"/>
      </w:r>
      <w:r w:rsidRPr="007B2301">
        <w:t xml:space="preserve">.  Lastly, the applicant </w:t>
      </w:r>
      <w:r>
        <w:t>contended</w:t>
      </w:r>
      <w:r w:rsidRPr="007B2301">
        <w:t xml:space="preserve"> that there were significant shortcomings in the asylum procedures before the Asylum Service and the Reviewing Authority. </w:t>
      </w:r>
      <w:r w:rsidRPr="00C5682C">
        <w:t xml:space="preserve">As a result, the </w:t>
      </w:r>
      <w:r w:rsidRPr="00C5682C">
        <w:rPr>
          <w:rStyle w:val="sb8d990e2"/>
        </w:rPr>
        <w:t xml:space="preserve">examination of asylum requests fell short of the standards required. The applicant referred to reports by, </w:t>
      </w:r>
      <w:r w:rsidRPr="00C5682C">
        <w:rPr>
          <w:rStyle w:val="sb8d990e2"/>
          <w:i/>
        </w:rPr>
        <w:t>inter alia</w:t>
      </w:r>
      <w:r w:rsidRPr="00C5682C">
        <w:rPr>
          <w:rStyle w:val="sb8d990e2"/>
        </w:rPr>
        <w:t>, local non-</w:t>
      </w:r>
      <w:r w:rsidRPr="001817E7">
        <w:rPr>
          <w:rStyle w:val="sb8d990e2"/>
        </w:rPr>
        <w:t>governmental organisations</w:t>
      </w:r>
      <w:r w:rsidRPr="001817E7">
        <w:rPr>
          <w:rStyle w:val="FootnoteReference"/>
        </w:rPr>
        <w:footnoteReference w:id="6"/>
      </w:r>
      <w:r w:rsidRPr="001817E7">
        <w:rPr>
          <w:rStyle w:val="sb8d990e2"/>
        </w:rPr>
        <w:t xml:space="preserve"> and the fourth ECRI report on Cyprus (see paragraph 97 above).</w:t>
      </w:r>
    </w:p>
    <w:p w:rsidRPr="003E2E87" w:rsidR="00FA0835" w:rsidP="00FA0835" w:rsidRDefault="00FA0835">
      <w:pPr>
        <w:pStyle w:val="JuHa0"/>
      </w:pPr>
      <w:r>
        <w:t>(b)  </w:t>
      </w:r>
      <w:r w:rsidRPr="003E2E87">
        <w:t>The Government</w:t>
      </w:r>
    </w:p>
    <w:p w:rsidR="00FA0835" w:rsidP="00FA0835" w:rsidRDefault="00FA0835">
      <w:pPr>
        <w:pStyle w:val="JuPara"/>
      </w:pPr>
      <w:r>
        <w:fldChar w:fldCharType="begin"/>
      </w:r>
      <w:r>
        <w:instrText xml:space="preserve"> SEQ level0 \*arabic </w:instrText>
      </w:r>
      <w:r>
        <w:fldChar w:fldCharType="separate"/>
      </w:r>
      <w:r w:rsidR="00C5470A">
        <w:rPr>
          <w:noProof/>
        </w:rPr>
        <w:t>126</w:t>
      </w:r>
      <w:r>
        <w:fldChar w:fldCharType="end"/>
      </w:r>
      <w:r>
        <w:t>.  </w:t>
      </w:r>
      <w:r w:rsidRPr="003E2E87">
        <w:t xml:space="preserve">The Government submitted that the applicant had </w:t>
      </w:r>
      <w:r>
        <w:t xml:space="preserve">had </w:t>
      </w:r>
      <w:r w:rsidRPr="003E2E87">
        <w:t xml:space="preserve">effective domestic remedies </w:t>
      </w:r>
      <w:r>
        <w:t>in respect of</w:t>
      </w:r>
      <w:r w:rsidRPr="003E2E87">
        <w:t xml:space="preserve"> his complaints under Art</w:t>
      </w:r>
      <w:r>
        <w:t>icles 2 and 3 of the Convention as required by Article 13.</w:t>
      </w:r>
    </w:p>
    <w:p w:rsidR="00FA0835" w:rsidP="00FA0835" w:rsidRDefault="00FA0835">
      <w:pPr>
        <w:pStyle w:val="JuPara"/>
      </w:pPr>
      <w:r>
        <w:fldChar w:fldCharType="begin"/>
      </w:r>
      <w:r>
        <w:instrText xml:space="preserve"> SEQ level0 \*arabic </w:instrText>
      </w:r>
      <w:r>
        <w:fldChar w:fldCharType="separate"/>
      </w:r>
      <w:r w:rsidR="00C5470A">
        <w:rPr>
          <w:noProof/>
        </w:rPr>
        <w:t>127</w:t>
      </w:r>
      <w:r>
        <w:fldChar w:fldCharType="end"/>
      </w:r>
      <w:r>
        <w:t>.  The Government first pointed out that the applicant had had access to the asylum determination procedure at the Asylum Service and had been able to appeal to the Reviewing Authority. These remedies had suspensive effect. The applicant had then brought a recourse against the decision of the Reviewing Authority. Although these proceedings did not have automatic suspensive effect</w:t>
      </w:r>
      <w:r w:rsidRPr="008C435C">
        <w:t xml:space="preserve">, </w:t>
      </w:r>
      <w:r>
        <w:t>in the course of the proceedings</w:t>
      </w:r>
      <w:r w:rsidRPr="008C435C">
        <w:t xml:space="preserve"> the applicant could h</w:t>
      </w:r>
      <w:r>
        <w:t xml:space="preserve">ave filed </w:t>
      </w:r>
      <w:r w:rsidRPr="008C435C">
        <w:t xml:space="preserve">an application for </w:t>
      </w:r>
      <w:r>
        <w:t>a provisional order</w:t>
      </w:r>
      <w:r w:rsidRPr="008C435C">
        <w:t xml:space="preserve"> to suspend the execution of the deportation order issued against him. </w:t>
      </w:r>
      <w:r>
        <w:t>When such an application was filed,</w:t>
      </w:r>
      <w:r w:rsidRPr="00945A26">
        <w:t xml:space="preserve"> </w:t>
      </w:r>
      <w:r>
        <w:t xml:space="preserve">the authorities, </w:t>
      </w:r>
      <w:r w:rsidRPr="00945A26">
        <w:t xml:space="preserve">as a matter of administrative practice, </w:t>
      </w:r>
      <w:r>
        <w:t xml:space="preserve">always </w:t>
      </w:r>
      <w:r w:rsidRPr="00945A26">
        <w:t xml:space="preserve">suspended </w:t>
      </w:r>
      <w:r>
        <w:t xml:space="preserve">deportation either </w:t>
      </w:r>
      <w:r w:rsidRPr="00945A26">
        <w:t xml:space="preserve">until the outcome of the main recourse </w:t>
      </w:r>
      <w:r>
        <w:t xml:space="preserve">or until the Supreme Court had reached a decision on the application. If an applicant </w:t>
      </w:r>
      <w:r w:rsidRPr="00945A26">
        <w:t xml:space="preserve">agreed to an early hearing of the recourse and </w:t>
      </w:r>
      <w:r>
        <w:t>to withdraw the application for a provisional order, the authorities would suspend deportation for the duration of the entire main proceedings</w:t>
      </w:r>
      <w:r w:rsidRPr="00945A26">
        <w:t>.</w:t>
      </w:r>
      <w:r>
        <w:t xml:space="preserve"> Otherwise, deportation would be suspended only pending the examination of the application. The Government emphasised that the above practice was uniform and consistent and referred to a </w:t>
      </w:r>
      <w:r w:rsidRPr="000A347E">
        <w:t xml:space="preserve">number of court </w:t>
      </w:r>
      <w:r w:rsidRPr="00716FD7">
        <w:t>records of judicial review proceedings in which both the above scenarios had taken place</w:t>
      </w:r>
      <w:r>
        <w:t xml:space="preserve"> (see paragraphs 77-79 above).</w:t>
      </w:r>
    </w:p>
    <w:p w:rsidR="00FA0835" w:rsidP="00FA0835" w:rsidRDefault="00FA0835">
      <w:pPr>
        <w:pStyle w:val="JuPara"/>
      </w:pPr>
      <w:r>
        <w:fldChar w:fldCharType="begin"/>
      </w:r>
      <w:r>
        <w:instrText xml:space="preserve"> SEQ level0 \*arabic </w:instrText>
      </w:r>
      <w:r>
        <w:fldChar w:fldCharType="separate"/>
      </w:r>
      <w:r w:rsidR="00C5470A">
        <w:rPr>
          <w:noProof/>
        </w:rPr>
        <w:t>128</w:t>
      </w:r>
      <w:r>
        <w:fldChar w:fldCharType="end"/>
      </w:r>
      <w:r>
        <w:t xml:space="preserve">.  As regards the application for a provisional order, the Government pointed out that in accordance with domestic case-law, the Supreme </w:t>
      </w:r>
      <w:r w:rsidRPr="00256FE8">
        <w:t xml:space="preserve">Court </w:t>
      </w:r>
      <w:r>
        <w:t xml:space="preserve">would grant an order if an applicant established </w:t>
      </w:r>
      <w:r w:rsidRPr="00C5682C">
        <w:t>the flagrant illegality</w:t>
      </w:r>
      <w:r>
        <w:t xml:space="preserve"> of the decision taken or that he or she had suffered irreparable damage as a result of the decision.</w:t>
      </w:r>
    </w:p>
    <w:p w:rsidR="00FA0835" w:rsidP="00FA0835" w:rsidRDefault="00FA0835">
      <w:pPr>
        <w:pStyle w:val="JuPara"/>
      </w:pPr>
      <w:r>
        <w:fldChar w:fldCharType="begin"/>
      </w:r>
      <w:r>
        <w:instrText xml:space="preserve"> SEQ level0 \*arabic </w:instrText>
      </w:r>
      <w:r>
        <w:fldChar w:fldCharType="separate"/>
      </w:r>
      <w:r w:rsidR="00C5470A">
        <w:rPr>
          <w:noProof/>
        </w:rPr>
        <w:t>129</w:t>
      </w:r>
      <w:r>
        <w:fldChar w:fldCharType="end"/>
      </w:r>
      <w:r>
        <w:t xml:space="preserve">.  The </w:t>
      </w:r>
      <w:r w:rsidRPr="00B94F4E">
        <w:t>Government also claimed</w:t>
      </w:r>
      <w:r>
        <w:t xml:space="preserve"> that the applicant should have brought a recourse challenging the deportation and detention orders issued against him. In such proceedings a provisional order could also be sought for the purpose of suspending deportation. The practice followed was the same as that in a recourse brought against a decision by the Reviewing </w:t>
      </w:r>
      <w:r w:rsidRPr="000B7F4D">
        <w:t>Authority (see paragraph 12</w:t>
      </w:r>
      <w:r>
        <w:t>7</w:t>
      </w:r>
      <w:r w:rsidRPr="000B7F4D">
        <w:t xml:space="preserve"> above).</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130</w:t>
      </w:r>
      <w:r>
        <w:fldChar w:fldCharType="end"/>
      </w:r>
      <w:r>
        <w:t xml:space="preserve">.  In addition, the Government observed that the authorities, as a matter of usual practice, suspended the deportation order of a rejected asylum seeker if there were medical, family or humanitarian reasons for doing so. Additionally, before the execution of a deportation order, the authorities examined </w:t>
      </w:r>
      <w:r w:rsidRPr="00AD55BA">
        <w:rPr>
          <w:i/>
        </w:rPr>
        <w:t>ex proprio motu</w:t>
      </w:r>
      <w:r>
        <w:t xml:space="preserve"> whether there were reasons to believe that a rejected asylum seeker</w:t>
      </w:r>
      <w:r w:rsidR="00A7319E">
        <w:t>’</w:t>
      </w:r>
      <w:r>
        <w:t xml:space="preserve">s deportation would give rise to a real risk that he or she </w:t>
      </w:r>
      <w:r w:rsidRPr="00006368">
        <w:t>would be subjected to treatment in breach of Article</w:t>
      </w:r>
      <w:r>
        <w:t>s 2 and</w:t>
      </w:r>
      <w:r w:rsidRPr="00006368">
        <w:t xml:space="preserve"> 3 of the Convention. The authorities also examined and decided any claim for suspension of the execution of the deportation irrespective of whether </w:t>
      </w:r>
      <w:r>
        <w:t xml:space="preserve">a </w:t>
      </w:r>
      <w:r w:rsidRPr="00006368">
        <w:t>recourse had been filed.</w:t>
      </w:r>
    </w:p>
    <w:p w:rsidRPr="00561F9C" w:rsidR="00FA0835" w:rsidP="00FA0835" w:rsidRDefault="00FA0835">
      <w:pPr>
        <w:pStyle w:val="JuH1"/>
        <w:ind w:left="431" w:firstLine="0"/>
      </w:pPr>
      <w:r>
        <w:t>2.  The Court</w:t>
      </w:r>
      <w:r w:rsidR="00A7319E">
        <w:t>’</w:t>
      </w:r>
      <w:r>
        <w:t>s assessment</w:t>
      </w:r>
    </w:p>
    <w:p w:rsidR="00FA0835" w:rsidP="00FA0835" w:rsidRDefault="00FA0835">
      <w:pPr>
        <w:pStyle w:val="NormalWeb"/>
        <w:spacing w:before="0" w:beforeAutospacing="0" w:after="0" w:afterAutospacing="0"/>
        <w:ind w:firstLine="284"/>
        <w:jc w:val="both"/>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131</w:t>
      </w:r>
      <w:r>
        <w:rPr>
          <w:rStyle w:val="sb8d990e2"/>
        </w:rPr>
        <w:fldChar w:fldCharType="end"/>
      </w:r>
      <w:r>
        <w:rPr>
          <w:rStyle w:val="sb8d990e2"/>
        </w:rPr>
        <w:t>.  The Court has already found that the applicant</w:t>
      </w:r>
      <w:r w:rsidR="00A7319E">
        <w:rPr>
          <w:rStyle w:val="sb8d990e2"/>
        </w:rPr>
        <w:t>’</w:t>
      </w:r>
      <w:r>
        <w:rPr>
          <w:rStyle w:val="sb8d990e2"/>
        </w:rPr>
        <w:t xml:space="preserve">s complaints under Articles 2 and 3 of the </w:t>
      </w:r>
      <w:r w:rsidRPr="000F3184">
        <w:rPr>
          <w:rStyle w:val="sb8d990e2"/>
        </w:rPr>
        <w:t xml:space="preserve">Convention </w:t>
      </w:r>
      <w:r>
        <w:rPr>
          <w:rStyle w:val="sb8d990e2"/>
        </w:rPr>
        <w:t>are</w:t>
      </w:r>
      <w:r w:rsidRPr="000F3184">
        <w:rPr>
          <w:rStyle w:val="sb8d990e2"/>
        </w:rPr>
        <w:t xml:space="preserve"> arguable</w:t>
      </w:r>
      <w:r>
        <w:rPr>
          <w:rStyle w:val="sb8d990e2"/>
        </w:rPr>
        <w:t xml:space="preserve"> and that the applicant can still claim to have been entitled to a remedy in that </w:t>
      </w:r>
      <w:r w:rsidRPr="000B7F4D">
        <w:rPr>
          <w:rStyle w:val="sb8d990e2"/>
        </w:rPr>
        <w:t xml:space="preserve">respect (see </w:t>
      </w:r>
      <w:r w:rsidRPr="0068215A">
        <w:rPr>
          <w:rStyle w:val="sb8d990e2"/>
        </w:rPr>
        <w:t>paragraphs</w:t>
      </w:r>
      <w:r>
        <w:rPr>
          <w:rStyle w:val="sb8d990e2"/>
        </w:rPr>
        <w:t> 119</w:t>
      </w:r>
      <w:r w:rsidRPr="0068215A">
        <w:rPr>
          <w:rStyle w:val="sb8d990e2"/>
        </w:rPr>
        <w:t>-1</w:t>
      </w:r>
      <w:r>
        <w:rPr>
          <w:rStyle w:val="sb8d990e2"/>
        </w:rPr>
        <w:t>21</w:t>
      </w:r>
      <w:r w:rsidRPr="0068215A">
        <w:rPr>
          <w:rStyle w:val="sb8d990e2"/>
        </w:rPr>
        <w:t xml:space="preserve"> above).</w:t>
      </w:r>
    </w:p>
    <w:p w:rsidRPr="0017293C" w:rsidR="00FA0835" w:rsidP="00FA0835" w:rsidRDefault="00FA0835">
      <w:pPr>
        <w:pStyle w:val="JuPara"/>
        <w:rPr>
          <w:lang w:eastAsia="en-US"/>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132</w:t>
      </w:r>
      <w:r>
        <w:rPr>
          <w:rStyle w:val="sb8d990e2"/>
        </w:rPr>
        <w:fldChar w:fldCharType="end"/>
      </w:r>
      <w:r>
        <w:rPr>
          <w:rStyle w:val="sb8d990e2"/>
        </w:rPr>
        <w:t xml:space="preserve">.  The notion of an effective remedy under Article 13 in this context requires that the remedy </w:t>
      </w:r>
      <w:r w:rsidRPr="001E260F">
        <w:rPr>
          <w:rStyle w:val="sb8d990e2"/>
        </w:rPr>
        <w:t>may prevent the execution of measures that are contrary to the Convention and whose effects are potentially irreversible</w:t>
      </w:r>
      <w:r>
        <w:rPr>
          <w:rStyle w:val="sb8d990e2"/>
        </w:rPr>
        <w:t xml:space="preserve">. Consequently, it is inconsistent with Article 13 for such measures to be executed before the national authorities have examined whether they are compatible with the Convention, although Contracting States are afforded some discretion as to the manner in which they conform to their obligations under this provision (see </w:t>
      </w:r>
      <w:r w:rsidRPr="006E5C76">
        <w:rPr>
          <w:i/>
          <w:szCs w:val="22"/>
          <w:lang w:eastAsia="en-US"/>
        </w:rPr>
        <w:t xml:space="preserve">M. </w:t>
      </w:r>
      <w:r w:rsidRPr="006E5C76">
        <w:rPr>
          <w:i/>
          <w:lang w:eastAsia="en-US"/>
        </w:rPr>
        <w:t>and Others v. Bulgaria</w:t>
      </w:r>
      <w:r w:rsidRPr="006E5C76">
        <w:rPr>
          <w:lang w:eastAsia="en-US"/>
        </w:rPr>
        <w:t>, no. 41416/08</w:t>
      </w:r>
      <w:r w:rsidRPr="006E5C76">
        <w:rPr>
          <w:snapToGrid w:val="0"/>
          <w:szCs w:val="24"/>
          <w:lang w:val="pt-BR" w:eastAsia="en-US"/>
        </w:rPr>
        <w:t xml:space="preserve">, § </w:t>
      </w:r>
      <w:r>
        <w:rPr>
          <w:snapToGrid w:val="0"/>
          <w:szCs w:val="24"/>
          <w:lang w:val="pt-BR" w:eastAsia="en-US"/>
        </w:rPr>
        <w:t>129</w:t>
      </w:r>
      <w:r w:rsidRPr="006E5C76">
        <w:rPr>
          <w:snapToGrid w:val="0"/>
          <w:szCs w:val="24"/>
          <w:lang w:val="pt-BR" w:eastAsia="en-US"/>
        </w:rPr>
        <w:t>, 26 July 201</w:t>
      </w:r>
      <w:r>
        <w:rPr>
          <w:snapToGrid w:val="0"/>
          <w:szCs w:val="24"/>
          <w:lang w:val="pt-BR" w:eastAsia="en-US"/>
        </w:rPr>
        <w:t>1;</w:t>
      </w:r>
      <w:r>
        <w:rPr>
          <w:rStyle w:val="sb8d990e2"/>
          <w:i/>
          <w:lang w:eastAsia="en-US"/>
        </w:rPr>
        <w:t xml:space="preserve"> </w:t>
      </w:r>
      <w:r w:rsidRPr="00CF03A1">
        <w:rPr>
          <w:i/>
          <w:szCs w:val="24"/>
          <w:lang w:eastAsia="en-US"/>
        </w:rPr>
        <w:t>Salah Sheekh v. the Netherlands</w:t>
      </w:r>
      <w:r>
        <w:rPr>
          <w:szCs w:val="24"/>
          <w:lang w:eastAsia="en-US"/>
        </w:rPr>
        <w:t>, no. 1948/04, § 153, 11 </w:t>
      </w:r>
      <w:r w:rsidRPr="00CF03A1">
        <w:rPr>
          <w:szCs w:val="24"/>
          <w:lang w:eastAsia="en-US"/>
        </w:rPr>
        <w:t xml:space="preserve">January </w:t>
      </w:r>
      <w:r w:rsidRPr="00BB7E23">
        <w:rPr>
          <w:szCs w:val="24"/>
          <w:lang w:eastAsia="en-US"/>
        </w:rPr>
        <w:t>2007</w:t>
      </w:r>
      <w:r>
        <w:rPr>
          <w:szCs w:val="24"/>
          <w:lang w:eastAsia="en-US"/>
        </w:rPr>
        <w:t>;</w:t>
      </w:r>
      <w:r w:rsidRPr="00BB7E23">
        <w:rPr>
          <w:szCs w:val="24"/>
          <w:lang w:eastAsia="en-US"/>
        </w:rPr>
        <w:t xml:space="preserve"> </w:t>
      </w:r>
      <w:r w:rsidRPr="00BB7E23">
        <w:rPr>
          <w:rStyle w:val="sb8d990e2"/>
        </w:rPr>
        <w:t xml:space="preserve">and </w:t>
      </w:r>
      <w:r w:rsidRPr="0017293C">
        <w:rPr>
          <w:i/>
          <w:lang w:eastAsia="en-US"/>
        </w:rPr>
        <w:t>Čonka v. Belgium</w:t>
      </w:r>
      <w:r w:rsidRPr="0017293C">
        <w:rPr>
          <w:lang w:eastAsia="en-US"/>
        </w:rPr>
        <w:t xml:space="preserve">, no. 51564/99, § </w:t>
      </w:r>
      <w:r>
        <w:rPr>
          <w:lang w:eastAsia="en-US"/>
        </w:rPr>
        <w:t>79</w:t>
      </w:r>
      <w:r w:rsidRPr="0017293C">
        <w:rPr>
          <w:lang w:eastAsia="en-US"/>
        </w:rPr>
        <w:t>, ECHR</w:t>
      </w:r>
      <w:r>
        <w:rPr>
          <w:lang w:eastAsia="en-US"/>
        </w:rPr>
        <w:t> </w:t>
      </w:r>
      <w:r w:rsidRPr="0017293C">
        <w:rPr>
          <w:lang w:eastAsia="en-US"/>
        </w:rPr>
        <w:t>2002</w:t>
      </w:r>
      <w:r w:rsidRPr="0017293C">
        <w:rPr>
          <w:lang w:eastAsia="en-US"/>
        </w:rPr>
        <w:noBreakHyphen/>
        <w:t>I</w:t>
      </w:r>
      <w:r>
        <w:rPr>
          <w:lang w:eastAsia="en-US"/>
        </w:rPr>
        <w:t>).</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133</w:t>
      </w:r>
      <w:r>
        <w:rPr>
          <w:rStyle w:val="sb8d990e2"/>
        </w:rPr>
        <w:fldChar w:fldCharType="end"/>
      </w:r>
      <w:r>
        <w:rPr>
          <w:rStyle w:val="sb8d990e2"/>
        </w:rPr>
        <w:t>.  In cases concerning the expulsion of asylum-seekers the Court has explained that it does not itself examine the actual asylum applications or verify how the States honour their obligations under the Geneva Convention</w:t>
      </w:r>
      <w:r w:rsidRPr="005F5FAC">
        <w:rPr>
          <w:rStyle w:val="sb8d990e2"/>
        </w:rPr>
        <w:t xml:space="preserve">. Its main concern is whether effective guarantees exist that protect the applicant against arbitrary </w:t>
      </w:r>
      <w:r w:rsidRPr="005F5FAC">
        <w:rPr>
          <w:rStyle w:val="s6b621b36"/>
          <w:i/>
        </w:rPr>
        <w:t>refoulement</w:t>
      </w:r>
      <w:r w:rsidRPr="005F5FAC">
        <w:rPr>
          <w:rStyle w:val="sb8d990e2"/>
        </w:rPr>
        <w:t xml:space="preserve">, be it direct or indirect, to the country from which he or she has fled (see </w:t>
      </w:r>
      <w:r w:rsidRPr="005F5FAC">
        <w:rPr>
          <w:i/>
          <w:lang w:eastAsia="en-US"/>
        </w:rPr>
        <w:t>M.S.S.</w:t>
      </w:r>
      <w:r w:rsidRPr="005F5FAC">
        <w:rPr>
          <w:lang w:eastAsia="en-US"/>
        </w:rPr>
        <w:t>, cited above, § 286)</w:t>
      </w:r>
      <w:r w:rsidRPr="005F5FAC">
        <w:rPr>
          <w:rStyle w:val="sb8d990e2"/>
        </w:rPr>
        <w:t xml:space="preserve"> or to any other receiving country in which he or she would be at a real risk of suffering treatment in violation of Article 3 (see, for example in the </w:t>
      </w:r>
      <w:r w:rsidRPr="005F5FAC">
        <w:rPr>
          <w:szCs w:val="24"/>
          <w:lang w:val="en-US" w:eastAsia="en-US"/>
        </w:rPr>
        <w:t>specific context of the application of the Dublin Regulation</w:t>
      </w:r>
      <w:r w:rsidRPr="005F5FAC">
        <w:rPr>
          <w:rStyle w:val="sb8d990e2"/>
        </w:rPr>
        <w:t xml:space="preserve">, </w:t>
      </w:r>
      <w:r w:rsidRPr="005F5FAC">
        <w:rPr>
          <w:i/>
          <w:lang w:eastAsia="en-US"/>
        </w:rPr>
        <w:t>M.S.S.</w:t>
      </w:r>
      <w:r w:rsidRPr="005F5FAC">
        <w:rPr>
          <w:lang w:eastAsia="en-US"/>
        </w:rPr>
        <w:t>, cited above,</w:t>
      </w:r>
      <w:r w:rsidRPr="005F5FAC">
        <w:rPr>
          <w:szCs w:val="24"/>
          <w:lang w:val="en-US" w:eastAsia="en-US"/>
        </w:rPr>
        <w:t xml:space="preserve"> §§ 342 et seq</w:t>
      </w:r>
      <w:r w:rsidRPr="005F5FAC">
        <w:rPr>
          <w:lang w:eastAsia="en-US"/>
        </w:rPr>
        <w:t>)</w:t>
      </w:r>
      <w:r w:rsidRPr="005F5FAC">
        <w:rPr>
          <w:rStyle w:val="sb8d990e2"/>
        </w:rPr>
        <w:t>. Where a complaint concerns allegations that the person</w:t>
      </w:r>
      <w:r w:rsidR="00A7319E">
        <w:rPr>
          <w:rStyle w:val="sb8d990e2"/>
        </w:rPr>
        <w:t>’</w:t>
      </w:r>
      <w:r w:rsidRPr="005F5FAC">
        <w:rPr>
          <w:rStyle w:val="sb8d990e2"/>
        </w:rPr>
        <w:t>s expulsion would expose him or her to a real risk of treatment contrary to Article 3 of the Convention</w:t>
      </w:r>
      <w:r>
        <w:rPr>
          <w:rStyle w:val="sb8d990e2"/>
        </w:rPr>
        <w:t xml:space="preserve">, the effectiveness of the remedy for the purposes of Article 13 imperatively requires close scrutiny by a national authority (see </w:t>
      </w:r>
      <w:r w:rsidRPr="006E5C76">
        <w:rPr>
          <w:rStyle w:val="s6b621b36"/>
          <w:i/>
        </w:rPr>
        <w:t>Shamayev and Others v. Georgia and Russia</w:t>
      </w:r>
      <w:r>
        <w:rPr>
          <w:rStyle w:val="sb8d990e2"/>
        </w:rPr>
        <w:t>, no. 36378/02, § 448, ECHR 2005</w:t>
      </w:r>
      <w:r>
        <w:rPr>
          <w:rStyle w:val="sb8d990e2"/>
        </w:rPr>
        <w:noBreakHyphen/>
        <w:t xml:space="preserve">III), independent and rigorous scrutiny of any claim that there exist substantial grounds for fearing a real risk of treatment contrary to </w:t>
      </w:r>
      <w:r w:rsidRPr="005B224F">
        <w:rPr>
          <w:rStyle w:val="sb8d990e2"/>
        </w:rPr>
        <w:t xml:space="preserve">Article 3 (see </w:t>
      </w:r>
      <w:r w:rsidRPr="005B224F">
        <w:rPr>
          <w:i/>
          <w:lang w:eastAsia="en-US"/>
        </w:rPr>
        <w:t>Jabari v. Turkey</w:t>
      </w:r>
      <w:r w:rsidRPr="005B224F">
        <w:rPr>
          <w:lang w:eastAsia="en-US"/>
        </w:rPr>
        <w:t>, no. 40035/98, § 50, ECHR 2000</w:t>
      </w:r>
      <w:r w:rsidRPr="005B224F">
        <w:rPr>
          <w:lang w:eastAsia="en-US"/>
        </w:rPr>
        <w:noBreakHyphen/>
        <w:t xml:space="preserve"> VIII</w:t>
      </w:r>
      <w:r w:rsidRPr="005B224F">
        <w:rPr>
          <w:rStyle w:val="sb8d990e2"/>
        </w:rPr>
        <w:t>),</w:t>
      </w:r>
      <w:r>
        <w:rPr>
          <w:rStyle w:val="sb8d990e2"/>
        </w:rPr>
        <w:t xml:space="preserve"> as well as a </w:t>
      </w:r>
      <w:r w:rsidRPr="007B7945">
        <w:rPr>
          <w:rStyle w:val="sb8d990e2"/>
        </w:rPr>
        <w:t xml:space="preserve">particularly prompt response (see </w:t>
      </w:r>
      <w:r w:rsidRPr="007B7945">
        <w:rPr>
          <w:i/>
          <w:lang w:eastAsia="en-US"/>
        </w:rPr>
        <w:t>De Souza Ribeiro</w:t>
      </w:r>
      <w:r w:rsidRPr="007B7945">
        <w:rPr>
          <w:snapToGrid w:val="0"/>
          <w:lang w:val="pt-BR" w:eastAsia="en-US"/>
        </w:rPr>
        <w:t xml:space="preserve">, </w:t>
      </w:r>
      <w:r>
        <w:rPr>
          <w:snapToGrid w:val="0"/>
          <w:lang w:val="pt-BR" w:eastAsia="en-US"/>
        </w:rPr>
        <w:t>cited above, § </w:t>
      </w:r>
      <w:r w:rsidRPr="007B7945">
        <w:rPr>
          <w:snapToGrid w:val="0"/>
          <w:lang w:val="pt-BR" w:eastAsia="en-US"/>
        </w:rPr>
        <w:t>82</w:t>
      </w:r>
      <w:r w:rsidRPr="007B7945">
        <w:rPr>
          <w:rStyle w:val="sb8d990e2"/>
        </w:rPr>
        <w:t xml:space="preserve">). In such a case, effectiveness also requires that the person concerned should have access to a remedy with automatic suspensive effect (see, </w:t>
      </w:r>
      <w:r w:rsidRPr="007B7945">
        <w:rPr>
          <w:rStyle w:val="sb8d990e2"/>
          <w:i/>
        </w:rPr>
        <w:t>inter alia</w:t>
      </w:r>
      <w:r w:rsidRPr="007B7945">
        <w:rPr>
          <w:rStyle w:val="sb8d990e2"/>
        </w:rPr>
        <w:t>,</w:t>
      </w:r>
      <w:r w:rsidRPr="007B7945">
        <w:rPr>
          <w:i/>
          <w:szCs w:val="22"/>
          <w:lang w:eastAsia="en-US"/>
        </w:rPr>
        <w:t xml:space="preserve"> </w:t>
      </w:r>
      <w:r w:rsidRPr="007B7945">
        <w:rPr>
          <w:i/>
          <w:lang w:eastAsia="en-US"/>
        </w:rPr>
        <w:t>De Souza</w:t>
      </w:r>
      <w:r w:rsidRPr="007B7945">
        <w:rPr>
          <w:snapToGrid w:val="0"/>
          <w:lang w:val="pt-BR" w:eastAsia="en-US"/>
        </w:rPr>
        <w:t>, cited above, § 82, 1</w:t>
      </w:r>
      <w:r w:rsidRPr="007B7945">
        <w:rPr>
          <w:lang w:val="pt-BR" w:eastAsia="en-US"/>
        </w:rPr>
        <w:t>3</w:t>
      </w:r>
      <w:r w:rsidRPr="007B7945">
        <w:rPr>
          <w:snapToGrid w:val="0"/>
          <w:lang w:val="pt-BR" w:eastAsia="en-US"/>
        </w:rPr>
        <w:t xml:space="preserve"> </w:t>
      </w:r>
      <w:r w:rsidRPr="007B7945">
        <w:rPr>
          <w:lang w:val="pt-BR" w:eastAsia="en-US"/>
        </w:rPr>
        <w:t>December</w:t>
      </w:r>
      <w:r w:rsidRPr="00136E9F">
        <w:rPr>
          <w:snapToGrid w:val="0"/>
          <w:lang w:val="pt-BR" w:eastAsia="en-US"/>
        </w:rPr>
        <w:t xml:space="preserve"> 2012</w:t>
      </w:r>
      <w:r>
        <w:rPr>
          <w:snapToGrid w:val="0"/>
          <w:lang w:val="pt-BR" w:eastAsia="en-US"/>
        </w:rPr>
        <w:t xml:space="preserve">; </w:t>
      </w:r>
      <w:r w:rsidRPr="006E5C76">
        <w:rPr>
          <w:rStyle w:val="sb8d990e2"/>
          <w:i/>
        </w:rPr>
        <w:t>I.M. v. France</w:t>
      </w:r>
      <w:r w:rsidRPr="006E5C76">
        <w:rPr>
          <w:rStyle w:val="sb8d990e2"/>
        </w:rPr>
        <w:t xml:space="preserve">, </w:t>
      </w:r>
      <w:r>
        <w:rPr>
          <w:rStyle w:val="sb8d990e2"/>
        </w:rPr>
        <w:t xml:space="preserve">cited above, § </w:t>
      </w:r>
      <w:r w:rsidRPr="006E5C76">
        <w:rPr>
          <w:rStyle w:val="sb8d990e2"/>
        </w:rPr>
        <w:t>58</w:t>
      </w:r>
      <w:r>
        <w:rPr>
          <w:rStyle w:val="sb8d990e2"/>
        </w:rPr>
        <w:t>;</w:t>
      </w:r>
      <w:r w:rsidRPr="006E5C76">
        <w:rPr>
          <w:rStyle w:val="sb8d990e2"/>
        </w:rPr>
        <w:t xml:space="preserve"> </w:t>
      </w:r>
      <w:r w:rsidRPr="006E5C76">
        <w:rPr>
          <w:i/>
          <w:szCs w:val="22"/>
          <w:lang w:eastAsia="en-US"/>
        </w:rPr>
        <w:t xml:space="preserve">Al Hanchi </w:t>
      </w:r>
      <w:r w:rsidRPr="006E5C76">
        <w:rPr>
          <w:i/>
          <w:lang w:eastAsia="en-US"/>
        </w:rPr>
        <w:t>v. Bosnia and Herzegovina</w:t>
      </w:r>
      <w:r w:rsidRPr="00256041">
        <w:rPr>
          <w:lang w:eastAsia="en-US"/>
        </w:rPr>
        <w:t>, no. 48205/09</w:t>
      </w:r>
      <w:r>
        <w:rPr>
          <w:snapToGrid w:val="0"/>
          <w:szCs w:val="24"/>
          <w:lang w:val="pt-BR" w:eastAsia="en-US"/>
        </w:rPr>
        <w:t>, § 32, 15 N</w:t>
      </w:r>
      <w:r w:rsidRPr="00256041">
        <w:rPr>
          <w:snapToGrid w:val="0"/>
          <w:szCs w:val="24"/>
          <w:lang w:val="pt-BR" w:eastAsia="en-US"/>
        </w:rPr>
        <w:t>ovember 2011</w:t>
      </w:r>
      <w:r>
        <w:rPr>
          <w:snapToGrid w:val="0"/>
          <w:szCs w:val="24"/>
          <w:lang w:val="pt-BR" w:eastAsia="en-US"/>
        </w:rPr>
        <w:t>;</w:t>
      </w:r>
      <w:r w:rsidRPr="006E5C76">
        <w:rPr>
          <w:i/>
          <w:szCs w:val="22"/>
          <w:lang w:eastAsia="en-US"/>
        </w:rPr>
        <w:t xml:space="preserve"> </w:t>
      </w:r>
      <w:r>
        <w:rPr>
          <w:i/>
          <w:szCs w:val="22"/>
          <w:lang w:eastAsia="en-US"/>
        </w:rPr>
        <w:t xml:space="preserve">Auad </w:t>
      </w:r>
      <w:r>
        <w:rPr>
          <w:i/>
          <w:lang w:eastAsia="en-US"/>
        </w:rPr>
        <w:t>v. </w:t>
      </w:r>
      <w:r w:rsidRPr="00256041">
        <w:rPr>
          <w:i/>
          <w:lang w:eastAsia="en-US"/>
        </w:rPr>
        <w:t>Bulgaria</w:t>
      </w:r>
      <w:r>
        <w:rPr>
          <w:lang w:eastAsia="en-US"/>
        </w:rPr>
        <w:t>, no. </w:t>
      </w:r>
      <w:r w:rsidRPr="00256041">
        <w:rPr>
          <w:lang w:eastAsia="en-US"/>
        </w:rPr>
        <w:t>46390/10</w:t>
      </w:r>
      <w:r w:rsidRPr="00256041">
        <w:rPr>
          <w:snapToGrid w:val="0"/>
          <w:szCs w:val="24"/>
          <w:lang w:val="pt-BR" w:eastAsia="en-US"/>
        </w:rPr>
        <w:t xml:space="preserve">, § </w:t>
      </w:r>
      <w:r>
        <w:rPr>
          <w:snapToGrid w:val="0"/>
          <w:szCs w:val="24"/>
          <w:lang w:val="pt-BR" w:eastAsia="en-US"/>
        </w:rPr>
        <w:t>120</w:t>
      </w:r>
      <w:r w:rsidRPr="00256041">
        <w:rPr>
          <w:snapToGrid w:val="0"/>
          <w:szCs w:val="24"/>
          <w:lang w:val="pt-BR" w:eastAsia="en-US"/>
        </w:rPr>
        <w:t xml:space="preserve">, 11 </w:t>
      </w:r>
      <w:r w:rsidRPr="006E5C76">
        <w:rPr>
          <w:snapToGrid w:val="0"/>
          <w:szCs w:val="24"/>
          <w:lang w:val="pt-BR" w:eastAsia="en-US"/>
        </w:rPr>
        <w:t>October 2011</w:t>
      </w:r>
      <w:r w:rsidRPr="006E5C76">
        <w:rPr>
          <w:i/>
          <w:lang w:eastAsia="en-US"/>
        </w:rPr>
        <w:t>; Diallo v. the Czech Republic</w:t>
      </w:r>
      <w:r>
        <w:rPr>
          <w:lang w:eastAsia="en-US"/>
        </w:rPr>
        <w:t>, no. </w:t>
      </w:r>
      <w:r w:rsidRPr="006E5C76">
        <w:rPr>
          <w:lang w:eastAsia="en-US"/>
        </w:rPr>
        <w:t>20493/07</w:t>
      </w:r>
      <w:r w:rsidRPr="006E5C76">
        <w:rPr>
          <w:snapToGrid w:val="0"/>
          <w:szCs w:val="24"/>
          <w:lang w:val="pt-BR" w:eastAsia="en-US"/>
        </w:rPr>
        <w:t xml:space="preserve">, § </w:t>
      </w:r>
      <w:r>
        <w:rPr>
          <w:snapToGrid w:val="0"/>
          <w:szCs w:val="24"/>
          <w:lang w:val="pt-BR" w:eastAsia="en-US"/>
        </w:rPr>
        <w:t>74</w:t>
      </w:r>
      <w:r w:rsidRPr="006E5C76">
        <w:rPr>
          <w:snapToGrid w:val="0"/>
          <w:szCs w:val="24"/>
          <w:lang w:val="pt-BR" w:eastAsia="en-US"/>
        </w:rPr>
        <w:t xml:space="preserve">, 23 June 2011; </w:t>
      </w:r>
      <w:r w:rsidRPr="00586B66">
        <w:rPr>
          <w:rStyle w:val="s6b621b36"/>
          <w:i/>
        </w:rPr>
        <w:t>M.S.S</w:t>
      </w:r>
      <w:r w:rsidRPr="006E5C76">
        <w:rPr>
          <w:rStyle w:val="s6b621b36"/>
        </w:rPr>
        <w:t>.</w:t>
      </w:r>
      <w:r>
        <w:rPr>
          <w:rStyle w:val="sb8d990e2"/>
        </w:rPr>
        <w:t>, cited above, § </w:t>
      </w:r>
      <w:r w:rsidRPr="006E5C76">
        <w:rPr>
          <w:rStyle w:val="sb8d990e2"/>
        </w:rPr>
        <w:t xml:space="preserve">293; </w:t>
      </w:r>
      <w:r w:rsidRPr="006E5C76">
        <w:rPr>
          <w:i/>
          <w:lang w:eastAsia="en-US"/>
        </w:rPr>
        <w:t>Baysakov and</w:t>
      </w:r>
      <w:r w:rsidRPr="00256041">
        <w:rPr>
          <w:i/>
          <w:lang w:eastAsia="en-US"/>
        </w:rPr>
        <w:t xml:space="preserve"> Others v. Ukraine</w:t>
      </w:r>
      <w:r w:rsidRPr="00256041">
        <w:rPr>
          <w:lang w:eastAsia="en-US"/>
        </w:rPr>
        <w:t>, no. 54131/08</w:t>
      </w:r>
      <w:r>
        <w:rPr>
          <w:snapToGrid w:val="0"/>
          <w:lang w:eastAsia="en-US"/>
        </w:rPr>
        <w:t>, § 71, 18 </w:t>
      </w:r>
      <w:r w:rsidRPr="00256041">
        <w:rPr>
          <w:snapToGrid w:val="0"/>
          <w:lang w:eastAsia="en-US"/>
        </w:rPr>
        <w:t>February 2010</w:t>
      </w:r>
      <w:r>
        <w:rPr>
          <w:snapToGrid w:val="0"/>
          <w:lang w:eastAsia="en-US"/>
        </w:rPr>
        <w:t xml:space="preserve">; </w:t>
      </w:r>
      <w:r w:rsidRPr="00256041">
        <w:rPr>
          <w:i/>
          <w:lang w:eastAsia="en-US"/>
        </w:rPr>
        <w:t>Abdolkhani and Karimnia v. Turkey</w:t>
      </w:r>
      <w:r w:rsidRPr="00256041">
        <w:rPr>
          <w:lang w:eastAsia="en-US"/>
        </w:rPr>
        <w:t>, no. 30471/08</w:t>
      </w:r>
      <w:r w:rsidRPr="00256041">
        <w:rPr>
          <w:szCs w:val="24"/>
          <w:lang w:eastAsia="en-US"/>
        </w:rPr>
        <w:t xml:space="preserve">, § </w:t>
      </w:r>
      <w:r>
        <w:rPr>
          <w:szCs w:val="24"/>
          <w:lang w:eastAsia="en-US"/>
        </w:rPr>
        <w:t>108</w:t>
      </w:r>
      <w:r w:rsidRPr="00256041">
        <w:rPr>
          <w:szCs w:val="24"/>
          <w:lang w:eastAsia="en-US"/>
        </w:rPr>
        <w:t xml:space="preserve">, </w:t>
      </w:r>
      <w:r w:rsidRPr="00256041">
        <w:rPr>
          <w:lang w:eastAsia="en-US"/>
        </w:rPr>
        <w:t>22 September 2009</w:t>
      </w:r>
      <w:r>
        <w:rPr>
          <w:lang w:eastAsia="en-US"/>
        </w:rPr>
        <w:t xml:space="preserve">; and </w:t>
      </w:r>
      <w:r w:rsidRPr="00193CD7">
        <w:rPr>
          <w:rStyle w:val="s6b621b36"/>
          <w:i/>
        </w:rPr>
        <w:t>Gebremedhin</w:t>
      </w:r>
      <w:r w:rsidRPr="00193CD7">
        <w:rPr>
          <w:rStyle w:val="s6b621b36"/>
        </w:rPr>
        <w:t xml:space="preserve">, </w:t>
      </w:r>
      <w:r w:rsidRPr="00193CD7">
        <w:rPr>
          <w:rStyle w:val="sb8d990e2"/>
        </w:rPr>
        <w:t>cited above, §</w:t>
      </w:r>
      <w:r>
        <w:rPr>
          <w:rStyle w:val="sb8d990e2"/>
        </w:rPr>
        <w:t xml:space="preserve"> </w:t>
      </w:r>
      <w:r w:rsidRPr="00193CD7">
        <w:rPr>
          <w:rStyle w:val="sb8d990e2"/>
        </w:rPr>
        <w:t>66</w:t>
      </w:r>
      <w:r>
        <w:rPr>
          <w:rStyle w:val="sb8d990e2"/>
        </w:rPr>
        <w:t>). The same principles apply when expulsion exposes the applicant to a real risk of a violation of his right safeguarded by Article 2 of the Convention.</w:t>
      </w:r>
    </w:p>
    <w:p w:rsidRPr="000448A7" w:rsidR="00FA0835" w:rsidP="00FA0835" w:rsidRDefault="00FA0835">
      <w:pPr>
        <w:pStyle w:val="JuPara"/>
        <w:rPr>
          <w:rStyle w:val="sb8d990e2"/>
        </w:rPr>
      </w:pPr>
      <w:r w:rsidRPr="000448A7">
        <w:rPr>
          <w:rStyle w:val="sb8d990e2"/>
        </w:rPr>
        <w:fldChar w:fldCharType="begin"/>
      </w:r>
      <w:r w:rsidRPr="000448A7">
        <w:rPr>
          <w:rStyle w:val="sb8d990e2"/>
        </w:rPr>
        <w:instrText xml:space="preserve"> SEQ level0 \*arabic </w:instrText>
      </w:r>
      <w:r w:rsidRPr="000448A7">
        <w:rPr>
          <w:rStyle w:val="sb8d990e2"/>
        </w:rPr>
        <w:fldChar w:fldCharType="separate"/>
      </w:r>
      <w:r w:rsidR="00C5470A">
        <w:rPr>
          <w:rStyle w:val="sb8d990e2"/>
          <w:noProof/>
        </w:rPr>
        <w:t>134</w:t>
      </w:r>
      <w:r w:rsidRPr="000448A7">
        <w:rPr>
          <w:rStyle w:val="sb8d990e2"/>
        </w:rPr>
        <w:fldChar w:fldCharType="end"/>
      </w:r>
      <w:r w:rsidRPr="000448A7">
        <w:rPr>
          <w:rStyle w:val="sb8d990e2"/>
        </w:rPr>
        <w:t>.  Turning to the present case, the Court notes that the applicant</w:t>
      </w:r>
      <w:r w:rsidR="00A7319E">
        <w:rPr>
          <w:rStyle w:val="sb8d990e2"/>
        </w:rPr>
        <w:t>’</w:t>
      </w:r>
      <w:r w:rsidRPr="000448A7">
        <w:rPr>
          <w:rStyle w:val="sb8d990e2"/>
        </w:rPr>
        <w:t>s asylum application and appeal thereto were initially rejected by the Cypriot authorities. His file, however, wa</w:t>
      </w:r>
      <w:r>
        <w:rPr>
          <w:rStyle w:val="sb8d990e2"/>
        </w:rPr>
        <w:t>s subsequently re-opened for re</w:t>
      </w:r>
      <w:r>
        <w:rPr>
          <w:rStyle w:val="sb8d990e2"/>
        </w:rPr>
        <w:noBreakHyphen/>
      </w:r>
      <w:r w:rsidRPr="000448A7">
        <w:rPr>
          <w:rStyle w:val="sb8d990e2"/>
        </w:rPr>
        <w:t>examination</w:t>
      </w:r>
      <w:r w:rsidRPr="000448A7">
        <w:t xml:space="preserve"> in view of new information put forward by the applicant (see paragraph 17 above)</w:t>
      </w:r>
      <w:r w:rsidRPr="000448A7">
        <w:rPr>
          <w:rStyle w:val="sb8d990e2"/>
        </w:rPr>
        <w:t>. When the first set of deportation and detention orders were issued on 11</w:t>
      </w:r>
      <w:r>
        <w:rPr>
          <w:rStyle w:val="sb8d990e2"/>
        </w:rPr>
        <w:t xml:space="preserve"> </w:t>
      </w:r>
      <w:r w:rsidRPr="000448A7">
        <w:rPr>
          <w:rStyle w:val="sb8d990e2"/>
        </w:rPr>
        <w:t>June 2010 on the ground that the</w:t>
      </w:r>
      <w:r w:rsidRPr="000448A7">
        <w:t xml:space="preserve"> applicant was in Cyprus</w:t>
      </w:r>
      <w:r w:rsidRPr="00110C34">
        <w:t xml:space="preserve"> </w:t>
      </w:r>
      <w:r w:rsidRPr="000448A7">
        <w:t>unlawfully</w:t>
      </w:r>
      <w:r>
        <w:t>,</w:t>
      </w:r>
      <w:r w:rsidRPr="000448A7">
        <w:t xml:space="preserve"> </w:t>
      </w:r>
      <w:r w:rsidRPr="000448A7">
        <w:rPr>
          <w:rStyle w:val="sb8d990e2"/>
        </w:rPr>
        <w:t xml:space="preserve">these proceedings were still pending </w:t>
      </w:r>
      <w:r w:rsidRPr="001E4714">
        <w:rPr>
          <w:rStyle w:val="sb8d990e2"/>
        </w:rPr>
        <w:t>(see paragraphs</w:t>
      </w:r>
      <w:r>
        <w:rPr>
          <w:rStyle w:val="sb8d990e2"/>
        </w:rPr>
        <w:t> </w:t>
      </w:r>
      <w:r w:rsidRPr="001E4714">
        <w:rPr>
          <w:rStyle w:val="sb8d990e2"/>
        </w:rPr>
        <w:t>17-22 above). Even though it appears that an internal note</w:t>
      </w:r>
      <w:r w:rsidRPr="000448A7">
        <w:rPr>
          <w:rStyle w:val="sb8d990e2"/>
        </w:rPr>
        <w:t xml:space="preserve"> had been prepared a few days before by an officer of the Asylum Service with a negative proposal</w:t>
      </w:r>
      <w:r w:rsidRPr="000448A7">
        <w:t>, no formal decision had been taken at this stage (see paragraph 18 above).</w:t>
      </w:r>
      <w:r w:rsidRPr="000448A7">
        <w:rPr>
          <w:rStyle w:val="sb8d990e2"/>
        </w:rPr>
        <w:t xml:space="preserve"> </w:t>
      </w:r>
      <w:r w:rsidRPr="000448A7">
        <w:t xml:space="preserve">The Reviewing Authority gave its </w:t>
      </w:r>
      <w:r>
        <w:t>decision on 30 </w:t>
      </w:r>
      <w:r w:rsidRPr="000448A7">
        <w:t>September 2010 after having taken up the matter from the Asylum Service (see paragraph 22 above).</w:t>
      </w:r>
      <w:r w:rsidRPr="000448A7">
        <w:rPr>
          <w:rStyle w:val="sb8d990e2"/>
        </w:rPr>
        <w:t xml:space="preserve"> The Court notes in this </w:t>
      </w:r>
      <w:r>
        <w:rPr>
          <w:rStyle w:val="sb8d990e2"/>
        </w:rPr>
        <w:t>connection</w:t>
      </w:r>
      <w:r w:rsidRPr="000448A7">
        <w:rPr>
          <w:rStyle w:val="sb8d990e2"/>
        </w:rPr>
        <w:t xml:space="preserve"> that under domestic law</w:t>
      </w:r>
      <w:r>
        <w:rPr>
          <w:rStyle w:val="sb8d990e2"/>
        </w:rPr>
        <w:t>,</w:t>
      </w:r>
      <w:r w:rsidRPr="000448A7">
        <w:rPr>
          <w:rStyle w:val="sb8d990e2"/>
        </w:rPr>
        <w:t xml:space="preserve"> proceedings before the Asylum Service and the Reviewing Authority are suspensive in nature. Consequently, as admitted by the Government in their observations of</w:t>
      </w:r>
      <w:r w:rsidRPr="000448A7">
        <w:t xml:space="preserve"> 20 September 2011 (see paragraph</w:t>
      </w:r>
      <w:r>
        <w:t xml:space="preserve"> 182 </w:t>
      </w:r>
      <w:r w:rsidRPr="000448A7">
        <w:t xml:space="preserve">below) a mistake had been </w:t>
      </w:r>
      <w:r>
        <w:t>made</w:t>
      </w:r>
      <w:r w:rsidRPr="000448A7">
        <w:t xml:space="preserve"> by the authorities</w:t>
      </w:r>
      <w:r>
        <w:t xml:space="preserve"> as, at the time, </w:t>
      </w:r>
      <w:r w:rsidRPr="000448A7">
        <w:t xml:space="preserve">the applicant had been in Cyprus lawfully. He should </w:t>
      </w:r>
      <w:r>
        <w:t xml:space="preserve">not, </w:t>
      </w:r>
      <w:r w:rsidRPr="000448A7">
        <w:t>therefore</w:t>
      </w:r>
      <w:r>
        <w:t>, have been</w:t>
      </w:r>
      <w:r w:rsidRPr="000448A7">
        <w:t xml:space="preserve"> subject to deportation.</w:t>
      </w:r>
    </w:p>
    <w:p w:rsidR="00FA0835" w:rsidP="00FA0835" w:rsidRDefault="00FA0835">
      <w:pPr>
        <w:pStyle w:val="JuPara"/>
        <w:rPr>
          <w:rStyle w:val="JuPara"/>
        </w:rPr>
      </w:pPr>
      <w:r w:rsidRPr="000448A7">
        <w:fldChar w:fldCharType="begin"/>
      </w:r>
      <w:r w:rsidRPr="000448A7">
        <w:instrText xml:space="preserve"> SEQ level0 \*arabic </w:instrText>
      </w:r>
      <w:r w:rsidRPr="000448A7">
        <w:fldChar w:fldCharType="separate"/>
      </w:r>
      <w:r w:rsidR="00C5470A">
        <w:rPr>
          <w:noProof/>
        </w:rPr>
        <w:t>135</w:t>
      </w:r>
      <w:r w:rsidRPr="000448A7">
        <w:fldChar w:fldCharType="end"/>
      </w:r>
      <w:r w:rsidRPr="000448A7">
        <w:t>.  The Government argued that the applicant should have lodged a recourse with the Supreme Court seeking the annulment of the deportation orders and that he should have applied for a provisional order to suspend his d</w:t>
      </w:r>
      <w:r>
        <w:t>eportation in the context of tho</w:t>
      </w:r>
      <w:r w:rsidRPr="000448A7">
        <w:t xml:space="preserve">se proceedings. The Court observes, however, that neither a recourse against deportation and detention orders, nor an </w:t>
      </w:r>
      <w:r w:rsidRPr="000448A7">
        <w:rPr>
          <w:rStyle w:val="sb8d990e2"/>
        </w:rPr>
        <w:t>application for a provisional order in the context of such proceedings, ha</w:t>
      </w:r>
      <w:r>
        <w:rPr>
          <w:rStyle w:val="sb8d990e2"/>
        </w:rPr>
        <w:t>s</w:t>
      </w:r>
      <w:r w:rsidRPr="000448A7">
        <w:rPr>
          <w:rStyle w:val="sb8d990e2"/>
        </w:rPr>
        <w:t xml:space="preserve"> automatic suspensive effect. Indeed, the Government </w:t>
      </w:r>
      <w:r>
        <w:rPr>
          <w:rStyle w:val="sb8d990e2"/>
        </w:rPr>
        <w:t xml:space="preserve">have </w:t>
      </w:r>
      <w:r w:rsidRPr="000448A7">
        <w:rPr>
          <w:rStyle w:val="sb8d990e2"/>
        </w:rPr>
        <w:t>conceded this.</w:t>
      </w:r>
    </w:p>
    <w:p w:rsidR="00FA0835" w:rsidP="00FA0835" w:rsidRDefault="00FA0835">
      <w:pPr>
        <w:pStyle w:val="JuPara"/>
        <w:outlineLvl w:val="0"/>
        <w:rPr>
          <w:rStyle w:val="sb8d990e2"/>
        </w:rPr>
      </w:pPr>
      <w:r w:rsidRPr="000448A7">
        <w:rPr>
          <w:rStyle w:val="sb8d990e2"/>
        </w:rPr>
        <w:fldChar w:fldCharType="begin"/>
      </w:r>
      <w:r w:rsidRPr="000448A7">
        <w:rPr>
          <w:rStyle w:val="sb8d990e2"/>
        </w:rPr>
        <w:instrText xml:space="preserve"> SEQ level0 \*arabic </w:instrText>
      </w:r>
      <w:r w:rsidRPr="000448A7">
        <w:rPr>
          <w:rStyle w:val="sb8d990e2"/>
        </w:rPr>
        <w:fldChar w:fldCharType="separate"/>
      </w:r>
      <w:r w:rsidR="00C5470A">
        <w:rPr>
          <w:rStyle w:val="sb8d990e2"/>
          <w:noProof/>
        </w:rPr>
        <w:t>136</w:t>
      </w:r>
      <w:r w:rsidRPr="000448A7">
        <w:rPr>
          <w:rStyle w:val="sb8d990e2"/>
        </w:rPr>
        <w:fldChar w:fldCharType="end"/>
      </w:r>
      <w:r w:rsidRPr="000448A7">
        <w:rPr>
          <w:rStyle w:val="sb8d990e2"/>
        </w:rPr>
        <w:t>.  The Government emphasised that an application for a provisional order was suspensive “in practice”. In particular, as a matter of administrative practice, the authorities refrained from removing the person concerned until a decision had been given by the Supreme Court on the application or, in the event of an agreement being reached between the parties entailing the withdrawal of the application and an early hearing, until the end of the main proceedings.</w:t>
      </w:r>
    </w:p>
    <w:p w:rsidR="00FA0835" w:rsidP="00FA0835" w:rsidRDefault="00FA0835">
      <w:pPr>
        <w:pStyle w:val="JuPara"/>
        <w:rPr>
          <w:rStyle w:val="sb8d990e2"/>
        </w:rPr>
      </w:pPr>
      <w:r w:rsidRPr="000448A7">
        <w:rPr>
          <w:rStyle w:val="sb8d990e2"/>
        </w:rPr>
        <w:fldChar w:fldCharType="begin"/>
      </w:r>
      <w:r w:rsidRPr="000448A7">
        <w:rPr>
          <w:rStyle w:val="sb8d990e2"/>
        </w:rPr>
        <w:instrText xml:space="preserve"> SEQ level0 \*arabic </w:instrText>
      </w:r>
      <w:r w:rsidRPr="000448A7">
        <w:rPr>
          <w:rStyle w:val="sb8d990e2"/>
        </w:rPr>
        <w:fldChar w:fldCharType="separate"/>
      </w:r>
      <w:r w:rsidR="00C5470A">
        <w:rPr>
          <w:rStyle w:val="sb8d990e2"/>
          <w:noProof/>
        </w:rPr>
        <w:t>137</w:t>
      </w:r>
      <w:r w:rsidRPr="000448A7">
        <w:rPr>
          <w:rStyle w:val="sb8d990e2"/>
        </w:rPr>
        <w:fldChar w:fldCharType="end"/>
      </w:r>
      <w:r w:rsidRPr="000448A7">
        <w:rPr>
          <w:rStyle w:val="sb8d990e2"/>
        </w:rPr>
        <w:t xml:space="preserve">.  The Court reiterates, however, that the requirements of Article 13, and of the other provisions of the Convention, take the form of a guarantee and not of a mere statement of intent or a practical arrangement. This is one of the consequences of the rule of law, one of the fundamental principles of a democratic society, which is inherent in all the Articles of the Convention (see, </w:t>
      </w:r>
      <w:r w:rsidRPr="000448A7">
        <w:rPr>
          <w:rStyle w:val="s6b621b36"/>
          <w:i/>
        </w:rPr>
        <w:t>mutatis mutandis</w:t>
      </w:r>
      <w:r w:rsidRPr="000448A7">
        <w:rPr>
          <w:rStyle w:val="sb8d990e2"/>
        </w:rPr>
        <w:t xml:space="preserve">, </w:t>
      </w:r>
      <w:r w:rsidRPr="000448A7">
        <w:rPr>
          <w:rStyle w:val="s6b621b36"/>
          <w:i/>
        </w:rPr>
        <w:t>Iatridis</w:t>
      </w:r>
      <w:r>
        <w:rPr>
          <w:rStyle w:val="s6b621b36"/>
          <w:i/>
        </w:rPr>
        <w:t xml:space="preserve"> </w:t>
      </w:r>
      <w:r w:rsidRPr="000448A7">
        <w:rPr>
          <w:rStyle w:val="s6b621b36"/>
          <w:i/>
        </w:rPr>
        <w:t>v. Greece</w:t>
      </w:r>
      <w:r w:rsidRPr="000448A7">
        <w:rPr>
          <w:rStyle w:val="sb8d990e2"/>
        </w:rPr>
        <w:t xml:space="preserve"> [GC], no. 31107/96, § 58, ECHR</w:t>
      </w:r>
      <w:r>
        <w:rPr>
          <w:rStyle w:val="sb8d990e2"/>
        </w:rPr>
        <w:t xml:space="preserve"> </w:t>
      </w:r>
      <w:r w:rsidRPr="000448A7">
        <w:rPr>
          <w:rStyle w:val="sb8d990e2"/>
        </w:rPr>
        <w:t xml:space="preserve">1999-II). The Court has, therefore, rejected similar arguments put before it in other cases concerning deportation advocating the sufficiency of a suspensive effect in “practice” (see, for example, </w:t>
      </w:r>
      <w:r w:rsidRPr="000448A7">
        <w:rPr>
          <w:rStyle w:val="s6b621b36"/>
          <w:i/>
        </w:rPr>
        <w:t>Gebremedhin</w:t>
      </w:r>
      <w:r w:rsidRPr="000448A7">
        <w:rPr>
          <w:rStyle w:val="sb8d990e2"/>
        </w:rPr>
        <w:t xml:space="preserve">, § 66; and </w:t>
      </w:r>
      <w:r w:rsidRPr="000448A7">
        <w:rPr>
          <w:i/>
          <w:lang w:eastAsia="en-US"/>
        </w:rPr>
        <w:t>Čonka</w:t>
      </w:r>
      <w:r w:rsidRPr="000448A7">
        <w:rPr>
          <w:rStyle w:val="sb8d990e2"/>
        </w:rPr>
        <w:t>, §§ 81-83 both cited above). It has further pointed out the risks involved in a system where stays of execution must be applied for and are granted on a case-by-case basis (see</w:t>
      </w:r>
      <w:r w:rsidRPr="000448A7">
        <w:rPr>
          <w:rStyle w:val="sb8d990e2"/>
          <w:i/>
        </w:rPr>
        <w:t xml:space="preserve"> </w:t>
      </w:r>
      <w:r w:rsidRPr="000448A7">
        <w:rPr>
          <w:i/>
          <w:lang w:eastAsia="en-US"/>
        </w:rPr>
        <w:t>Čonka</w:t>
      </w:r>
      <w:r w:rsidRPr="000448A7">
        <w:rPr>
          <w:rStyle w:val="sb8d990e2"/>
        </w:rPr>
        <w:t>, cited above, § 82).</w:t>
      </w:r>
    </w:p>
    <w:p w:rsidR="00FA0835" w:rsidP="00FA0835" w:rsidRDefault="00FA0835">
      <w:pPr>
        <w:pStyle w:val="JuPara"/>
        <w:outlineLvl w:val="0"/>
        <w:rPr>
          <w:snapToGrid w:val="0"/>
          <w:szCs w:val="24"/>
          <w:lang w:val="pt-BR" w:eastAsia="en-US"/>
        </w:rPr>
      </w:pPr>
      <w:r w:rsidRPr="000448A7">
        <w:rPr>
          <w:rStyle w:val="sb8d990e2"/>
          <w:lang w:val="pt-BR"/>
        </w:rPr>
        <w:fldChar w:fldCharType="begin"/>
      </w:r>
      <w:r w:rsidRPr="000448A7">
        <w:rPr>
          <w:rStyle w:val="sb8d990e2"/>
          <w:lang w:val="pt-BR"/>
        </w:rPr>
        <w:instrText xml:space="preserve"> SEQ level0 \*arabic </w:instrText>
      </w:r>
      <w:r w:rsidRPr="000448A7">
        <w:rPr>
          <w:rStyle w:val="sb8d990e2"/>
          <w:lang w:val="pt-BR"/>
        </w:rPr>
        <w:fldChar w:fldCharType="separate"/>
      </w:r>
      <w:r w:rsidR="00C5470A">
        <w:rPr>
          <w:rStyle w:val="sb8d990e2"/>
          <w:noProof/>
          <w:lang w:val="pt-BR"/>
        </w:rPr>
        <w:t>138</w:t>
      </w:r>
      <w:r w:rsidRPr="000448A7">
        <w:rPr>
          <w:rStyle w:val="sb8d990e2"/>
          <w:lang w:val="pt-BR"/>
        </w:rPr>
        <w:fldChar w:fldCharType="end"/>
      </w:r>
      <w:r w:rsidRPr="000448A7">
        <w:rPr>
          <w:rStyle w:val="sb8d990e2"/>
          <w:lang w:val="pt-BR"/>
        </w:rPr>
        <w:t>.  Given the above, the</w:t>
      </w:r>
      <w:r w:rsidRPr="000448A7">
        <w:rPr>
          <w:rStyle w:val="sb8d990e2"/>
        </w:rPr>
        <w:t xml:space="preserve"> applicant </w:t>
      </w:r>
      <w:r w:rsidRPr="00FA45E1">
        <w:rPr>
          <w:rStyle w:val="sb8d990e2"/>
        </w:rPr>
        <w:t>cannot be found</w:t>
      </w:r>
      <w:r>
        <w:rPr>
          <w:rStyle w:val="sb8d990e2"/>
        </w:rPr>
        <w:t xml:space="preserve"> to be at fault</w:t>
      </w:r>
      <w:r w:rsidRPr="000448A7">
        <w:rPr>
          <w:rStyle w:val="sb8d990e2"/>
        </w:rPr>
        <w:t xml:space="preserve"> for not having brought such proceedings (see, </w:t>
      </w:r>
      <w:r w:rsidRPr="000448A7">
        <w:rPr>
          <w:rStyle w:val="sb8d990e2"/>
          <w:i/>
        </w:rPr>
        <w:t>mutatis mutandis</w:t>
      </w:r>
      <w:r w:rsidRPr="000448A7">
        <w:rPr>
          <w:rStyle w:val="sb8d990e2"/>
        </w:rPr>
        <w:t xml:space="preserve">, </w:t>
      </w:r>
      <w:r w:rsidRPr="000448A7">
        <w:rPr>
          <w:i/>
          <w:lang w:eastAsia="en-US"/>
        </w:rPr>
        <w:t>Diallo</w:t>
      </w:r>
      <w:r w:rsidRPr="000448A7">
        <w:rPr>
          <w:snapToGrid w:val="0"/>
          <w:szCs w:val="24"/>
          <w:lang w:val="pt-BR" w:eastAsia="en-US"/>
        </w:rPr>
        <w:t>, cited above, §</w:t>
      </w:r>
      <w:r w:rsidRPr="000448A7">
        <w:rPr>
          <w:lang w:val="pt-BR"/>
        </w:rPr>
        <w:t> </w:t>
      </w:r>
      <w:r w:rsidRPr="000448A7">
        <w:rPr>
          <w:snapToGrid w:val="0"/>
          <w:szCs w:val="24"/>
          <w:lang w:val="pt-BR" w:eastAsia="en-US"/>
        </w:rPr>
        <w:t>78).</w:t>
      </w:r>
    </w:p>
    <w:p w:rsidR="00FA0835" w:rsidP="00FA0835" w:rsidRDefault="00FA0835">
      <w:pPr>
        <w:pStyle w:val="JuPara"/>
        <w:rPr>
          <w:rStyle w:val="sb8d990e2"/>
        </w:rPr>
      </w:pPr>
      <w:r w:rsidRPr="00B54710">
        <w:rPr>
          <w:rStyle w:val="sb8d990e2"/>
          <w:lang w:val="pt-BR"/>
        </w:rPr>
        <w:fldChar w:fldCharType="begin"/>
      </w:r>
      <w:r w:rsidRPr="00B54710">
        <w:rPr>
          <w:rStyle w:val="sb8d990e2"/>
          <w:lang w:val="pt-BR"/>
        </w:rPr>
        <w:instrText xml:space="preserve"> SEQ level0 \*arabic </w:instrText>
      </w:r>
      <w:r w:rsidRPr="00B54710">
        <w:rPr>
          <w:rStyle w:val="sb8d990e2"/>
          <w:lang w:val="pt-BR"/>
        </w:rPr>
        <w:fldChar w:fldCharType="separate"/>
      </w:r>
      <w:r w:rsidR="00C5470A">
        <w:rPr>
          <w:rStyle w:val="sb8d990e2"/>
          <w:noProof/>
          <w:lang w:val="pt-BR"/>
        </w:rPr>
        <w:t>139</w:t>
      </w:r>
      <w:r w:rsidRPr="00B54710">
        <w:rPr>
          <w:rStyle w:val="sb8d990e2"/>
          <w:lang w:val="pt-BR"/>
        </w:rPr>
        <w:fldChar w:fldCharType="end"/>
      </w:r>
      <w:r w:rsidRPr="00B54710">
        <w:rPr>
          <w:rStyle w:val="sb8d990e2"/>
          <w:lang w:val="pt-BR"/>
        </w:rPr>
        <w:t xml:space="preserve">.  The Court further </w:t>
      </w:r>
      <w:r w:rsidRPr="00B54710">
        <w:rPr>
          <w:rStyle w:val="sb8d990e2"/>
        </w:rPr>
        <w:t xml:space="preserve">points out </w:t>
      </w:r>
      <w:r>
        <w:rPr>
          <w:rStyle w:val="sb8d990e2"/>
        </w:rPr>
        <w:t>that the</w:t>
      </w:r>
      <w:r w:rsidRPr="00FC168D">
        <w:rPr>
          <w:rStyle w:val="sb8d990e2"/>
        </w:rPr>
        <w:t xml:space="preserve"> deportation and detention orders were obviously based on </w:t>
      </w:r>
      <w:r>
        <w:rPr>
          <w:rStyle w:val="sb8d990e2"/>
        </w:rPr>
        <w:t>a mistake</w:t>
      </w:r>
      <w:r w:rsidRPr="00FC168D">
        <w:rPr>
          <w:rStyle w:val="sb8d990e2"/>
        </w:rPr>
        <w:t xml:space="preserve"> </w:t>
      </w:r>
      <w:r>
        <w:rPr>
          <w:rStyle w:val="sb8d990e2"/>
        </w:rPr>
        <w:t>made</w:t>
      </w:r>
      <w:r w:rsidRPr="00FC168D">
        <w:rPr>
          <w:rStyle w:val="sb8d990e2"/>
        </w:rPr>
        <w:t xml:space="preserve"> by the authorities</w:t>
      </w:r>
      <w:r>
        <w:rPr>
          <w:rStyle w:val="sb8d990e2"/>
        </w:rPr>
        <w:t xml:space="preserve">. </w:t>
      </w:r>
      <w:r w:rsidRPr="00FA45E1">
        <w:rPr>
          <w:rStyle w:val="sb8d990e2"/>
        </w:rPr>
        <w:t>Since the applicant</w:t>
      </w:r>
      <w:r w:rsidR="00A7319E">
        <w:rPr>
          <w:rStyle w:val="sb8d990e2"/>
        </w:rPr>
        <w:t>’</w:t>
      </w:r>
      <w:r w:rsidRPr="00FA45E1">
        <w:rPr>
          <w:rStyle w:val="sb8d990e2"/>
        </w:rPr>
        <w:t>s asylum application was being re-examined</w:t>
      </w:r>
      <w:r w:rsidRPr="00057411">
        <w:rPr>
          <w:rStyle w:val="sb8d990e2"/>
        </w:rPr>
        <w:t>,</w:t>
      </w:r>
      <w:r w:rsidRPr="00FA45E1">
        <w:rPr>
          <w:rStyle w:val="sb8d990e2"/>
        </w:rPr>
        <w:t xml:space="preserve"> he continued to have the benefit of suspensive effect</w:t>
      </w:r>
      <w:r w:rsidRPr="00FC168D">
        <w:rPr>
          <w:rStyle w:val="sb8d990e2"/>
        </w:rPr>
        <w:t xml:space="preserve"> (</w:t>
      </w:r>
      <w:r>
        <w:rPr>
          <w:rStyle w:val="sb8d990e2"/>
        </w:rPr>
        <w:t>see paragraphs 74, 127 and 134 above). Y</w:t>
      </w:r>
      <w:r w:rsidRPr="00FC168D">
        <w:rPr>
          <w:rStyle w:val="sb8d990e2"/>
        </w:rPr>
        <w:t>et</w:t>
      </w:r>
      <w:r>
        <w:rPr>
          <w:rStyle w:val="sb8d990e2"/>
        </w:rPr>
        <w:t>, despite this the</w:t>
      </w:r>
      <w:r w:rsidRPr="00B54710">
        <w:t xml:space="preserve"> orders against the applicant continued to remain in force for more than two months</w:t>
      </w:r>
      <w:r>
        <w:t>,</w:t>
      </w:r>
      <w:r w:rsidRPr="00B54710">
        <w:t xml:space="preserve"> during which the re-examination of his asylum claim was still taking place</w:t>
      </w:r>
      <w:r>
        <w:t>,</w:t>
      </w:r>
      <w:r w:rsidRPr="00B54710">
        <w:t xml:space="preserve"> and </w:t>
      </w:r>
      <w:r w:rsidRPr="00B54710">
        <w:rPr>
          <w:rStyle w:val="sb8d990e2"/>
        </w:rPr>
        <w:t>the applicant was not removed to Syria</w:t>
      </w:r>
      <w:r>
        <w:rPr>
          <w:rStyle w:val="sb8d990e2"/>
        </w:rPr>
        <w:t xml:space="preserve"> during this period </w:t>
      </w:r>
      <w:r w:rsidRPr="00B54710">
        <w:rPr>
          <w:rStyle w:val="sb8d990e2"/>
        </w:rPr>
        <w:t xml:space="preserve">solely </w:t>
      </w:r>
      <w:r>
        <w:rPr>
          <w:rStyle w:val="sb8d990e2"/>
        </w:rPr>
        <w:t>because of</w:t>
      </w:r>
      <w:r w:rsidRPr="00B54710">
        <w:rPr>
          <w:rStyle w:val="sb8d990e2"/>
        </w:rPr>
        <w:t xml:space="preserve"> the</w:t>
      </w:r>
      <w:r>
        <w:rPr>
          <w:rStyle w:val="sb8d990e2"/>
        </w:rPr>
        <w:t xml:space="preserve"> application of Rule </w:t>
      </w:r>
      <w:r w:rsidRPr="00B54710">
        <w:rPr>
          <w:rStyle w:val="sb8d990e2"/>
        </w:rPr>
        <w:t>39.</w:t>
      </w:r>
      <w:r>
        <w:rPr>
          <w:rStyle w:val="sb8d990e2"/>
        </w:rPr>
        <w:t xml:space="preserve"> No</w:t>
      </w:r>
      <w:r w:rsidRPr="00FC168D">
        <w:rPr>
          <w:rStyle w:val="sb8d990e2"/>
        </w:rPr>
        <w:t xml:space="preserve"> effective </w:t>
      </w:r>
      <w:r>
        <w:rPr>
          <w:rStyle w:val="sb8d990e2"/>
        </w:rPr>
        <w:t xml:space="preserve">domestic </w:t>
      </w:r>
      <w:r w:rsidRPr="00FC168D">
        <w:rPr>
          <w:rStyle w:val="sb8d990e2"/>
        </w:rPr>
        <w:t>judicial remedy was available to counter this error.</w:t>
      </w:r>
      <w:r>
        <w:rPr>
          <w:rStyle w:val="sb8d990e2"/>
        </w:rPr>
        <w:t xml:space="preserve"> Moreover, </w:t>
      </w:r>
      <w:r>
        <w:rPr>
          <w:snapToGrid w:val="0"/>
          <w:szCs w:val="24"/>
          <w:lang w:val="pt-BR" w:eastAsia="en-US"/>
        </w:rPr>
        <w:t>t</w:t>
      </w:r>
      <w:r w:rsidRPr="00B54710">
        <w:rPr>
          <w:snapToGrid w:val="0"/>
          <w:szCs w:val="24"/>
          <w:lang w:val="pt-BR" w:eastAsia="en-US"/>
        </w:rPr>
        <w:t xml:space="preserve">he </w:t>
      </w:r>
      <w:r w:rsidRPr="00B54710">
        <w:rPr>
          <w:rStyle w:val="sb8d990e2"/>
        </w:rPr>
        <w:t>Court notes the lack of any effective safeguards which could have protected the applicant from wrongful deportation at that time.</w:t>
      </w:r>
    </w:p>
    <w:p w:rsidR="00FA0835" w:rsidP="00FA0835" w:rsidRDefault="00FA0835">
      <w:pPr>
        <w:pStyle w:val="JuPara"/>
        <w:rPr>
          <w:rStyle w:val="sb8d990e2"/>
        </w:rPr>
      </w:pPr>
      <w:r w:rsidRPr="00B54710">
        <w:rPr>
          <w:rStyle w:val="sb8d990e2"/>
        </w:rPr>
        <w:fldChar w:fldCharType="begin"/>
      </w:r>
      <w:r w:rsidRPr="00B54710">
        <w:rPr>
          <w:rStyle w:val="sb8d990e2"/>
        </w:rPr>
        <w:instrText xml:space="preserve"> SEQ level0 \*arabic </w:instrText>
      </w:r>
      <w:r w:rsidRPr="00B54710">
        <w:rPr>
          <w:rStyle w:val="sb8d990e2"/>
        </w:rPr>
        <w:fldChar w:fldCharType="separate"/>
      </w:r>
      <w:r w:rsidR="00C5470A">
        <w:rPr>
          <w:rStyle w:val="sb8d990e2"/>
          <w:noProof/>
        </w:rPr>
        <w:t>140</w:t>
      </w:r>
      <w:r w:rsidRPr="00B54710">
        <w:rPr>
          <w:rStyle w:val="sb8d990e2"/>
        </w:rPr>
        <w:fldChar w:fldCharType="end"/>
      </w:r>
      <w:r w:rsidRPr="00B54710">
        <w:rPr>
          <w:rStyle w:val="sb8d990e2"/>
        </w:rPr>
        <w:t xml:space="preserve">.  The </w:t>
      </w:r>
      <w:r w:rsidRPr="009C0FD3">
        <w:rPr>
          <w:rStyle w:val="sb8d990e2"/>
        </w:rPr>
        <w:t>Court also observes</w:t>
      </w:r>
      <w:r w:rsidRPr="00B54710">
        <w:rPr>
          <w:rStyle w:val="sb8d990e2"/>
        </w:rPr>
        <w:t xml:space="preserve"> that t</w:t>
      </w:r>
      <w:r w:rsidRPr="00B54710">
        <w:rPr>
          <w:rStyle w:val="sb8d990e2"/>
          <w:lang w:val="pt-BR"/>
        </w:rPr>
        <w:t>he deportation and detention orders of 11 June 2010 were subsequently annulled by the authorities and</w:t>
      </w:r>
      <w:r w:rsidRPr="00B54710">
        <w:rPr>
          <w:rStyle w:val="sb8d990e2"/>
        </w:rPr>
        <w:t xml:space="preserve"> were replaced on 20 August 2010 by new orders issued on different grounds (see </w:t>
      </w:r>
      <w:r w:rsidRPr="00FD5832">
        <w:rPr>
          <w:rStyle w:val="sb8d990e2"/>
        </w:rPr>
        <w:t>paragraph</w:t>
      </w:r>
      <w:r>
        <w:rPr>
          <w:rStyle w:val="sb8d990e2"/>
        </w:rPr>
        <w:t xml:space="preserve"> 48 </w:t>
      </w:r>
      <w:r w:rsidRPr="00C5786A">
        <w:rPr>
          <w:rStyle w:val="sb8d990e2"/>
        </w:rPr>
        <w:t>above). Likewise</w:t>
      </w:r>
      <w:r>
        <w:rPr>
          <w:rStyle w:val="sb8d990e2"/>
        </w:rPr>
        <w:t>,</w:t>
      </w:r>
      <w:r w:rsidRPr="00C5786A">
        <w:rPr>
          <w:rStyle w:val="sb8d990e2"/>
        </w:rPr>
        <w:t xml:space="preserve"> these too could not be executed until the </w:t>
      </w:r>
      <w:r>
        <w:rPr>
          <w:rStyle w:val="sb8d990e2"/>
        </w:rPr>
        <w:t>re</w:t>
      </w:r>
      <w:r>
        <w:rPr>
          <w:rStyle w:val="sb8d990e2"/>
        </w:rPr>
        <w:noBreakHyphen/>
      </w:r>
      <w:r w:rsidRPr="00B54710">
        <w:rPr>
          <w:rStyle w:val="sb8d990e2"/>
        </w:rPr>
        <w:t xml:space="preserve">examination of his asylum claim by the authorities had been completed (see the judgment of the Supreme Court in </w:t>
      </w:r>
      <w:r w:rsidRPr="00B54710">
        <w:rPr>
          <w:rStyle w:val="JuParaChar"/>
          <w:i/>
        </w:rPr>
        <w:t xml:space="preserve">Asad Mohammed Rahal, </w:t>
      </w:r>
      <w:r w:rsidRPr="00B54710">
        <w:rPr>
          <w:rStyle w:val="sb8d990e2"/>
        </w:rPr>
        <w:t>paragraph</w:t>
      </w:r>
      <w:r>
        <w:rPr>
          <w:rStyle w:val="sb8d990e2"/>
        </w:rPr>
        <w:t> </w:t>
      </w:r>
      <w:r w:rsidRPr="00B54710">
        <w:rPr>
          <w:rStyle w:val="sb8d990e2"/>
        </w:rPr>
        <w:t>74 above).</w:t>
      </w:r>
      <w:r w:rsidRPr="00B54710">
        <w:rPr>
          <w:rStyle w:val="sb8d990e2"/>
          <w:lang w:val="pt-BR"/>
        </w:rPr>
        <w:t xml:space="preserve"> Following the Reviewing Authority</w:t>
      </w:r>
      <w:r w:rsidR="00A7319E">
        <w:rPr>
          <w:rStyle w:val="sb8d990e2"/>
          <w:lang w:val="pt-BR"/>
        </w:rPr>
        <w:t>’</w:t>
      </w:r>
      <w:r w:rsidRPr="00B54710">
        <w:rPr>
          <w:rStyle w:val="sb8d990e2"/>
          <w:lang w:val="pt-BR"/>
        </w:rPr>
        <w:t>s decision of 30</w:t>
      </w:r>
      <w:r>
        <w:rPr>
          <w:rStyle w:val="sb8d990e2"/>
          <w:lang w:val="pt-BR"/>
        </w:rPr>
        <w:t> </w:t>
      </w:r>
      <w:r w:rsidRPr="00B54710">
        <w:rPr>
          <w:rStyle w:val="sb8d990e2"/>
          <w:lang w:val="pt-BR"/>
        </w:rPr>
        <w:t>September</w:t>
      </w:r>
      <w:r>
        <w:rPr>
          <w:rStyle w:val="sb8d990e2"/>
          <w:lang w:val="pt-BR"/>
        </w:rPr>
        <w:t xml:space="preserve"> </w:t>
      </w:r>
      <w:r w:rsidRPr="00B54710">
        <w:rPr>
          <w:rStyle w:val="sb8d990e2"/>
          <w:lang w:val="pt-BR"/>
        </w:rPr>
        <w:t>2010, however, the applicant was no longer authorised to remain in the country. Although the applicant filed a recourse before the Supreme Court against that decision</w:t>
      </w:r>
      <w:r>
        <w:rPr>
          <w:rStyle w:val="sb8d990e2"/>
          <w:lang w:val="pt-BR"/>
        </w:rPr>
        <w:t>,</w:t>
      </w:r>
      <w:r w:rsidRPr="00B54710">
        <w:rPr>
          <w:rStyle w:val="sb8d990e2"/>
          <w:lang w:val="pt-BR"/>
        </w:rPr>
        <w:t xml:space="preserve"> </w:t>
      </w:r>
      <w:r>
        <w:rPr>
          <w:rStyle w:val="sb8d990e2"/>
          <w:lang w:val="pt-BR"/>
        </w:rPr>
        <w:t>those</w:t>
      </w:r>
      <w:r w:rsidRPr="00B54710">
        <w:rPr>
          <w:rStyle w:val="sb8d990e2"/>
          <w:lang w:val="pt-BR"/>
        </w:rPr>
        <w:t xml:space="preserve"> proceedings </w:t>
      </w:r>
      <w:r>
        <w:rPr>
          <w:rStyle w:val="sb8d990e2"/>
          <w:lang w:val="pt-BR"/>
        </w:rPr>
        <w:t>were</w:t>
      </w:r>
      <w:r w:rsidRPr="00B54710">
        <w:rPr>
          <w:rStyle w:val="sb8d990e2"/>
          <w:lang w:val="pt-BR"/>
        </w:rPr>
        <w:t xml:space="preserve"> not automatically suspensive. </w:t>
      </w:r>
      <w:r w:rsidRPr="00B54710">
        <w:rPr>
          <w:rStyle w:val="sb8d990e2"/>
        </w:rPr>
        <w:t>Furthermore, in so far as the Government</w:t>
      </w:r>
      <w:r w:rsidRPr="00B54710">
        <w:t xml:space="preserve"> argue that the applicant should have filed an application for a provisional order to suspend his </w:t>
      </w:r>
      <w:r>
        <w:t>deportation in the course of tho</w:t>
      </w:r>
      <w:r w:rsidRPr="00B54710">
        <w:t xml:space="preserve">se proceedings, </w:t>
      </w:r>
      <w:r w:rsidRPr="00B54710">
        <w:rPr>
          <w:rStyle w:val="sb8d990e2"/>
        </w:rPr>
        <w:t xml:space="preserve">the Court has already found that such an application </w:t>
      </w:r>
      <w:r w:rsidRPr="00B54710">
        <w:t xml:space="preserve">does not have </w:t>
      </w:r>
      <w:r w:rsidRPr="00B54710">
        <w:rPr>
          <w:rStyle w:val="sb8d990e2"/>
        </w:rPr>
        <w:t>automatic suspensive effect (see paragraph 135 above). A recourse against the new orders would also suffer from the same shortcoming.</w:t>
      </w:r>
      <w:r w:rsidRPr="00B54710">
        <w:rPr>
          <w:rStyle w:val="sb8d990e2"/>
          <w:lang w:val="pt-BR"/>
        </w:rPr>
        <w:t xml:space="preserve"> </w:t>
      </w:r>
      <w:r w:rsidRPr="00B54710">
        <w:rPr>
          <w:rStyle w:val="sb8d990e2"/>
        </w:rPr>
        <w:t>As a result</w:t>
      </w:r>
      <w:r>
        <w:rPr>
          <w:rStyle w:val="sb8d990e2"/>
        </w:rPr>
        <w:t>,</w:t>
      </w:r>
      <w:r w:rsidRPr="00B54710">
        <w:rPr>
          <w:rStyle w:val="sb8d990e2"/>
        </w:rPr>
        <w:t xml:space="preserve"> the applicant could have been removed before the Supreme Court reached a decision on the matter.</w:t>
      </w:r>
    </w:p>
    <w:p w:rsidR="00FA0835" w:rsidP="00FA0835" w:rsidRDefault="00FA0835">
      <w:pPr>
        <w:pStyle w:val="JuPara"/>
        <w:rPr>
          <w:rStyle w:val="sb8d990e2"/>
        </w:rPr>
      </w:pPr>
      <w:r w:rsidRPr="00B54710">
        <w:rPr>
          <w:rStyle w:val="sb8d990e2"/>
        </w:rPr>
        <w:fldChar w:fldCharType="begin"/>
      </w:r>
      <w:r w:rsidRPr="00B54710">
        <w:rPr>
          <w:rStyle w:val="sb8d990e2"/>
        </w:rPr>
        <w:instrText xml:space="preserve"> SEQ level0 \*arabic </w:instrText>
      </w:r>
      <w:r w:rsidRPr="00B54710">
        <w:rPr>
          <w:rStyle w:val="sb8d990e2"/>
        </w:rPr>
        <w:fldChar w:fldCharType="separate"/>
      </w:r>
      <w:r w:rsidR="00C5470A">
        <w:rPr>
          <w:rStyle w:val="sb8d990e2"/>
          <w:noProof/>
        </w:rPr>
        <w:t>141</w:t>
      </w:r>
      <w:r w:rsidRPr="00B54710">
        <w:rPr>
          <w:rStyle w:val="sb8d990e2"/>
        </w:rPr>
        <w:fldChar w:fldCharType="end"/>
      </w:r>
      <w:r w:rsidRPr="00B54710">
        <w:rPr>
          <w:rStyle w:val="sb8d990e2"/>
        </w:rPr>
        <w:t>.  The Court concludes therefore that the applicant did not have an effective remedy in relation to his complaint under Articles 2 and 3 of the Convention.</w:t>
      </w:r>
    </w:p>
    <w:p w:rsidRPr="00B54710" w:rsidR="00FA0835" w:rsidP="00FA0835" w:rsidRDefault="00FA0835">
      <w:pPr>
        <w:pStyle w:val="JuPara"/>
        <w:rPr>
          <w:rStyle w:val="sb8d990e2"/>
        </w:rPr>
      </w:pPr>
      <w:r w:rsidRPr="00B54710">
        <w:rPr>
          <w:rStyle w:val="sb8d990e2"/>
        </w:rPr>
        <w:fldChar w:fldCharType="begin"/>
      </w:r>
      <w:r w:rsidRPr="00B54710">
        <w:rPr>
          <w:rStyle w:val="sb8d990e2"/>
        </w:rPr>
        <w:instrText xml:space="preserve"> SEQ level0 \*arabic </w:instrText>
      </w:r>
      <w:r w:rsidRPr="00B54710">
        <w:rPr>
          <w:rStyle w:val="sb8d990e2"/>
        </w:rPr>
        <w:fldChar w:fldCharType="separate"/>
      </w:r>
      <w:r w:rsidR="00C5470A">
        <w:rPr>
          <w:rStyle w:val="sb8d990e2"/>
          <w:noProof/>
        </w:rPr>
        <w:t>142</w:t>
      </w:r>
      <w:r w:rsidRPr="00B54710">
        <w:rPr>
          <w:rStyle w:val="sb8d990e2"/>
        </w:rPr>
        <w:fldChar w:fldCharType="end"/>
      </w:r>
      <w:r w:rsidRPr="00B54710">
        <w:rPr>
          <w:rStyle w:val="sb8d990e2"/>
        </w:rPr>
        <w:t>.  There has therefore been a violation of Article 13 of the Convention.</w:t>
      </w:r>
    </w:p>
    <w:p w:rsidR="00FA0835" w:rsidP="00FA0835" w:rsidRDefault="00FA0835">
      <w:pPr>
        <w:pStyle w:val="JuPara"/>
        <w:rPr>
          <w:rStyle w:val="sb8d990e2"/>
        </w:rPr>
      </w:pPr>
      <w:r w:rsidRPr="00B54710">
        <w:rPr>
          <w:rStyle w:val="sb8d990e2"/>
        </w:rPr>
        <w:fldChar w:fldCharType="begin"/>
      </w:r>
      <w:r w:rsidRPr="00B54710">
        <w:rPr>
          <w:rStyle w:val="sb8d990e2"/>
        </w:rPr>
        <w:instrText xml:space="preserve"> SEQ level0 \*arabic </w:instrText>
      </w:r>
      <w:r w:rsidRPr="00B54710">
        <w:rPr>
          <w:rStyle w:val="sb8d990e2"/>
        </w:rPr>
        <w:fldChar w:fldCharType="separate"/>
      </w:r>
      <w:r w:rsidR="00C5470A">
        <w:rPr>
          <w:rStyle w:val="sb8d990e2"/>
          <w:noProof/>
        </w:rPr>
        <w:t>143</w:t>
      </w:r>
      <w:r w:rsidRPr="00B54710">
        <w:rPr>
          <w:rStyle w:val="sb8d990e2"/>
        </w:rPr>
        <w:fldChar w:fldCharType="end"/>
      </w:r>
      <w:r w:rsidRPr="00B54710">
        <w:rPr>
          <w:rStyle w:val="sb8d990e2"/>
        </w:rPr>
        <w:t>.  In view of the above conclusion, the Court does not need to examine the applicant</w:t>
      </w:r>
      <w:r w:rsidR="00A7319E">
        <w:rPr>
          <w:rStyle w:val="sb8d990e2"/>
        </w:rPr>
        <w:t>’</w:t>
      </w:r>
      <w:r w:rsidRPr="00B54710">
        <w:rPr>
          <w:rStyle w:val="sb8d990e2"/>
        </w:rPr>
        <w:t xml:space="preserve">s remaining complaint under this head concerning the </w:t>
      </w:r>
      <w:r w:rsidRPr="00716FD7">
        <w:rPr>
          <w:rStyle w:val="sb8d990e2"/>
        </w:rPr>
        <w:t>scope of judicial review proceedings.</w:t>
      </w:r>
    </w:p>
    <w:p w:rsidRPr="00DA65D9" w:rsidR="00FA0835" w:rsidP="00FA0835" w:rsidRDefault="00FA0835">
      <w:pPr>
        <w:pStyle w:val="JuHIRoman"/>
      </w:pPr>
      <w:r>
        <w:t>III</w:t>
      </w:r>
      <w:r w:rsidRPr="0011250F">
        <w:t>.</w:t>
      </w:r>
      <w:r>
        <w:t xml:space="preserve">  ALLEGED </w:t>
      </w:r>
      <w:r w:rsidRPr="0011250F">
        <w:t xml:space="preserve">VIOLATION OF ARTICLE </w:t>
      </w:r>
      <w:r>
        <w:t>5 § 4</w:t>
      </w:r>
      <w:r w:rsidRPr="0011250F">
        <w:t xml:space="preserve"> OF THE CONVENTION</w:t>
      </w:r>
    </w:p>
    <w:p w:rsidR="00FA0835" w:rsidP="00FA0835" w:rsidRDefault="00FA0835">
      <w:pPr>
        <w:pStyle w:val="JuPara"/>
      </w:pPr>
      <w:r w:rsidRPr="00452879">
        <w:fldChar w:fldCharType="begin"/>
      </w:r>
      <w:r w:rsidRPr="00452879">
        <w:instrText xml:space="preserve"> SEQ level0 \*arabic </w:instrText>
      </w:r>
      <w:r w:rsidRPr="00452879">
        <w:fldChar w:fldCharType="separate"/>
      </w:r>
      <w:r w:rsidR="00C5470A">
        <w:rPr>
          <w:noProof/>
        </w:rPr>
        <w:t>144</w:t>
      </w:r>
      <w:r w:rsidRPr="00452879">
        <w:fldChar w:fldCharType="end"/>
      </w:r>
      <w:r w:rsidRPr="00452879">
        <w:t xml:space="preserve">.  The applicant complained </w:t>
      </w:r>
      <w:r>
        <w:t xml:space="preserve">that he did not have </w:t>
      </w:r>
      <w:r w:rsidRPr="00452879">
        <w:t>an effective remedy at his disposal to challenge the lawfulness of his detention.</w:t>
      </w:r>
      <w:r>
        <w:t xml:space="preserve"> He relied on </w:t>
      </w:r>
      <w:r w:rsidRPr="000467F4">
        <w:t>Article 5 § 4 of the Convention</w:t>
      </w:r>
      <w:r>
        <w:t>, which provides as follows:</w:t>
      </w:r>
    </w:p>
    <w:p w:rsidR="00FA0835" w:rsidP="00FA0835" w:rsidRDefault="00FA0835">
      <w:pPr>
        <w:pStyle w:val="JuQuot"/>
      </w:pPr>
      <w:r>
        <w:t>“Everyone who is deprived of his liberty by arrest or detention shall be entitled to take proceedings by which the lawfulness of his detention shall be decided speedily by a court and his release ordered if the detention is not lawful.”</w:t>
      </w:r>
    </w:p>
    <w:p w:rsidRPr="00C65170"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145</w:t>
      </w:r>
      <w:r w:rsidRPr="0011250F">
        <w:fldChar w:fldCharType="end"/>
      </w:r>
      <w:r w:rsidRPr="0011250F">
        <w:t>.  The Government contested that argument.</w:t>
      </w:r>
    </w:p>
    <w:p w:rsidRPr="00C65170" w:rsidR="00FA0835" w:rsidP="00FA0835" w:rsidRDefault="00FA0835">
      <w:pPr>
        <w:pStyle w:val="JuHA"/>
        <w:tabs>
          <w:tab w:val="clear" w:pos="584"/>
        </w:tabs>
        <w:ind w:left="232" w:firstLine="0"/>
      </w:pPr>
      <w:r>
        <w:t>A.</w:t>
      </w:r>
      <w:r w:rsidRPr="0011250F">
        <w:t>  </w:t>
      </w:r>
      <w:r w:rsidRPr="00C65170">
        <w:t>Admissibility</w:t>
      </w:r>
    </w:p>
    <w:p w:rsidR="00FA0835" w:rsidP="00FA0835" w:rsidRDefault="00FA0835">
      <w:pPr>
        <w:pStyle w:val="JuPara"/>
      </w:pPr>
      <w:r w:rsidRPr="00C65170">
        <w:fldChar w:fldCharType="begin"/>
      </w:r>
      <w:r w:rsidRPr="00C65170">
        <w:instrText xml:space="preserve"> SEQ level0 \*arabic </w:instrText>
      </w:r>
      <w:r w:rsidRPr="00C65170">
        <w:fldChar w:fldCharType="separate"/>
      </w:r>
      <w:r w:rsidR="00C5470A">
        <w:rPr>
          <w:noProof/>
        </w:rPr>
        <w:t>146</w:t>
      </w:r>
      <w:r w:rsidRPr="00C65170">
        <w:fldChar w:fldCharType="end"/>
      </w:r>
      <w:r w:rsidRPr="00C65170">
        <w:t>.  </w:t>
      </w:r>
      <w:r>
        <w:t>The Government submitted that the applicant had not exhausted domestic remedies as he had failed to lodge a recourse under Article 146 of the Constitution challenging the lawfulness of the decision to detain and deport him.</w:t>
      </w:r>
    </w:p>
    <w:p w:rsidRPr="00452879" w:rsidR="00FA0835" w:rsidP="00FA0835" w:rsidRDefault="00FA0835">
      <w:pPr>
        <w:pStyle w:val="JuPara"/>
      </w:pPr>
      <w:r w:rsidRPr="00452879">
        <w:fldChar w:fldCharType="begin"/>
      </w:r>
      <w:r w:rsidRPr="00452879">
        <w:instrText xml:space="preserve"> SEQ level0 \*arabic </w:instrText>
      </w:r>
      <w:r w:rsidRPr="00452879">
        <w:fldChar w:fldCharType="separate"/>
      </w:r>
      <w:r w:rsidR="00C5470A">
        <w:rPr>
          <w:noProof/>
        </w:rPr>
        <w:t>147</w:t>
      </w:r>
      <w:r w:rsidRPr="00452879">
        <w:fldChar w:fldCharType="end"/>
      </w:r>
      <w:r w:rsidRPr="00452879">
        <w:t xml:space="preserve">.  The applicant submitted in reply that this remedy </w:t>
      </w:r>
      <w:r>
        <w:t xml:space="preserve">was incompatible with </w:t>
      </w:r>
      <w:r w:rsidRPr="00452879">
        <w:t>Article 5 § 4</w:t>
      </w:r>
      <w:r>
        <w:t xml:space="preserve"> </w:t>
      </w:r>
      <w:r>
        <w:rPr>
          <w:rStyle w:val="sb8d990e2"/>
        </w:rPr>
        <w:t xml:space="preserve">both in </w:t>
      </w:r>
      <w:r w:rsidRPr="00F7597F">
        <w:rPr>
          <w:rStyle w:val="sb8d990e2"/>
        </w:rPr>
        <w:t>terms of “speediness” and scope.</w:t>
      </w:r>
    </w:p>
    <w:p w:rsidR="00FA0835" w:rsidP="00FA0835" w:rsidRDefault="00FA0835">
      <w:pPr>
        <w:pStyle w:val="JuPara"/>
      </w:pPr>
      <w:r w:rsidRPr="009930F0">
        <w:fldChar w:fldCharType="begin"/>
      </w:r>
      <w:r w:rsidRPr="009930F0">
        <w:instrText xml:space="preserve"> SEQ level0 \*arabic </w:instrText>
      </w:r>
      <w:r w:rsidRPr="009930F0">
        <w:fldChar w:fldCharType="separate"/>
      </w:r>
      <w:r w:rsidR="00C5470A">
        <w:rPr>
          <w:noProof/>
        </w:rPr>
        <w:t>148</w:t>
      </w:r>
      <w:r w:rsidRPr="009930F0">
        <w:fldChar w:fldCharType="end"/>
      </w:r>
      <w:r w:rsidRPr="009930F0">
        <w:t>.  The Court finds that the issue raised by the Government</w:t>
      </w:r>
      <w:r w:rsidR="00A7319E">
        <w:t>’</w:t>
      </w:r>
      <w:r w:rsidRPr="009930F0">
        <w:t xml:space="preserve">s plea of </w:t>
      </w:r>
      <w:r>
        <w:t>non-</w:t>
      </w:r>
      <w:r w:rsidRPr="009930F0">
        <w:t xml:space="preserve">exhaustion of domestic remedies </w:t>
      </w:r>
      <w:r>
        <w:t xml:space="preserve">in reality goes to the merits </w:t>
      </w:r>
      <w:r w:rsidRPr="009930F0">
        <w:t xml:space="preserve">of Article 5 </w:t>
      </w:r>
      <w:r>
        <w:rPr>
          <w:lang w:eastAsia="en-US"/>
        </w:rPr>
        <w:t>§ 4,</w:t>
      </w:r>
      <w:r w:rsidRPr="009930F0">
        <w:rPr>
          <w:lang w:eastAsia="en-US"/>
        </w:rPr>
        <w:t xml:space="preserve"> namely, </w:t>
      </w:r>
      <w:r w:rsidRPr="00F7597F">
        <w:rPr>
          <w:color w:val="000000"/>
          <w:lang w:eastAsia="en-US"/>
        </w:rPr>
        <w:t xml:space="preserve">whether or not the applicant had at his disposal during </w:t>
      </w:r>
      <w:r w:rsidRPr="00F7597F">
        <w:rPr>
          <w:rStyle w:val="sb8d990e2"/>
          <w:color w:val="000000"/>
        </w:rPr>
        <w:t>his dete</w:t>
      </w:r>
      <w:r>
        <w:rPr>
          <w:rStyle w:val="sb8d990e2"/>
          <w:color w:val="000000"/>
        </w:rPr>
        <w:t>ntion</w:t>
      </w:r>
      <w:r w:rsidRPr="00F7597F">
        <w:rPr>
          <w:rStyle w:val="sb8d990e2"/>
          <w:color w:val="000000"/>
        </w:rPr>
        <w:t xml:space="preserve"> a remedy which would have provided him with </w:t>
      </w:r>
      <w:r>
        <w:rPr>
          <w:rStyle w:val="sb8d990e2"/>
          <w:color w:val="000000"/>
        </w:rPr>
        <w:t xml:space="preserve">an </w:t>
      </w:r>
      <w:r w:rsidRPr="00F7597F">
        <w:rPr>
          <w:rStyle w:val="sb8d990e2"/>
          <w:color w:val="000000"/>
        </w:rPr>
        <w:t>adequate and speedy judicial review of the lawfulness of his detention</w:t>
      </w:r>
      <w:r w:rsidRPr="000B7F4D">
        <w:rPr>
          <w:rStyle w:val="sb8d990e2"/>
          <w:color w:val="000000"/>
        </w:rPr>
        <w:t>.</w:t>
      </w:r>
      <w:r w:rsidRPr="000B7F4D">
        <w:rPr>
          <w:rStyle w:val="sb8d990e2"/>
        </w:rPr>
        <w:t xml:space="preserve"> </w:t>
      </w:r>
      <w:r w:rsidRPr="000B7F4D">
        <w:t>The</w:t>
      </w:r>
      <w:r>
        <w:t xml:space="preserve"> Court will therefore address this issue when examining the substance of the </w:t>
      </w:r>
      <w:r w:rsidRPr="00F1631F">
        <w:t>applicant</w:t>
      </w:r>
      <w:r w:rsidR="00A7319E">
        <w:t>’</w:t>
      </w:r>
      <w:r w:rsidRPr="00F1631F">
        <w:t>s complaint under this provision.</w:t>
      </w:r>
    </w:p>
    <w:p w:rsidRPr="00F1631F" w:rsidR="00FA0835" w:rsidP="00FA0835" w:rsidRDefault="00FA0835">
      <w:pPr>
        <w:pStyle w:val="JuPara"/>
      </w:pPr>
      <w:r>
        <w:fldChar w:fldCharType="begin"/>
      </w:r>
      <w:r>
        <w:instrText xml:space="preserve"> SEQ level0 \*arabic </w:instrText>
      </w:r>
      <w:r>
        <w:fldChar w:fldCharType="separate"/>
      </w:r>
      <w:r w:rsidR="00C5470A">
        <w:rPr>
          <w:noProof/>
        </w:rPr>
        <w:t>149</w:t>
      </w:r>
      <w:r>
        <w:fldChar w:fldCharType="end"/>
      </w:r>
      <w:r>
        <w:t>.  It further</w:t>
      </w:r>
      <w:r w:rsidRPr="00F1631F">
        <w:t xml:space="preserve"> </w:t>
      </w:r>
      <w:r w:rsidRPr="00F1631F">
        <w:rPr>
          <w:rStyle w:val="sb8d990e2"/>
        </w:rPr>
        <w:t>notes that the applicant</w:t>
      </w:r>
      <w:r w:rsidR="00A7319E">
        <w:rPr>
          <w:rStyle w:val="sb8d990e2"/>
        </w:rPr>
        <w:t>’</w:t>
      </w:r>
      <w:r w:rsidRPr="00F1631F">
        <w:rPr>
          <w:rStyle w:val="sb8d990e2"/>
        </w:rPr>
        <w:t xml:space="preserve">s </w:t>
      </w:r>
      <w:r>
        <w:rPr>
          <w:rStyle w:val="sb8d990e2"/>
        </w:rPr>
        <w:t>complaint is not manifestly ill-</w:t>
      </w:r>
      <w:r w:rsidRPr="00F1631F">
        <w:rPr>
          <w:rStyle w:val="sb8d990e2"/>
        </w:rPr>
        <w:t>founded within the meaning of Article 35 § 3 (a) of the Convention. It further notes that it is not inadmissible on any other grounds. It must therefore be declared admissible.</w:t>
      </w:r>
    </w:p>
    <w:p w:rsidR="00FA0835" w:rsidP="00FA0835" w:rsidRDefault="00FA0835">
      <w:pPr>
        <w:pStyle w:val="JuHA"/>
      </w:pPr>
      <w:r>
        <w:t>B.</w:t>
      </w:r>
      <w:r w:rsidRPr="0011250F">
        <w:t>  </w:t>
      </w:r>
      <w:r>
        <w:t>Merits</w:t>
      </w:r>
    </w:p>
    <w:p w:rsidR="00FA0835" w:rsidP="00FA0835" w:rsidRDefault="00FA0835">
      <w:pPr>
        <w:pStyle w:val="JuH1"/>
        <w:ind w:left="431" w:firstLine="0"/>
      </w:pPr>
      <w:r>
        <w:t>1.  The parties</w:t>
      </w:r>
      <w:r w:rsidR="00A7319E">
        <w:t>’</w:t>
      </w:r>
      <w:r>
        <w:t xml:space="preserve"> submissions</w:t>
      </w:r>
    </w:p>
    <w:p w:rsidR="00FA0835" w:rsidP="00FA0835" w:rsidRDefault="00FA0835">
      <w:pPr>
        <w:pStyle w:val="JuHa0"/>
      </w:pPr>
      <w:r>
        <w:t>(a)</w:t>
      </w:r>
      <w:r w:rsidRPr="00A80110">
        <w:t>  </w:t>
      </w:r>
      <w:r>
        <w:t>The applicant</w:t>
      </w:r>
    </w:p>
    <w:p w:rsidR="00FA0835" w:rsidP="00FA0835" w:rsidRDefault="00FA0835">
      <w:pPr>
        <w:pStyle w:val="JuPara"/>
      </w:pPr>
      <w:r>
        <w:fldChar w:fldCharType="begin"/>
      </w:r>
      <w:r>
        <w:instrText xml:space="preserve"> SEQ level0 \*arabic </w:instrText>
      </w:r>
      <w:r>
        <w:fldChar w:fldCharType="separate"/>
      </w:r>
      <w:r w:rsidR="00C5470A">
        <w:rPr>
          <w:noProof/>
        </w:rPr>
        <w:t>150</w:t>
      </w:r>
      <w:r>
        <w:fldChar w:fldCharType="end"/>
      </w:r>
      <w:r>
        <w:t>.  </w:t>
      </w:r>
      <w:r w:rsidRPr="000F2ABF">
        <w:t>The applicant submitted that there were no effective domestic remedies complying with the requirements of Article 5 § 4</w:t>
      </w:r>
      <w:r>
        <w:t xml:space="preserve"> of the Convention</w:t>
      </w:r>
      <w:r w:rsidRPr="000F2ABF">
        <w:t>.</w:t>
      </w:r>
      <w:r>
        <w:t xml:space="preserve"> First of all, he claimed that recourse proceedings before the Supreme Court against deportation and detention orders were excessively long and did not respect the requirement of speediness. In this connection, the applicant maintained that the average time for a recourse was one and a half to two years at first instance and three to four years on appeal. The applicant criticised the data provided by the Government, arguing that there was no information concerning the methodology used to calculate the average length of such </w:t>
      </w:r>
      <w:r w:rsidRPr="002E6903">
        <w:t xml:space="preserve">proceedings. In particular, the Government had omitted to explain whether the average length of eight months </w:t>
      </w:r>
      <w:r>
        <w:t>provided in the data</w:t>
      </w:r>
      <w:r w:rsidRPr="002E6903">
        <w:t xml:space="preserve"> only concerned recourses which followed their normal course, or also recourses which were eventually</w:t>
      </w:r>
      <w:r>
        <w:t xml:space="preserve"> withdrawn or in which an application for a provisional order had been filed and then withdrawn in exchange for an “accelerated” procedure. Further, the Government had failed to provide data on the length of appeal proceedings. In this respect, the applicant asserted that there was a significant delay in the examination of appeals. He noted that he had managed to find four cases in which appeal proceedings had been decided between 2008 and 2011, the average length of which had been three years. The applicant admitted, however, that he was not in a position to say whether the persons concerned had remained in detention during that period.</w:t>
      </w:r>
    </w:p>
    <w:p w:rsidR="00FA0835" w:rsidP="00FA0835" w:rsidRDefault="00FA0835">
      <w:pPr>
        <w:pStyle w:val="JuPara"/>
      </w:pPr>
      <w:r w:rsidRPr="000B7F4D">
        <w:fldChar w:fldCharType="begin"/>
      </w:r>
      <w:r w:rsidRPr="000B7F4D">
        <w:instrText xml:space="preserve"> SEQ level0 \*arabic </w:instrText>
      </w:r>
      <w:r w:rsidRPr="000B7F4D">
        <w:fldChar w:fldCharType="separate"/>
      </w:r>
      <w:r w:rsidR="00C5470A">
        <w:rPr>
          <w:noProof/>
        </w:rPr>
        <w:t>151</w:t>
      </w:r>
      <w:r w:rsidRPr="000B7F4D">
        <w:fldChar w:fldCharType="end"/>
      </w:r>
      <w:r w:rsidRPr="000B7F4D">
        <w:t xml:space="preserve">.  As to the examples of </w:t>
      </w:r>
      <w:r w:rsidRPr="006D5046">
        <w:t>recourses relied on by the Government (see paragraphs 77-79 above), the applicant</w:t>
      </w:r>
      <w:r w:rsidRPr="000B7F4D">
        <w:t xml:space="preserve"> submitted that these did not give an accurate picture of the situation. Four out of the five recourses had been eventually withdrawn by the persons concerned. </w:t>
      </w:r>
      <w:r>
        <w:t>The</w:t>
      </w:r>
      <w:r w:rsidRPr="000B7F4D">
        <w:t xml:space="preserve"> remaining one </w:t>
      </w:r>
      <w:r>
        <w:t>mainly concerned the</w:t>
      </w:r>
      <w:r w:rsidRPr="000B7F4D">
        <w:t xml:space="preserve"> lawfulness of the Reviewing Authority</w:t>
      </w:r>
      <w:r w:rsidR="00A7319E">
        <w:t>’</w:t>
      </w:r>
      <w:r w:rsidRPr="000B7F4D">
        <w:t>s decision and not of the deportation and detention orders (see paragraph 7</w:t>
      </w:r>
      <w:r>
        <w:t xml:space="preserve">9 </w:t>
      </w:r>
      <w:r w:rsidRPr="000B7F4D">
        <w:t xml:space="preserve">above). </w:t>
      </w:r>
      <w:r>
        <w:t>A f</w:t>
      </w:r>
      <w:r w:rsidRPr="000B7F4D">
        <w:t>urther three of the recourses could not be considered</w:t>
      </w:r>
      <w:r>
        <w:t xml:space="preserve"> as separate cases as they involved members of the same family and had been jointly examined.</w:t>
      </w:r>
    </w:p>
    <w:p w:rsidR="00FA0835" w:rsidP="00FA0835" w:rsidRDefault="00FA0835">
      <w:pPr>
        <w:pStyle w:val="JuPara"/>
      </w:pPr>
      <w:r>
        <w:fldChar w:fldCharType="begin"/>
      </w:r>
      <w:r>
        <w:instrText xml:space="preserve"> SEQ level0 \*arabic </w:instrText>
      </w:r>
      <w:r>
        <w:fldChar w:fldCharType="separate"/>
      </w:r>
      <w:r w:rsidR="00C5470A">
        <w:rPr>
          <w:noProof/>
        </w:rPr>
        <w:t>152</w:t>
      </w:r>
      <w:r>
        <w:fldChar w:fldCharType="end"/>
      </w:r>
      <w:r>
        <w:t>.  </w:t>
      </w:r>
      <w:r w:rsidRPr="00B74813">
        <w:t xml:space="preserve">The applicant also referred </w:t>
      </w:r>
      <w:r w:rsidRPr="00211887">
        <w:t>to four recourses</w:t>
      </w:r>
      <w:r w:rsidRPr="00B74813">
        <w:t xml:space="preserve"> in </w:t>
      </w:r>
      <w:r>
        <w:t xml:space="preserve">which </w:t>
      </w:r>
      <w:r w:rsidRPr="00B74813">
        <w:t xml:space="preserve">the persons concerned had submitted an application for </w:t>
      </w:r>
      <w:r>
        <w:t>a provisional order</w:t>
      </w:r>
      <w:r w:rsidRPr="00B74813">
        <w:t xml:space="preserve"> and then withdrawn it in exchange </w:t>
      </w:r>
      <w:r w:rsidRPr="00BF3558">
        <w:t xml:space="preserve">for what the Government </w:t>
      </w:r>
      <w:r>
        <w:t xml:space="preserve">had </w:t>
      </w:r>
      <w:r w:rsidRPr="00BF3558">
        <w:t xml:space="preserve">claimed to be a speedy procedure. </w:t>
      </w:r>
      <w:r>
        <w:t>In these cases, the recourses had not been withdrawn and the</w:t>
      </w:r>
      <w:r w:rsidRPr="00BF3558">
        <w:t xml:space="preserve"> duration of the proceedings ranged</w:t>
      </w:r>
      <w:r>
        <w:t xml:space="preserve"> from approximately four months to over six months </w:t>
      </w:r>
      <w:r w:rsidRPr="000B7F4D">
        <w:t xml:space="preserve">(see paragraphs </w:t>
      </w:r>
      <w:r>
        <w:t>80-83</w:t>
      </w:r>
      <w:r w:rsidRPr="000B7F4D">
        <w:t xml:space="preserve"> above).</w:t>
      </w:r>
    </w:p>
    <w:p w:rsidR="00FA0835" w:rsidP="00FA0835" w:rsidRDefault="00FA0835">
      <w:pPr>
        <w:pStyle w:val="JuPara"/>
      </w:pPr>
      <w:r>
        <w:fldChar w:fldCharType="begin"/>
      </w:r>
      <w:r>
        <w:instrText xml:space="preserve"> SEQ level0 \*arabic </w:instrText>
      </w:r>
      <w:r>
        <w:fldChar w:fldCharType="separate"/>
      </w:r>
      <w:r w:rsidR="00C5470A">
        <w:rPr>
          <w:noProof/>
        </w:rPr>
        <w:t>153</w:t>
      </w:r>
      <w:r>
        <w:fldChar w:fldCharType="end"/>
      </w:r>
      <w:r>
        <w:t>.  </w:t>
      </w:r>
      <w:r w:rsidRPr="00670521">
        <w:t>The applicant submitted that it was not reasonable to expect applicants in detention and deportation cases</w:t>
      </w:r>
      <w:r>
        <w:t xml:space="preserve">, with no means of subsistence, </w:t>
      </w:r>
      <w:r w:rsidRPr="00670521">
        <w:t xml:space="preserve">to have to lodge an </w:t>
      </w:r>
      <w:r w:rsidRPr="00670521">
        <w:rPr>
          <w:i/>
        </w:rPr>
        <w:t>ex parte</w:t>
      </w:r>
      <w:r w:rsidRPr="00670521">
        <w:t xml:space="preserve"> application for a provisional order on top of a recourse</w:t>
      </w:r>
      <w:r>
        <w:t>,</w:t>
      </w:r>
      <w:r w:rsidRPr="00670521">
        <w:t xml:space="preserve"> only to subsequently withdraw it in order to secure suspens</w:t>
      </w:r>
      <w:r>
        <w:t>ion of their deportation and a speedy</w:t>
      </w:r>
      <w:r w:rsidRPr="00670521">
        <w:t xml:space="preserve"> determination of the legality of the deportation and detention orders. </w:t>
      </w:r>
      <w:r w:rsidRPr="0006294E">
        <w:t xml:space="preserve">The applicant </w:t>
      </w:r>
      <w:r>
        <w:t>pointed out</w:t>
      </w:r>
      <w:r w:rsidRPr="0006294E">
        <w:t xml:space="preserve"> in this respect that there were practical difficulties associated with filing </w:t>
      </w:r>
      <w:r w:rsidRPr="0006294E">
        <w:rPr>
          <w:i/>
        </w:rPr>
        <w:t>ex parte</w:t>
      </w:r>
      <w:r w:rsidRPr="0006294E">
        <w:t xml:space="preserve"> applications in deportation cases</w:t>
      </w:r>
      <w:r>
        <w:t>.</w:t>
      </w:r>
    </w:p>
    <w:p w:rsidR="00FA0835" w:rsidP="00FA0835" w:rsidRDefault="00FA0835">
      <w:pPr>
        <w:pStyle w:val="JuPara"/>
      </w:pPr>
      <w:r>
        <w:fldChar w:fldCharType="begin"/>
      </w:r>
      <w:r>
        <w:instrText xml:space="preserve"> SEQ level0 \*arabic </w:instrText>
      </w:r>
      <w:r>
        <w:fldChar w:fldCharType="separate"/>
      </w:r>
      <w:r w:rsidR="00C5470A">
        <w:rPr>
          <w:noProof/>
        </w:rPr>
        <w:t>154</w:t>
      </w:r>
      <w:r>
        <w:fldChar w:fldCharType="end"/>
      </w:r>
      <w:r>
        <w:t xml:space="preserve">.  The applicant also challenged the remedy in terms of its accessibility. First of all, the letters sent out by </w:t>
      </w:r>
      <w:r w:rsidRPr="00BE3AE1">
        <w:t>the authorities notifying the issuance of the deportation and detention orders made no mention of the remedies available to challenge their lawfulness.</w:t>
      </w:r>
      <w:r>
        <w:t xml:space="preserve"> </w:t>
      </w:r>
      <w:r w:rsidRPr="00BE3AE1">
        <w:t xml:space="preserve">Secondly, although it was possible </w:t>
      </w:r>
      <w:r>
        <w:t>in view of</w:t>
      </w:r>
      <w:r w:rsidRPr="00BE3AE1">
        <w:t xml:space="preserve"> recent amendments to the relevant domestic legislation to apply for legal aid in deportation and detention cases, this was</w:t>
      </w:r>
      <w:r>
        <w:t xml:space="preserve">, as in asylum cases, </w:t>
      </w:r>
      <w:r w:rsidRPr="00BE3AE1">
        <w:t xml:space="preserve">rarely </w:t>
      </w:r>
      <w:r w:rsidRPr="000B7F4D">
        <w:t xml:space="preserve">granted (see paragraphs </w:t>
      </w:r>
      <w:r>
        <w:t>72, 76 and 124</w:t>
      </w:r>
      <w:r w:rsidRPr="000B7F4D">
        <w:t xml:space="preserve"> above).</w:t>
      </w:r>
    </w:p>
    <w:p w:rsidR="00FA0835" w:rsidP="00FA0835" w:rsidRDefault="00FA0835">
      <w:pPr>
        <w:pStyle w:val="JuPara"/>
      </w:pPr>
      <w:r w:rsidRPr="00AD734D">
        <w:fldChar w:fldCharType="begin"/>
      </w:r>
      <w:r w:rsidRPr="00AD734D">
        <w:instrText xml:space="preserve"> SEQ level0 \*arabic </w:instrText>
      </w:r>
      <w:r w:rsidRPr="00AD734D">
        <w:fldChar w:fldCharType="separate"/>
      </w:r>
      <w:r w:rsidR="00C5470A">
        <w:rPr>
          <w:noProof/>
        </w:rPr>
        <w:t>155</w:t>
      </w:r>
      <w:r w:rsidRPr="00AD734D">
        <w:fldChar w:fldCharType="end"/>
      </w:r>
      <w:r w:rsidRPr="00AD734D">
        <w:t>.  </w:t>
      </w:r>
      <w:r>
        <w:t>Besides</w:t>
      </w:r>
      <w:r w:rsidRPr="00AD734D">
        <w:t xml:space="preserve"> </w:t>
      </w:r>
      <w:r>
        <w:t xml:space="preserve">these difficulties and </w:t>
      </w:r>
      <w:r w:rsidRPr="00AD734D">
        <w:t xml:space="preserve">the lack of speediness, the applicant argued that a recourse </w:t>
      </w:r>
      <w:r>
        <w:rPr>
          <w:rStyle w:val="sb8d990e2"/>
        </w:rPr>
        <w:t>under Article 146 of the Constitution was also</w:t>
      </w:r>
      <w:r>
        <w:t xml:space="preserve"> </w:t>
      </w:r>
      <w:r>
        <w:rPr>
          <w:rStyle w:val="sb8d990e2"/>
        </w:rPr>
        <w:t>deficient in scope, as</w:t>
      </w:r>
      <w:r w:rsidRPr="00190622">
        <w:t xml:space="preserve"> </w:t>
      </w:r>
      <w:r w:rsidRPr="00AD734D">
        <w:t>the Supreme Court</w:t>
      </w:r>
      <w:r w:rsidR="00A7319E">
        <w:t>’</w:t>
      </w:r>
      <w:r w:rsidRPr="00AD734D">
        <w:t>s jurisdiction was limited to examining the legality of the case and not its substance</w:t>
      </w:r>
      <w:r>
        <w:t>. Consequently, even if successful, this procedure</w:t>
      </w:r>
      <w:r w:rsidRPr="00AD734D">
        <w:t xml:space="preserve"> </w:t>
      </w:r>
      <w:r>
        <w:t xml:space="preserve">was not always </w:t>
      </w:r>
      <w:r w:rsidRPr="00AD734D">
        <w:t>capable of leading to the release of the person concerned</w:t>
      </w:r>
      <w:r>
        <w:t>. The applicant explained that in the event of an annulment by the Supreme Court of deportation and detention orders</w:t>
      </w:r>
      <w:r w:rsidRPr="00AD734D">
        <w:t xml:space="preserve">, the authorities would </w:t>
      </w:r>
      <w:r>
        <w:t xml:space="preserve">simply </w:t>
      </w:r>
      <w:r w:rsidRPr="00AD734D">
        <w:t xml:space="preserve">issue new </w:t>
      </w:r>
      <w:r>
        <w:t>deportation and detention orders,</w:t>
      </w:r>
      <w:r w:rsidRPr="00AD734D">
        <w:t xml:space="preserve"> </w:t>
      </w:r>
      <w:r>
        <w:t xml:space="preserve">taking care to ensure </w:t>
      </w:r>
      <w:r w:rsidRPr="00AD734D">
        <w:t xml:space="preserve">that they did not commit the </w:t>
      </w:r>
      <w:r>
        <w:t xml:space="preserve">same </w:t>
      </w:r>
      <w:r w:rsidRPr="00AD734D">
        <w:t>errors</w:t>
      </w:r>
      <w:r>
        <w:t>,</w:t>
      </w:r>
      <w:r w:rsidRPr="00AD734D">
        <w:t xml:space="preserve"> and the detention would continue on the basis of the new orders. A fresh recourse would then have to be filed against the new decision.</w:t>
      </w:r>
    </w:p>
    <w:p w:rsidR="00FA0835" w:rsidP="00FA0835" w:rsidRDefault="00FA0835">
      <w:pPr>
        <w:pStyle w:val="JuPara"/>
      </w:pPr>
      <w:r w:rsidRPr="000B7F4D">
        <w:fldChar w:fldCharType="begin"/>
      </w:r>
      <w:r w:rsidRPr="000B7F4D">
        <w:instrText xml:space="preserve"> SEQ level0 \*arabic </w:instrText>
      </w:r>
      <w:r w:rsidRPr="000B7F4D">
        <w:fldChar w:fldCharType="separate"/>
      </w:r>
      <w:r w:rsidR="00C5470A">
        <w:rPr>
          <w:noProof/>
        </w:rPr>
        <w:t>156</w:t>
      </w:r>
      <w:r w:rsidRPr="000B7F4D">
        <w:fldChar w:fldCharType="end"/>
      </w:r>
      <w:r w:rsidRPr="000B7F4D">
        <w:t>.  The applicant went on to stress that the domestic</w:t>
      </w:r>
      <w:r w:rsidRPr="00AD734D">
        <w:t xml:space="preserve"> law did not provide for periodic review of detention for the purpose of deportation. </w:t>
      </w:r>
      <w:r>
        <w:t>O</w:t>
      </w:r>
      <w:r w:rsidRPr="00AD734D">
        <w:t xml:space="preserve">nce </w:t>
      </w:r>
      <w:r>
        <w:t>deportation and detention orders</w:t>
      </w:r>
      <w:r w:rsidRPr="00AD734D">
        <w:t xml:space="preserve"> were issued they were </w:t>
      </w:r>
      <w:r>
        <w:t xml:space="preserve">only subject </w:t>
      </w:r>
      <w:r w:rsidRPr="00AD734D">
        <w:t>to judicial review by the Supreme Court through the Article 146 procedure. A habeas corpus application could only be brought in order to challenge the lawfulness of detention in terms of its length.</w:t>
      </w:r>
      <w:r>
        <w:t xml:space="preserve"> Although the applicant had used this remedy, he had been </w:t>
      </w:r>
      <w:r w:rsidRPr="000B7F4D">
        <w:t xml:space="preserve">unsuccessful (see </w:t>
      </w:r>
      <w:r w:rsidRPr="006D5046">
        <w:t xml:space="preserve">paragraphs </w:t>
      </w:r>
      <w:r>
        <w:t>50-55</w:t>
      </w:r>
      <w:r w:rsidRPr="000B7F4D">
        <w:t xml:space="preserve"> above).</w:t>
      </w:r>
      <w:r>
        <w:t xml:space="preserve"> Referring to his habeas corpus application, the applicant, in</w:t>
      </w:r>
      <w:r w:rsidRPr="00AD734D">
        <w:t xml:space="preserve"> his observations of 12 August 2012, complained that </w:t>
      </w:r>
      <w:r>
        <w:t>these proceedings did not comply</w:t>
      </w:r>
      <w:r w:rsidRPr="00AD734D">
        <w:t xml:space="preserve"> with the requirements of Article 5 § 4.</w:t>
      </w:r>
    </w:p>
    <w:p w:rsidRPr="00C7452C" w:rsidR="00FA0835" w:rsidP="00FA0835" w:rsidRDefault="00FA0835">
      <w:pPr>
        <w:pStyle w:val="JuPara"/>
      </w:pPr>
      <w:r w:rsidRPr="00716FD7">
        <w:fldChar w:fldCharType="begin"/>
      </w:r>
      <w:r w:rsidRPr="00716FD7">
        <w:instrText xml:space="preserve"> SEQ level0 \*arabic </w:instrText>
      </w:r>
      <w:r w:rsidRPr="00716FD7">
        <w:fldChar w:fldCharType="separate"/>
      </w:r>
      <w:r w:rsidR="00C5470A">
        <w:rPr>
          <w:noProof/>
        </w:rPr>
        <w:t>157</w:t>
      </w:r>
      <w:r w:rsidRPr="00716FD7">
        <w:fldChar w:fldCharType="end"/>
      </w:r>
      <w:r w:rsidRPr="00716FD7">
        <w:t xml:space="preserve">. Finally, the applicant referred to the recent report by Amnesty International on the detention of migrants and asylum seekers in Cyprus, </w:t>
      </w:r>
      <w:r w:rsidRPr="009750DB">
        <w:t>(see paragraphs 100-104 above).</w:t>
      </w:r>
    </w:p>
    <w:p w:rsidR="00FA0835" w:rsidP="00FA0835" w:rsidRDefault="00FA0835">
      <w:pPr>
        <w:pStyle w:val="JuHa0"/>
      </w:pPr>
      <w:r>
        <w:t>(b)</w:t>
      </w:r>
      <w:r w:rsidRPr="00A80110">
        <w:t>  </w:t>
      </w:r>
      <w:r>
        <w:t>The Government</w:t>
      </w:r>
    </w:p>
    <w:p w:rsidR="00FA0835" w:rsidP="00FA0835" w:rsidRDefault="00FA0835">
      <w:pPr>
        <w:pStyle w:val="JuPara"/>
      </w:pPr>
      <w:r>
        <w:fldChar w:fldCharType="begin"/>
      </w:r>
      <w:r>
        <w:instrText xml:space="preserve"> SEQ level0 \*arabic </w:instrText>
      </w:r>
      <w:r>
        <w:fldChar w:fldCharType="separate"/>
      </w:r>
      <w:r w:rsidR="00C5470A">
        <w:rPr>
          <w:noProof/>
        </w:rPr>
        <w:t>158</w:t>
      </w:r>
      <w:r>
        <w:fldChar w:fldCharType="end"/>
      </w:r>
      <w:r>
        <w:t xml:space="preserve">.  For their part, the Government submitted that the applicant </w:t>
      </w:r>
      <w:r w:rsidRPr="008E6754">
        <w:t>had had</w:t>
      </w:r>
      <w:r>
        <w:t xml:space="preserve"> an effective procedure at his disposal through which he could have obtained his speedy release. In particular, the applicant could have lodged a recourse under Article 146 of the Constitution challenging the lawfulness of the decision to detain and deport him. If he had succeeded, the relevant order would have been annulled and he would have been released. The applicant could also have filed, in the context of the recourse, </w:t>
      </w:r>
      <w:r w:rsidRPr="00EE0FC2">
        <w:t xml:space="preserve">an application for a provisional order seeking the suspension of his deportation. If the applicant had taken these steps he could have </w:t>
      </w:r>
      <w:r>
        <w:t>been</w:t>
      </w:r>
      <w:r w:rsidRPr="00EE0FC2">
        <w:t xml:space="preserve"> release</w:t>
      </w:r>
      <w:r>
        <w:t>d quickly</w:t>
      </w:r>
      <w:r w:rsidRPr="00EE0FC2">
        <w:t xml:space="preserve">. In this respect, the Government repeated their submissions under Article 13 of the Convention that, as a matter of administrative practice, if the applicant </w:t>
      </w:r>
      <w:r>
        <w:t xml:space="preserve">had </w:t>
      </w:r>
      <w:r w:rsidRPr="00EE0FC2">
        <w:t>agreed to an early hearing of the recourse and withdr</w:t>
      </w:r>
      <w:r>
        <w:t>a</w:t>
      </w:r>
      <w:r w:rsidRPr="00EE0FC2">
        <w:t>w</w:t>
      </w:r>
      <w:r>
        <w:t>n</w:t>
      </w:r>
      <w:r w:rsidRPr="00EE0FC2">
        <w:t xml:space="preserve"> his application for a provisional order</w:t>
      </w:r>
      <w:r>
        <w:t>,</w:t>
      </w:r>
      <w:r w:rsidRPr="00EE0FC2">
        <w:t xml:space="preserve"> the authorities would </w:t>
      </w:r>
      <w:r>
        <w:t xml:space="preserve">have </w:t>
      </w:r>
      <w:r w:rsidRPr="00EE0FC2">
        <w:t>suspend</w:t>
      </w:r>
      <w:r>
        <w:t>ed</w:t>
      </w:r>
      <w:r w:rsidRPr="00EE0FC2">
        <w:t xml:space="preserve"> the execution of the deportation order and the proceedings would </w:t>
      </w:r>
      <w:r>
        <w:t xml:space="preserve">have </w:t>
      </w:r>
      <w:r w:rsidRPr="00EE0FC2">
        <w:t>be</w:t>
      </w:r>
      <w:r>
        <w:t>en</w:t>
      </w:r>
      <w:r w:rsidRPr="00EE0FC2">
        <w:t xml:space="preserve"> expedited (see paragraphs</w:t>
      </w:r>
      <w:r>
        <w:t> </w:t>
      </w:r>
      <w:r w:rsidRPr="00EE0FC2">
        <w:t xml:space="preserve">127-129 above). The lawfulness of the deportation and detention orders would have been adjudicated in a matter of weeks. </w:t>
      </w:r>
      <w:r w:rsidRPr="002A13DE">
        <w:t>The Government referred to the records of the proceedings in a number of recourses as examples of expedited judicial review proceedings (see paragraphs 77-79 above).</w:t>
      </w:r>
    </w:p>
    <w:p w:rsidR="00FA0835" w:rsidP="00FA0835" w:rsidRDefault="00FA0835">
      <w:pPr>
        <w:pStyle w:val="JuPara"/>
      </w:pPr>
      <w:r>
        <w:fldChar w:fldCharType="begin"/>
      </w:r>
      <w:r>
        <w:instrText xml:space="preserve"> SEQ level0 \*arabic </w:instrText>
      </w:r>
      <w:r>
        <w:fldChar w:fldCharType="separate"/>
      </w:r>
      <w:r w:rsidR="00C5470A">
        <w:rPr>
          <w:noProof/>
        </w:rPr>
        <w:t>159</w:t>
      </w:r>
      <w:r>
        <w:fldChar w:fldCharType="end"/>
      </w:r>
      <w:r>
        <w:t>.  </w:t>
      </w:r>
      <w:r w:rsidRPr="00924DEA">
        <w:t>The</w:t>
      </w:r>
      <w:r>
        <w:t xml:space="preserve"> Government also submitted that according to official data the average length of first-instance proceedings in recourses against deportation and detention orders in the years 2010 and 2011 had been eight month</w:t>
      </w:r>
      <w:r w:rsidRPr="00B60F14">
        <w:t xml:space="preserve">s. </w:t>
      </w:r>
      <w:r>
        <w:t>However, n</w:t>
      </w:r>
      <w:r w:rsidRPr="002C1CD3">
        <w:t xml:space="preserve">o data </w:t>
      </w:r>
      <w:r>
        <w:t>were</w:t>
      </w:r>
      <w:r w:rsidRPr="002C1CD3">
        <w:t xml:space="preserve"> available concerning appeal proceedings as</w:t>
      </w:r>
      <w:r>
        <w:t>,</w:t>
      </w:r>
      <w:r w:rsidRPr="002C1CD3">
        <w:t xml:space="preserve"> according to the Supreme Court registry records</w:t>
      </w:r>
      <w:r>
        <w:t>,</w:t>
      </w:r>
      <w:r w:rsidRPr="002C1CD3">
        <w:t xml:space="preserve"> only two appeals had been lodged during these two years. One had been withdrawn and </w:t>
      </w:r>
      <w:r>
        <w:t>one was still pending</w:t>
      </w:r>
      <w:r w:rsidRPr="002C1CD3">
        <w:t>.</w:t>
      </w:r>
    </w:p>
    <w:p w:rsidR="00FA0835" w:rsidP="00FA0835" w:rsidRDefault="00FA0835">
      <w:pPr>
        <w:pStyle w:val="JuH1"/>
        <w:ind w:left="431" w:firstLine="0"/>
      </w:pPr>
      <w:r>
        <w:t>2.  The Court</w:t>
      </w:r>
      <w:r w:rsidR="00A7319E">
        <w:t>’</w:t>
      </w:r>
      <w:r>
        <w:t>s assessment</w:t>
      </w:r>
    </w:p>
    <w:p w:rsidR="00FA0835" w:rsidP="00FA0835" w:rsidRDefault="00FA0835">
      <w:pPr>
        <w:pStyle w:val="JuHa0"/>
        <w:rPr>
          <w:rStyle w:val="s6b621b36"/>
        </w:rPr>
      </w:pPr>
      <w:r w:rsidRPr="00206062">
        <w:rPr>
          <w:rStyle w:val="s6b621b36"/>
        </w:rPr>
        <w:t>(a)</w:t>
      </w:r>
      <w:r w:rsidRPr="00A80110">
        <w:t>  </w:t>
      </w:r>
      <w:r w:rsidRPr="00206062">
        <w:rPr>
          <w:rStyle w:val="s6b621b36"/>
        </w:rPr>
        <w:t>General principles</w:t>
      </w:r>
    </w:p>
    <w:p w:rsidRPr="00265CA1" w:rsidR="00FA0835" w:rsidP="00FA0835" w:rsidRDefault="00FA0835">
      <w:pPr>
        <w:pStyle w:val="JuPara"/>
        <w:rPr>
          <w:rStyle w:val="sb8d990e2"/>
          <w:i/>
          <w:lang w:eastAsia="en-US"/>
        </w:rPr>
      </w:pPr>
      <w:r w:rsidRPr="00994AC8">
        <w:rPr>
          <w:rStyle w:val="sb8d990e2"/>
        </w:rPr>
        <w:fldChar w:fldCharType="begin"/>
      </w:r>
      <w:r w:rsidRPr="00994AC8">
        <w:rPr>
          <w:rStyle w:val="sb8d990e2"/>
        </w:rPr>
        <w:instrText xml:space="preserve"> SEQ level0 \*arabic </w:instrText>
      </w:r>
      <w:r w:rsidRPr="00994AC8">
        <w:rPr>
          <w:rStyle w:val="sb8d990e2"/>
        </w:rPr>
        <w:fldChar w:fldCharType="separate"/>
      </w:r>
      <w:r w:rsidR="00C5470A">
        <w:rPr>
          <w:rStyle w:val="sb8d990e2"/>
          <w:noProof/>
        </w:rPr>
        <w:t>160</w:t>
      </w:r>
      <w:r w:rsidRPr="00994AC8">
        <w:rPr>
          <w:rStyle w:val="sb8d990e2"/>
        </w:rPr>
        <w:fldChar w:fldCharType="end"/>
      </w:r>
      <w:r w:rsidRPr="00994AC8">
        <w:rPr>
          <w:rStyle w:val="sb8d990e2"/>
        </w:rPr>
        <w:t>.  Article 5 § 4 entitles an arrested or detained person to institute proceedings bearing on the procedural and substantive conditions which are essential for the “lawfulness” of his or her deprivation of liberty. The notion of “lawfulness” under paragraph 4 of Article 5 has the same meaning as in paragraph 1, so that the arrested or detained person is entitled to a review of the “lawfulness” of his detention in the light not only of the requirements of domestic law but also of the Convention, the general principles embodied therein and the aim of the restrictions permitted by Article 5 § 1. Article</w:t>
      </w:r>
      <w:r>
        <w:rPr>
          <w:rStyle w:val="sb8d990e2"/>
        </w:rPr>
        <w:t> </w:t>
      </w:r>
      <w:r w:rsidRPr="00994AC8">
        <w:rPr>
          <w:rStyle w:val="sb8d990e2"/>
        </w:rPr>
        <w:t>5</w:t>
      </w:r>
      <w:r>
        <w:rPr>
          <w:rStyle w:val="sb8d990e2"/>
        </w:rPr>
        <w:t xml:space="preserve"> </w:t>
      </w:r>
      <w:r w:rsidRPr="00994AC8">
        <w:rPr>
          <w:rStyle w:val="sb8d990e2"/>
        </w:rPr>
        <w:t xml:space="preserve">§ 4 does not guarantee a right to judicial review of such a scope as to empower the court, on all aspects of the case including questions of pure expediency, to substitute its own discretion for that of the decision-making authority. The review should, however, be wide enough to bear on those conditions which are essential for the “lawful” detention of a person according to Article 5 § </w:t>
      </w:r>
      <w:r w:rsidRPr="007F1C1B">
        <w:rPr>
          <w:rStyle w:val="sb8d990e2"/>
        </w:rPr>
        <w:t xml:space="preserve">1 (see, as a recent authority, </w:t>
      </w:r>
      <w:r w:rsidRPr="007F1C1B">
        <w:rPr>
          <w:i/>
          <w:lang w:eastAsia="en-US"/>
        </w:rPr>
        <w:t xml:space="preserve">Stanev v. Bulgaria </w:t>
      </w:r>
      <w:r w:rsidRPr="007F1C1B">
        <w:rPr>
          <w:lang w:eastAsia="en-US"/>
        </w:rPr>
        <w:t>[GC], no. 36760/06</w:t>
      </w:r>
      <w:r w:rsidRPr="007F1C1B">
        <w:rPr>
          <w:snapToGrid w:val="0"/>
          <w:szCs w:val="24"/>
          <w:lang w:val="pt-BR" w:eastAsia="en-US"/>
        </w:rPr>
        <w:t xml:space="preserve">, § 168, </w:t>
      </w:r>
      <w:r w:rsidRPr="007F1C1B">
        <w:rPr>
          <w:snapToGrid w:val="0"/>
          <w:szCs w:val="22"/>
          <w:lang w:eastAsia="en-US"/>
        </w:rPr>
        <w:t>ECHR 2012</w:t>
      </w:r>
      <w:r w:rsidRPr="007F1C1B">
        <w:rPr>
          <w:rStyle w:val="sb8d990e2"/>
        </w:rPr>
        <w:t>). The</w:t>
      </w:r>
      <w:r w:rsidRPr="00994AC8">
        <w:rPr>
          <w:rStyle w:val="sb8d990e2"/>
        </w:rPr>
        <w:t xml:space="preserve"> remedies must be made available during a person</w:t>
      </w:r>
      <w:r w:rsidR="00A7319E">
        <w:rPr>
          <w:rStyle w:val="sb8d990e2"/>
        </w:rPr>
        <w:t>’</w:t>
      </w:r>
      <w:r w:rsidRPr="00994AC8">
        <w:rPr>
          <w:rStyle w:val="sb8d990e2"/>
        </w:rPr>
        <w:t>s detention with a view to that person obtaining speedy judicial review of the lawfulness of his or her detention capable of leading, where appropriate, to his or her release (see</w:t>
      </w:r>
      <w:r>
        <w:rPr>
          <w:rStyle w:val="sb8d990e2"/>
        </w:rPr>
        <w:t xml:space="preserve"> </w:t>
      </w:r>
      <w:r w:rsidRPr="00B60F14">
        <w:rPr>
          <w:i/>
          <w:lang w:eastAsia="en-US"/>
        </w:rPr>
        <w:t>Louled Massoud v.</w:t>
      </w:r>
      <w:r>
        <w:rPr>
          <w:i/>
          <w:lang w:eastAsia="en-US"/>
        </w:rPr>
        <w:t> </w:t>
      </w:r>
      <w:r w:rsidRPr="00B60F14">
        <w:rPr>
          <w:i/>
          <w:lang w:eastAsia="en-US"/>
        </w:rPr>
        <w:t>Malta</w:t>
      </w:r>
      <w:r w:rsidRPr="00B60F14">
        <w:rPr>
          <w:lang w:eastAsia="en-US"/>
        </w:rPr>
        <w:t>, no. 24340/08</w:t>
      </w:r>
      <w:r>
        <w:rPr>
          <w:snapToGrid w:val="0"/>
          <w:szCs w:val="24"/>
          <w:lang w:eastAsia="en-US"/>
        </w:rPr>
        <w:t>, §</w:t>
      </w:r>
      <w:r w:rsidRPr="00B60F14">
        <w:rPr>
          <w:snapToGrid w:val="0"/>
          <w:szCs w:val="24"/>
          <w:lang w:eastAsia="en-US"/>
        </w:rPr>
        <w:t xml:space="preserve"> </w:t>
      </w:r>
      <w:r>
        <w:rPr>
          <w:snapToGrid w:val="0"/>
          <w:szCs w:val="24"/>
          <w:lang w:eastAsia="en-US"/>
        </w:rPr>
        <w:t>39</w:t>
      </w:r>
      <w:r w:rsidRPr="00B60F14">
        <w:rPr>
          <w:snapToGrid w:val="0"/>
          <w:szCs w:val="24"/>
          <w:lang w:eastAsia="en-US"/>
        </w:rPr>
        <w:t xml:space="preserve"> July 2010</w:t>
      </w:r>
      <w:r w:rsidRPr="00994AC8">
        <w:rPr>
          <w:snapToGrid w:val="0"/>
          <w:szCs w:val="24"/>
          <w:lang w:eastAsia="en-US"/>
        </w:rPr>
        <w:t>)</w:t>
      </w:r>
      <w:r w:rsidRPr="00994AC8">
        <w:rPr>
          <w:rStyle w:val="sb8d990e2"/>
        </w:rPr>
        <w:t xml:space="preserve">. The accessibility of a remedy implies, </w:t>
      </w:r>
      <w:r w:rsidRPr="00994AC8">
        <w:rPr>
          <w:rStyle w:val="s6b621b36"/>
          <w:i/>
        </w:rPr>
        <w:t>inter alia</w:t>
      </w:r>
      <w:r w:rsidRPr="00994AC8">
        <w:rPr>
          <w:rStyle w:val="sb8d990e2"/>
        </w:rPr>
        <w:t xml:space="preserve">, that the circumstances voluntarily created by the authorities must be such as to afford applicants a realistic possibility of using the remedy (see </w:t>
      </w:r>
      <w:r w:rsidRPr="00994AC8">
        <w:rPr>
          <w:rStyle w:val="s6b621b36"/>
          <w:i/>
        </w:rPr>
        <w:t>Čonka</w:t>
      </w:r>
      <w:r w:rsidRPr="00994AC8">
        <w:rPr>
          <w:rStyle w:val="sb8d990e2"/>
          <w:i/>
        </w:rPr>
        <w:t>,</w:t>
      </w:r>
      <w:r w:rsidRPr="00994AC8">
        <w:rPr>
          <w:rStyle w:val="sb8d990e2"/>
        </w:rPr>
        <w:t xml:space="preserve"> cited above, §§ 46 and 55). </w:t>
      </w:r>
      <w:r>
        <w:t>The existence of the remedy required by Article 5 § 4 must be sufficiently certain, not only in theory but also in practice, failing which it will lack the accessibility and effectiveness required for the purposes of that provision</w:t>
      </w:r>
      <w:r>
        <w:rPr>
          <w:rStyle w:val="sb8d990e2"/>
        </w:rPr>
        <w:t xml:space="preserve"> </w:t>
      </w:r>
      <w:r w:rsidRPr="00994AC8">
        <w:rPr>
          <w:rStyle w:val="sb8d990e2"/>
        </w:rPr>
        <w:t>(see, amongst many authorities,</w:t>
      </w:r>
      <w:r w:rsidRPr="00994AC8">
        <w:rPr>
          <w:rStyle w:val="s6b621b36"/>
        </w:rPr>
        <w:t xml:space="preserve"> </w:t>
      </w:r>
      <w:r w:rsidRPr="00994AC8">
        <w:rPr>
          <w:i/>
          <w:lang w:eastAsia="en-US"/>
        </w:rPr>
        <w:t>Nasrulloyev v. Russia</w:t>
      </w:r>
      <w:r w:rsidRPr="00994AC8">
        <w:rPr>
          <w:lang w:eastAsia="en-US"/>
        </w:rPr>
        <w:t>, no. 656/06, § 86,</w:t>
      </w:r>
      <w:r>
        <w:rPr>
          <w:lang w:eastAsia="en-US"/>
        </w:rPr>
        <w:t xml:space="preserve"> </w:t>
      </w:r>
      <w:r w:rsidRPr="00994AC8">
        <w:rPr>
          <w:lang w:eastAsia="en-US"/>
        </w:rPr>
        <w:t>11</w:t>
      </w:r>
      <w:r>
        <w:rPr>
          <w:lang w:eastAsia="en-US"/>
        </w:rPr>
        <w:t xml:space="preserve"> </w:t>
      </w:r>
      <w:r w:rsidRPr="00994AC8">
        <w:rPr>
          <w:lang w:eastAsia="en-US"/>
        </w:rPr>
        <w:t>October 2007</w:t>
      </w:r>
      <w:r>
        <w:rPr>
          <w:lang w:eastAsia="en-US"/>
        </w:rPr>
        <w:t>,</w:t>
      </w:r>
      <w:r w:rsidRPr="00994AC8">
        <w:rPr>
          <w:lang w:eastAsia="en-US"/>
        </w:rPr>
        <w:t xml:space="preserve"> </w:t>
      </w:r>
      <w:r w:rsidRPr="00994AC8">
        <w:rPr>
          <w:rStyle w:val="s6b621b36"/>
        </w:rPr>
        <w:t>and</w:t>
      </w:r>
      <w:r w:rsidRPr="00994AC8">
        <w:rPr>
          <w:rStyle w:val="sb8d990e2"/>
        </w:rPr>
        <w:t xml:space="preserve"> </w:t>
      </w:r>
      <w:r w:rsidRPr="00994AC8">
        <w:rPr>
          <w:rStyle w:val="s6b621b36"/>
          <w:i/>
        </w:rPr>
        <w:t>Kadem v. Malta</w:t>
      </w:r>
      <w:r w:rsidRPr="00994AC8">
        <w:rPr>
          <w:rStyle w:val="sb8d990e2"/>
        </w:rPr>
        <w:t>, no.</w:t>
      </w:r>
      <w:r>
        <w:rPr>
          <w:rStyle w:val="sb8d990e2"/>
        </w:rPr>
        <w:t xml:space="preserve"> </w:t>
      </w:r>
      <w:r w:rsidRPr="00994AC8">
        <w:rPr>
          <w:rStyle w:val="sb8d990e2"/>
        </w:rPr>
        <w:t>55263/00, §</w:t>
      </w:r>
      <w:r>
        <w:rPr>
          <w:rStyle w:val="sb8d990e2"/>
        </w:rPr>
        <w:t xml:space="preserve"> </w:t>
      </w:r>
      <w:r w:rsidRPr="00994AC8">
        <w:rPr>
          <w:rStyle w:val="sb8d990e2"/>
        </w:rPr>
        <w:t>41, 9</w:t>
      </w:r>
      <w:r>
        <w:rPr>
          <w:rStyle w:val="sb8d990e2"/>
        </w:rPr>
        <w:t> </w:t>
      </w:r>
      <w:r w:rsidRPr="00994AC8">
        <w:rPr>
          <w:rStyle w:val="sb8d990e2"/>
        </w:rPr>
        <w:t>January</w:t>
      </w:r>
      <w:r>
        <w:rPr>
          <w:rStyle w:val="sb8d990e2"/>
        </w:rPr>
        <w:t xml:space="preserve"> </w:t>
      </w:r>
      <w:r w:rsidRPr="00994AC8">
        <w:rPr>
          <w:rStyle w:val="sb8d990e2"/>
        </w:rPr>
        <w:t>2003).</w:t>
      </w:r>
    </w:p>
    <w:p w:rsidRPr="00A6552F" w:rsidR="00FA0835" w:rsidP="00FA0835" w:rsidRDefault="00FA0835">
      <w:pPr>
        <w:pStyle w:val="JuPara"/>
        <w:rPr>
          <w:i/>
          <w:lang w:eastAsia="en-US"/>
        </w:rPr>
      </w:pPr>
      <w:r w:rsidRPr="00C5786A">
        <w:fldChar w:fldCharType="begin"/>
      </w:r>
      <w:r w:rsidRPr="00C5786A">
        <w:instrText xml:space="preserve"> SEQ level0 \*arabic </w:instrText>
      </w:r>
      <w:r w:rsidRPr="00C5786A">
        <w:fldChar w:fldCharType="separate"/>
      </w:r>
      <w:r w:rsidR="00C5470A">
        <w:rPr>
          <w:noProof/>
        </w:rPr>
        <w:t>161</w:t>
      </w:r>
      <w:r w:rsidRPr="00C5786A">
        <w:fldChar w:fldCharType="end"/>
      </w:r>
      <w:r w:rsidRPr="00C5786A">
        <w:t xml:space="preserve">.  The requirement of procedural fairness under Article 5 § 4 does not impose a uniform, unvarying standard to be applied irrespective of the context, facts and circumstances. Although it is not always necessary that an Article 5 § 4 procedure be attended by the same guarantees as those required under Article 6 for criminal or civil litigation, it must have a judicial character and provide guarantees appropriate to the type of deprivation of liberty in question (see </w:t>
      </w:r>
      <w:r w:rsidRPr="00C5786A">
        <w:rPr>
          <w:i/>
          <w:lang w:eastAsia="en-US"/>
        </w:rPr>
        <w:t>A. and Others v. the United Kingdom</w:t>
      </w:r>
      <w:r w:rsidRPr="00C5786A">
        <w:rPr>
          <w:lang w:eastAsia="en-US"/>
        </w:rPr>
        <w:t xml:space="preserve"> [GC], </w:t>
      </w:r>
      <w:r w:rsidRPr="00C5786A">
        <w:rPr>
          <w:snapToGrid w:val="0"/>
          <w:lang w:eastAsia="en-US"/>
        </w:rPr>
        <w:t>no.</w:t>
      </w:r>
      <w:r>
        <w:rPr>
          <w:snapToGrid w:val="0"/>
          <w:lang w:eastAsia="en-US"/>
        </w:rPr>
        <w:t> </w:t>
      </w:r>
      <w:r w:rsidRPr="00C5786A">
        <w:rPr>
          <w:lang w:eastAsia="en-US"/>
        </w:rPr>
        <w:t>3455/05, § 203, ECHR 2009 with further references).</w:t>
      </w:r>
    </w:p>
    <w:p w:rsidR="00FA0835" w:rsidP="00FA0835" w:rsidRDefault="00FA0835">
      <w:pPr>
        <w:pStyle w:val="JuPara"/>
        <w:rPr>
          <w:rStyle w:val="sb8d990e2"/>
        </w:rPr>
      </w:pPr>
      <w:r w:rsidRPr="00265CA1">
        <w:rPr>
          <w:rStyle w:val="sb8d990e2"/>
        </w:rPr>
        <w:fldChar w:fldCharType="begin"/>
      </w:r>
      <w:r w:rsidRPr="00265CA1">
        <w:rPr>
          <w:rStyle w:val="sb8d990e2"/>
        </w:rPr>
        <w:instrText xml:space="preserve"> SEQ level0 \*arabic </w:instrText>
      </w:r>
      <w:r w:rsidRPr="00265CA1">
        <w:rPr>
          <w:rStyle w:val="sb8d990e2"/>
        </w:rPr>
        <w:fldChar w:fldCharType="separate"/>
      </w:r>
      <w:r w:rsidR="00C5470A">
        <w:rPr>
          <w:rStyle w:val="sb8d990e2"/>
          <w:noProof/>
        </w:rPr>
        <w:t>162</w:t>
      </w:r>
      <w:r w:rsidRPr="00265CA1">
        <w:rPr>
          <w:rStyle w:val="sb8d990e2"/>
        </w:rPr>
        <w:fldChar w:fldCharType="end"/>
      </w:r>
      <w:r w:rsidRPr="00265CA1">
        <w:rPr>
          <w:rStyle w:val="sb8d990e2"/>
        </w:rPr>
        <w:t>.  Article 5 § 4, in guaranteeing to persons arrested or detained a right to take proceedings to challenge the lawfulness of their detention, also proclaims their right, following the institution of such proceedings, to a</w:t>
      </w:r>
      <w:r w:rsidRPr="00994AC8">
        <w:rPr>
          <w:rStyle w:val="sb8d990e2"/>
        </w:rPr>
        <w:t xml:space="preserve"> </w:t>
      </w:r>
      <w:r w:rsidRPr="00994AC8">
        <w:rPr>
          <w:rStyle w:val="wordhighlighted"/>
        </w:rPr>
        <w:t>speedy judicial decision</w:t>
      </w:r>
      <w:r w:rsidRPr="00994AC8">
        <w:rPr>
          <w:rStyle w:val="sb8d990e2"/>
        </w:rPr>
        <w:t xml:space="preserve"> concerning the lawfulness of the detention and ordering its termination if it proves unlawful (see</w:t>
      </w:r>
      <w:r w:rsidRPr="00994AC8">
        <w:rPr>
          <w:rStyle w:val="s6b621b36"/>
        </w:rPr>
        <w:t xml:space="preserve"> </w:t>
      </w:r>
      <w:r w:rsidRPr="00994AC8">
        <w:rPr>
          <w:rStyle w:val="s6b621b36"/>
          <w:i/>
        </w:rPr>
        <w:t>Sarban v. Moldova</w:t>
      </w:r>
      <w:r w:rsidRPr="00994AC8">
        <w:rPr>
          <w:rStyle w:val="sb8d990e2"/>
        </w:rPr>
        <w:t>, no. 3456/05, § 118, 4 October 2005</w:t>
      </w:r>
      <w:r>
        <w:rPr>
          <w:rStyle w:val="sb8d990e2"/>
        </w:rPr>
        <w:t>,</w:t>
      </w:r>
      <w:r w:rsidRPr="00994AC8">
        <w:rPr>
          <w:rStyle w:val="sb8d990e2"/>
        </w:rPr>
        <w:t xml:space="preserve"> and </w:t>
      </w:r>
      <w:r w:rsidRPr="00994AC8">
        <w:rPr>
          <w:i/>
          <w:lang w:eastAsia="en-US"/>
        </w:rPr>
        <w:t>Baranowski v. Poland</w:t>
      </w:r>
      <w:r w:rsidRPr="00994AC8">
        <w:rPr>
          <w:lang w:eastAsia="en-US"/>
        </w:rPr>
        <w:t>, no. 28358/95, § 68, ECHR 2000</w:t>
      </w:r>
      <w:r w:rsidRPr="00994AC8">
        <w:rPr>
          <w:lang w:eastAsia="en-US"/>
        </w:rPr>
        <w:noBreakHyphen/>
        <w:t>III</w:t>
      </w:r>
      <w:r w:rsidRPr="00994AC8">
        <w:rPr>
          <w:rStyle w:val="sb8d990e2"/>
        </w:rPr>
        <w:t xml:space="preserve">). The Court has laid down strict standards in its case-law concerning the question of State compliance </w:t>
      </w:r>
      <w:r>
        <w:rPr>
          <w:rStyle w:val="sb8d990e2"/>
        </w:rPr>
        <w:t>with the speed requirement. In</w:t>
      </w:r>
      <w:r w:rsidRPr="00994AC8">
        <w:rPr>
          <w:rStyle w:val="sb8d990e2"/>
        </w:rPr>
        <w:t xml:space="preserve"> </w:t>
      </w:r>
      <w:r>
        <w:rPr>
          <w:rStyle w:val="sb8d990e2"/>
        </w:rPr>
        <w:t xml:space="preserve">the cases of </w:t>
      </w:r>
      <w:r w:rsidRPr="00994AC8">
        <w:rPr>
          <w:rStyle w:val="sb8d990e2"/>
          <w:i/>
        </w:rPr>
        <w:t>Sarban</w:t>
      </w:r>
      <w:r>
        <w:rPr>
          <w:rStyle w:val="sb8d990e2"/>
          <w:i/>
        </w:rPr>
        <w:t xml:space="preserve"> </w:t>
      </w:r>
      <w:r w:rsidRPr="00057411">
        <w:rPr>
          <w:rStyle w:val="sb8d990e2"/>
        </w:rPr>
        <w:t>and</w:t>
      </w:r>
      <w:r w:rsidRPr="00994AC8">
        <w:rPr>
          <w:rStyle w:val="sb8d990e2"/>
          <w:i/>
        </w:rPr>
        <w:t xml:space="preserve"> Kadem </w:t>
      </w:r>
      <w:r>
        <w:rPr>
          <w:rStyle w:val="sb8d990e2"/>
        </w:rPr>
        <w:t xml:space="preserve">(both cited above) and </w:t>
      </w:r>
      <w:r>
        <w:rPr>
          <w:rStyle w:val="s6b621b36"/>
          <w:i/>
        </w:rPr>
        <w:t xml:space="preserve">Rehbock v. </w:t>
      </w:r>
      <w:r w:rsidRPr="00281C2E">
        <w:rPr>
          <w:rStyle w:val="s6b621b36"/>
          <w:i/>
        </w:rPr>
        <w:t>Slovenia</w:t>
      </w:r>
      <w:r w:rsidRPr="00AA2FF1">
        <w:rPr>
          <w:rStyle w:val="sb8d990e2"/>
        </w:rPr>
        <w:t xml:space="preserve"> </w:t>
      </w:r>
      <w:r>
        <w:rPr>
          <w:rStyle w:val="sb8d990e2"/>
        </w:rPr>
        <w:t>(</w:t>
      </w:r>
      <w:r w:rsidRPr="00AA2FF1">
        <w:rPr>
          <w:rStyle w:val="sb8d990e2"/>
        </w:rPr>
        <w:t>no.</w:t>
      </w:r>
      <w:r>
        <w:rPr>
          <w:rStyle w:val="sb8d990e2"/>
        </w:rPr>
        <w:t xml:space="preserve"> 29462/95, §</w:t>
      </w:r>
      <w:r>
        <w:t xml:space="preserve"> </w:t>
      </w:r>
      <w:r>
        <w:rPr>
          <w:rStyle w:val="sb8d990e2"/>
        </w:rPr>
        <w:t>84, ECHR 2000-XII</w:t>
      </w:r>
      <w:r w:rsidRPr="005F5FAC">
        <w:rPr>
          <w:rStyle w:val="sb8d990e2"/>
        </w:rPr>
        <w:t>), for example, the Court considered that time</w:t>
      </w:r>
      <w:r w:rsidRPr="005F5FAC">
        <w:rPr>
          <w:rStyle w:val="sb8d990e2"/>
        </w:rPr>
        <w:noBreakHyphen/>
        <w:t>periods of twenty-one, seventeen</w:t>
      </w:r>
      <w:r w:rsidRPr="00994AC8">
        <w:rPr>
          <w:rStyle w:val="sb8d990e2"/>
        </w:rPr>
        <w:t xml:space="preserve"> and twenty-three days</w:t>
      </w:r>
      <w:r>
        <w:rPr>
          <w:rStyle w:val="sb8d990e2"/>
        </w:rPr>
        <w:t>,</w:t>
      </w:r>
      <w:r w:rsidRPr="00994AC8">
        <w:rPr>
          <w:rStyle w:val="sb8d990e2"/>
        </w:rPr>
        <w:t xml:space="preserve"> respectively</w:t>
      </w:r>
      <w:r>
        <w:rPr>
          <w:rStyle w:val="sb8d990e2"/>
        </w:rPr>
        <w:t>,</w:t>
      </w:r>
      <w:r w:rsidRPr="00994AC8">
        <w:rPr>
          <w:rStyle w:val="sb8d990e2"/>
        </w:rPr>
        <w:t xml:space="preserve"> were excessive</w:t>
      </w:r>
      <w:r>
        <w:rPr>
          <w:rStyle w:val="sb8d990e2"/>
        </w:rPr>
        <w:t>.</w:t>
      </w:r>
    </w:p>
    <w:p w:rsidR="00FA0835" w:rsidP="00FA0835" w:rsidRDefault="00FA0835">
      <w:pPr>
        <w:pStyle w:val="JuPara"/>
        <w:rPr>
          <w:lang w:eastAsia="en-US"/>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163</w:t>
      </w:r>
      <w:r>
        <w:rPr>
          <w:rStyle w:val="sb8d990e2"/>
        </w:rPr>
        <w:fldChar w:fldCharType="end"/>
      </w:r>
      <w:r>
        <w:rPr>
          <w:rStyle w:val="sb8d990e2"/>
        </w:rPr>
        <w:t>.  </w:t>
      </w:r>
      <w:r w:rsidRPr="00AA2FF1">
        <w:rPr>
          <w:rStyle w:val="sb8d990e2"/>
        </w:rPr>
        <w:t>The question whether the right</w:t>
      </w:r>
      <w:r>
        <w:rPr>
          <w:rStyle w:val="sb8d990e2"/>
        </w:rPr>
        <w:t xml:space="preserve"> to a speedy decision has been respected must – as is the case for the “reasonable time” stipulation in Articles 5 § 3 and 6 § 1 of the Convention – be determined in the light of the circumstances of each </w:t>
      </w:r>
      <w:r w:rsidRPr="00AA2FF1">
        <w:rPr>
          <w:rStyle w:val="sb8d990e2"/>
        </w:rPr>
        <w:t xml:space="preserve">case (see </w:t>
      </w:r>
      <w:r>
        <w:rPr>
          <w:rStyle w:val="s6b621b36"/>
          <w:i/>
        </w:rPr>
        <w:t>Rehbock</w:t>
      </w:r>
      <w:r>
        <w:rPr>
          <w:rStyle w:val="s6b621b36"/>
        </w:rPr>
        <w:t>, cited above</w:t>
      </w:r>
      <w:r w:rsidRPr="00AA2FF1">
        <w:rPr>
          <w:rStyle w:val="sb8d990e2"/>
        </w:rPr>
        <w:t xml:space="preserve">; </w:t>
      </w:r>
      <w:r w:rsidRPr="00281C2E">
        <w:rPr>
          <w:rStyle w:val="s6b621b36"/>
          <w:i/>
        </w:rPr>
        <w:t>G.B. v. Switzerland</w:t>
      </w:r>
      <w:r w:rsidRPr="00AA2FF1">
        <w:rPr>
          <w:rStyle w:val="sb8d990e2"/>
        </w:rPr>
        <w:t>, no. 27426/95, §</w:t>
      </w:r>
      <w:r>
        <w:rPr>
          <w:rStyle w:val="sb8d990e2"/>
        </w:rPr>
        <w:t xml:space="preserve"> </w:t>
      </w:r>
      <w:r w:rsidRPr="00AA2FF1">
        <w:rPr>
          <w:rStyle w:val="sb8d990e2"/>
        </w:rPr>
        <w:t xml:space="preserve">33, 30 November 2000; and </w:t>
      </w:r>
      <w:r w:rsidRPr="00281C2E">
        <w:rPr>
          <w:rStyle w:val="s6b621b36"/>
          <w:i/>
        </w:rPr>
        <w:t>M.B. v. Switzerland</w:t>
      </w:r>
      <w:r>
        <w:rPr>
          <w:rStyle w:val="sb8d990e2"/>
        </w:rPr>
        <w:t>, no. </w:t>
      </w:r>
      <w:r w:rsidRPr="00AA2FF1">
        <w:rPr>
          <w:rStyle w:val="sb8d990e2"/>
        </w:rPr>
        <w:t>28256/95, § 37, 30 November 2000</w:t>
      </w:r>
      <w:r w:rsidRPr="00ED02C2">
        <w:rPr>
          <w:rStyle w:val="sb8d990e2"/>
        </w:rPr>
        <w:t xml:space="preserve">). </w:t>
      </w:r>
      <w:r w:rsidRPr="00B60F14">
        <w:rPr>
          <w:rStyle w:val="sb8d990e2"/>
        </w:rPr>
        <w:t xml:space="preserve">An applicant, however, will not be required to pursue a particular remedy where the Court finds from the information and submissions before it that it would not have ensured a speedy review of his or her detention (see, for example, </w:t>
      </w:r>
      <w:r w:rsidRPr="00B60F14">
        <w:rPr>
          <w:i/>
          <w:lang w:eastAsia="en-US"/>
        </w:rPr>
        <w:t>Louled Massoud</w:t>
      </w:r>
      <w:r>
        <w:rPr>
          <w:i/>
          <w:lang w:eastAsia="en-US"/>
        </w:rPr>
        <w:t xml:space="preserve">, </w:t>
      </w:r>
      <w:r w:rsidRPr="00994AC8">
        <w:rPr>
          <w:lang w:eastAsia="en-US"/>
        </w:rPr>
        <w:t>cited above</w:t>
      </w:r>
      <w:r w:rsidRPr="00B60F14">
        <w:rPr>
          <w:snapToGrid w:val="0"/>
          <w:szCs w:val="24"/>
          <w:lang w:eastAsia="en-US"/>
        </w:rPr>
        <w:t>, §§ 44-45, 27 July 2010</w:t>
      </w:r>
      <w:r>
        <w:rPr>
          <w:snapToGrid w:val="0"/>
          <w:szCs w:val="24"/>
          <w:lang w:eastAsia="en-US"/>
        </w:rPr>
        <w:t>,</w:t>
      </w:r>
      <w:r w:rsidRPr="00B60F14">
        <w:rPr>
          <w:snapToGrid w:val="0"/>
          <w:szCs w:val="24"/>
          <w:lang w:eastAsia="en-US"/>
        </w:rPr>
        <w:t xml:space="preserve"> and </w:t>
      </w:r>
      <w:r>
        <w:rPr>
          <w:i/>
          <w:lang w:eastAsia="en-US"/>
        </w:rPr>
        <w:t>Sabeur Ben Ali v. </w:t>
      </w:r>
      <w:r w:rsidRPr="00B60F14">
        <w:rPr>
          <w:i/>
          <w:lang w:eastAsia="en-US"/>
        </w:rPr>
        <w:t>Malta</w:t>
      </w:r>
      <w:r>
        <w:rPr>
          <w:lang w:eastAsia="en-US"/>
        </w:rPr>
        <w:t>, no. </w:t>
      </w:r>
      <w:r w:rsidRPr="00B60F14">
        <w:rPr>
          <w:lang w:eastAsia="en-US"/>
        </w:rPr>
        <w:t xml:space="preserve">35892/97, </w:t>
      </w:r>
      <w:r w:rsidRPr="00B60F14">
        <w:rPr>
          <w:snapToGrid w:val="0"/>
          <w:szCs w:val="24"/>
          <w:lang w:eastAsia="en-US"/>
        </w:rPr>
        <w:t xml:space="preserve">§ </w:t>
      </w:r>
      <w:r w:rsidRPr="00B60F14">
        <w:rPr>
          <w:lang w:eastAsia="en-US"/>
        </w:rPr>
        <w:t>40, 29 June 2000).</w:t>
      </w:r>
    </w:p>
    <w:p w:rsidR="00FA0835" w:rsidP="00FA0835" w:rsidRDefault="00FA0835">
      <w:pPr>
        <w:pStyle w:val="JuHa0"/>
        <w:rPr>
          <w:rStyle w:val="s6b621b36"/>
        </w:rPr>
      </w:pPr>
      <w:r>
        <w:rPr>
          <w:rStyle w:val="s6b621b36"/>
        </w:rPr>
        <w:t>(b)</w:t>
      </w:r>
      <w:r w:rsidRPr="00A80110">
        <w:t>  </w:t>
      </w:r>
      <w:r>
        <w:rPr>
          <w:rStyle w:val="s6b621b36"/>
        </w:rPr>
        <w:t>Application to the present case</w:t>
      </w:r>
    </w:p>
    <w:p w:rsidRPr="0067468C" w:rsidR="00FA0835" w:rsidP="00FA0835" w:rsidRDefault="00FA0835">
      <w:pPr>
        <w:pStyle w:val="JuPara"/>
        <w:rPr>
          <w:rStyle w:val="sb8d990e2"/>
          <w:lang w:eastAsia="en-US"/>
        </w:rPr>
      </w:pPr>
      <w:r w:rsidRPr="001962B2">
        <w:fldChar w:fldCharType="begin"/>
      </w:r>
      <w:r w:rsidRPr="001962B2">
        <w:instrText xml:space="preserve"> SEQ level0 \*arabic </w:instrText>
      </w:r>
      <w:r w:rsidRPr="001962B2">
        <w:fldChar w:fldCharType="separate"/>
      </w:r>
      <w:r w:rsidR="00C5470A">
        <w:rPr>
          <w:noProof/>
        </w:rPr>
        <w:t>164</w:t>
      </w:r>
      <w:r w:rsidRPr="001962B2">
        <w:fldChar w:fldCharType="end"/>
      </w:r>
      <w:r w:rsidRPr="001962B2">
        <w:t>.  </w:t>
      </w:r>
      <w:r>
        <w:t xml:space="preserve">Turning to the present case, the Court observes at the outset that </w:t>
      </w:r>
      <w:r w:rsidRPr="001A7AEC">
        <w:t xml:space="preserve">the fact that the applicant </w:t>
      </w:r>
      <w:r w:rsidRPr="001A7AEC">
        <w:rPr>
          <w:rStyle w:val="sb8d990e2"/>
        </w:rPr>
        <w:t xml:space="preserve">was released </w:t>
      </w:r>
      <w:r w:rsidRPr="0067468C">
        <w:rPr>
          <w:rStyle w:val="sb8d990e2"/>
        </w:rPr>
        <w:t>on 3</w:t>
      </w:r>
      <w:r>
        <w:rPr>
          <w:rStyle w:val="sb8d990e2"/>
        </w:rPr>
        <w:t xml:space="preserve"> </w:t>
      </w:r>
      <w:r w:rsidRPr="001A7AEC">
        <w:rPr>
          <w:rStyle w:val="sb8d990e2"/>
        </w:rPr>
        <w:t>May 2011 upon being granted refugee status does not render his complaint under this provision devoid of purpose</w:t>
      </w:r>
      <w:r>
        <w:rPr>
          <w:rStyle w:val="sb8d990e2"/>
        </w:rPr>
        <w:t xml:space="preserve"> </w:t>
      </w:r>
      <w:r>
        <w:rPr>
          <w:rStyle w:val="sb8d990e2"/>
          <w:color w:val="000000"/>
        </w:rPr>
        <w:t xml:space="preserve">bearing in mind that he was detained for more than ten months </w:t>
      </w:r>
      <w:r w:rsidRPr="0067468C">
        <w:rPr>
          <w:rStyle w:val="sb8d990e2"/>
          <w:color w:val="000000"/>
        </w:rPr>
        <w:t xml:space="preserve">(see </w:t>
      </w:r>
      <w:r>
        <w:rPr>
          <w:rStyle w:val="sb8d990e2"/>
          <w:i/>
          <w:color w:val="000000"/>
        </w:rPr>
        <w:t>inter alia,</w:t>
      </w:r>
      <w:r w:rsidRPr="0067468C">
        <w:rPr>
          <w:i/>
          <w:color w:val="000000"/>
          <w:lang w:eastAsia="en-US"/>
        </w:rPr>
        <w:t xml:space="preserve"> S</w:t>
      </w:r>
      <w:r w:rsidRPr="0067468C">
        <w:rPr>
          <w:i/>
          <w:lang w:eastAsia="en-US"/>
        </w:rPr>
        <w:t>adaykov v. Bulgaria</w:t>
      </w:r>
      <w:r w:rsidRPr="0067468C">
        <w:rPr>
          <w:lang w:eastAsia="en-US"/>
        </w:rPr>
        <w:t>, no. 75157/01, § 33, 22 May 2008;</w:t>
      </w:r>
      <w:r>
        <w:rPr>
          <w:lang w:eastAsia="en-US"/>
        </w:rPr>
        <w:t xml:space="preserve"> </w:t>
      </w:r>
      <w:r w:rsidRPr="0067468C">
        <w:rPr>
          <w:rStyle w:val="s6b621b36"/>
          <w:i/>
        </w:rPr>
        <w:t>Čonka</w:t>
      </w:r>
      <w:r w:rsidRPr="0067468C">
        <w:rPr>
          <w:rStyle w:val="sb8d990e2"/>
          <w:i/>
        </w:rPr>
        <w:t>,</w:t>
      </w:r>
      <w:r w:rsidRPr="0067468C">
        <w:rPr>
          <w:rStyle w:val="sb8d990e2"/>
        </w:rPr>
        <w:t xml:space="preserve"> cited above, § </w:t>
      </w:r>
      <w:r w:rsidRPr="00B30E5B">
        <w:rPr>
          <w:rStyle w:val="sb8d990e2"/>
        </w:rPr>
        <w:t xml:space="preserve">55, </w:t>
      </w:r>
      <w:r w:rsidRPr="00B30E5B">
        <w:rPr>
          <w:rStyle w:val="s6b621b36"/>
          <w:i/>
        </w:rPr>
        <w:t>in limine</w:t>
      </w:r>
      <w:r w:rsidRPr="00057411">
        <w:rPr>
          <w:rStyle w:val="s6b621b36"/>
        </w:rPr>
        <w:t>;</w:t>
      </w:r>
      <w:r w:rsidRPr="00B30E5B">
        <w:rPr>
          <w:rStyle w:val="s6b621b36"/>
          <w:i/>
        </w:rPr>
        <w:t xml:space="preserve"> </w:t>
      </w:r>
      <w:r w:rsidRPr="00B30E5B">
        <w:rPr>
          <w:rStyle w:val="s6b621b36"/>
        </w:rPr>
        <w:t>and</w:t>
      </w:r>
      <w:r w:rsidRPr="0067468C">
        <w:rPr>
          <w:rStyle w:val="s6b621b36"/>
        </w:rPr>
        <w:t xml:space="preserve"> </w:t>
      </w:r>
      <w:r w:rsidRPr="0067468C">
        <w:rPr>
          <w:i/>
          <w:lang w:eastAsia="en-US"/>
        </w:rPr>
        <w:t>Louled Massoud</w:t>
      </w:r>
      <w:r w:rsidRPr="00057411">
        <w:rPr>
          <w:lang w:eastAsia="en-US"/>
        </w:rPr>
        <w:t>,</w:t>
      </w:r>
      <w:r w:rsidRPr="0067468C">
        <w:rPr>
          <w:i/>
          <w:lang w:eastAsia="en-US"/>
        </w:rPr>
        <w:t xml:space="preserve"> </w:t>
      </w:r>
      <w:r w:rsidRPr="0067468C">
        <w:rPr>
          <w:lang w:eastAsia="en-US"/>
        </w:rPr>
        <w:t>§ 14</w:t>
      </w:r>
      <w:r>
        <w:rPr>
          <w:lang w:eastAsia="en-US"/>
        </w:rPr>
        <w:t>, cited above; see also,</w:t>
      </w:r>
      <w:r w:rsidRPr="0067468C">
        <w:rPr>
          <w:lang w:eastAsia="en-US"/>
        </w:rPr>
        <w:t xml:space="preserve"> </w:t>
      </w:r>
      <w:r w:rsidRPr="0067468C">
        <w:rPr>
          <w:i/>
          <w:lang w:eastAsia="en-US"/>
        </w:rPr>
        <w:t>mutatis mutandis</w:t>
      </w:r>
      <w:r>
        <w:rPr>
          <w:i/>
          <w:lang w:eastAsia="en-US"/>
        </w:rPr>
        <w:t>,</w:t>
      </w:r>
      <w:r w:rsidRPr="0067468C">
        <w:rPr>
          <w:lang w:eastAsia="en-US"/>
        </w:rPr>
        <w:t xml:space="preserve"> </w:t>
      </w:r>
      <w:r w:rsidRPr="00490446">
        <w:rPr>
          <w:i/>
        </w:rPr>
        <w:t xml:space="preserve">Kormoš </w:t>
      </w:r>
      <w:r w:rsidRPr="00490446">
        <w:rPr>
          <w:i/>
          <w:szCs w:val="24"/>
          <w:lang w:eastAsia="en-US"/>
        </w:rPr>
        <w:t>v</w:t>
      </w:r>
      <w:r w:rsidRPr="00490446">
        <w:rPr>
          <w:i/>
          <w:lang w:eastAsia="en-US"/>
        </w:rPr>
        <w:t>. Slovakia</w:t>
      </w:r>
      <w:r w:rsidRPr="00490446">
        <w:rPr>
          <w:lang w:eastAsia="en-US"/>
        </w:rPr>
        <w:t>, no. 46092/06</w:t>
      </w:r>
      <w:r w:rsidRPr="00490446">
        <w:rPr>
          <w:szCs w:val="24"/>
          <w:lang w:val="pt-BR" w:eastAsia="en-US"/>
        </w:rPr>
        <w:t xml:space="preserve">, §§ </w:t>
      </w:r>
      <w:r>
        <w:rPr>
          <w:szCs w:val="24"/>
          <w:lang w:val="pt-BR" w:eastAsia="en-US"/>
        </w:rPr>
        <w:t>93-94</w:t>
      </w:r>
      <w:r w:rsidRPr="00490446">
        <w:rPr>
          <w:szCs w:val="24"/>
          <w:lang w:val="pt-BR" w:eastAsia="en-US"/>
        </w:rPr>
        <w:t>, 8</w:t>
      </w:r>
      <w:r>
        <w:rPr>
          <w:snapToGrid w:val="0"/>
          <w:szCs w:val="24"/>
          <w:lang w:val="pt-BR" w:eastAsia="en-US"/>
        </w:rPr>
        <w:t> </w:t>
      </w:r>
      <w:r w:rsidRPr="00490446">
        <w:rPr>
          <w:snapToGrid w:val="0"/>
          <w:szCs w:val="24"/>
          <w:lang w:val="pt-BR" w:eastAsia="en-US"/>
        </w:rPr>
        <w:t>November 2011</w:t>
      </w:r>
      <w:r>
        <w:rPr>
          <w:snapToGrid w:val="0"/>
          <w:szCs w:val="24"/>
          <w:lang w:val="pt-BR" w:eastAsia="en-US"/>
        </w:rPr>
        <w:t>).</w:t>
      </w:r>
    </w:p>
    <w:p w:rsidRPr="00E1772C"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165</w:t>
      </w:r>
      <w:r>
        <w:rPr>
          <w:rStyle w:val="sb8d990e2"/>
        </w:rPr>
        <w:fldChar w:fldCharType="end"/>
      </w:r>
      <w:r>
        <w:rPr>
          <w:rStyle w:val="sb8d990e2"/>
        </w:rPr>
        <w:t>.  The Court notes</w:t>
      </w:r>
      <w:r>
        <w:t xml:space="preserve"> that under domestic law, the lawfulness of deportati</w:t>
      </w:r>
      <w:r w:rsidRPr="001962B2">
        <w:t xml:space="preserve">on and detention </w:t>
      </w:r>
      <w:r>
        <w:t>can only be examined in the context of a recourse brought under Article 146 of the Constitution within the required time-</w:t>
      </w:r>
      <w:r w:rsidRPr="000B7F4D">
        <w:t xml:space="preserve">limit </w:t>
      </w:r>
      <w:r w:rsidRPr="006D5046">
        <w:t>(see paragraphs 67-70 above).</w:t>
      </w:r>
      <w:r w:rsidRPr="000B7F4D">
        <w:t xml:space="preserve"> </w:t>
      </w:r>
      <w:r w:rsidRPr="00E1772C">
        <w:rPr>
          <w:rStyle w:val="sb8d990e2"/>
        </w:rPr>
        <w:t xml:space="preserve">The Court </w:t>
      </w:r>
      <w:r w:rsidRPr="00E1772C">
        <w:t>has already examined the effectiveness of this remedy in so far as deportation is concerned for the purposes of Article 13 taken together with Articles</w:t>
      </w:r>
      <w:r>
        <w:t xml:space="preserve"> </w:t>
      </w:r>
      <w:r w:rsidRPr="00E1772C">
        <w:t>2</w:t>
      </w:r>
      <w:r>
        <w:t xml:space="preserve"> </w:t>
      </w:r>
      <w:r w:rsidRPr="00E1772C">
        <w:t>and 3. It must, however, now consider in so far as detention is concerned whether it meets the requirements of Article 5 § 4 of the Convention.</w:t>
      </w:r>
    </w:p>
    <w:p w:rsidRPr="002B2CC4"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166</w:t>
      </w:r>
      <w:r>
        <w:fldChar w:fldCharType="end"/>
      </w:r>
      <w:r>
        <w:t xml:space="preserve">.  The applicant did not make use of this remedy to challenge the </w:t>
      </w:r>
      <w:r w:rsidRPr="002B2CC4">
        <w:t>detention orders issued against him as he claimed that</w:t>
      </w:r>
      <w:r w:rsidRPr="002B2CC4">
        <w:rPr>
          <w:rStyle w:val="sb8d990e2"/>
        </w:rPr>
        <w:t xml:space="preserve"> it was deficient in speed and scope for the purposes of </w:t>
      </w:r>
      <w:r w:rsidRPr="002B2CC4">
        <w:t>Article 5 § 4.</w:t>
      </w:r>
    </w:p>
    <w:p w:rsidR="00FA0835" w:rsidP="00FA0835" w:rsidRDefault="00FA0835">
      <w:pPr>
        <w:pStyle w:val="JuPara"/>
        <w:rPr>
          <w:rStyle w:val="sb8d990e2"/>
        </w:rPr>
      </w:pPr>
      <w:r w:rsidRPr="002B2CC4">
        <w:rPr>
          <w:rStyle w:val="sb8d990e2"/>
        </w:rPr>
        <w:fldChar w:fldCharType="begin"/>
      </w:r>
      <w:r w:rsidRPr="002B2CC4">
        <w:rPr>
          <w:rStyle w:val="sb8d990e2"/>
        </w:rPr>
        <w:instrText xml:space="preserve"> SEQ level0 \*arabic </w:instrText>
      </w:r>
      <w:r w:rsidRPr="002B2CC4">
        <w:rPr>
          <w:rStyle w:val="sb8d990e2"/>
        </w:rPr>
        <w:fldChar w:fldCharType="separate"/>
      </w:r>
      <w:r w:rsidR="00C5470A">
        <w:rPr>
          <w:rStyle w:val="sb8d990e2"/>
          <w:noProof/>
        </w:rPr>
        <w:t>167</w:t>
      </w:r>
      <w:r w:rsidRPr="002B2CC4">
        <w:rPr>
          <w:rStyle w:val="sb8d990e2"/>
        </w:rPr>
        <w:fldChar w:fldCharType="end"/>
      </w:r>
      <w:r w:rsidRPr="002B2CC4">
        <w:rPr>
          <w:rStyle w:val="sb8d990e2"/>
        </w:rPr>
        <w:t>.  As regards the requirement of “speediness”, the Court notes that according to the Government</w:t>
      </w:r>
      <w:r w:rsidR="00A7319E">
        <w:rPr>
          <w:rStyle w:val="sb8d990e2"/>
        </w:rPr>
        <w:t>’</w:t>
      </w:r>
      <w:r w:rsidRPr="002B2CC4">
        <w:rPr>
          <w:rStyle w:val="sb8d990e2"/>
        </w:rPr>
        <w:t xml:space="preserve">s submissions the </w:t>
      </w:r>
      <w:r w:rsidRPr="002B2CC4">
        <w:t xml:space="preserve">average length of a recourse challenging the lawfulness of </w:t>
      </w:r>
      <w:r>
        <w:t xml:space="preserve">a </w:t>
      </w:r>
      <w:r w:rsidRPr="002B2CC4">
        <w:t xml:space="preserve">detention order, as also, at the same time, of </w:t>
      </w:r>
      <w:r>
        <w:t xml:space="preserve">a </w:t>
      </w:r>
      <w:r w:rsidRPr="002B2CC4">
        <w:t>deportation order, is eight</w:t>
      </w:r>
      <w:r>
        <w:t xml:space="preserve"> </w:t>
      </w:r>
      <w:r w:rsidRPr="00E72ABC">
        <w:t>months</w:t>
      </w:r>
      <w:r>
        <w:t xml:space="preserve"> at first instance </w:t>
      </w:r>
      <w:r w:rsidRPr="006D5046">
        <w:t>(see paragraph</w:t>
      </w:r>
      <w:r>
        <w:t> </w:t>
      </w:r>
      <w:r w:rsidRPr="006D5046">
        <w:t>159</w:t>
      </w:r>
      <w:r>
        <w:t xml:space="preserve"> </w:t>
      </w:r>
      <w:r w:rsidRPr="006D5046">
        <w:t>above).</w:t>
      </w:r>
      <w:r w:rsidRPr="005D791C">
        <w:t xml:space="preserve"> </w:t>
      </w:r>
      <w:r w:rsidRPr="005D791C">
        <w:rPr>
          <w:rStyle w:val="sb8d990e2"/>
        </w:rPr>
        <w:t xml:space="preserve">This is undoubtedly </w:t>
      </w:r>
      <w:r>
        <w:rPr>
          <w:rStyle w:val="sb8d990e2"/>
        </w:rPr>
        <w:t>far too long for the purposes of Article 5 § 4.</w:t>
      </w:r>
    </w:p>
    <w:p w:rsidRPr="00A34CFA" w:rsidR="00FA0835" w:rsidP="00FA0835" w:rsidRDefault="00FA0835">
      <w:pPr>
        <w:pStyle w:val="JuPara"/>
        <w:rPr>
          <w:rStyle w:val="sb8d990e2"/>
          <w:b/>
          <w:highlight w:val="yellow"/>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168</w:t>
      </w:r>
      <w:r>
        <w:rPr>
          <w:rStyle w:val="sb8d990e2"/>
        </w:rPr>
        <w:fldChar w:fldCharType="end"/>
      </w:r>
      <w:r>
        <w:rPr>
          <w:rStyle w:val="sb8d990e2"/>
        </w:rPr>
        <w:t>.  </w:t>
      </w:r>
      <w:r>
        <w:t>The Court has also examined the examples relied on by the Government in support of their contention that such proceedings can be expedited</w:t>
      </w:r>
      <w:r w:rsidRPr="00525A65">
        <w:t xml:space="preserve">. </w:t>
      </w:r>
      <w:r w:rsidRPr="005F5FAC">
        <w:t>These, however, are not at all satisfactory</w:t>
      </w:r>
      <w:r>
        <w:t>,</w:t>
      </w:r>
      <w:r w:rsidRPr="005F5FAC">
        <w:t xml:space="preserve"> even though the proceedings were of a lesser duration than the average given. The Court observes in this connection that the shortest time taken for the proceedings in these examples lasted one month and seventeen days and two months and twenty days respectively (see paragraphs 77-78 above). The</w:t>
      </w:r>
      <w:r>
        <w:t>se periods</w:t>
      </w:r>
      <w:r w:rsidRPr="005F5FAC">
        <w:t xml:space="preserve"> are still excessive</w:t>
      </w:r>
      <w:r>
        <w:t>,</w:t>
      </w:r>
      <w:r w:rsidRPr="005F5FAC">
        <w:t xml:space="preserve"> bearing in mind</w:t>
      </w:r>
      <w:r w:rsidRPr="005F5FAC">
        <w:rPr>
          <w:b/>
          <w:color w:val="0000FF"/>
        </w:rPr>
        <w:t xml:space="preserve"> </w:t>
      </w:r>
      <w:r w:rsidRPr="005F5FAC">
        <w:t>the strict standards set down by the Court in its case-law (see paragraph 162 above) and</w:t>
      </w:r>
      <w:r w:rsidRPr="005F5FAC">
        <w:rPr>
          <w:b/>
          <w:color w:val="0000FF"/>
        </w:rPr>
        <w:t xml:space="preserve"> </w:t>
      </w:r>
      <w:r w:rsidRPr="005F5FAC">
        <w:t xml:space="preserve">the fact that they ended due to a withdrawal of the recourse by the persons concerned, without judgment </w:t>
      </w:r>
      <w:r>
        <w:t>having been</w:t>
      </w:r>
      <w:r w:rsidRPr="005F5FAC">
        <w:t xml:space="preserve"> given on the lawfulness of the decisions to deport and detain</w:t>
      </w:r>
      <w:r>
        <w:t xml:space="preserve"> them</w:t>
      </w:r>
      <w:r w:rsidRPr="005F5FAC">
        <w:t xml:space="preserve">. </w:t>
      </w:r>
      <w:r w:rsidRPr="005F5FAC">
        <w:rPr>
          <w:rStyle w:val="sb8d990e2"/>
        </w:rPr>
        <w:t>Not</w:t>
      </w:r>
      <w:r w:rsidRPr="009750DB">
        <w:rPr>
          <w:rStyle w:val="sb8d990e2"/>
        </w:rPr>
        <w:t xml:space="preserve"> even </w:t>
      </w:r>
      <w:r>
        <w:rPr>
          <w:rStyle w:val="sb8d990e2"/>
        </w:rPr>
        <w:t>one</w:t>
      </w:r>
      <w:r w:rsidRPr="009750DB">
        <w:rPr>
          <w:rStyle w:val="sb8d990e2"/>
        </w:rPr>
        <w:t xml:space="preserve"> hearing had been held within the respective periods. The Court also notes that the applicants in these cases had to reach </w:t>
      </w:r>
      <w:r>
        <w:rPr>
          <w:rStyle w:val="sb8d990e2"/>
        </w:rPr>
        <w:t>an agreement</w:t>
      </w:r>
      <w:r w:rsidRPr="009750DB">
        <w:rPr>
          <w:rStyle w:val="sb8d990e2"/>
        </w:rPr>
        <w:t xml:space="preserve"> with the Government in order to expedite the proceedings. The Court reiterates in this respect that under Article</w:t>
      </w:r>
      <w:r>
        <w:rPr>
          <w:rStyle w:val="sb8d990e2"/>
        </w:rPr>
        <w:t xml:space="preserve"> </w:t>
      </w:r>
      <w:r w:rsidRPr="009750DB">
        <w:rPr>
          <w:rStyle w:val="sb8d990e2"/>
        </w:rPr>
        <w:t>5</w:t>
      </w:r>
      <w:r>
        <w:rPr>
          <w:rStyle w:val="sb8d990e2"/>
        </w:rPr>
        <w:t xml:space="preserve"> </w:t>
      </w:r>
      <w:r w:rsidRPr="009750DB">
        <w:rPr>
          <w:rStyle w:val="sb8d990e2"/>
        </w:rPr>
        <w:t>§</w:t>
      </w:r>
      <w:r>
        <w:rPr>
          <w:rStyle w:val="sb8d990e2"/>
        </w:rPr>
        <w:t xml:space="preserve"> </w:t>
      </w:r>
      <w:r w:rsidRPr="009750DB">
        <w:rPr>
          <w:rStyle w:val="sb8d990e2"/>
        </w:rPr>
        <w:t xml:space="preserve">4 of the Convention </w:t>
      </w:r>
      <w:r>
        <w:rPr>
          <w:rStyle w:val="sb8d990e2"/>
        </w:rPr>
        <w:t xml:space="preserve">the existence of </w:t>
      </w:r>
      <w:r w:rsidRPr="009750DB">
        <w:rPr>
          <w:rStyle w:val="sb8d990e2"/>
        </w:rPr>
        <w:t>domestic remedies must be sufficiently certain (</w:t>
      </w:r>
      <w:r w:rsidRPr="009750DB">
        <w:rPr>
          <w:rStyle w:val="s6b621b36"/>
        </w:rPr>
        <w:t xml:space="preserve">see paragraph 160 above) </w:t>
      </w:r>
      <w:r w:rsidRPr="009750DB">
        <w:rPr>
          <w:rStyle w:val="sb8d990e2"/>
        </w:rPr>
        <w:t>and that “speediness” is an indispensable requirement of that provision</w:t>
      </w:r>
      <w:r>
        <w:rPr>
          <w:rStyle w:val="sb8d990e2"/>
        </w:rPr>
        <w:t>,</w:t>
      </w:r>
      <w:r w:rsidRPr="009750DB">
        <w:rPr>
          <w:rStyle w:val="sb8d990e2"/>
        </w:rPr>
        <w:t xml:space="preserve"> which does not depend on the parties reaching an agreement in the proceedings</w:t>
      </w:r>
      <w:r w:rsidRPr="00A34CFA">
        <w:rPr>
          <w:rStyle w:val="sb8d990e2"/>
        </w:rPr>
        <w:t>.</w:t>
      </w:r>
    </w:p>
    <w:p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169</w:t>
      </w:r>
      <w:r>
        <w:rPr>
          <w:rStyle w:val="sb8d990e2"/>
        </w:rPr>
        <w:fldChar w:fldCharType="end"/>
      </w:r>
      <w:r>
        <w:rPr>
          <w:rStyle w:val="sb8d990e2"/>
        </w:rPr>
        <w:t xml:space="preserve">. </w:t>
      </w:r>
      <w:r>
        <w:t>In view of the above considerations, the Court finds that pursuing a recourse would not have provided the applicant with a speedy review of the lawfulness of the decision to detain him, as required by Article</w:t>
      </w:r>
      <w:r w:rsidRPr="00020179">
        <w:t xml:space="preserve"> </w:t>
      </w:r>
      <w:r>
        <w:t>5 § 4 of the Convention</w:t>
      </w:r>
      <w:r w:rsidRPr="009A5002">
        <w:t xml:space="preserve">. It </w:t>
      </w:r>
      <w:r>
        <w:t>is</w:t>
      </w:r>
      <w:r w:rsidRPr="009A5002">
        <w:t xml:space="preserve"> therefore</w:t>
      </w:r>
      <w:r>
        <w:t xml:space="preserve"> unable to</w:t>
      </w:r>
      <w:r w:rsidRPr="009A5002">
        <w:t xml:space="preserve"> agree with the Government that the applicant should have tried </w:t>
      </w:r>
      <w:r>
        <w:t>that</w:t>
      </w:r>
      <w:r w:rsidRPr="009A5002">
        <w:t xml:space="preserve"> remedy.</w:t>
      </w:r>
    </w:p>
    <w:p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170</w:t>
      </w:r>
      <w:r>
        <w:rPr>
          <w:rStyle w:val="sb8d990e2"/>
        </w:rPr>
        <w:fldChar w:fldCharType="end"/>
      </w:r>
      <w:r>
        <w:rPr>
          <w:rStyle w:val="sb8d990e2"/>
        </w:rPr>
        <w:t>.  Accordingly, the Court concludes that there has been a violation of Article 5 § 4 of the Convention.</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171</w:t>
      </w:r>
      <w:r>
        <w:fldChar w:fldCharType="end"/>
      </w:r>
      <w:r>
        <w:t>.  </w:t>
      </w:r>
      <w:r>
        <w:rPr>
          <w:rStyle w:val="sb8d990e2"/>
        </w:rPr>
        <w:t xml:space="preserve">Having regard to this finding, </w:t>
      </w:r>
      <w:r>
        <w:rPr>
          <w:rStyle w:val="wordhighlighted"/>
        </w:rPr>
        <w:t>the Court does not consider it necessary to examine</w:t>
      </w:r>
      <w:r>
        <w:rPr>
          <w:rStyle w:val="sb8d990e2"/>
        </w:rPr>
        <w:t xml:space="preserve"> the remainder of the applicant</w:t>
      </w:r>
      <w:r w:rsidR="00A7319E">
        <w:rPr>
          <w:rStyle w:val="sb8d990e2"/>
        </w:rPr>
        <w:t>’</w:t>
      </w:r>
      <w:r>
        <w:rPr>
          <w:rStyle w:val="sb8d990e2"/>
        </w:rPr>
        <w:t xml:space="preserve">s complaints concerning the judicial review proceedings </w:t>
      </w:r>
      <w:r w:rsidRPr="000B7F4D">
        <w:rPr>
          <w:rStyle w:val="sb8d990e2"/>
        </w:rPr>
        <w:t xml:space="preserve">(see paragraphs </w:t>
      </w:r>
      <w:r>
        <w:rPr>
          <w:rStyle w:val="sb8d990e2"/>
        </w:rPr>
        <w:t>154-155</w:t>
      </w:r>
      <w:r w:rsidRPr="000B7F4D">
        <w:rPr>
          <w:rStyle w:val="sb8d990e2"/>
        </w:rPr>
        <w:t xml:space="preserve"> above) and</w:t>
      </w:r>
      <w:r>
        <w:rPr>
          <w:rStyle w:val="sb8d990e2"/>
        </w:rPr>
        <w:t xml:space="preserve"> those subsequently raised in his observations in relation to the habeas corpus </w:t>
      </w:r>
      <w:r w:rsidRPr="000B7F4D">
        <w:rPr>
          <w:rStyle w:val="sb8d990e2"/>
        </w:rPr>
        <w:t xml:space="preserve">proceedings (see paragraph </w:t>
      </w:r>
      <w:r>
        <w:rPr>
          <w:rStyle w:val="sb8d990e2"/>
        </w:rPr>
        <w:t>156</w:t>
      </w:r>
      <w:r w:rsidRPr="000B7F4D">
        <w:rPr>
          <w:rStyle w:val="sb8d990e2"/>
        </w:rPr>
        <w:t xml:space="preserve"> above).</w:t>
      </w:r>
    </w:p>
    <w:p w:rsidRPr="0011250F" w:rsidR="00FA0835" w:rsidP="00FA0835" w:rsidRDefault="00FA0835">
      <w:pPr>
        <w:pStyle w:val="JuHIRoman"/>
      </w:pPr>
      <w:r>
        <w:t>IV.  ALLEGED VIOLATION OF ARTICLE 5 § 1 O</w:t>
      </w:r>
      <w:r w:rsidRPr="0011250F">
        <w:t>F THE CONVENTION</w:t>
      </w:r>
    </w:p>
    <w:p w:rsidRPr="00D875D2"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172</w:t>
      </w:r>
      <w:r w:rsidRPr="0011250F">
        <w:fldChar w:fldCharType="end"/>
      </w:r>
      <w:r w:rsidRPr="0011250F">
        <w:t>.  </w:t>
      </w:r>
      <w:r w:rsidRPr="00D875D2">
        <w:t xml:space="preserve">The applicant further </w:t>
      </w:r>
      <w:r w:rsidRPr="00E45C86">
        <w:t>complained that his detention had been unlawful and therefore in breach of Article 5 § 1 (f) of the Convention</w:t>
      </w:r>
      <w:r w:rsidRPr="00D875D2">
        <w:t>, which</w:t>
      </w:r>
      <w:r>
        <w:t>,</w:t>
      </w:r>
      <w:r w:rsidRPr="00D875D2">
        <w:t xml:space="preserve"> in so far as relevant</w:t>
      </w:r>
      <w:r>
        <w:t>,</w:t>
      </w:r>
      <w:r w:rsidRPr="00D875D2">
        <w:t xml:space="preserve"> reads as follows:</w:t>
      </w:r>
    </w:p>
    <w:p w:rsidRPr="006B2362" w:rsidR="00FA0835" w:rsidP="00FA0835" w:rsidRDefault="00FA0835">
      <w:pPr>
        <w:pStyle w:val="JuQuot"/>
      </w:pPr>
      <w:r w:rsidRPr="006B2362">
        <w:t>“1.  Everyone has the right to liberty and security of person. No one shall be deprived of his liberty save in the following cases and in accordance with a procedure prescribed by law:</w:t>
      </w:r>
    </w:p>
    <w:p w:rsidRPr="006B2362" w:rsidR="00FA0835" w:rsidP="00FA0835" w:rsidRDefault="00FA0835">
      <w:pPr>
        <w:pStyle w:val="JuQuot"/>
      </w:pPr>
      <w:r>
        <w:t>...</w:t>
      </w:r>
    </w:p>
    <w:p w:rsidR="00FA0835" w:rsidP="00FA0835" w:rsidRDefault="00FA0835">
      <w:pPr>
        <w:pStyle w:val="JuQuot"/>
      </w:pPr>
      <w:r w:rsidRPr="006B2362">
        <w:t>(f)  the lawful arrest or detention of a person to prevent his effecting an unauthorised entry into the country or of a person against whom action is being taken with a view to deportation or extradition.”</w:t>
      </w:r>
    </w:p>
    <w:p w:rsidR="00FA0835" w:rsidP="00FA0835" w:rsidRDefault="00FA0835">
      <w:pPr>
        <w:pStyle w:val="JuHA"/>
      </w:pPr>
      <w:r>
        <w:t>A.</w:t>
      </w:r>
      <w:r w:rsidRPr="0011250F">
        <w:t>  </w:t>
      </w:r>
      <w:r>
        <w:t>The parties</w:t>
      </w:r>
      <w:r w:rsidR="00A7319E">
        <w:t>’</w:t>
      </w:r>
      <w:r>
        <w:t xml:space="preserve"> submissions</w:t>
      </w:r>
    </w:p>
    <w:p w:rsidR="00FA0835" w:rsidP="00FA0835" w:rsidRDefault="00FA0835">
      <w:pPr>
        <w:pStyle w:val="JuH1"/>
      </w:pPr>
      <w:r>
        <w:t>1.  The applicant</w:t>
      </w:r>
    </w:p>
    <w:p w:rsidR="00FA0835" w:rsidP="00FA0835" w:rsidRDefault="00FA0835">
      <w:pPr>
        <w:pStyle w:val="JuPara"/>
      </w:pPr>
      <w:r>
        <w:fldChar w:fldCharType="begin"/>
      </w:r>
      <w:r>
        <w:instrText xml:space="preserve"> SEQ level0 \*arabic </w:instrText>
      </w:r>
      <w:r>
        <w:fldChar w:fldCharType="separate"/>
      </w:r>
      <w:r w:rsidR="00C5470A">
        <w:rPr>
          <w:noProof/>
        </w:rPr>
        <w:t>173</w:t>
      </w:r>
      <w:r>
        <w:fldChar w:fldCharType="end"/>
      </w:r>
      <w:r>
        <w:t xml:space="preserve">. The applicant submitted that his detention from 11 June 2010 </w:t>
      </w:r>
      <w:r w:rsidRPr="000C22CC">
        <w:t xml:space="preserve">until </w:t>
      </w:r>
      <w:r>
        <w:t>3 </w:t>
      </w:r>
      <w:r w:rsidRPr="000C22CC">
        <w:t xml:space="preserve">May 2011 had been arbitrary and contrary to Article </w:t>
      </w:r>
      <w:r w:rsidRPr="00961CBE">
        <w:t>5 § 1</w:t>
      </w:r>
      <w:r>
        <w:t xml:space="preserve"> (f)</w:t>
      </w:r>
      <w:r w:rsidRPr="000C22CC">
        <w:t xml:space="preserve"> of the</w:t>
      </w:r>
      <w:r>
        <w:t xml:space="preserve"> Convention. First of all, he had been arrested on the above-mentioned date without a warrant even though he had not been arrested for committing a flagrant offence. Although the authorities claimed that the protesters, including the applicant, had committed a number of offences under, for example, the Public Roads Law, they had not arrested them on such grounds. Further, the authorities did not know at the time the names and particulars of the protesters and </w:t>
      </w:r>
      <w:r w:rsidRPr="001B612D">
        <w:t>could not therefore have known</w:t>
      </w:r>
      <w:r>
        <w:t xml:space="preserve"> whether they had been </w:t>
      </w:r>
      <w:r w:rsidRPr="0077118E">
        <w:t>staying in Cyprus</w:t>
      </w:r>
      <w:r w:rsidRPr="008D6FE4">
        <w:t xml:space="preserve"> </w:t>
      </w:r>
      <w:r>
        <w:t>unlawfully. Consequently, until the deportation and detention orders were issued against him, his arrest and detention had not been in conformity with the procedural requirements of domestic law and Article 11 (3) of the Constitution (see paragraph 88 above). The applicant noted in this respect that in the light of the Government</w:t>
      </w:r>
      <w:r w:rsidR="00A7319E">
        <w:t>’</w:t>
      </w:r>
      <w:r>
        <w:t>s observations it was not at all clear on what grounds he had actually been arrested and detained during this period.</w:t>
      </w:r>
    </w:p>
    <w:p w:rsidR="00FA0835" w:rsidP="00FA0835" w:rsidRDefault="00FA0835">
      <w:pPr>
        <w:pStyle w:val="JuPara"/>
      </w:pPr>
      <w:r w:rsidRPr="0077118E">
        <w:fldChar w:fldCharType="begin"/>
      </w:r>
      <w:r w:rsidRPr="0077118E">
        <w:instrText xml:space="preserve"> SEQ level0 \*arabic </w:instrText>
      </w:r>
      <w:r w:rsidRPr="0077118E">
        <w:fldChar w:fldCharType="separate"/>
      </w:r>
      <w:r w:rsidR="00C5470A">
        <w:rPr>
          <w:noProof/>
        </w:rPr>
        <w:t>174</w:t>
      </w:r>
      <w:r w:rsidRPr="0077118E">
        <w:fldChar w:fldCharType="end"/>
      </w:r>
      <w:r w:rsidRPr="0077118E">
        <w:t>.  Second</w:t>
      </w:r>
      <w:r>
        <w:t>ly</w:t>
      </w:r>
      <w:r w:rsidRPr="0077118E">
        <w:t xml:space="preserve">, the authorities had proceeded to issue deportation and detention orders against him under the Aliens and Immigration Law on the basis that he </w:t>
      </w:r>
      <w:r>
        <w:t>was</w:t>
      </w:r>
      <w:r w:rsidRPr="0077118E">
        <w:t xml:space="preserve"> an unlawful immigrant. Yet, according to the domestic law, the applicant had been lawfully residing in Cyprus as his asylum application </w:t>
      </w:r>
      <w:r>
        <w:t>was</w:t>
      </w:r>
      <w:r w:rsidRPr="0077118E">
        <w:t xml:space="preserve"> still pending </w:t>
      </w:r>
      <w:r>
        <w:t>with</w:t>
      </w:r>
      <w:r w:rsidRPr="0077118E">
        <w:t xml:space="preserve"> the Reviewing Authority. In fact</w:t>
      </w:r>
      <w:r>
        <w:t>,</w:t>
      </w:r>
      <w:r w:rsidRPr="0077118E">
        <w:t xml:space="preserve"> the decision of the Reviewing Authority had been taken on 30 September 2010, that is, more than three months after his arrest. Nonetheless, the applicant had been kept in detention throughout this period.</w:t>
      </w:r>
    </w:p>
    <w:p w:rsidRPr="006D5046" w:rsidR="00FA0835" w:rsidP="00FA0835" w:rsidRDefault="00FA0835">
      <w:pPr>
        <w:pStyle w:val="JuPara"/>
      </w:pPr>
      <w:r>
        <w:fldChar w:fldCharType="begin"/>
      </w:r>
      <w:r>
        <w:instrText xml:space="preserve"> SEQ level0 \*arabic </w:instrText>
      </w:r>
      <w:r>
        <w:fldChar w:fldCharType="separate"/>
      </w:r>
      <w:r w:rsidR="00C5470A">
        <w:rPr>
          <w:noProof/>
        </w:rPr>
        <w:t>175</w:t>
      </w:r>
      <w:r>
        <w:fldChar w:fldCharType="end"/>
      </w:r>
      <w:r>
        <w:t>.  Thirdly, the new orders issued by the authorities on 20 August 2010 on public order grounds had been completely unjustified. The Government pleaded that the applicant had been dangerous to the public order and the security of the Republic but did not put forward any justification or evidence in this respect. In the applicant</w:t>
      </w:r>
      <w:r w:rsidR="00A7319E">
        <w:t>’</w:t>
      </w:r>
      <w:r>
        <w:t>s view the authorities had acted in bad faith and/or on the basis of misinformation</w:t>
      </w:r>
      <w:r w:rsidRPr="0077118E">
        <w:t>. Furthermore</w:t>
      </w:r>
      <w:r>
        <w:t>, tho</w:t>
      </w:r>
      <w:r w:rsidRPr="0077118E">
        <w:t xml:space="preserve">se orders had never been communicated to the applicant in accordance with </w:t>
      </w:r>
      <w:r>
        <w:t>s</w:t>
      </w:r>
      <w:r w:rsidRPr="0077118E">
        <w:t>ection</w:t>
      </w:r>
      <w:r>
        <w:t> </w:t>
      </w:r>
      <w:r w:rsidRPr="0077118E">
        <w:t>14 (6) of the Aliens and Immigration Law.</w:t>
      </w:r>
      <w:r>
        <w:t xml:space="preserve"> The applicant found out about the decision of the Minister of the Interior when he received a copy of the Government</w:t>
      </w:r>
      <w:r w:rsidR="00A7319E">
        <w:t>’</w:t>
      </w:r>
      <w:r>
        <w:t xml:space="preserve">s letter of 12 October 2010 to the Court informing the latter of the </w:t>
      </w:r>
      <w:r w:rsidRPr="008E08D3">
        <w:t>issuance of these orders (</w:t>
      </w:r>
      <w:r w:rsidRPr="006D5046">
        <w:t>see paragraph</w:t>
      </w:r>
      <w:r>
        <w:t>s</w:t>
      </w:r>
      <w:r w:rsidRPr="006D5046">
        <w:t xml:space="preserve"> 47</w:t>
      </w:r>
      <w:r>
        <w:t>-48</w:t>
      </w:r>
      <w:r w:rsidRPr="006D5046">
        <w:t xml:space="preserve"> above).</w:t>
      </w:r>
    </w:p>
    <w:p w:rsidR="00FA0835" w:rsidP="00FA0835" w:rsidRDefault="00FA0835">
      <w:pPr>
        <w:pStyle w:val="JuPara"/>
        <w:rPr>
          <w:rStyle w:val="sb8d990e2"/>
        </w:rPr>
      </w:pPr>
      <w:r w:rsidRPr="006D5046">
        <w:fldChar w:fldCharType="begin"/>
      </w:r>
      <w:r w:rsidRPr="006D5046">
        <w:instrText xml:space="preserve"> SEQ level0 \*arabic </w:instrText>
      </w:r>
      <w:r w:rsidRPr="006D5046">
        <w:fldChar w:fldCharType="separate"/>
      </w:r>
      <w:r w:rsidR="00C5470A">
        <w:rPr>
          <w:noProof/>
        </w:rPr>
        <w:t>176</w:t>
      </w:r>
      <w:r w:rsidRPr="006D5046">
        <w:fldChar w:fldCharType="end"/>
      </w:r>
      <w:r w:rsidRPr="006D5046">
        <w:t>.  </w:t>
      </w:r>
      <w:r w:rsidRPr="006D5046">
        <w:rPr>
          <w:rStyle w:val="sb8d990e2"/>
        </w:rPr>
        <w:t>Even assuming, however, that his detention had been compatible with the domestic law, the applicant considered that it had ceased to be so because of its excessive duration. Unlike in the case</w:t>
      </w:r>
      <w:r>
        <w:rPr>
          <w:rStyle w:val="sb8d990e2"/>
        </w:rPr>
        <w:t xml:space="preserve"> of </w:t>
      </w:r>
      <w:r w:rsidRPr="00D51221">
        <w:rPr>
          <w:rStyle w:val="s6b621b36"/>
          <w:i/>
        </w:rPr>
        <w:t>Chahal v. the United Kingdom</w:t>
      </w:r>
      <w:r>
        <w:rPr>
          <w:rStyle w:val="sb8d990e2"/>
        </w:rPr>
        <w:t xml:space="preserve"> (15 November 1996, </w:t>
      </w:r>
      <w:r w:rsidRPr="000F28DA">
        <w:rPr>
          <w:rStyle w:val="s6b621b36"/>
          <w:i/>
        </w:rPr>
        <w:t>Reports</w:t>
      </w:r>
      <w:r>
        <w:rPr>
          <w:rStyle w:val="s6b621b36"/>
        </w:rPr>
        <w:t xml:space="preserve"> </w:t>
      </w:r>
      <w:r>
        <w:rPr>
          <w:rStyle w:val="sb8d990e2"/>
        </w:rPr>
        <w:t>1996</w:t>
      </w:r>
      <w:r>
        <w:rPr>
          <w:rStyle w:val="sb8d990e2"/>
        </w:rPr>
        <w:noBreakHyphen/>
        <w:t>V), the length of detention in his case could not be justified on the basis of any exceptional circumstances. The authorities had not been able to deport the applicant only because of the Court</w:t>
      </w:r>
      <w:r w:rsidR="00A7319E">
        <w:rPr>
          <w:rStyle w:val="sb8d990e2"/>
        </w:rPr>
        <w:t>’</w:t>
      </w:r>
      <w:r>
        <w:rPr>
          <w:rStyle w:val="sb8d990e2"/>
        </w:rPr>
        <w:t xml:space="preserve">s interim measure. In addition, the maximum period of detention of six months, provided for </w:t>
      </w:r>
      <w:r w:rsidRPr="00E72AC3">
        <w:rPr>
          <w:rStyle w:val="sb8d990e2"/>
        </w:rPr>
        <w:t>in Directive 2008/115/</w:t>
      </w:r>
      <w:r w:rsidRPr="00A309D0">
        <w:rPr>
          <w:rStyle w:val="sb8d990e2"/>
        </w:rPr>
        <w:t>EC (see paragraph</w:t>
      </w:r>
      <w:r>
        <w:rPr>
          <w:rStyle w:val="sb8d990e2"/>
        </w:rPr>
        <w:t>s 86 and </w:t>
      </w:r>
      <w:r w:rsidRPr="00A309D0">
        <w:rPr>
          <w:rStyle w:val="sb8d990e2"/>
        </w:rPr>
        <w:t>9</w:t>
      </w:r>
      <w:r>
        <w:rPr>
          <w:rStyle w:val="sb8d990e2"/>
        </w:rPr>
        <w:t>8</w:t>
      </w:r>
      <w:r w:rsidRPr="00A309D0">
        <w:rPr>
          <w:rStyle w:val="sb8d990e2"/>
        </w:rPr>
        <w:t xml:space="preserve"> above)</w:t>
      </w:r>
      <w:r>
        <w:rPr>
          <w:rStyle w:val="sb8d990e2"/>
        </w:rPr>
        <w:t xml:space="preserve"> which had been directly applicable in domestic law, had elapsed. Despite this the authorities had continued to detain him. In the applicant</w:t>
      </w:r>
      <w:r w:rsidR="00A7319E">
        <w:rPr>
          <w:rStyle w:val="sb8d990e2"/>
        </w:rPr>
        <w:t>’</w:t>
      </w:r>
      <w:r>
        <w:rPr>
          <w:rStyle w:val="sb8d990e2"/>
        </w:rPr>
        <w:t>s view, his continued detention could only be considered as a form of punishment. The authorities could have released him and granted him a temporary residence permit on humanitarian grounds pending the examination of his case both domestically and by the Court.</w:t>
      </w:r>
    </w:p>
    <w:p w:rsidR="00FA0835" w:rsidP="00FA0835" w:rsidRDefault="00FA0835">
      <w:pPr>
        <w:pStyle w:val="JuH1"/>
      </w:pPr>
      <w:r>
        <w:t>2.  The Government</w:t>
      </w:r>
    </w:p>
    <w:p w:rsidR="00FA0835" w:rsidP="00FA0835" w:rsidRDefault="00FA0835">
      <w:pPr>
        <w:pStyle w:val="JuPara"/>
      </w:pPr>
      <w:r>
        <w:fldChar w:fldCharType="begin"/>
      </w:r>
      <w:r>
        <w:instrText xml:space="preserve"> SEQ level0 \*arabic </w:instrText>
      </w:r>
      <w:r>
        <w:fldChar w:fldCharType="separate"/>
      </w:r>
      <w:r w:rsidR="00C5470A">
        <w:rPr>
          <w:noProof/>
        </w:rPr>
        <w:t>177</w:t>
      </w:r>
      <w:r>
        <w:fldChar w:fldCharType="end"/>
      </w:r>
      <w:r>
        <w:t>.  </w:t>
      </w:r>
      <w:r w:rsidRPr="00D13D8D">
        <w:t xml:space="preserve">The Government </w:t>
      </w:r>
      <w:r>
        <w:t>submitted</w:t>
      </w:r>
      <w:r w:rsidRPr="00D13D8D">
        <w:t xml:space="preserve"> that an unacceptable situation had been created by the </w:t>
      </w:r>
      <w:r>
        <w:t>protesters</w:t>
      </w:r>
      <w:r w:rsidRPr="00D13D8D">
        <w:t xml:space="preserve"> on one of the busiest streets of Nicosia</w:t>
      </w:r>
      <w:r>
        <w:t>,</w:t>
      </w:r>
      <w:r w:rsidRPr="00D13D8D">
        <w:t xml:space="preserve"> </w:t>
      </w:r>
      <w:r>
        <w:t>on which</w:t>
      </w:r>
      <w:r w:rsidRPr="00D13D8D">
        <w:t xml:space="preserve"> offic</w:t>
      </w:r>
      <w:r>
        <w:t xml:space="preserve">e blocks and public buildings were situated. </w:t>
      </w:r>
      <w:r w:rsidRPr="00D13D8D">
        <w:t xml:space="preserve">It posed a risk to the health of both the public and the </w:t>
      </w:r>
      <w:r>
        <w:t>protesters</w:t>
      </w:r>
      <w:r w:rsidRPr="00D13D8D">
        <w:t xml:space="preserve"> themselves, </w:t>
      </w:r>
      <w:r>
        <w:t xml:space="preserve">it </w:t>
      </w:r>
      <w:r w:rsidRPr="00D13D8D">
        <w:t xml:space="preserve">obstructed the free passage of traffic and pedestrians, </w:t>
      </w:r>
      <w:r>
        <w:t xml:space="preserve">it </w:t>
      </w:r>
      <w:r w:rsidRPr="00D13D8D">
        <w:t xml:space="preserve">caused </w:t>
      </w:r>
      <w:r>
        <w:t xml:space="preserve">a </w:t>
      </w:r>
      <w:r w:rsidRPr="00D13D8D">
        <w:t xml:space="preserve">public nuisance and </w:t>
      </w:r>
      <w:r>
        <w:t xml:space="preserve">it created </w:t>
      </w:r>
      <w:r w:rsidRPr="00D13D8D">
        <w:t>a risk of spreading disease to members of the public who worked and lived in the area and who had complained to the authorities</w:t>
      </w:r>
      <w:r w:rsidRPr="005E6B25">
        <w:t xml:space="preserve">. The </w:t>
      </w:r>
      <w:r>
        <w:t>protesters</w:t>
      </w:r>
      <w:r w:rsidRPr="005E6B25">
        <w:t xml:space="preserve"> had refused to co-operate with the authorities and efforts to persuade them to leave had </w:t>
      </w:r>
      <w:r w:rsidRPr="003D694B">
        <w:t>been to no avail.</w:t>
      </w:r>
    </w:p>
    <w:p w:rsidR="00FA0835" w:rsidP="00FA0835" w:rsidRDefault="00FA0835">
      <w:pPr>
        <w:pStyle w:val="JuPara"/>
      </w:pPr>
      <w:r>
        <w:fldChar w:fldCharType="begin"/>
      </w:r>
      <w:r>
        <w:instrText xml:space="preserve"> SEQ level0 \*arabic </w:instrText>
      </w:r>
      <w:r>
        <w:fldChar w:fldCharType="separate"/>
      </w:r>
      <w:r w:rsidR="00C5470A">
        <w:rPr>
          <w:noProof/>
        </w:rPr>
        <w:t>178</w:t>
      </w:r>
      <w:r>
        <w:fldChar w:fldCharType="end"/>
      </w:r>
      <w:r>
        <w:t xml:space="preserve">.  There had been two avenues open to the authorities: either to arrest the protesters for a number of flagrant criminal offences committed at the place of protest and punishable by imprisonment, for example, </w:t>
      </w:r>
      <w:r w:rsidRPr="00807AF8">
        <w:t xml:space="preserve">under the Public Roads Law (Cap. 83, as amended) and the Prevention of Pollution of Public Roads and Places Law </w:t>
      </w:r>
      <w:r w:rsidRPr="008E08D3">
        <w:t>(Law 19 (I)/92, as amended) (see paragraphs</w:t>
      </w:r>
      <w:r>
        <w:t> 91-92</w:t>
      </w:r>
      <w:r w:rsidRPr="008E08D3">
        <w:t xml:space="preserve"> above), or to take </w:t>
      </w:r>
      <w:r>
        <w:t>measures</w:t>
      </w:r>
      <w:r w:rsidRPr="008E08D3">
        <w:t xml:space="preserve"> </w:t>
      </w:r>
      <w:r>
        <w:t xml:space="preserve">to </w:t>
      </w:r>
      <w:r w:rsidRPr="008E08D3">
        <w:t>peaceful</w:t>
      </w:r>
      <w:r>
        <w:t>ly</w:t>
      </w:r>
      <w:r w:rsidRPr="008E08D3">
        <w:t xml:space="preserve"> remov</w:t>
      </w:r>
      <w:r>
        <w:t>e</w:t>
      </w:r>
      <w:r w:rsidRPr="008E08D3">
        <w:t xml:space="preserve"> the protesters. They had opted for the latter course</w:t>
      </w:r>
      <w:r>
        <w:t xml:space="preserve"> of action in order to avoid a risk of a violent reaction or clashes and to enable a careful examination of the immigration status of each protester. It would have been impossible for the police to do an on-the-spot check</w:t>
      </w:r>
      <w:r w:rsidRPr="005E6B25">
        <w:t xml:space="preserve">. In taking their decision the police had also considered that </w:t>
      </w:r>
      <w:r w:rsidRPr="000F3184">
        <w:t xml:space="preserve">there </w:t>
      </w:r>
      <w:r>
        <w:t>were women and children among</w:t>
      </w:r>
      <w:r w:rsidRPr="005E6B25">
        <w:t xml:space="preserve"> the </w:t>
      </w:r>
      <w:r>
        <w:t>protesters</w:t>
      </w:r>
      <w:r w:rsidRPr="005E6B25">
        <w:t>.</w:t>
      </w:r>
    </w:p>
    <w:p w:rsidR="00FA0835" w:rsidP="00FA0835" w:rsidRDefault="00FA0835">
      <w:pPr>
        <w:pStyle w:val="JuPara"/>
      </w:pPr>
      <w:r>
        <w:fldChar w:fldCharType="begin"/>
      </w:r>
      <w:r>
        <w:instrText xml:space="preserve"> SEQ level0 \*arabic </w:instrText>
      </w:r>
      <w:r>
        <w:fldChar w:fldCharType="separate"/>
      </w:r>
      <w:r w:rsidR="00C5470A">
        <w:rPr>
          <w:noProof/>
        </w:rPr>
        <w:t>179</w:t>
      </w:r>
      <w:r>
        <w:fldChar w:fldCharType="end"/>
      </w:r>
      <w:r>
        <w:t>.  </w:t>
      </w:r>
      <w:r w:rsidRPr="00417366">
        <w:t>The Govern</w:t>
      </w:r>
      <w:r>
        <w:t>ment noted that on 11 June 2010</w:t>
      </w:r>
      <w:r w:rsidRPr="00417366">
        <w:t xml:space="preserve"> the police</w:t>
      </w:r>
      <w:r>
        <w:t>,</w:t>
      </w:r>
      <w:r w:rsidRPr="00417366">
        <w:t xml:space="preserve"> in removing the </w:t>
      </w:r>
      <w:r>
        <w:t>protesters</w:t>
      </w:r>
      <w:r w:rsidRPr="00417366">
        <w:t xml:space="preserve">, including the applicant, had acted in the exercise of their duties under the </w:t>
      </w:r>
      <w:r w:rsidRPr="00957565">
        <w:t xml:space="preserve">Police Law (Law no. 73(I)/2004 as amended) </w:t>
      </w:r>
      <w:r>
        <w:t xml:space="preserve">in order </w:t>
      </w:r>
      <w:r w:rsidRPr="00957565">
        <w:t>t</w:t>
      </w:r>
      <w:r>
        <w:t>o, among</w:t>
      </w:r>
      <w:r w:rsidRPr="00417366">
        <w:t xml:space="preserve"> other things, prevent the commission of crimina</w:t>
      </w:r>
      <w:r>
        <w:t>l offences and public nuisance,</w:t>
      </w:r>
      <w:r w:rsidRPr="00417366">
        <w:t xml:space="preserve"> maintain order </w:t>
      </w:r>
      <w:r>
        <w:t>on</w:t>
      </w:r>
      <w:r w:rsidRPr="00417366">
        <w:t xml:space="preserve"> public roads, streets, passages and places to which the public ha</w:t>
      </w:r>
      <w:r>
        <w:t>d</w:t>
      </w:r>
      <w:r w:rsidRPr="00417366">
        <w:t xml:space="preserve"> access and regulate the maintenance of order in cases of obstruction </w:t>
      </w:r>
      <w:r>
        <w:t>of</w:t>
      </w:r>
      <w:r w:rsidRPr="00417366">
        <w:t xml:space="preserve"> public roads and streets and other places to which the public ha</w:t>
      </w:r>
      <w:r>
        <w:t>d</w:t>
      </w:r>
      <w:r w:rsidRPr="00417366">
        <w:t xml:space="preserve"> </w:t>
      </w:r>
      <w:r w:rsidRPr="008E08D3">
        <w:t xml:space="preserve">access (sections 24(2) and 29(1)(c) and (d) of the Law, see paragraphs </w:t>
      </w:r>
      <w:r>
        <w:t>89-90</w:t>
      </w:r>
      <w:r w:rsidRPr="008E08D3">
        <w:t xml:space="preserve"> above). The</w:t>
      </w:r>
      <w:r w:rsidRPr="00417366">
        <w:t xml:space="preserve"> aim of the police had been to remove the </w:t>
      </w:r>
      <w:r>
        <w:t xml:space="preserve">protesters </w:t>
      </w:r>
      <w:r w:rsidRPr="00417366">
        <w:t xml:space="preserve">peacefully and transfer them to </w:t>
      </w:r>
      <w:r>
        <w:t xml:space="preserve">the ERU </w:t>
      </w:r>
      <w:r w:rsidRPr="00417366">
        <w:t>headquarters in order to question them for the purpose of ascertaining their names and status and</w:t>
      </w:r>
      <w:r>
        <w:t>,</w:t>
      </w:r>
      <w:r w:rsidRPr="00417366">
        <w:t xml:space="preserve"> in particular, to identify those whose asylum applications had been rejected and </w:t>
      </w:r>
      <w:r>
        <w:t xml:space="preserve">who </w:t>
      </w:r>
      <w:r w:rsidRPr="00417366">
        <w:t>were unlawf</w:t>
      </w:r>
      <w:r>
        <w:t xml:space="preserve">ully residing in the Republic. </w:t>
      </w:r>
      <w:r w:rsidRPr="00957565">
        <w:t>The Government considered that it had been completely legitimate, in the course of an operation for the removal of the protesters from the street</w:t>
      </w:r>
      <w:r>
        <w:t>, to also try to identify</w:t>
      </w:r>
      <w:r w:rsidRPr="00957565">
        <w:t xml:space="preserve"> any Kurds from Syria </w:t>
      </w:r>
      <w:r>
        <w:t xml:space="preserve">who had been </w:t>
      </w:r>
      <w:r w:rsidRPr="00957565">
        <w:t>staying in the Republic unlawfully following the rejection of their asylum applications.</w:t>
      </w:r>
    </w:p>
    <w:p w:rsidR="00FA0835" w:rsidP="00FA0835" w:rsidRDefault="00FA0835">
      <w:pPr>
        <w:pStyle w:val="JuPara"/>
      </w:pPr>
      <w:r>
        <w:fldChar w:fldCharType="begin"/>
      </w:r>
      <w:r>
        <w:instrText xml:space="preserve"> SEQ level0 \*arabic </w:instrText>
      </w:r>
      <w:r>
        <w:fldChar w:fldCharType="separate"/>
      </w:r>
      <w:r w:rsidR="00C5470A">
        <w:rPr>
          <w:noProof/>
        </w:rPr>
        <w:t>180</w:t>
      </w:r>
      <w:r>
        <w:fldChar w:fldCharType="end"/>
      </w:r>
      <w:r>
        <w:t>.  </w:t>
      </w:r>
      <w:r w:rsidRPr="00417366">
        <w:t xml:space="preserve">The Government emphasised in this </w:t>
      </w:r>
      <w:r>
        <w:t>regard</w:t>
      </w:r>
      <w:r w:rsidRPr="00417366">
        <w:t xml:space="preserve"> that </w:t>
      </w:r>
      <w:r>
        <w:t>neither the</w:t>
      </w:r>
      <w:r w:rsidRPr="00417366">
        <w:t xml:space="preserve"> applicant</w:t>
      </w:r>
      <w:r>
        <w:t xml:space="preserve"> nor the other protesters had </w:t>
      </w:r>
      <w:r w:rsidRPr="00417366">
        <w:t xml:space="preserve">been deprived of </w:t>
      </w:r>
      <w:r>
        <w:t>their</w:t>
      </w:r>
      <w:r w:rsidRPr="00417366">
        <w:t xml:space="preserve"> liberty when </w:t>
      </w:r>
      <w:r w:rsidRPr="0077118E">
        <w:t>they had been removed from the street and</w:t>
      </w:r>
      <w:r>
        <w:t xml:space="preserve"> taken to the ERU headquarters</w:t>
      </w:r>
      <w:r w:rsidRPr="00206834">
        <w:t xml:space="preserve"> </w:t>
      </w:r>
      <w:r w:rsidRPr="0077118E">
        <w:t xml:space="preserve">along with the other </w:t>
      </w:r>
      <w:r>
        <w:t xml:space="preserve">protesters. Nor had they been deprived of their liberty at the headquarters during the examination of their papers for the purpose of determining their immigration status. The authorities had transferred the protesters, including the applicant, to the ERU headquarters for identification purposes and not to arrest and detain </w:t>
      </w:r>
      <w:r w:rsidRPr="005E6B25">
        <w:t xml:space="preserve">them (relying on </w:t>
      </w:r>
      <w:r w:rsidRPr="005E6B25">
        <w:rPr>
          <w:rStyle w:val="s6b621b36"/>
          <w:i/>
        </w:rPr>
        <w:t>X. v Germany</w:t>
      </w:r>
      <w:r w:rsidRPr="005E6B25">
        <w:rPr>
          <w:rStyle w:val="sb8d990e2"/>
        </w:rPr>
        <w:t>, no.</w:t>
      </w:r>
      <w:r>
        <w:rPr>
          <w:rStyle w:val="sb8d990e2"/>
        </w:rPr>
        <w:t> </w:t>
      </w:r>
      <w:r w:rsidRPr="005E6B25">
        <w:rPr>
          <w:rStyle w:val="wordhighlighted"/>
        </w:rPr>
        <w:t>8819/79</w:t>
      </w:r>
      <w:r w:rsidRPr="005E6B25">
        <w:rPr>
          <w:rStyle w:val="sb8d990e2"/>
        </w:rPr>
        <w:t>, Commission decision of 19 March 1981, Decisions and Reports (DR) vol. 24, p. 158)</w:t>
      </w:r>
      <w:r w:rsidRPr="005E6B25">
        <w:t>.</w:t>
      </w:r>
      <w:r>
        <w:t xml:space="preserve"> They had not been kept in cells, they had not been handcuffed and they had been given food and drink. Those who had been identified as being lawfully resident in the Republic had gone home. The rest had been arrested. The applicant</w:t>
      </w:r>
      <w:r w:rsidR="00A7319E">
        <w:t>’</w:t>
      </w:r>
      <w:r>
        <w:t>s detention had commenced once he had been charged with the flagrant criminal offence of unlawful stay in the Republic and arrested on this ground.</w:t>
      </w:r>
    </w:p>
    <w:p w:rsidR="00FA0835" w:rsidP="00FA0835" w:rsidRDefault="00FA0835">
      <w:pPr>
        <w:pStyle w:val="JuPara"/>
      </w:pPr>
      <w:r>
        <w:fldChar w:fldCharType="begin"/>
      </w:r>
      <w:r>
        <w:instrText xml:space="preserve"> SEQ level0 \*arabic </w:instrText>
      </w:r>
      <w:r>
        <w:fldChar w:fldCharType="separate"/>
      </w:r>
      <w:r w:rsidR="00C5470A">
        <w:rPr>
          <w:noProof/>
        </w:rPr>
        <w:t>181</w:t>
      </w:r>
      <w:r>
        <w:fldChar w:fldCharType="end"/>
      </w:r>
      <w:r>
        <w:t>.  In this connection, in their first set of observations to the Court dated 3 June 2011, the Government maintained that the applicant</w:t>
      </w:r>
      <w:r w:rsidR="00A7319E">
        <w:t>’</w:t>
      </w:r>
      <w:r>
        <w:t>s arrest and detention on the ground of unlawful stay had been lawful as it had been in conformity with domestic law and procedure. The applicant had been arrested on the ground that he had been a “prohibited immigrant” staying in the Republic unlawfully after the rejection of his asylum application. They noted in this respect that the criminal offence of unlawful stay was a flagrant offence punishable by imprisonment under section 19 (2) of the Aliens and Immigration Law. Article 11 (4) of the Constitution permitted arrest without a warrant for flagrant offences carrying a term of imprisonment. The deportation and detention orders had been issued on the same day, before the lapse of the twenty-four hour time-limit set by Article 11 (5) of the Constitution. His detention had continued on the basis of these orders</w:t>
      </w:r>
      <w:r w:rsidRPr="000634AA">
        <w:t xml:space="preserve"> </w:t>
      </w:r>
      <w:r>
        <w:t>for the purpose of effecting his deportation.</w:t>
      </w:r>
    </w:p>
    <w:p w:rsidR="00FA0835" w:rsidP="00FA0835" w:rsidRDefault="00FA0835">
      <w:pPr>
        <w:pStyle w:val="JuPara"/>
      </w:pPr>
      <w:r>
        <w:fldChar w:fldCharType="begin"/>
      </w:r>
      <w:r>
        <w:instrText xml:space="preserve"> SEQ level0 \*arabic </w:instrText>
      </w:r>
      <w:r>
        <w:fldChar w:fldCharType="separate"/>
      </w:r>
      <w:r w:rsidR="00C5470A">
        <w:rPr>
          <w:noProof/>
        </w:rPr>
        <w:t>182</w:t>
      </w:r>
      <w:r>
        <w:fldChar w:fldCharType="end"/>
      </w:r>
      <w:r>
        <w:t xml:space="preserve">.  In their </w:t>
      </w:r>
      <w:r w:rsidRPr="0077118E">
        <w:t xml:space="preserve">subsequent observations of 20 September 2011, however, the Government admitted that a mistake had been </w:t>
      </w:r>
      <w:r>
        <w:t>made</w:t>
      </w:r>
      <w:r w:rsidRPr="0077118E">
        <w:t xml:space="preserve"> with regard to</w:t>
      </w:r>
      <w:r>
        <w:t xml:space="preserve"> the applicant.</w:t>
      </w:r>
      <w:r w:rsidRPr="00626048">
        <w:rPr>
          <w:color w:val="000000"/>
        </w:rPr>
        <w:t xml:space="preserve"> As his asylum application had been pending </w:t>
      </w:r>
      <w:r>
        <w:rPr>
          <w:color w:val="000000"/>
        </w:rPr>
        <w:t>with</w:t>
      </w:r>
      <w:r w:rsidRPr="00626048">
        <w:rPr>
          <w:color w:val="000000"/>
        </w:rPr>
        <w:t xml:space="preserve"> the authorities</w:t>
      </w:r>
      <w:r w:rsidRPr="006E1BBD">
        <w:rPr>
          <w:color w:val="000000"/>
        </w:rPr>
        <w:t xml:space="preserve"> </w:t>
      </w:r>
      <w:r w:rsidRPr="00626048">
        <w:rPr>
          <w:color w:val="000000"/>
        </w:rPr>
        <w:t>at the time,</w:t>
      </w:r>
      <w:r>
        <w:t xml:space="preserve"> the applicant had in fact at the time of his arrest been legally residing in the Republic.</w:t>
      </w:r>
    </w:p>
    <w:p w:rsidRPr="00A73B88"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183</w:t>
      </w:r>
      <w:r>
        <w:fldChar w:fldCharType="end"/>
      </w:r>
      <w:r>
        <w:t>.  The Government made no submissions, further to their letter of 12 </w:t>
      </w:r>
      <w:r w:rsidRPr="0077118E">
        <w:t>October 2010</w:t>
      </w:r>
      <w:r>
        <w:t xml:space="preserve"> </w:t>
      </w:r>
      <w:r w:rsidRPr="00873D75">
        <w:t>(</w:t>
      </w:r>
      <w:r w:rsidRPr="000836F6">
        <w:t>see paragraph 47 above), with regard to the new deportation and detention orders issued against the applicant on 20</w:t>
      </w:r>
      <w:r>
        <w:t> </w:t>
      </w:r>
      <w:r w:rsidRPr="000836F6">
        <w:t>August</w:t>
      </w:r>
      <w:r>
        <w:t> </w:t>
      </w:r>
      <w:r w:rsidRPr="000836F6">
        <w:t>2010 and his continued detention on th</w:t>
      </w:r>
      <w:r>
        <w:t xml:space="preserve">at </w:t>
      </w:r>
      <w:r w:rsidRPr="000836F6">
        <w:t xml:space="preserve">basis. They </w:t>
      </w:r>
      <w:r>
        <w:t>did not comment</w:t>
      </w:r>
      <w:r w:rsidRPr="000836F6">
        <w:t xml:space="preserve"> on whether the applic</w:t>
      </w:r>
      <w:r>
        <w:t>ant had been given notice of tho</w:t>
      </w:r>
      <w:r w:rsidRPr="000836F6">
        <w:t>se orders</w:t>
      </w:r>
      <w:r>
        <w:t xml:space="preserve"> either</w:t>
      </w:r>
      <w:r w:rsidRPr="000836F6">
        <w:t>.</w:t>
      </w:r>
    </w:p>
    <w:p w:rsidRPr="00717880" w:rsidR="00FA0835" w:rsidP="00FA0835" w:rsidRDefault="00FA0835">
      <w:pPr>
        <w:pStyle w:val="JuHA"/>
      </w:pPr>
      <w:r>
        <w:t>B.</w:t>
      </w:r>
      <w:r w:rsidRPr="0011250F">
        <w:t>  </w:t>
      </w:r>
      <w:r>
        <w:t>T</w:t>
      </w:r>
      <w:r w:rsidRPr="00717880">
        <w:t>he Court</w:t>
      </w:r>
      <w:r w:rsidR="00A7319E">
        <w:t>’</w:t>
      </w:r>
      <w:r w:rsidRPr="00717880">
        <w:t>s assessment</w:t>
      </w:r>
    </w:p>
    <w:p w:rsidRPr="008708E8" w:rsidR="00FA0835" w:rsidP="00FA0835" w:rsidRDefault="00FA0835">
      <w:pPr>
        <w:pStyle w:val="JuPara"/>
        <w:rPr>
          <w:rStyle w:val="sf6541cea"/>
        </w:rPr>
      </w:pPr>
      <w:r>
        <w:fldChar w:fldCharType="begin"/>
      </w:r>
      <w:r>
        <w:instrText xml:space="preserve"> SEQ level0 \*arabic </w:instrText>
      </w:r>
      <w:r>
        <w:fldChar w:fldCharType="separate"/>
      </w:r>
      <w:r w:rsidR="00C5470A">
        <w:rPr>
          <w:noProof/>
        </w:rPr>
        <w:t>184</w:t>
      </w:r>
      <w:r>
        <w:fldChar w:fldCharType="end"/>
      </w:r>
      <w:r>
        <w:t>.  </w:t>
      </w:r>
      <w:r w:rsidRPr="008708E8">
        <w:t>The Court notes that the applicant</w:t>
      </w:r>
      <w:r w:rsidR="00A7319E">
        <w:t>’</w:t>
      </w:r>
      <w:r w:rsidRPr="008708E8">
        <w:t xml:space="preserve">s complaint under </w:t>
      </w:r>
      <w:r w:rsidRPr="00961CBE">
        <w:t xml:space="preserve">Article </w:t>
      </w:r>
      <w:r w:rsidRPr="00961CBE">
        <w:rPr>
          <w:rStyle w:val="sf6541cea"/>
        </w:rPr>
        <w:t>5 § 1</w:t>
      </w:r>
      <w:r w:rsidRPr="008708E8">
        <w:rPr>
          <w:rStyle w:val="sf6541cea"/>
        </w:rPr>
        <w:t xml:space="preserve"> of the Convention can be divided into three parts</w:t>
      </w:r>
      <w:r>
        <w:rPr>
          <w:rStyle w:val="sf6541cea"/>
        </w:rPr>
        <w:t xml:space="preserve"> that require separate examination:</w:t>
      </w:r>
    </w:p>
    <w:p w:rsidR="00FA0835" w:rsidP="00FA0835" w:rsidRDefault="00FA0835">
      <w:pPr>
        <w:pStyle w:val="JuPara"/>
        <w:rPr>
          <w:rStyle w:val="sf6541cea"/>
        </w:rPr>
      </w:pPr>
      <w:r w:rsidRPr="008708E8">
        <w:t>-</w:t>
      </w:r>
      <w:r>
        <w:t xml:space="preserve"> </w:t>
      </w:r>
      <w:r w:rsidRPr="008708E8">
        <w:t>the first part concerns his transfer</w:t>
      </w:r>
      <w:r w:rsidRPr="008708E8">
        <w:rPr>
          <w:rStyle w:val="sf6541cea"/>
        </w:rPr>
        <w:t xml:space="preserve">, along with the other </w:t>
      </w:r>
      <w:r>
        <w:rPr>
          <w:rStyle w:val="sf6541cea"/>
        </w:rPr>
        <w:t>protesters,</w:t>
      </w:r>
      <w:r w:rsidRPr="008708E8">
        <w:rPr>
          <w:rStyle w:val="sf6541cea"/>
        </w:rPr>
        <w:t xml:space="preserve"> to the </w:t>
      </w:r>
      <w:r>
        <w:rPr>
          <w:rStyle w:val="sf6541cea"/>
        </w:rPr>
        <w:t>ERU</w:t>
      </w:r>
      <w:r w:rsidRPr="008708E8">
        <w:rPr>
          <w:rStyle w:val="sf6541cea"/>
        </w:rPr>
        <w:t xml:space="preserve"> headquarters on 11 June 2010 and his stay there pending </w:t>
      </w:r>
      <w:r>
        <w:rPr>
          <w:rStyle w:val="sf6541cea"/>
        </w:rPr>
        <w:t>his</w:t>
      </w:r>
      <w:r w:rsidRPr="008708E8">
        <w:rPr>
          <w:rStyle w:val="sf6541cea"/>
        </w:rPr>
        <w:t xml:space="preserve"> identification;</w:t>
      </w:r>
    </w:p>
    <w:p w:rsidRPr="008708E8" w:rsidR="00FA0835" w:rsidP="00FA0835" w:rsidRDefault="00FA0835">
      <w:pPr>
        <w:pStyle w:val="JuPara"/>
        <w:rPr>
          <w:rStyle w:val="sb8d990e2"/>
        </w:rPr>
      </w:pPr>
      <w:r w:rsidRPr="008708E8">
        <w:rPr>
          <w:rStyle w:val="sf6541cea"/>
        </w:rPr>
        <w:t>-</w:t>
      </w:r>
      <w:r>
        <w:rPr>
          <w:rStyle w:val="sf6541cea"/>
        </w:rPr>
        <w:t xml:space="preserve"> </w:t>
      </w:r>
      <w:r w:rsidRPr="008708E8">
        <w:rPr>
          <w:rStyle w:val="sf6541cea"/>
        </w:rPr>
        <w:t>the second</w:t>
      </w:r>
      <w:r w:rsidRPr="008708E8">
        <w:rPr>
          <w:rStyle w:val="sb8d990e2"/>
        </w:rPr>
        <w:t xml:space="preserve"> part concerns his detention on the basis of the </w:t>
      </w:r>
      <w:r>
        <w:rPr>
          <w:rStyle w:val="sb8d990e2"/>
        </w:rPr>
        <w:t>deportation and detention orders</w:t>
      </w:r>
      <w:r w:rsidRPr="008708E8">
        <w:rPr>
          <w:rStyle w:val="sb8d990e2"/>
        </w:rPr>
        <w:t xml:space="preserve"> issued against him on 11 June 2010 under </w:t>
      </w:r>
      <w:r w:rsidRPr="0077118E">
        <w:rPr>
          <w:rStyle w:val="sb8d990e2"/>
        </w:rPr>
        <w:t>section</w:t>
      </w:r>
      <w:r>
        <w:rPr>
          <w:rStyle w:val="sb8d990e2"/>
        </w:rPr>
        <w:t> </w:t>
      </w:r>
      <w:r w:rsidRPr="0077118E">
        <w:rPr>
          <w:rStyle w:val="sb8d990e2"/>
        </w:rPr>
        <w:t>6(1)(k)</w:t>
      </w:r>
      <w:r w:rsidRPr="008708E8">
        <w:rPr>
          <w:rStyle w:val="sb8d990e2"/>
        </w:rPr>
        <w:t xml:space="preserve"> of the </w:t>
      </w:r>
      <w:r>
        <w:rPr>
          <w:rStyle w:val="sb8d990e2"/>
        </w:rPr>
        <w:t>Aliens and Immigration Law; and</w:t>
      </w:r>
    </w:p>
    <w:p w:rsidRPr="00717880" w:rsidR="00FA0835" w:rsidP="00FA0835" w:rsidRDefault="00FA0835">
      <w:pPr>
        <w:pStyle w:val="JuPara"/>
      </w:pPr>
      <w:r w:rsidRPr="008708E8">
        <w:rPr>
          <w:rStyle w:val="sb8d990e2"/>
        </w:rPr>
        <w:t>-</w:t>
      </w:r>
      <w:r>
        <w:rPr>
          <w:rStyle w:val="sb8d990e2"/>
        </w:rPr>
        <w:t xml:space="preserve"> </w:t>
      </w:r>
      <w:r w:rsidRPr="008708E8">
        <w:rPr>
          <w:rStyle w:val="sb8d990e2"/>
        </w:rPr>
        <w:t xml:space="preserve">the third part concerns his detention on the basis of the </w:t>
      </w:r>
      <w:r>
        <w:rPr>
          <w:rStyle w:val="sb8d990e2"/>
        </w:rPr>
        <w:t>deportation and detention orders</w:t>
      </w:r>
      <w:r w:rsidRPr="008708E8">
        <w:rPr>
          <w:rStyle w:val="sb8d990e2"/>
        </w:rPr>
        <w:t xml:space="preserve"> issued against him on 20 August 2010 under section</w:t>
      </w:r>
      <w:r>
        <w:rPr>
          <w:rStyle w:val="sb8d990e2"/>
        </w:rPr>
        <w:t> </w:t>
      </w:r>
      <w:r w:rsidRPr="0077118E">
        <w:rPr>
          <w:rStyle w:val="sb8d990e2"/>
        </w:rPr>
        <w:t>6(1)(g) of the Aliens and Immigration Law.</w:t>
      </w:r>
    </w:p>
    <w:p w:rsidR="00FA0835" w:rsidP="00FA0835" w:rsidRDefault="00FA0835">
      <w:pPr>
        <w:pStyle w:val="JuH1"/>
        <w:rPr>
          <w:rStyle w:val="sf6541cea"/>
        </w:rPr>
      </w:pPr>
      <w:r w:rsidRPr="00711902">
        <w:t>1.</w:t>
      </w:r>
      <w:r>
        <w:t xml:space="preserve">  The </w:t>
      </w:r>
      <w:r w:rsidRPr="00711902">
        <w:t>applicant</w:t>
      </w:r>
      <w:r w:rsidR="00A7319E">
        <w:t>’</w:t>
      </w:r>
      <w:r w:rsidRPr="00711902">
        <w:t>s transfer</w:t>
      </w:r>
      <w:r w:rsidRPr="00711902">
        <w:rPr>
          <w:rStyle w:val="sf6541cea"/>
        </w:rPr>
        <w:t xml:space="preserve"> to and stay </w:t>
      </w:r>
      <w:r>
        <w:rPr>
          <w:rStyle w:val="sf6541cea"/>
        </w:rPr>
        <w:t>at the ERU headquarters on 11 </w:t>
      </w:r>
      <w:r w:rsidRPr="00711902">
        <w:rPr>
          <w:rStyle w:val="sf6541cea"/>
        </w:rPr>
        <w:t>June 2010</w:t>
      </w:r>
    </w:p>
    <w:p w:rsidR="00FA0835" w:rsidP="00FA0835" w:rsidRDefault="00FA0835">
      <w:pPr>
        <w:pStyle w:val="JuHa0"/>
      </w:pPr>
      <w:r>
        <w:t>(a)</w:t>
      </w:r>
      <w:r w:rsidRPr="00A80110">
        <w:t>  </w:t>
      </w:r>
      <w:r>
        <w:t>Admissibility</w:t>
      </w:r>
    </w:p>
    <w:p w:rsidR="00FA0835" w:rsidP="00FA0835" w:rsidRDefault="00FA0835">
      <w:pPr>
        <w:pStyle w:val="JuPara"/>
        <w:rPr>
          <w:rStyle w:val="sb8d990e2"/>
        </w:rPr>
      </w:pPr>
      <w:r w:rsidRPr="007D17BD">
        <w:rPr>
          <w:rStyle w:val="sf6541cea"/>
        </w:rPr>
        <w:fldChar w:fldCharType="begin"/>
      </w:r>
      <w:r w:rsidRPr="007D17BD">
        <w:rPr>
          <w:rStyle w:val="sf6541cea"/>
        </w:rPr>
        <w:instrText xml:space="preserve"> SEQ level0 \*arabic </w:instrText>
      </w:r>
      <w:r w:rsidRPr="007D17BD">
        <w:rPr>
          <w:rStyle w:val="sf6541cea"/>
        </w:rPr>
        <w:fldChar w:fldCharType="separate"/>
      </w:r>
      <w:r w:rsidR="00C5470A">
        <w:rPr>
          <w:rStyle w:val="sf6541cea"/>
          <w:noProof/>
        </w:rPr>
        <w:t>185</w:t>
      </w:r>
      <w:r w:rsidRPr="007D17BD">
        <w:rPr>
          <w:rStyle w:val="sf6541cea"/>
        </w:rPr>
        <w:fldChar w:fldCharType="end"/>
      </w:r>
      <w:r w:rsidRPr="007D17BD">
        <w:rPr>
          <w:rStyle w:val="sf6541cea"/>
        </w:rPr>
        <w:t>.</w:t>
      </w:r>
      <w:r>
        <w:rPr>
          <w:rStyle w:val="sb8d990e2"/>
        </w:rPr>
        <w:t>  </w:t>
      </w:r>
      <w:r>
        <w:rPr>
          <w:rStyle w:val="sf6541cea"/>
        </w:rPr>
        <w:t>The Court notes that</w:t>
      </w:r>
      <w:r w:rsidRPr="007D17BD">
        <w:rPr>
          <w:rStyle w:val="sf6541cea"/>
        </w:rPr>
        <w:t xml:space="preserve"> the parties</w:t>
      </w:r>
      <w:r>
        <w:rPr>
          <w:rStyle w:val="sf6541cea"/>
        </w:rPr>
        <w:t xml:space="preserve"> disagree on</w:t>
      </w:r>
      <w:r w:rsidRPr="007D17BD">
        <w:rPr>
          <w:rStyle w:val="sf6541cea"/>
        </w:rPr>
        <w:t xml:space="preserve"> whether or not the applicant</w:t>
      </w:r>
      <w:r w:rsidR="00A7319E">
        <w:rPr>
          <w:rStyle w:val="sf6541cea"/>
        </w:rPr>
        <w:t>’</w:t>
      </w:r>
      <w:r w:rsidRPr="007D17BD">
        <w:rPr>
          <w:rStyle w:val="sf6541cea"/>
        </w:rPr>
        <w:t>s situation during this period amounted in practice to a deprivation of liberty. The Government dispute the applicant</w:t>
      </w:r>
      <w:r w:rsidR="00A7319E">
        <w:rPr>
          <w:rStyle w:val="sf6541cea"/>
        </w:rPr>
        <w:t>’</w:t>
      </w:r>
      <w:r w:rsidRPr="007D17BD">
        <w:rPr>
          <w:rStyle w:val="sf6541cea"/>
        </w:rPr>
        <w:t xml:space="preserve">s arguments and, hence, the applicability of Article </w:t>
      </w:r>
      <w:r w:rsidRPr="007D17BD">
        <w:rPr>
          <w:rStyle w:val="sb8d990e2"/>
        </w:rPr>
        <w:t>5 § 1 of the Convention to this period.</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186</w:t>
      </w:r>
      <w:r>
        <w:rPr>
          <w:rStyle w:val="sb8d990e2"/>
        </w:rPr>
        <w:fldChar w:fldCharType="end"/>
      </w:r>
      <w:r>
        <w:rPr>
          <w:rStyle w:val="sb8d990e2"/>
        </w:rPr>
        <w:t>.  </w:t>
      </w:r>
      <w:r w:rsidRPr="00624C86">
        <w:rPr>
          <w:rStyle w:val="sb8d990e2"/>
        </w:rPr>
        <w:t>Article 5 § 1</w:t>
      </w:r>
      <w:r>
        <w:rPr>
          <w:rStyle w:val="sb8d990e2"/>
        </w:rPr>
        <w:t>,</w:t>
      </w:r>
      <w:r w:rsidRPr="00624C86">
        <w:rPr>
          <w:rStyle w:val="sb8d990e2"/>
        </w:rPr>
        <w:t xml:space="preserve"> which proclaims the “right to liberty”</w:t>
      </w:r>
      <w:r>
        <w:rPr>
          <w:rStyle w:val="sb8d990e2"/>
        </w:rPr>
        <w:t>,</w:t>
      </w:r>
      <w:r w:rsidRPr="00624C86">
        <w:rPr>
          <w:rStyle w:val="sb8d990e2"/>
        </w:rPr>
        <w:t xml:space="preserve"> is concerned with a person</w:t>
      </w:r>
      <w:r w:rsidR="00A7319E">
        <w:rPr>
          <w:rStyle w:val="sb8d990e2"/>
        </w:rPr>
        <w:t>’</w:t>
      </w:r>
      <w:r w:rsidRPr="00624C86">
        <w:rPr>
          <w:rStyle w:val="sb8d990e2"/>
        </w:rPr>
        <w:t>s physical liberty. Its aim is to ensure that no one should be dispossessed of his liberty in an arbitrary fashion. In determining whether someone has been “deprived of his liberty” within the meaning of Article 5 § 1, the starting</w:t>
      </w:r>
      <w:r w:rsidRPr="00C14552">
        <w:rPr>
          <w:rStyle w:val="sb8d990e2"/>
        </w:rPr>
        <w:t>-point</w:t>
      </w:r>
      <w:r>
        <w:rPr>
          <w:rStyle w:val="sb8d990e2"/>
        </w:rPr>
        <w:t xml:space="preserve"> must be </w:t>
      </w:r>
      <w:r w:rsidRPr="008B3FFA">
        <w:rPr>
          <w:rStyle w:val="sb8d990e2"/>
        </w:rPr>
        <w:t>his concrete</w:t>
      </w:r>
      <w:r>
        <w:rPr>
          <w:rStyle w:val="sb8d990e2"/>
        </w:rPr>
        <w:t xml:space="preserve"> situation and account must be taken of a whole range of criteria such as the type, duration, effects and manner of implementation of the measure in question. The difference between deprivation of and restriction upon liberty is merely one of degree or intensity, and not one of nature or </w:t>
      </w:r>
      <w:r w:rsidRPr="006E2E5E">
        <w:rPr>
          <w:rStyle w:val="sb8d990e2"/>
        </w:rPr>
        <w:t xml:space="preserve">substance (see, amongst many authorities, </w:t>
      </w:r>
      <w:r w:rsidRPr="006E2E5E">
        <w:rPr>
          <w:rStyle w:val="s6b621b36"/>
          <w:i/>
        </w:rPr>
        <w:t>Austin and Others v. the United Kingdom</w:t>
      </w:r>
      <w:r w:rsidRPr="006E2E5E">
        <w:rPr>
          <w:rStyle w:val="sb8d990e2"/>
        </w:rPr>
        <w:t xml:space="preserve"> [GC], nos.</w:t>
      </w:r>
      <w:r>
        <w:rPr>
          <w:rStyle w:val="sb8d990e2"/>
        </w:rPr>
        <w:t> </w:t>
      </w:r>
      <w:r w:rsidRPr="006E2E5E">
        <w:rPr>
          <w:rStyle w:val="sb8d990e2"/>
        </w:rPr>
        <w:t xml:space="preserve">39692/09, 40713/09 and 41008/09, § 57, 15 March 2012; </w:t>
      </w:r>
      <w:r>
        <w:rPr>
          <w:rStyle w:val="s6b621b36"/>
          <w:i/>
        </w:rPr>
        <w:t>Stanev </w:t>
      </w:r>
      <w:r w:rsidRPr="006E2E5E">
        <w:rPr>
          <w:rStyle w:val="sb8d990e2"/>
        </w:rPr>
        <w:t>,</w:t>
      </w:r>
      <w:r>
        <w:rPr>
          <w:rStyle w:val="sb8d990e2"/>
        </w:rPr>
        <w:t xml:space="preserve"> cited above,</w:t>
      </w:r>
      <w:r w:rsidRPr="006E2E5E">
        <w:rPr>
          <w:rStyle w:val="sb8d990e2"/>
        </w:rPr>
        <w:t xml:space="preserve"> § 115, 17 January 2012; </w:t>
      </w:r>
      <w:r w:rsidRPr="006E2E5E">
        <w:rPr>
          <w:rStyle w:val="s6b621b36"/>
          <w:i/>
        </w:rPr>
        <w:t>Medvedyev and Others</w:t>
      </w:r>
      <w:r w:rsidRPr="006E2E5E">
        <w:rPr>
          <w:rStyle w:val="sb8d990e2"/>
          <w:i/>
        </w:rPr>
        <w:t xml:space="preserve"> </w:t>
      </w:r>
      <w:r w:rsidRPr="006E2E5E">
        <w:rPr>
          <w:rStyle w:val="s6b621b36"/>
          <w:i/>
        </w:rPr>
        <w:t>v</w:t>
      </w:r>
      <w:r w:rsidRPr="006E2E5E">
        <w:rPr>
          <w:rStyle w:val="sb8d990e2"/>
          <w:i/>
        </w:rPr>
        <w:t xml:space="preserve">. </w:t>
      </w:r>
      <w:r w:rsidRPr="006E2E5E">
        <w:rPr>
          <w:rStyle w:val="s6b621b36"/>
          <w:i/>
        </w:rPr>
        <w:t>France</w:t>
      </w:r>
      <w:r>
        <w:rPr>
          <w:rStyle w:val="sb8d990e2"/>
        </w:rPr>
        <w:t xml:space="preserve"> [GC], no. </w:t>
      </w:r>
      <w:r w:rsidRPr="006E2E5E">
        <w:rPr>
          <w:rStyle w:val="sb8d990e2"/>
        </w:rPr>
        <w:t xml:space="preserve">3394/03, § 73, ECHR 2010; and </w:t>
      </w:r>
      <w:r>
        <w:rPr>
          <w:i/>
          <w:lang w:eastAsia="en-US"/>
        </w:rPr>
        <w:t>Guzzardi v. </w:t>
      </w:r>
      <w:r w:rsidRPr="006E2E5E">
        <w:rPr>
          <w:i/>
          <w:lang w:eastAsia="en-US"/>
        </w:rPr>
        <w:t>Italy</w:t>
      </w:r>
      <w:r>
        <w:rPr>
          <w:lang w:eastAsia="en-US"/>
        </w:rPr>
        <w:t>, 6 November 1980, §§ 92-</w:t>
      </w:r>
      <w:r w:rsidRPr="006E2E5E">
        <w:rPr>
          <w:lang w:eastAsia="en-US"/>
        </w:rPr>
        <w:t>93)</w:t>
      </w:r>
      <w:r w:rsidRPr="006E2E5E">
        <w:rPr>
          <w:rStyle w:val="sb8d990e2"/>
        </w:rPr>
        <w:t>.</w:t>
      </w:r>
      <w:r w:rsidRPr="00064129">
        <w:rPr>
          <w:rStyle w:val="sb8d990e2"/>
        </w:rPr>
        <w:t xml:space="preserve"> </w:t>
      </w:r>
      <w:r w:rsidRPr="006E2E5E">
        <w:rPr>
          <w:rStyle w:val="sb8d990e2"/>
        </w:rPr>
        <w:t>It is clear that the question whether there ha</w:t>
      </w:r>
      <w:r>
        <w:rPr>
          <w:rStyle w:val="sb8d990e2"/>
        </w:rPr>
        <w:t>s</w:t>
      </w:r>
      <w:r w:rsidRPr="006E2E5E">
        <w:rPr>
          <w:rStyle w:val="sb8d990e2"/>
        </w:rPr>
        <w:t xml:space="preserve"> been a deprivation of liberty is very much based on the particular facts of a case</w:t>
      </w:r>
      <w:r>
        <w:rPr>
          <w:rStyle w:val="sb8d990e2"/>
        </w:rPr>
        <w:t xml:space="preserve"> </w:t>
      </w:r>
      <w:r>
        <w:rPr>
          <w:rStyle w:val="s6b621b36"/>
        </w:rPr>
        <w:t xml:space="preserve">(see, for example, </w:t>
      </w:r>
      <w:r w:rsidRPr="006E2E5E">
        <w:rPr>
          <w:rStyle w:val="s6b621b36"/>
          <w:i/>
        </w:rPr>
        <w:t>Austin</w:t>
      </w:r>
      <w:r>
        <w:rPr>
          <w:rStyle w:val="s6b621b36"/>
        </w:rPr>
        <w:t>,</w:t>
      </w:r>
      <w:r w:rsidRPr="006E2E5E">
        <w:rPr>
          <w:rStyle w:val="s6b621b36"/>
          <w:i/>
        </w:rPr>
        <w:t xml:space="preserve"> </w:t>
      </w:r>
      <w:r w:rsidRPr="006E2E5E">
        <w:rPr>
          <w:rStyle w:val="sb8d990e2"/>
        </w:rPr>
        <w:t xml:space="preserve">§ </w:t>
      </w:r>
      <w:r>
        <w:rPr>
          <w:rStyle w:val="sb8d990e2"/>
        </w:rPr>
        <w:t>61</w:t>
      </w:r>
      <w:r w:rsidRPr="006E2E5E">
        <w:rPr>
          <w:rStyle w:val="sb8d990e2"/>
        </w:rPr>
        <w:t xml:space="preserve">, </w:t>
      </w:r>
      <w:r w:rsidRPr="00711902">
        <w:rPr>
          <w:rStyle w:val="sb8d990e2"/>
        </w:rPr>
        <w:t>cited above).</w:t>
      </w:r>
    </w:p>
    <w:p w:rsidRPr="00064129" w:rsidR="00FA0835" w:rsidP="00FA0835" w:rsidRDefault="00FA0835">
      <w:pPr>
        <w:pStyle w:val="JuPara"/>
        <w:rPr>
          <w:rStyle w:val="sb8d990e2"/>
          <w:i/>
          <w:lang w:eastAsia="en-US"/>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187</w:t>
      </w:r>
      <w:r>
        <w:rPr>
          <w:rStyle w:val="sb8d990e2"/>
        </w:rPr>
        <w:fldChar w:fldCharType="end"/>
      </w:r>
      <w:r>
        <w:rPr>
          <w:rStyle w:val="sb8d990e2"/>
        </w:rPr>
        <w:t xml:space="preserve">.  In </w:t>
      </w:r>
      <w:r w:rsidRPr="006E2E5E">
        <w:rPr>
          <w:rStyle w:val="sb8d990e2"/>
        </w:rPr>
        <w:t xml:space="preserve">determining whether or not there has been a violation of Convention rights it is often necessary to look beyond the appearances and the language used and </w:t>
      </w:r>
      <w:r>
        <w:rPr>
          <w:rStyle w:val="sb8d990e2"/>
        </w:rPr>
        <w:t xml:space="preserve">to </w:t>
      </w:r>
      <w:r w:rsidRPr="006E2E5E">
        <w:rPr>
          <w:rStyle w:val="sb8d990e2"/>
        </w:rPr>
        <w:t>concentrate on the realities of the situation (</w:t>
      </w:r>
      <w:r w:rsidRPr="00CC76FF">
        <w:rPr>
          <w:rStyle w:val="sb8d990e2"/>
        </w:rPr>
        <w:t xml:space="preserve">for example, in relation to Article 5 § 1, see, </w:t>
      </w:r>
      <w:r w:rsidRPr="00CC76FF">
        <w:rPr>
          <w:i/>
          <w:szCs w:val="22"/>
          <w:lang w:eastAsia="en-US"/>
        </w:rPr>
        <w:t>Creangă</w:t>
      </w:r>
      <w:r>
        <w:rPr>
          <w:i/>
          <w:szCs w:val="22"/>
          <w:lang w:eastAsia="en-US"/>
        </w:rPr>
        <w:t> v. </w:t>
      </w:r>
      <w:r w:rsidRPr="00064129">
        <w:rPr>
          <w:i/>
          <w:szCs w:val="22"/>
          <w:lang w:eastAsia="en-US"/>
        </w:rPr>
        <w:t>Romania</w:t>
      </w:r>
      <w:r w:rsidRPr="00064129">
        <w:rPr>
          <w:szCs w:val="22"/>
          <w:lang w:eastAsia="en-US"/>
        </w:rPr>
        <w:t xml:space="preserve"> [GC], no. 29226/03</w:t>
      </w:r>
      <w:r w:rsidRPr="00064129">
        <w:rPr>
          <w:snapToGrid w:val="0"/>
          <w:szCs w:val="24"/>
          <w:lang w:val="pt-BR" w:eastAsia="en-US"/>
        </w:rPr>
        <w:t xml:space="preserve">, § </w:t>
      </w:r>
      <w:r>
        <w:rPr>
          <w:snapToGrid w:val="0"/>
          <w:szCs w:val="24"/>
          <w:lang w:val="pt-BR" w:eastAsia="en-US"/>
        </w:rPr>
        <w:t>91</w:t>
      </w:r>
      <w:r w:rsidRPr="00064129">
        <w:rPr>
          <w:snapToGrid w:val="0"/>
          <w:szCs w:val="24"/>
          <w:lang w:val="pt-BR" w:eastAsia="en-US"/>
        </w:rPr>
        <w:t>, 23 February 2012</w:t>
      </w:r>
      <w:r>
        <w:rPr>
          <w:snapToGrid w:val="0"/>
          <w:szCs w:val="24"/>
          <w:lang w:val="pt-BR" w:eastAsia="en-US"/>
        </w:rPr>
        <w:t xml:space="preserve"> </w:t>
      </w:r>
      <w:r w:rsidRPr="00CC76FF">
        <w:rPr>
          <w:snapToGrid w:val="0"/>
          <w:szCs w:val="24"/>
          <w:lang w:val="pt-BR" w:eastAsia="en-US"/>
        </w:rPr>
        <w:t xml:space="preserve">and </w:t>
      </w:r>
      <w:r w:rsidRPr="00CC76FF">
        <w:rPr>
          <w:rStyle w:val="s6b621b36"/>
          <w:i/>
        </w:rPr>
        <w:t>Van</w:t>
      </w:r>
      <w:r w:rsidRPr="00CC76FF">
        <w:rPr>
          <w:rStyle w:val="sb8d990e2"/>
          <w:i/>
        </w:rPr>
        <w:t xml:space="preserve"> </w:t>
      </w:r>
      <w:r w:rsidRPr="00CC76FF">
        <w:rPr>
          <w:rStyle w:val="s6b621b36"/>
          <w:i/>
        </w:rPr>
        <w:t>Droogenbroeck v. Belgium</w:t>
      </w:r>
      <w:r w:rsidRPr="00CC76FF">
        <w:rPr>
          <w:rStyle w:val="sb8d990e2"/>
        </w:rPr>
        <w:t>, 24 June 1982, § 38, Series A no. 50).</w:t>
      </w:r>
      <w:r w:rsidRPr="00CC76FF">
        <w:rPr>
          <w:rStyle w:val="sb8d990e2"/>
          <w:i/>
          <w:lang w:eastAsia="en-US"/>
        </w:rPr>
        <w:t xml:space="preserve"> </w:t>
      </w:r>
      <w:r>
        <w:rPr>
          <w:rStyle w:val="sb8d990e2"/>
        </w:rPr>
        <w:t>The characterisation or lack of characterisation given by a State to a factual situation cannot decisively affect the Court</w:t>
      </w:r>
      <w:r w:rsidR="00A7319E">
        <w:rPr>
          <w:rStyle w:val="sb8d990e2"/>
        </w:rPr>
        <w:t>’</w:t>
      </w:r>
      <w:r>
        <w:rPr>
          <w:rStyle w:val="sb8d990e2"/>
        </w:rPr>
        <w:t>s conclusion as to the existence of a deprivation of liberty.</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188</w:t>
      </w:r>
      <w:r>
        <w:rPr>
          <w:rStyle w:val="sb8d990e2"/>
        </w:rPr>
        <w:fldChar w:fldCharType="end"/>
      </w:r>
      <w:r>
        <w:rPr>
          <w:rStyle w:val="sb8d990e2"/>
        </w:rPr>
        <w:t>.  The Court notes that in cases examined by the Commission, the purpose of the presence of individuals at police stations, or the fact that the parties concerned had not asked to be allowed to leave, were considered to be decisive factors. Thus, children who had spent two hours at a police station in order to be questioned without being locked up were not found to have been deprived of their liberty (see</w:t>
      </w:r>
      <w:r>
        <w:rPr>
          <w:rStyle w:val="s6b621b36"/>
        </w:rPr>
        <w:t xml:space="preserve"> </w:t>
      </w:r>
      <w:r w:rsidRPr="00064129">
        <w:rPr>
          <w:rStyle w:val="s6b621b36"/>
          <w:i/>
        </w:rPr>
        <w:t>X</w:t>
      </w:r>
      <w:r>
        <w:rPr>
          <w:rStyle w:val="s6b621b36"/>
          <w:i/>
        </w:rPr>
        <w:t>.</w:t>
      </w:r>
      <w:r w:rsidRPr="00064129">
        <w:rPr>
          <w:rStyle w:val="s6b621b36"/>
          <w:i/>
        </w:rPr>
        <w:t xml:space="preserve"> v. Germany</w:t>
      </w:r>
      <w:r w:rsidRPr="0062406F">
        <w:rPr>
          <w:rStyle w:val="sb8d990e2"/>
        </w:rPr>
        <w:t xml:space="preserve">, </w:t>
      </w:r>
      <w:r>
        <w:rPr>
          <w:rStyle w:val="sb8d990e2"/>
        </w:rPr>
        <w:t>n</w:t>
      </w:r>
      <w:r w:rsidRPr="00EC4AAB">
        <w:rPr>
          <w:rStyle w:val="sb8d990e2"/>
          <w:vertAlign w:val="superscript"/>
        </w:rPr>
        <w:t>o</w:t>
      </w:r>
      <w:r>
        <w:rPr>
          <w:rStyle w:val="sb8d990e2"/>
        </w:rPr>
        <w:t xml:space="preserve"> 8819/79, </w:t>
      </w:r>
      <w:r w:rsidRPr="0062406F">
        <w:rPr>
          <w:rStyle w:val="sb8d990e2"/>
        </w:rPr>
        <w:t>cited above) nor</w:t>
      </w:r>
      <w:r>
        <w:rPr>
          <w:rStyle w:val="sb8d990e2"/>
        </w:rPr>
        <w:t xml:space="preserve"> was an applicant who had been taken to a police station for humanitarian reasons, but who was free to walk about on the premises and did not ask to leave (see </w:t>
      </w:r>
      <w:r w:rsidRPr="00064129">
        <w:rPr>
          <w:rStyle w:val="s6b621b36"/>
          <w:i/>
        </w:rPr>
        <w:t>Guenat v. Switzerland</w:t>
      </w:r>
      <w:r>
        <w:rPr>
          <w:rStyle w:val="sb8d990e2"/>
        </w:rPr>
        <w:t xml:space="preserve"> (dec.), no. 24722/94, Commission decision of 10 April 1995). </w:t>
      </w:r>
      <w:r w:rsidRPr="0062406F">
        <w:rPr>
          <w:rStyle w:val="sb8d990e2"/>
        </w:rPr>
        <w:t xml:space="preserve">Likewise, the Commission attached decisive weight to the fact that an applicant had never intended to leave the courtroom where he was taking part in a hearing (see </w:t>
      </w:r>
      <w:r w:rsidRPr="0062406F">
        <w:rPr>
          <w:rStyle w:val="s6b621b36"/>
          <w:i/>
        </w:rPr>
        <w:t>E.G. v. Austria</w:t>
      </w:r>
      <w:r w:rsidRPr="0062406F">
        <w:rPr>
          <w:rStyle w:val="sb8d990e2"/>
        </w:rPr>
        <w:t>, no. 22715/93, Commission decision of 15 May 1996).</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189</w:t>
      </w:r>
      <w:r>
        <w:rPr>
          <w:rStyle w:val="sb8d990e2"/>
        </w:rPr>
        <w:fldChar w:fldCharType="end"/>
      </w:r>
      <w:r>
        <w:rPr>
          <w:rStyle w:val="sb8d990e2"/>
        </w:rPr>
        <w:t>.  The case-law has evolved since then, as the purpose of measures taken by the authorities depriving applicants of their liberty no longer appears decisive for the Court</w:t>
      </w:r>
      <w:r w:rsidR="00A7319E">
        <w:rPr>
          <w:rStyle w:val="sb8d990e2"/>
        </w:rPr>
        <w:t>’</w:t>
      </w:r>
      <w:r>
        <w:rPr>
          <w:rStyle w:val="sb8d990e2"/>
        </w:rPr>
        <w:t xml:space="preserve">s assessment of whether there has in fact been a deprivation of liberty. To date, the Court has taken this into account only at a later stage of its analysis, when examining the compatibility of the measure with Article 5 § 1 of the Convention (see </w:t>
      </w:r>
      <w:r w:rsidRPr="00CC76FF">
        <w:rPr>
          <w:i/>
          <w:szCs w:val="22"/>
          <w:lang w:eastAsia="en-US"/>
        </w:rPr>
        <w:t>Creangă</w:t>
      </w:r>
      <w:r w:rsidRPr="00A34CFA">
        <w:rPr>
          <w:szCs w:val="22"/>
          <w:lang w:eastAsia="en-US"/>
        </w:rPr>
        <w:t xml:space="preserve">, </w:t>
      </w:r>
      <w:r>
        <w:rPr>
          <w:rStyle w:val="sb8d990e2"/>
        </w:rPr>
        <w:t>§ 93, cited above;</w:t>
      </w:r>
      <w:r w:rsidRPr="00064129">
        <w:rPr>
          <w:rStyle w:val="s6b621b36"/>
          <w:i/>
        </w:rPr>
        <w:t xml:space="preserve"> Osypenko v. Ukraine</w:t>
      </w:r>
      <w:r>
        <w:rPr>
          <w:rStyle w:val="sb8d990e2"/>
        </w:rPr>
        <w:t xml:space="preserve">, no. 4634/04, §§ 51-65, 9 November 2010; </w:t>
      </w:r>
      <w:r w:rsidRPr="00064129">
        <w:rPr>
          <w:rStyle w:val="s6b621b36"/>
          <w:i/>
        </w:rPr>
        <w:t>Salayev v. Azerbaijan</w:t>
      </w:r>
      <w:r>
        <w:rPr>
          <w:rStyle w:val="sb8d990e2"/>
        </w:rPr>
        <w:t xml:space="preserve">, no. 40900/05, §§ 41-42, 9 November 2010; </w:t>
      </w:r>
      <w:r w:rsidRPr="00064129">
        <w:rPr>
          <w:rStyle w:val="s6b621b36"/>
          <w:i/>
        </w:rPr>
        <w:t>Iliya Stefanov v. Bulgaria</w:t>
      </w:r>
      <w:r>
        <w:rPr>
          <w:rStyle w:val="sb8d990e2"/>
        </w:rPr>
        <w:t xml:space="preserve">, no. 65755/01, § 71, 22 May 2008; and </w:t>
      </w:r>
      <w:r w:rsidRPr="00064129">
        <w:rPr>
          <w:rStyle w:val="s6b621b36"/>
          <w:i/>
        </w:rPr>
        <w:t>Soare and Others v. Romania</w:t>
      </w:r>
      <w:r>
        <w:rPr>
          <w:rStyle w:val="sb8d990e2"/>
        </w:rPr>
        <w:t>, no. 24329/02, § 234, 22 February 2011).</w:t>
      </w:r>
    </w:p>
    <w:p w:rsidR="00FA0835" w:rsidP="00FA0835" w:rsidRDefault="00FA0835">
      <w:pPr>
        <w:pStyle w:val="JuPara"/>
        <w:rPr>
          <w:rStyle w:val="sb8d990e2"/>
          <w:highlight w:val="green"/>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190</w:t>
      </w:r>
      <w:r>
        <w:rPr>
          <w:rStyle w:val="sb8d990e2"/>
        </w:rPr>
        <w:fldChar w:fldCharType="end"/>
      </w:r>
      <w:r>
        <w:rPr>
          <w:rStyle w:val="sb8d990e2"/>
        </w:rPr>
        <w:t xml:space="preserve">.  Furthermore, the Court reiterates its established case-law to the effect that Article 5 § 1 may also apply to deprivations of liberty of a very short length (see, </w:t>
      </w:r>
      <w:r w:rsidRPr="000364E6">
        <w:rPr>
          <w:rStyle w:val="sb8d990e2"/>
        </w:rPr>
        <w:t xml:space="preserve">among many authorities, </w:t>
      </w:r>
      <w:r w:rsidRPr="000364E6">
        <w:rPr>
          <w:i/>
          <w:szCs w:val="22"/>
          <w:lang w:eastAsia="en-US"/>
        </w:rPr>
        <w:t>Brega and Others v. Moldova</w:t>
      </w:r>
      <w:r w:rsidRPr="000364E6">
        <w:rPr>
          <w:lang w:eastAsia="en-US"/>
        </w:rPr>
        <w:t>, no. 61485/08</w:t>
      </w:r>
      <w:r w:rsidRPr="000364E6">
        <w:rPr>
          <w:snapToGrid w:val="0"/>
          <w:szCs w:val="24"/>
          <w:lang w:val="pt-BR" w:eastAsia="en-US"/>
        </w:rPr>
        <w:t xml:space="preserve">, § 43, 24 January 2012; </w:t>
      </w:r>
      <w:r w:rsidRPr="000364E6">
        <w:rPr>
          <w:i/>
          <w:szCs w:val="22"/>
          <w:lang w:eastAsia="en-US"/>
        </w:rPr>
        <w:t>Shimovolos</w:t>
      </w:r>
      <w:r w:rsidRPr="00064129">
        <w:rPr>
          <w:i/>
          <w:szCs w:val="22"/>
          <w:lang w:eastAsia="en-US"/>
        </w:rPr>
        <w:t xml:space="preserve"> </w:t>
      </w:r>
      <w:r w:rsidRPr="00064129">
        <w:rPr>
          <w:i/>
          <w:lang w:eastAsia="en-US"/>
        </w:rPr>
        <w:t>v. Russia</w:t>
      </w:r>
      <w:r w:rsidRPr="00064129">
        <w:rPr>
          <w:lang w:eastAsia="en-US"/>
        </w:rPr>
        <w:t>, no. 30194/09</w:t>
      </w:r>
      <w:r w:rsidRPr="00064129">
        <w:rPr>
          <w:snapToGrid w:val="0"/>
          <w:szCs w:val="24"/>
          <w:lang w:val="pt-BR" w:eastAsia="en-US"/>
        </w:rPr>
        <w:t xml:space="preserve">, §§ </w:t>
      </w:r>
      <w:r>
        <w:rPr>
          <w:snapToGrid w:val="0"/>
          <w:szCs w:val="24"/>
          <w:lang w:val="pt-BR" w:eastAsia="en-US"/>
        </w:rPr>
        <w:t>48-50</w:t>
      </w:r>
      <w:r w:rsidRPr="00064129">
        <w:rPr>
          <w:snapToGrid w:val="0"/>
          <w:szCs w:val="24"/>
          <w:lang w:val="pt-BR" w:eastAsia="en-US"/>
        </w:rPr>
        <w:t>, 21 June 2011</w:t>
      </w:r>
      <w:r>
        <w:rPr>
          <w:snapToGrid w:val="0"/>
          <w:szCs w:val="24"/>
          <w:lang w:val="pt-BR" w:eastAsia="en-US"/>
        </w:rPr>
        <w:t>;</w:t>
      </w:r>
      <w:r>
        <w:rPr>
          <w:rStyle w:val="sb8d990e2"/>
        </w:rPr>
        <w:t xml:space="preserve"> </w:t>
      </w:r>
      <w:r w:rsidRPr="00064129">
        <w:rPr>
          <w:i/>
          <w:lang w:eastAsia="en-US"/>
        </w:rPr>
        <w:t>Iskandarov v. Russia</w:t>
      </w:r>
      <w:r w:rsidRPr="00064129">
        <w:rPr>
          <w:lang w:eastAsia="en-US"/>
        </w:rPr>
        <w:t>, no. 17185/05</w:t>
      </w:r>
      <w:r w:rsidRPr="00064129">
        <w:rPr>
          <w:snapToGrid w:val="0"/>
          <w:szCs w:val="24"/>
          <w:lang w:val="pt-BR" w:eastAsia="en-US"/>
        </w:rPr>
        <w:t xml:space="preserve">, § </w:t>
      </w:r>
      <w:r>
        <w:rPr>
          <w:snapToGrid w:val="0"/>
          <w:szCs w:val="24"/>
          <w:lang w:val="pt-BR" w:eastAsia="en-US"/>
        </w:rPr>
        <w:t>140, 23 </w:t>
      </w:r>
      <w:r w:rsidRPr="00064129">
        <w:rPr>
          <w:snapToGrid w:val="0"/>
          <w:szCs w:val="24"/>
          <w:lang w:val="pt-BR" w:eastAsia="en-US"/>
        </w:rPr>
        <w:t>September 2010</w:t>
      </w:r>
      <w:r>
        <w:rPr>
          <w:snapToGrid w:val="0"/>
          <w:szCs w:val="24"/>
          <w:lang w:val="pt-BR" w:eastAsia="en-US"/>
        </w:rPr>
        <w:t xml:space="preserve">; </w:t>
      </w:r>
      <w:r w:rsidRPr="00064129">
        <w:rPr>
          <w:i/>
          <w:lang w:eastAsia="en-US"/>
        </w:rPr>
        <w:t>Rantsev v. Cyprus and Russia</w:t>
      </w:r>
      <w:r w:rsidRPr="00064129">
        <w:rPr>
          <w:lang w:eastAsia="en-US"/>
        </w:rPr>
        <w:t xml:space="preserve">, no. 25965/04, § </w:t>
      </w:r>
      <w:r>
        <w:rPr>
          <w:lang w:eastAsia="en-US"/>
        </w:rPr>
        <w:t>317</w:t>
      </w:r>
      <w:r w:rsidRPr="00064129">
        <w:rPr>
          <w:lang w:eastAsia="en-US"/>
        </w:rPr>
        <w:t>, ECHR 2010 (extracts)</w:t>
      </w:r>
      <w:r>
        <w:rPr>
          <w:lang w:eastAsia="en-US"/>
        </w:rPr>
        <w:t xml:space="preserve">; and </w:t>
      </w:r>
      <w:r w:rsidRPr="00064129">
        <w:rPr>
          <w:rStyle w:val="s6b621b36"/>
          <w:i/>
        </w:rPr>
        <w:t>Foka v. Turkey</w:t>
      </w:r>
      <w:r w:rsidRPr="00064129">
        <w:rPr>
          <w:rStyle w:val="sb8d990e2"/>
          <w:i/>
        </w:rPr>
        <w:t>,</w:t>
      </w:r>
      <w:r>
        <w:rPr>
          <w:rStyle w:val="sb8d990e2"/>
        </w:rPr>
        <w:t xml:space="preserve"> no. 28940/95, § 75, 24 June 2008).</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191</w:t>
      </w:r>
      <w:r>
        <w:rPr>
          <w:rStyle w:val="sb8d990e2"/>
        </w:rPr>
        <w:fldChar w:fldCharType="end"/>
      </w:r>
      <w:r>
        <w:rPr>
          <w:rStyle w:val="sb8d990e2"/>
        </w:rPr>
        <w:t xml:space="preserve">.  Turning to the facts of the present case, the Court observes that according to the available information a large-scale operation was carried out on 11 June 2010 </w:t>
      </w:r>
      <w:r w:rsidRPr="00BA7042">
        <w:rPr>
          <w:rStyle w:val="sb8d990e2"/>
        </w:rPr>
        <w:t>at 3 a.m. involving</w:t>
      </w:r>
      <w:r>
        <w:rPr>
          <w:rStyle w:val="sb8d990e2"/>
        </w:rPr>
        <w:t xml:space="preserve"> </w:t>
      </w:r>
      <w:r w:rsidRPr="0035534B">
        <w:rPr>
          <w:rStyle w:val="sb8d990e2"/>
        </w:rPr>
        <w:t>about 250</w:t>
      </w:r>
      <w:r>
        <w:rPr>
          <w:rStyle w:val="sb8d990e2"/>
        </w:rPr>
        <w:t xml:space="preserve"> police officers, in order to remove the protesters from the place of </w:t>
      </w:r>
      <w:r w:rsidRPr="00721423">
        <w:rPr>
          <w:rStyle w:val="sb8d990e2"/>
        </w:rPr>
        <w:t>protest (see paragraph 36</w:t>
      </w:r>
      <w:r w:rsidRPr="008E08D3">
        <w:rPr>
          <w:rStyle w:val="sb8d990e2"/>
        </w:rPr>
        <w:t xml:space="preserve"> above).</w:t>
      </w:r>
      <w:r>
        <w:rPr>
          <w:rStyle w:val="sb8d990e2"/>
        </w:rPr>
        <w:t xml:space="preserve"> The applicant and </w:t>
      </w:r>
      <w:r w:rsidRPr="00CC76FF">
        <w:rPr>
          <w:rStyle w:val="sb8d990e2"/>
        </w:rPr>
        <w:t xml:space="preserve">another 148 </w:t>
      </w:r>
      <w:r>
        <w:rPr>
          <w:rStyle w:val="sb8d990e2"/>
        </w:rPr>
        <w:t>protesters</w:t>
      </w:r>
      <w:r w:rsidRPr="00CC76FF">
        <w:rPr>
          <w:rStyle w:val="sb8d990e2"/>
        </w:rPr>
        <w:t xml:space="preserve"> were</w:t>
      </w:r>
      <w:r>
        <w:rPr>
          <w:rStyle w:val="sb8d990e2"/>
        </w:rPr>
        <w:t xml:space="preserve"> boarded on buses and taken to the ERU headquarters where they remained for a number of hours pending their</w:t>
      </w:r>
      <w:r w:rsidRPr="005C128F">
        <w:rPr>
          <w:rStyle w:val="sb8d990e2"/>
        </w:rPr>
        <w:t xml:space="preserve"> identification an</w:t>
      </w:r>
      <w:r>
        <w:rPr>
          <w:rStyle w:val="sb8d990e2"/>
        </w:rPr>
        <w:t>d ascertainment of their immigration status</w:t>
      </w:r>
      <w:r w:rsidRPr="005C128F">
        <w:rPr>
          <w:rStyle w:val="sb8d990e2"/>
        </w:rPr>
        <w:t>.</w:t>
      </w:r>
    </w:p>
    <w:p w:rsidRPr="00505386" w:rsidR="00FA0835" w:rsidP="00FA0835" w:rsidRDefault="00FA0835">
      <w:pPr>
        <w:pStyle w:val="JuPara"/>
        <w:rPr>
          <w:color w:val="000000"/>
          <w:szCs w:val="24"/>
          <w:lang w:eastAsia="en-GB"/>
        </w:rPr>
      </w:pPr>
      <w:r w:rsidRPr="00AF1546">
        <w:rPr>
          <w:rStyle w:val="sb8d990e2"/>
        </w:rPr>
        <w:fldChar w:fldCharType="begin"/>
      </w:r>
      <w:r w:rsidRPr="00AF1546">
        <w:rPr>
          <w:rStyle w:val="sb8d990e2"/>
        </w:rPr>
        <w:instrText xml:space="preserve"> SEQ level0 \*arabic </w:instrText>
      </w:r>
      <w:r w:rsidRPr="00AF1546">
        <w:rPr>
          <w:rStyle w:val="sb8d990e2"/>
        </w:rPr>
        <w:fldChar w:fldCharType="separate"/>
      </w:r>
      <w:r w:rsidR="00C5470A">
        <w:rPr>
          <w:rStyle w:val="sb8d990e2"/>
          <w:noProof/>
        </w:rPr>
        <w:t>192</w:t>
      </w:r>
      <w:r w:rsidRPr="00AF1546">
        <w:rPr>
          <w:rStyle w:val="sb8d990e2"/>
        </w:rPr>
        <w:fldChar w:fldCharType="end"/>
      </w:r>
      <w:r w:rsidRPr="00AF1546">
        <w:rPr>
          <w:rStyle w:val="sb8d990e2"/>
        </w:rPr>
        <w:t xml:space="preserve">.  The Court first notes in this respect that </w:t>
      </w:r>
      <w:r w:rsidRPr="00AF1546">
        <w:rPr>
          <w:color w:val="000000"/>
          <w:szCs w:val="24"/>
          <w:lang w:eastAsia="en-GB"/>
        </w:rPr>
        <w:t xml:space="preserve">in contrast to the exceptional circumstances </w:t>
      </w:r>
      <w:r w:rsidRPr="00F3362D">
        <w:rPr>
          <w:color w:val="000000"/>
          <w:szCs w:val="24"/>
          <w:lang w:eastAsia="en-GB"/>
        </w:rPr>
        <w:t xml:space="preserve">examined by the Court in </w:t>
      </w:r>
      <w:r w:rsidRPr="00F3362D">
        <w:rPr>
          <w:i/>
          <w:iCs/>
          <w:color w:val="000000"/>
          <w:szCs w:val="24"/>
          <w:lang w:eastAsia="en-GB"/>
        </w:rPr>
        <w:t xml:space="preserve">Austin </w:t>
      </w:r>
      <w:r w:rsidRPr="00F3362D">
        <w:rPr>
          <w:iCs/>
          <w:color w:val="000000"/>
          <w:szCs w:val="24"/>
          <w:lang w:eastAsia="en-GB"/>
        </w:rPr>
        <w:t>(cited above, §§ 66 and 68)</w:t>
      </w:r>
      <w:r w:rsidRPr="00F3362D">
        <w:rPr>
          <w:color w:val="000000"/>
          <w:szCs w:val="24"/>
          <w:lang w:eastAsia="en-GB"/>
        </w:rPr>
        <w:t xml:space="preserve">, there is no evidence in the instant case that the police were faced, at the place of protest, </w:t>
      </w:r>
      <w:r w:rsidRPr="00F3362D">
        <w:rPr>
          <w:rStyle w:val="sb8d990e2"/>
        </w:rPr>
        <w:t>with a volatile or dangerous situation</w:t>
      </w:r>
      <w:r w:rsidRPr="00AF1546">
        <w:rPr>
          <w:rStyle w:val="sb8d990e2"/>
        </w:rPr>
        <w:t xml:space="preserve"> </w:t>
      </w:r>
      <w:r w:rsidRPr="00AF1546">
        <w:rPr>
          <w:color w:val="000000"/>
          <w:szCs w:val="24"/>
          <w:lang w:eastAsia="en-GB"/>
        </w:rPr>
        <w:t>that gave rise to a real and immediate risk of violent disorder or serious injury to persons or property.</w:t>
      </w:r>
    </w:p>
    <w:p w:rsidR="00FA0835" w:rsidP="00FA0835" w:rsidRDefault="00FA0835">
      <w:pPr>
        <w:pStyle w:val="JuPara"/>
      </w:pPr>
      <w:r w:rsidRPr="00AF1546">
        <w:rPr>
          <w:snapToGrid w:val="0"/>
          <w:color w:val="000000"/>
          <w:szCs w:val="22"/>
          <w:lang w:eastAsia="en-US"/>
        </w:rPr>
        <w:fldChar w:fldCharType="begin"/>
      </w:r>
      <w:r w:rsidRPr="00AF1546">
        <w:rPr>
          <w:snapToGrid w:val="0"/>
          <w:color w:val="000000"/>
          <w:szCs w:val="22"/>
          <w:lang w:eastAsia="en-US"/>
        </w:rPr>
        <w:instrText xml:space="preserve"> SEQ level0 \*arabic </w:instrText>
      </w:r>
      <w:r w:rsidRPr="00AF1546">
        <w:rPr>
          <w:snapToGrid w:val="0"/>
          <w:color w:val="000000"/>
          <w:szCs w:val="22"/>
          <w:lang w:eastAsia="en-US"/>
        </w:rPr>
        <w:fldChar w:fldCharType="separate"/>
      </w:r>
      <w:r w:rsidR="00C5470A">
        <w:rPr>
          <w:noProof/>
          <w:snapToGrid w:val="0"/>
          <w:color w:val="000000"/>
          <w:szCs w:val="22"/>
          <w:lang w:eastAsia="en-US"/>
        </w:rPr>
        <w:t>193</w:t>
      </w:r>
      <w:r w:rsidRPr="00AF1546">
        <w:rPr>
          <w:snapToGrid w:val="0"/>
          <w:color w:val="000000"/>
          <w:szCs w:val="22"/>
          <w:lang w:eastAsia="en-US"/>
        </w:rPr>
        <w:fldChar w:fldCharType="end"/>
      </w:r>
      <w:r w:rsidRPr="00AF1546">
        <w:rPr>
          <w:snapToGrid w:val="0"/>
          <w:color w:val="000000"/>
          <w:szCs w:val="22"/>
          <w:lang w:eastAsia="en-US"/>
        </w:rPr>
        <w:t>.</w:t>
      </w:r>
      <w:r w:rsidRPr="00AF1546">
        <w:rPr>
          <w:rStyle w:val="sb8d990e2"/>
        </w:rPr>
        <w:t>  </w:t>
      </w:r>
      <w:r>
        <w:rPr>
          <w:snapToGrid w:val="0"/>
          <w:color w:val="000000"/>
          <w:szCs w:val="22"/>
          <w:lang w:eastAsia="en-US"/>
        </w:rPr>
        <w:t xml:space="preserve">Second, </w:t>
      </w:r>
      <w:r>
        <w:rPr>
          <w:rStyle w:val="sb8d990e2"/>
        </w:rPr>
        <w:t>a</w:t>
      </w:r>
      <w:r w:rsidRPr="005C128F">
        <w:rPr>
          <w:rStyle w:val="sb8d990e2"/>
        </w:rPr>
        <w:t>lthough it appears that there was no</w:t>
      </w:r>
      <w:r w:rsidRPr="005C128F">
        <w:t xml:space="preserve"> resistance on the part of the </w:t>
      </w:r>
      <w:r>
        <w:t>protesters</w:t>
      </w:r>
      <w:r w:rsidRPr="005C128F">
        <w:t>, it cannot be said that they h</w:t>
      </w:r>
      <w:r>
        <w:t>ad in the circumstances a real choice and that they boarded</w:t>
      </w:r>
      <w:r w:rsidRPr="005C128F">
        <w:t xml:space="preserve"> the buses and remained on the police premises </w:t>
      </w:r>
      <w:r>
        <w:t>voluntarily</w:t>
      </w:r>
      <w:r w:rsidRPr="005C128F">
        <w:t xml:space="preserve">. </w:t>
      </w:r>
      <w:r w:rsidRPr="00870D98">
        <w:rPr>
          <w:rStyle w:val="sb8d990e2"/>
        </w:rPr>
        <w:t>The Court notes in this respect tha</w:t>
      </w:r>
      <w:r>
        <w:rPr>
          <w:rStyle w:val="sb8d990e2"/>
        </w:rPr>
        <w:t>t the operation took place at 3 </w:t>
      </w:r>
      <w:r w:rsidRPr="00870D98">
        <w:rPr>
          <w:rStyle w:val="sb8d990e2"/>
        </w:rPr>
        <w:t xml:space="preserve">a.m., at a time when </w:t>
      </w:r>
      <w:r w:rsidRPr="00870D98">
        <w:t>the majority of the protesters were sleeping (see paragraph 36 above).</w:t>
      </w:r>
      <w:r w:rsidRPr="00870D98">
        <w:rPr>
          <w:b/>
          <w:color w:val="0000FF"/>
        </w:rPr>
        <w:t xml:space="preserve"> </w:t>
      </w:r>
      <w:r w:rsidRPr="00870D98">
        <w:t>Bearing</w:t>
      </w:r>
      <w:r>
        <w:t xml:space="preserve"> in mind the nature, scale and aim of the operation, the manner in which it was carried out and the overall measures taken by the authorities, it </w:t>
      </w:r>
      <w:r>
        <w:rPr>
          <w:rStyle w:val="sb8d990e2"/>
        </w:rPr>
        <w:t>would be unrealistic to assume that the protesters were free to refuse to board the buses or to leave the police headquarters. Nor have the Government indicated that they were. It is clear that the aim of the operation was also to identify the protesters who were staying in the country unlawfully with a view to deporting them. Only those who were found to be lawfully residing in Cyprus were able to leave the premises</w:t>
      </w:r>
      <w:r w:rsidRPr="007727B8">
        <w:rPr>
          <w:rStyle w:val="sb8d990e2"/>
        </w:rPr>
        <w:t xml:space="preserve">. </w:t>
      </w:r>
      <w:r>
        <w:t>There was undoubtedly an element of coercion, which in the Court</w:t>
      </w:r>
      <w:r w:rsidR="00A7319E">
        <w:t>’</w:t>
      </w:r>
      <w:r>
        <w:t xml:space="preserve">s view </w:t>
      </w:r>
      <w:r w:rsidRPr="00952B2A">
        <w:t xml:space="preserve">is </w:t>
      </w:r>
      <w:r w:rsidRPr="00952B2A">
        <w:rPr>
          <w:rStyle w:val="sb8d990e2"/>
        </w:rPr>
        <w:t>indicative</w:t>
      </w:r>
      <w:r>
        <w:rPr>
          <w:rStyle w:val="sb8d990e2"/>
        </w:rPr>
        <w:t xml:space="preserve"> of a deprivation of liberty within the meaning of Article 5 § 1. </w:t>
      </w:r>
      <w:r w:rsidRPr="00E13870">
        <w:t>The fact that</w:t>
      </w:r>
      <w:r>
        <w:t xml:space="preserve"> </w:t>
      </w:r>
      <w:r w:rsidRPr="00E13870">
        <w:t>nobody had been</w:t>
      </w:r>
      <w:r>
        <w:t xml:space="preserve"> </w:t>
      </w:r>
      <w:r w:rsidRPr="00E13870">
        <w:t xml:space="preserve">handcuffed, put in cells or otherwise physically restrained </w:t>
      </w:r>
      <w:r>
        <w:t xml:space="preserve">during the period in question </w:t>
      </w:r>
      <w:r w:rsidRPr="00E13870">
        <w:rPr>
          <w:rStyle w:val="sb8d990e2"/>
        </w:rPr>
        <w:t>does not constitute a decisive factor in establishing the existence of a deprivation of liberty (</w:t>
      </w:r>
      <w:r w:rsidRPr="000F6195">
        <w:rPr>
          <w:rStyle w:val="sb8d990e2"/>
        </w:rPr>
        <w:t xml:space="preserve">see </w:t>
      </w:r>
      <w:r w:rsidRPr="000F6195">
        <w:rPr>
          <w:rStyle w:val="s6b621b36"/>
          <w:i/>
        </w:rPr>
        <w:t>I.I.</w:t>
      </w:r>
      <w:r w:rsidRPr="000F6195">
        <w:rPr>
          <w:rStyle w:val="s6b621b36"/>
        </w:rPr>
        <w:t xml:space="preserve"> </w:t>
      </w:r>
      <w:r w:rsidRPr="002F6851">
        <w:rPr>
          <w:rStyle w:val="s6b621b36"/>
          <w:i/>
        </w:rPr>
        <w:t>v. Bulgaria</w:t>
      </w:r>
      <w:r>
        <w:rPr>
          <w:rStyle w:val="sb8d990e2"/>
        </w:rPr>
        <w:t>, no. </w:t>
      </w:r>
      <w:r w:rsidRPr="000F6195">
        <w:rPr>
          <w:rStyle w:val="sb8d990e2"/>
        </w:rPr>
        <w:t xml:space="preserve">44082/98, § 87, 9 June 2005, </w:t>
      </w:r>
      <w:r w:rsidRPr="000364E6">
        <w:rPr>
          <w:rStyle w:val="sb8d990e2"/>
        </w:rPr>
        <w:t xml:space="preserve">and </w:t>
      </w:r>
      <w:r w:rsidRPr="000364E6">
        <w:rPr>
          <w:rStyle w:val="s6b621b36"/>
          <w:i/>
        </w:rPr>
        <w:t>Osypenko</w:t>
      </w:r>
      <w:r w:rsidRPr="000364E6">
        <w:rPr>
          <w:rStyle w:val="sb8d990e2"/>
        </w:rPr>
        <w:t>, cited above, § 32).</w:t>
      </w:r>
    </w:p>
    <w:p w:rsidR="00FA0835" w:rsidP="00FA0835" w:rsidRDefault="00FA0835">
      <w:pPr>
        <w:pStyle w:val="JuPara"/>
      </w:pPr>
      <w:r w:rsidRPr="000F28DA">
        <w:fldChar w:fldCharType="begin"/>
      </w:r>
      <w:r w:rsidRPr="000F28DA">
        <w:instrText xml:space="preserve"> SEQ level0 \*arabic </w:instrText>
      </w:r>
      <w:r w:rsidRPr="000F28DA">
        <w:fldChar w:fldCharType="separate"/>
      </w:r>
      <w:r w:rsidR="00C5470A">
        <w:rPr>
          <w:noProof/>
        </w:rPr>
        <w:t>194</w:t>
      </w:r>
      <w:r w:rsidRPr="000F28DA">
        <w:fldChar w:fldCharType="end"/>
      </w:r>
      <w:r w:rsidRPr="000F28DA">
        <w:t>.  The Court also refers, in this respect, to the instructions received by the police to use “discreet methods of arrest</w:t>
      </w:r>
      <w:r w:rsidRPr="008E08D3">
        <w:t xml:space="preserve">” (see </w:t>
      </w:r>
      <w:r w:rsidRPr="00721423">
        <w:t>paragraph 31</w:t>
      </w:r>
      <w:r w:rsidRPr="008E08D3">
        <w:t xml:space="preserve"> above).</w:t>
      </w:r>
    </w:p>
    <w:p w:rsidR="00FA0835" w:rsidP="00FA0835" w:rsidRDefault="00FA0835">
      <w:pPr>
        <w:pStyle w:val="JuPara"/>
        <w:rPr>
          <w:i/>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195</w:t>
      </w:r>
      <w:r>
        <w:rPr>
          <w:rStyle w:val="sb8d990e2"/>
        </w:rPr>
        <w:fldChar w:fldCharType="end"/>
      </w:r>
      <w:r>
        <w:rPr>
          <w:rStyle w:val="sb8d990e2"/>
        </w:rPr>
        <w:t>.  In these circumstances the Court considers that the applicant</w:t>
      </w:r>
      <w:r w:rsidR="00A7319E">
        <w:rPr>
          <w:rStyle w:val="sb8d990e2"/>
        </w:rPr>
        <w:t>’</w:t>
      </w:r>
      <w:r>
        <w:rPr>
          <w:rStyle w:val="sb8d990e2"/>
        </w:rPr>
        <w:t xml:space="preserve">s transfer to and stay in the ERU headquarters during this </w:t>
      </w:r>
      <w:r w:rsidRPr="004B4C00">
        <w:rPr>
          <w:rStyle w:val="sb8d990e2"/>
        </w:rPr>
        <w:t xml:space="preserve">period amounted </w:t>
      </w:r>
      <w:r w:rsidRPr="000F28DA">
        <w:rPr>
          <w:rStyle w:val="sb8d990e2"/>
        </w:rPr>
        <w:t xml:space="preserve">to </w:t>
      </w:r>
      <w:r>
        <w:rPr>
          <w:rStyle w:val="sb8d990e2"/>
        </w:rPr>
        <w:t xml:space="preserve">a </w:t>
      </w:r>
      <w:r w:rsidRPr="000F28DA">
        <w:rPr>
          <w:rStyle w:val="s6b621b36"/>
          <w:i/>
        </w:rPr>
        <w:t>de facto</w:t>
      </w:r>
      <w:r w:rsidRPr="000F28DA">
        <w:rPr>
          <w:rStyle w:val="sb8d990e2"/>
        </w:rPr>
        <w:t xml:space="preserve"> deprivation of liberty within the meaning of Article 5 § 1 and</w:t>
      </w:r>
      <w:r>
        <w:rPr>
          <w:rStyle w:val="sb8d990e2"/>
        </w:rPr>
        <w:t xml:space="preserve"> that </w:t>
      </w:r>
      <w:r w:rsidRPr="004B4C00">
        <w:rPr>
          <w:rStyle w:val="sb8d990e2"/>
        </w:rPr>
        <w:t xml:space="preserve">this provision applies to his case </w:t>
      </w:r>
      <w:r w:rsidRPr="004B4C00">
        <w:rPr>
          <w:rStyle w:val="sb8d990e2"/>
          <w:i/>
        </w:rPr>
        <w:t>ratione materiae.</w:t>
      </w:r>
    </w:p>
    <w:p w:rsidRPr="002A1672"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196</w:t>
      </w:r>
      <w:r>
        <w:rPr>
          <w:rStyle w:val="sb8d990e2"/>
        </w:rPr>
        <w:fldChar w:fldCharType="end"/>
      </w:r>
      <w:r>
        <w:rPr>
          <w:rStyle w:val="sb8d990e2"/>
        </w:rPr>
        <w:t>.  </w:t>
      </w:r>
      <w:r w:rsidRPr="00A21E78">
        <w:rPr>
          <w:rStyle w:val="sb8d990e2"/>
        </w:rPr>
        <w:t xml:space="preserve">The Court further notes that this </w:t>
      </w:r>
      <w:r>
        <w:rPr>
          <w:rStyle w:val="sb8d990e2"/>
        </w:rPr>
        <w:t>complaint is not manifestly ill</w:t>
      </w:r>
      <w:r>
        <w:rPr>
          <w:rStyle w:val="sb8d990e2"/>
        </w:rPr>
        <w:noBreakHyphen/>
      </w:r>
      <w:r w:rsidRPr="00A21E78">
        <w:rPr>
          <w:rStyle w:val="sb8d990e2"/>
        </w:rPr>
        <w:t>founded within the meaning of Article 35 § 3 (a) of the Convention. It further notes that it is not inadmissible on any other grounds. It must therefore be declared admissible.</w:t>
      </w:r>
    </w:p>
    <w:p w:rsidRPr="004B4C00" w:rsidR="00FA0835" w:rsidP="00FA0835" w:rsidRDefault="00FA0835">
      <w:pPr>
        <w:pStyle w:val="JuHa0"/>
      </w:pPr>
      <w:r>
        <w:t>(b)</w:t>
      </w:r>
      <w:r w:rsidRPr="00A80110">
        <w:t>  </w:t>
      </w:r>
      <w:r w:rsidRPr="004B4C00">
        <w:t>Merits</w:t>
      </w:r>
    </w:p>
    <w:p w:rsidR="00FA0835" w:rsidP="00FA0835" w:rsidRDefault="00FA0835">
      <w:pPr>
        <w:pStyle w:val="JuPara"/>
        <w:rPr>
          <w:rStyle w:val="sb8d990e2"/>
        </w:rPr>
      </w:pPr>
      <w:r w:rsidRPr="000646D5">
        <w:rPr>
          <w:rStyle w:val="JuParaChar"/>
        </w:rPr>
        <w:fldChar w:fldCharType="begin"/>
      </w:r>
      <w:r w:rsidRPr="000646D5">
        <w:rPr>
          <w:rStyle w:val="JuParaChar"/>
        </w:rPr>
        <w:instrText xml:space="preserve"> SEQ level0 \*arabic </w:instrText>
      </w:r>
      <w:r w:rsidRPr="000646D5">
        <w:rPr>
          <w:rStyle w:val="JuParaChar"/>
        </w:rPr>
        <w:fldChar w:fldCharType="separate"/>
      </w:r>
      <w:r w:rsidR="00C5470A">
        <w:rPr>
          <w:rStyle w:val="JuParaChar"/>
          <w:noProof/>
        </w:rPr>
        <w:t>197</w:t>
      </w:r>
      <w:r w:rsidRPr="000646D5">
        <w:rPr>
          <w:rStyle w:val="JuParaChar"/>
        </w:rPr>
        <w:fldChar w:fldCharType="end"/>
      </w:r>
      <w:r w:rsidRPr="000646D5">
        <w:rPr>
          <w:rStyle w:val="JuParaChar"/>
        </w:rPr>
        <w:t>.  </w:t>
      </w:r>
      <w:r>
        <w:rPr>
          <w:rStyle w:val="JuParaChar"/>
        </w:rPr>
        <w:t xml:space="preserve">The Court must now determine </w:t>
      </w:r>
      <w:r>
        <w:rPr>
          <w:rStyle w:val="sb8d990e2"/>
        </w:rPr>
        <w:t>whether the applicant</w:t>
      </w:r>
      <w:r w:rsidR="00A7319E">
        <w:rPr>
          <w:rStyle w:val="sb8d990e2"/>
        </w:rPr>
        <w:t>’</w:t>
      </w:r>
      <w:r>
        <w:rPr>
          <w:rStyle w:val="sb8d990e2"/>
        </w:rPr>
        <w:t xml:space="preserve">s detention was compatible with Article </w:t>
      </w:r>
      <w:r w:rsidRPr="000646D5">
        <w:rPr>
          <w:rStyle w:val="JuParaChar"/>
        </w:rPr>
        <w:t>5 § 1</w:t>
      </w:r>
      <w:r>
        <w:rPr>
          <w:rStyle w:val="JuParaChar"/>
        </w:rPr>
        <w:t>. It</w:t>
      </w:r>
      <w:r w:rsidRPr="000646D5">
        <w:rPr>
          <w:rStyle w:val="JuParaChar"/>
        </w:rPr>
        <w:t xml:space="preserve"> reiterates that in order to comply with </w:t>
      </w:r>
      <w:r>
        <w:rPr>
          <w:rStyle w:val="JuParaChar"/>
        </w:rPr>
        <w:t>this provision</w:t>
      </w:r>
      <w:r w:rsidRPr="000646D5">
        <w:rPr>
          <w:rStyle w:val="JuParaChar"/>
        </w:rPr>
        <w:t>, the detention in issu</w:t>
      </w:r>
      <w:r>
        <w:rPr>
          <w:rStyle w:val="JuParaChar"/>
        </w:rPr>
        <w:t>e must first of all be “lawful”. This must</w:t>
      </w:r>
      <w:r w:rsidRPr="000646D5">
        <w:rPr>
          <w:rStyle w:val="JuParaChar"/>
        </w:rPr>
        <w:t xml:space="preserve"> includ</w:t>
      </w:r>
      <w:r>
        <w:rPr>
          <w:rStyle w:val="JuParaChar"/>
        </w:rPr>
        <w:t>e</w:t>
      </w:r>
      <w:r w:rsidRPr="000646D5">
        <w:rPr>
          <w:rStyle w:val="JuParaChar"/>
        </w:rPr>
        <w:t xml:space="preserve"> the observance of a procedure prescribed by law</w:t>
      </w:r>
      <w:r>
        <w:rPr>
          <w:rStyle w:val="JuParaChar"/>
        </w:rPr>
        <w:t xml:space="preserve">. </w:t>
      </w:r>
      <w:r>
        <w:rPr>
          <w:rStyle w:val="sb8d990e2"/>
        </w:rPr>
        <w:t xml:space="preserve">In this respect the Convention refers back essentially to national law and lays down the obligation </w:t>
      </w:r>
      <w:r>
        <w:rPr>
          <w:rStyle w:val="wordhighlighted"/>
        </w:rPr>
        <w:t>to conform to the substantive and procedural rules thereof</w:t>
      </w:r>
      <w:r w:rsidRPr="000646D5">
        <w:rPr>
          <w:rStyle w:val="JuParaChar"/>
        </w:rPr>
        <w:t xml:space="preserve"> </w:t>
      </w:r>
      <w:r w:rsidRPr="0068448F">
        <w:rPr>
          <w:rStyle w:val="sb8d990e2"/>
        </w:rPr>
        <w:t xml:space="preserve">(see </w:t>
      </w:r>
      <w:r w:rsidRPr="0068448F">
        <w:rPr>
          <w:i/>
          <w:lang w:eastAsia="en-US"/>
        </w:rPr>
        <w:t>Benham v. the United Kingdom</w:t>
      </w:r>
      <w:r w:rsidRPr="0068448F">
        <w:rPr>
          <w:lang w:eastAsia="en-US"/>
        </w:rPr>
        <w:t xml:space="preserve">, 10 June 1996, § 40, </w:t>
      </w:r>
      <w:r w:rsidRPr="000F28DA">
        <w:rPr>
          <w:i/>
          <w:lang w:eastAsia="en-US"/>
        </w:rPr>
        <w:t xml:space="preserve">Reports </w:t>
      </w:r>
      <w:r w:rsidRPr="000F28DA">
        <w:rPr>
          <w:lang w:eastAsia="en-US"/>
        </w:rPr>
        <w:t>1996</w:t>
      </w:r>
      <w:r w:rsidRPr="0068448F">
        <w:rPr>
          <w:lang w:eastAsia="en-US"/>
        </w:rPr>
        <w:noBreakHyphen/>
        <w:t>III</w:t>
      </w:r>
      <w:r w:rsidRPr="0068448F">
        <w:rPr>
          <w:rStyle w:val="sb8d990e2"/>
        </w:rPr>
        <w:t>).</w:t>
      </w:r>
      <w:r>
        <w:rPr>
          <w:rStyle w:val="sb8d990e2"/>
        </w:rPr>
        <w:t xml:space="preserve"> However, the “lawfulness” of detention under domestic law is not always the decisive element. The Court must in addition be satisfied that detention during the period under consideration was compatible with the purpose of Article 5 § 1 of the Convention, which is to prevent persons from being deprived of their liberty in an arbitrary fashion.</w:t>
      </w:r>
    </w:p>
    <w:p w:rsidR="00FA0835" w:rsidP="00FA0835" w:rsidRDefault="00FA0835">
      <w:pPr>
        <w:pStyle w:val="JuPara"/>
        <w:rPr>
          <w:rStyle w:val="sb8d990e2"/>
        </w:rPr>
      </w:pPr>
      <w:r w:rsidRPr="000364E6">
        <w:rPr>
          <w:rStyle w:val="sb8d990e2"/>
        </w:rPr>
        <w:fldChar w:fldCharType="begin"/>
      </w:r>
      <w:r w:rsidRPr="000364E6">
        <w:rPr>
          <w:rStyle w:val="sb8d990e2"/>
        </w:rPr>
        <w:instrText xml:space="preserve"> SEQ level0 \*arabic </w:instrText>
      </w:r>
      <w:r w:rsidRPr="000364E6">
        <w:rPr>
          <w:rStyle w:val="sb8d990e2"/>
        </w:rPr>
        <w:fldChar w:fldCharType="separate"/>
      </w:r>
      <w:r w:rsidR="00C5470A">
        <w:rPr>
          <w:rStyle w:val="sb8d990e2"/>
          <w:noProof/>
        </w:rPr>
        <w:t>198</w:t>
      </w:r>
      <w:r w:rsidRPr="000364E6">
        <w:rPr>
          <w:rStyle w:val="sb8d990e2"/>
        </w:rPr>
        <w:fldChar w:fldCharType="end"/>
      </w:r>
      <w:r w:rsidRPr="000364E6">
        <w:rPr>
          <w:rStyle w:val="sb8d990e2"/>
        </w:rPr>
        <w:t>.  The Court must</w:t>
      </w:r>
      <w:r>
        <w:rPr>
          <w:rStyle w:val="sb8d990e2"/>
        </w:rPr>
        <w:t>,</w:t>
      </w:r>
      <w:r w:rsidRPr="000364E6">
        <w:rPr>
          <w:rStyle w:val="sb8d990e2"/>
        </w:rPr>
        <w:t xml:space="preserve"> moreover</w:t>
      </w:r>
      <w:r>
        <w:rPr>
          <w:rStyle w:val="sb8d990e2"/>
        </w:rPr>
        <w:t>,</w:t>
      </w:r>
      <w:r w:rsidRPr="000364E6">
        <w:rPr>
          <w:rStyle w:val="sb8d990e2"/>
        </w:rPr>
        <w:t xml:space="preserve"> ascertain whether domestic law itself is in conformity with the Convention, including the general principles expressed or implied therein. On this last point, the Court stresses that, where deprivation of liberty is concerned, it is particularly important that the general principle of legal certainty be satisfied. It is therefore essential that the conditions for </w:t>
      </w:r>
      <w:r w:rsidRPr="000364E6">
        <w:rPr>
          <w:rStyle w:val="wordhighlighted"/>
        </w:rPr>
        <w:t>deprivation of liberty under domestic law be clearly defined and that the law</w:t>
      </w:r>
      <w:r w:rsidRPr="000364E6">
        <w:rPr>
          <w:rStyle w:val="sb8d990e2"/>
        </w:rPr>
        <w:t xml:space="preserve"> itself be foreseeable in its application (see</w:t>
      </w:r>
      <w:r>
        <w:rPr>
          <w:rStyle w:val="sb8d990e2"/>
        </w:rPr>
        <w:t xml:space="preserve"> </w:t>
      </w:r>
      <w:r w:rsidRPr="000364E6">
        <w:rPr>
          <w:rStyle w:val="s6b621b36"/>
          <w:i/>
        </w:rPr>
        <w:t>Zervudacki v. France</w:t>
      </w:r>
      <w:r>
        <w:rPr>
          <w:rStyle w:val="sb8d990e2"/>
        </w:rPr>
        <w:t xml:space="preserve">, no. 73947/01, § 43 </w:t>
      </w:r>
      <w:r w:rsidRPr="000364E6">
        <w:rPr>
          <w:rStyle w:val="sb8d990e2"/>
        </w:rPr>
        <w:t>and</w:t>
      </w:r>
      <w:r w:rsidRPr="000364E6">
        <w:rPr>
          <w:rStyle w:val="s6b621b36"/>
        </w:rPr>
        <w:t xml:space="preserve"> </w:t>
      </w:r>
      <w:r w:rsidRPr="000364E6">
        <w:rPr>
          <w:rStyle w:val="s6b621b36"/>
          <w:i/>
        </w:rPr>
        <w:t>Baranowski v. Poland</w:t>
      </w:r>
      <w:r>
        <w:rPr>
          <w:rStyle w:val="sb8d990e2"/>
        </w:rPr>
        <w:t>, §§ 50</w:t>
      </w:r>
      <w:r>
        <w:rPr>
          <w:rStyle w:val="sb8d990e2"/>
        </w:rPr>
        <w:noBreakHyphen/>
      </w:r>
      <w:r w:rsidRPr="000364E6">
        <w:rPr>
          <w:rStyle w:val="sb8d990e2"/>
        </w:rPr>
        <w:t xml:space="preserve">52, </w:t>
      </w:r>
      <w:r>
        <w:rPr>
          <w:rStyle w:val="sb8d990e2"/>
        </w:rPr>
        <w:t>cited above</w:t>
      </w:r>
      <w:r w:rsidRPr="000364E6">
        <w:rPr>
          <w:rStyle w:val="sb8d990e2"/>
        </w:rPr>
        <w:t>).</w:t>
      </w:r>
    </w:p>
    <w:p w:rsidR="00FA0835" w:rsidP="00FA0835" w:rsidRDefault="00FA0835">
      <w:pPr>
        <w:pStyle w:val="JuPara"/>
        <w:rPr>
          <w:rStyle w:val="sb8d990e2"/>
        </w:rPr>
      </w:pPr>
      <w:r w:rsidRPr="00C5786A">
        <w:rPr>
          <w:rStyle w:val="sb8d990e2"/>
        </w:rPr>
        <w:fldChar w:fldCharType="begin"/>
      </w:r>
      <w:r w:rsidRPr="00C5786A">
        <w:rPr>
          <w:rStyle w:val="sb8d990e2"/>
        </w:rPr>
        <w:instrText xml:space="preserve"> SEQ level0 \*arabic </w:instrText>
      </w:r>
      <w:r w:rsidRPr="00C5786A">
        <w:rPr>
          <w:rStyle w:val="sb8d990e2"/>
        </w:rPr>
        <w:fldChar w:fldCharType="separate"/>
      </w:r>
      <w:r w:rsidR="00C5470A">
        <w:rPr>
          <w:rStyle w:val="sb8d990e2"/>
          <w:noProof/>
        </w:rPr>
        <w:t>199</w:t>
      </w:r>
      <w:r w:rsidRPr="00C5786A">
        <w:rPr>
          <w:rStyle w:val="sb8d990e2"/>
        </w:rPr>
        <w:fldChar w:fldCharType="end"/>
      </w:r>
      <w:r w:rsidRPr="00C5786A">
        <w:rPr>
          <w:rStyle w:val="sb8d990e2"/>
        </w:rPr>
        <w:t xml:space="preserve">.  In the present case, </w:t>
      </w:r>
      <w:r>
        <w:rPr>
          <w:rStyle w:val="sb8d990e2"/>
        </w:rPr>
        <w:t xml:space="preserve">the Government have submitted </w:t>
      </w:r>
      <w:r w:rsidRPr="00C5786A">
        <w:rPr>
          <w:rStyle w:val="sb8d990e2"/>
        </w:rPr>
        <w:t xml:space="preserve">that the applicant, along with the other protesters, </w:t>
      </w:r>
      <w:r>
        <w:rPr>
          <w:rStyle w:val="sb8d990e2"/>
        </w:rPr>
        <w:t>was</w:t>
      </w:r>
      <w:r w:rsidRPr="00C5786A">
        <w:rPr>
          <w:rStyle w:val="sb8d990e2"/>
        </w:rPr>
        <w:t xml:space="preserve"> not deprived of </w:t>
      </w:r>
      <w:r>
        <w:rPr>
          <w:rStyle w:val="sb8d990e2"/>
        </w:rPr>
        <w:t>his</w:t>
      </w:r>
      <w:r w:rsidRPr="00C5786A">
        <w:rPr>
          <w:rStyle w:val="sb8d990e2"/>
        </w:rPr>
        <w:t xml:space="preserve"> liberty during this period (see paragraph 180 above). </w:t>
      </w:r>
      <w:r>
        <w:rPr>
          <w:rStyle w:val="sb8d990e2"/>
        </w:rPr>
        <w:t>It appears that for this reason, a</w:t>
      </w:r>
      <w:r w:rsidRPr="00C5786A">
        <w:rPr>
          <w:rStyle w:val="sb8d990e2"/>
        </w:rPr>
        <w:t xml:space="preserve">lthough they have given explanations for the actions of the authorities, they have not relied on any particular provision as a legal basis for </w:t>
      </w:r>
      <w:r w:rsidRPr="00E04EF3">
        <w:rPr>
          <w:rStyle w:val="sb8d990e2"/>
        </w:rPr>
        <w:t>the deprivation of liberty.</w:t>
      </w:r>
    </w:p>
    <w:p w:rsidRPr="00C5786A" w:rsidR="00FA0835" w:rsidP="00FA0835" w:rsidRDefault="00FA0835">
      <w:pPr>
        <w:pStyle w:val="JuPara"/>
        <w:rPr>
          <w:rStyle w:val="sb8d990e2"/>
        </w:rPr>
      </w:pPr>
      <w:r w:rsidRPr="00C5786A">
        <w:rPr>
          <w:rStyle w:val="sb8d990e2"/>
        </w:rPr>
        <w:fldChar w:fldCharType="begin"/>
      </w:r>
      <w:r w:rsidRPr="00C5786A">
        <w:rPr>
          <w:rStyle w:val="sb8d990e2"/>
        </w:rPr>
        <w:instrText xml:space="preserve"> SEQ level0 \*arabic </w:instrText>
      </w:r>
      <w:r w:rsidRPr="00C5786A">
        <w:rPr>
          <w:rStyle w:val="sb8d990e2"/>
        </w:rPr>
        <w:fldChar w:fldCharType="separate"/>
      </w:r>
      <w:r w:rsidR="00C5470A">
        <w:rPr>
          <w:rStyle w:val="sb8d990e2"/>
          <w:noProof/>
        </w:rPr>
        <w:t>200</w:t>
      </w:r>
      <w:r w:rsidRPr="00C5786A">
        <w:rPr>
          <w:rStyle w:val="sb8d990e2"/>
        </w:rPr>
        <w:fldChar w:fldCharType="end"/>
      </w:r>
      <w:r w:rsidRPr="00C5786A">
        <w:rPr>
          <w:rStyle w:val="sb8d990e2"/>
        </w:rPr>
        <w:t xml:space="preserve">.  In this </w:t>
      </w:r>
      <w:r>
        <w:rPr>
          <w:rStyle w:val="sb8d990e2"/>
        </w:rPr>
        <w:t xml:space="preserve">particular </w:t>
      </w:r>
      <w:r w:rsidRPr="00C5786A">
        <w:rPr>
          <w:rStyle w:val="sb8d990e2"/>
        </w:rPr>
        <w:t>re</w:t>
      </w:r>
      <w:r>
        <w:rPr>
          <w:rStyle w:val="sb8d990e2"/>
        </w:rPr>
        <w:t>gard</w:t>
      </w:r>
      <w:r w:rsidRPr="00C5786A">
        <w:rPr>
          <w:rStyle w:val="sb8d990e2"/>
        </w:rPr>
        <w:t xml:space="preserve">, the Government </w:t>
      </w:r>
      <w:r>
        <w:rPr>
          <w:rStyle w:val="sb8d990e2"/>
        </w:rPr>
        <w:t xml:space="preserve">have </w:t>
      </w:r>
      <w:r w:rsidRPr="00C5786A">
        <w:rPr>
          <w:rStyle w:val="sb8d990e2"/>
        </w:rPr>
        <w:t>submitted that the authorities opted for the peaceful removal of the protesters</w:t>
      </w:r>
      <w:r>
        <w:rPr>
          <w:rStyle w:val="sb8d990e2"/>
        </w:rPr>
        <w:t xml:space="preserve"> and that</w:t>
      </w:r>
      <w:r w:rsidRPr="00C5786A">
        <w:rPr>
          <w:rStyle w:val="sb8d990e2"/>
        </w:rPr>
        <w:t xml:space="preserve"> </w:t>
      </w:r>
      <w:r>
        <w:rPr>
          <w:rStyle w:val="sb8d990e2"/>
        </w:rPr>
        <w:t>t</w:t>
      </w:r>
      <w:r w:rsidRPr="00C5786A">
        <w:rPr>
          <w:rStyle w:val="sb8d990e2"/>
        </w:rPr>
        <w:t xml:space="preserve">he police acted in exercise of their duties under the Police Law in order to, </w:t>
      </w:r>
      <w:r w:rsidRPr="00C5786A">
        <w:rPr>
          <w:rStyle w:val="sb8d990e2"/>
          <w:i/>
        </w:rPr>
        <w:t>inter alia</w:t>
      </w:r>
      <w:r w:rsidRPr="00C5786A">
        <w:rPr>
          <w:rStyle w:val="sb8d990e2"/>
        </w:rPr>
        <w:t xml:space="preserve">, prevent the commission of certain criminal offences and public nuisance and to maintain order on public roads and in public areas (see paragraphs 89-90 above). The </w:t>
      </w:r>
      <w:r>
        <w:rPr>
          <w:rStyle w:val="sb8d990e2"/>
        </w:rPr>
        <w:t>specific</w:t>
      </w:r>
      <w:r w:rsidRPr="00C5786A">
        <w:rPr>
          <w:rStyle w:val="sb8d990e2"/>
        </w:rPr>
        <w:t xml:space="preserve"> provisions referred to by the Government concern the powers and duties of police </w:t>
      </w:r>
      <w:r>
        <w:rPr>
          <w:rStyle w:val="sb8d990e2"/>
        </w:rPr>
        <w:t xml:space="preserve">officers </w:t>
      </w:r>
      <w:r w:rsidRPr="00C5786A">
        <w:rPr>
          <w:rStyle w:val="sb8d990e2"/>
        </w:rPr>
        <w:t xml:space="preserve">to arrest </w:t>
      </w:r>
      <w:r>
        <w:rPr>
          <w:rStyle w:val="sb8d990e2"/>
        </w:rPr>
        <w:t>people</w:t>
      </w:r>
      <w:r w:rsidRPr="00C5786A">
        <w:rPr>
          <w:rStyle w:val="sb8d990e2"/>
        </w:rPr>
        <w:t xml:space="preserve"> they are lawfully authorised to arrest and their duty to preserve order on public roads and to regulate movement</w:t>
      </w:r>
      <w:r>
        <w:rPr>
          <w:rStyle w:val="sb8d990e2"/>
        </w:rPr>
        <w:t>,</w:t>
      </w:r>
      <w:r w:rsidRPr="00C5786A">
        <w:rPr>
          <w:rStyle w:val="sb8d990e2"/>
        </w:rPr>
        <w:t xml:space="preserve"> but it has not been claimed that any of these powers were </w:t>
      </w:r>
      <w:r>
        <w:rPr>
          <w:rStyle w:val="sb8d990e2"/>
        </w:rPr>
        <w:t xml:space="preserve">actually </w:t>
      </w:r>
      <w:r w:rsidRPr="00C5786A">
        <w:rPr>
          <w:rStyle w:val="sb8d990e2"/>
        </w:rPr>
        <w:t>used to effect the arrest of the applicant and the other protesters.</w:t>
      </w:r>
    </w:p>
    <w:p w:rsidR="00FA0835" w:rsidP="00FA0835" w:rsidRDefault="00FA0835">
      <w:pPr>
        <w:pStyle w:val="JuPara"/>
        <w:rPr>
          <w:rStyle w:val="sb8d990e2"/>
        </w:rPr>
      </w:pPr>
      <w:r w:rsidRPr="00C5786A">
        <w:rPr>
          <w:rStyle w:val="sb8d990e2"/>
        </w:rPr>
        <w:fldChar w:fldCharType="begin"/>
      </w:r>
      <w:r w:rsidRPr="00C5786A">
        <w:rPr>
          <w:rStyle w:val="sb8d990e2"/>
        </w:rPr>
        <w:instrText xml:space="preserve"> SEQ level0 \*arabic </w:instrText>
      </w:r>
      <w:r w:rsidRPr="00C5786A">
        <w:rPr>
          <w:rStyle w:val="sb8d990e2"/>
        </w:rPr>
        <w:fldChar w:fldCharType="separate"/>
      </w:r>
      <w:r w:rsidR="00C5470A">
        <w:rPr>
          <w:rStyle w:val="sb8d990e2"/>
          <w:noProof/>
        </w:rPr>
        <w:t>201</w:t>
      </w:r>
      <w:r w:rsidRPr="00C5786A">
        <w:rPr>
          <w:rStyle w:val="sb8d990e2"/>
        </w:rPr>
        <w:fldChar w:fldCharType="end"/>
      </w:r>
      <w:r w:rsidRPr="00C5786A">
        <w:rPr>
          <w:rStyle w:val="sb8d990e2"/>
        </w:rPr>
        <w:t>.  At the same time, the Government submitted that the operation also aimed to identify the protesters and ascertain their legal status. The authorities suspected that a number of the protesters were failed asylum seekers and</w:t>
      </w:r>
      <w:r>
        <w:rPr>
          <w:rStyle w:val="sb8d990e2"/>
        </w:rPr>
        <w:t>,</w:t>
      </w:r>
      <w:r w:rsidRPr="00C5786A">
        <w:rPr>
          <w:rStyle w:val="sb8d990e2"/>
        </w:rPr>
        <w:t xml:space="preserve"> therefore</w:t>
      </w:r>
      <w:r>
        <w:rPr>
          <w:rStyle w:val="sb8d990e2"/>
        </w:rPr>
        <w:t>,</w:t>
      </w:r>
      <w:r w:rsidRPr="00C5786A">
        <w:rPr>
          <w:rStyle w:val="sb8d990e2"/>
        </w:rPr>
        <w:t xml:space="preserve"> </w:t>
      </w:r>
      <w:r>
        <w:rPr>
          <w:rStyle w:val="sb8d990e2"/>
        </w:rPr>
        <w:t>“</w:t>
      </w:r>
      <w:r w:rsidRPr="00C5786A">
        <w:rPr>
          <w:rStyle w:val="sb8d990e2"/>
        </w:rPr>
        <w:t>prohibited immigrants</w:t>
      </w:r>
      <w:r>
        <w:rPr>
          <w:rStyle w:val="sb8d990e2"/>
        </w:rPr>
        <w:t>”,</w:t>
      </w:r>
      <w:r w:rsidRPr="00C5786A">
        <w:rPr>
          <w:rStyle w:val="sb8d990e2"/>
        </w:rPr>
        <w:t xml:space="preserve"> but considered that it would have been impossible to carry out a</w:t>
      </w:r>
      <w:r>
        <w:rPr>
          <w:rStyle w:val="sb8d990e2"/>
        </w:rPr>
        <w:t>n effective on-the-spot inquiry</w:t>
      </w:r>
      <w:r w:rsidRPr="00C5786A">
        <w:rPr>
          <w:rStyle w:val="sb8d990e2"/>
        </w:rPr>
        <w:t xml:space="preserve"> without provoking a violent reaction. Consequently</w:t>
      </w:r>
      <w:r>
        <w:rPr>
          <w:rStyle w:val="sb8d990e2"/>
        </w:rPr>
        <w:t>,</w:t>
      </w:r>
      <w:r w:rsidRPr="00C5786A">
        <w:rPr>
          <w:rStyle w:val="sb8d990e2"/>
        </w:rPr>
        <w:t xml:space="preserve"> all the protesters were taken to </w:t>
      </w:r>
      <w:r>
        <w:rPr>
          <w:rStyle w:val="sb8d990e2"/>
        </w:rPr>
        <w:t xml:space="preserve">the </w:t>
      </w:r>
      <w:r w:rsidRPr="00C5786A">
        <w:rPr>
          <w:rStyle w:val="sb8d990e2"/>
        </w:rPr>
        <w:t>ERU headquarters for identification purposes and to determine whether or not they were unlawful immigrants. The Government have not, however,</w:t>
      </w:r>
      <w:r>
        <w:rPr>
          <w:rStyle w:val="sb8d990e2"/>
        </w:rPr>
        <w:t xml:space="preserve"> acknowledged</w:t>
      </w:r>
      <w:r w:rsidRPr="00C5786A">
        <w:rPr>
          <w:rStyle w:val="sb8d990e2"/>
        </w:rPr>
        <w:t xml:space="preserve"> that there was a deprivation of liberty on this ground.</w:t>
      </w:r>
    </w:p>
    <w:p w:rsidR="00FA0835" w:rsidP="00FA0835" w:rsidRDefault="00FA0835">
      <w:pPr>
        <w:pStyle w:val="JuPara"/>
        <w:rPr>
          <w:rStyle w:val="sb8d990e2"/>
          <w:color w:val="000000"/>
        </w:rPr>
      </w:pPr>
      <w:r>
        <w:rPr>
          <w:rStyle w:val="sb8d990e2"/>
          <w:color w:val="000000"/>
        </w:rPr>
        <w:fldChar w:fldCharType="begin"/>
      </w:r>
      <w:r>
        <w:rPr>
          <w:rStyle w:val="sb8d990e2"/>
          <w:color w:val="000000"/>
        </w:rPr>
        <w:instrText xml:space="preserve"> SEQ level0 \*arabic </w:instrText>
      </w:r>
      <w:r>
        <w:rPr>
          <w:rStyle w:val="sb8d990e2"/>
          <w:color w:val="000000"/>
        </w:rPr>
        <w:fldChar w:fldCharType="separate"/>
      </w:r>
      <w:r w:rsidR="00C5470A">
        <w:rPr>
          <w:rStyle w:val="sb8d990e2"/>
          <w:noProof/>
          <w:color w:val="000000"/>
        </w:rPr>
        <w:t>202</w:t>
      </w:r>
      <w:r>
        <w:rPr>
          <w:rStyle w:val="sb8d990e2"/>
          <w:color w:val="000000"/>
        </w:rPr>
        <w:fldChar w:fldCharType="end"/>
      </w:r>
      <w:r>
        <w:rPr>
          <w:rStyle w:val="sb8d990e2"/>
          <w:color w:val="000000"/>
        </w:rPr>
        <w:t>.  </w:t>
      </w:r>
      <w:r w:rsidRPr="003A7622">
        <w:rPr>
          <w:rStyle w:val="sb8d990e2"/>
          <w:color w:val="000000"/>
        </w:rPr>
        <w:t>The Court is conscious of the difficult situation that the Cypriot authorities found themselves in and that an operational decision had to be taken. This, however, cannot justify the adoption of measures giving rise to a deprivation of liberty without any clear legal basis.</w:t>
      </w:r>
    </w:p>
    <w:p w:rsidRPr="0062406F" w:rsidR="00FA0835" w:rsidP="00FA0835" w:rsidRDefault="00FA0835">
      <w:pPr>
        <w:pStyle w:val="JuPara"/>
        <w:rPr>
          <w:rStyle w:val="sb8d990e2"/>
          <w:color w:val="000000"/>
        </w:rPr>
      </w:pPr>
      <w:r w:rsidRPr="003A7622">
        <w:rPr>
          <w:rStyle w:val="sb8d990e2"/>
          <w:color w:val="000000"/>
        </w:rPr>
        <w:fldChar w:fldCharType="begin"/>
      </w:r>
      <w:r w:rsidRPr="003A7622">
        <w:rPr>
          <w:rStyle w:val="sb8d990e2"/>
          <w:color w:val="000000"/>
        </w:rPr>
        <w:instrText xml:space="preserve"> SEQ level0 \*arabic </w:instrText>
      </w:r>
      <w:r w:rsidRPr="003A7622">
        <w:rPr>
          <w:rStyle w:val="sb8d990e2"/>
          <w:color w:val="000000"/>
        </w:rPr>
        <w:fldChar w:fldCharType="separate"/>
      </w:r>
      <w:r w:rsidR="00C5470A">
        <w:rPr>
          <w:rStyle w:val="sb8d990e2"/>
          <w:noProof/>
          <w:color w:val="000000"/>
        </w:rPr>
        <w:t>203</w:t>
      </w:r>
      <w:r w:rsidRPr="003A7622">
        <w:rPr>
          <w:rStyle w:val="sb8d990e2"/>
          <w:color w:val="000000"/>
        </w:rPr>
        <w:fldChar w:fldCharType="end"/>
      </w:r>
      <w:r w:rsidRPr="003A7622">
        <w:rPr>
          <w:rStyle w:val="sb8d990e2"/>
          <w:color w:val="000000"/>
        </w:rPr>
        <w:t>.</w:t>
      </w:r>
      <w:r>
        <w:rPr>
          <w:rStyle w:val="sb8d990e2"/>
          <w:color w:val="000000"/>
        </w:rPr>
        <w:t>  </w:t>
      </w:r>
      <w:r w:rsidRPr="003A7622">
        <w:rPr>
          <w:rStyle w:val="sb8d990e2"/>
          <w:color w:val="000000"/>
        </w:rPr>
        <w:t>It follows that the applicant</w:t>
      </w:r>
      <w:r w:rsidR="00A7319E">
        <w:rPr>
          <w:rStyle w:val="sb8d990e2"/>
          <w:color w:val="000000"/>
        </w:rPr>
        <w:t>’</w:t>
      </w:r>
      <w:r w:rsidRPr="003A7622">
        <w:rPr>
          <w:rStyle w:val="sb8d990e2"/>
          <w:color w:val="000000"/>
        </w:rPr>
        <w:t xml:space="preserve">s deprivation of liberty during this period was contrary to Article 5 § 1 of the Convention. There has, therefore, been a violation of </w:t>
      </w:r>
      <w:r>
        <w:rPr>
          <w:rStyle w:val="sb8d990e2"/>
          <w:color w:val="000000"/>
        </w:rPr>
        <w:t>this</w:t>
      </w:r>
      <w:r w:rsidRPr="003A7622">
        <w:rPr>
          <w:rStyle w:val="sb8d990e2"/>
          <w:color w:val="000000"/>
        </w:rPr>
        <w:t xml:space="preserve"> provision.</w:t>
      </w:r>
    </w:p>
    <w:p w:rsidR="00FA0835" w:rsidP="00FA0835" w:rsidRDefault="00FA0835">
      <w:pPr>
        <w:pStyle w:val="JuH1"/>
        <w:rPr>
          <w:rStyle w:val="sb8d990e2"/>
        </w:rPr>
      </w:pPr>
      <w:r w:rsidRPr="009E0727">
        <w:rPr>
          <w:rStyle w:val="sb8d990e2"/>
        </w:rPr>
        <w:t>2.</w:t>
      </w:r>
      <w:r w:rsidRPr="009E0727">
        <w:t>  </w:t>
      </w:r>
      <w:r w:rsidRPr="009E0727">
        <w:rPr>
          <w:rStyle w:val="sb8d990e2"/>
        </w:rPr>
        <w:t>The applicant</w:t>
      </w:r>
      <w:r w:rsidR="00A7319E">
        <w:rPr>
          <w:rStyle w:val="sb8d990e2"/>
        </w:rPr>
        <w:t>’</w:t>
      </w:r>
      <w:r w:rsidRPr="009E0727">
        <w:rPr>
          <w:rStyle w:val="sb8d990e2"/>
        </w:rPr>
        <w:t>s detention on the basis</w:t>
      </w:r>
      <w:r>
        <w:rPr>
          <w:rStyle w:val="sb8d990e2"/>
        </w:rPr>
        <w:t xml:space="preserve"> of</w:t>
      </w:r>
      <w:r w:rsidRPr="009E0727">
        <w:rPr>
          <w:rStyle w:val="sb8d990e2"/>
        </w:rPr>
        <w:t xml:space="preserve"> the </w:t>
      </w:r>
      <w:r>
        <w:rPr>
          <w:rStyle w:val="sb8d990e2"/>
        </w:rPr>
        <w:t>deportation and detention orders</w:t>
      </w:r>
      <w:r w:rsidRPr="009E0727">
        <w:rPr>
          <w:rStyle w:val="sb8d990e2"/>
        </w:rPr>
        <w:t xml:space="preserve"> issued on 11 June 2010 and 20 August 2010</w:t>
      </w:r>
    </w:p>
    <w:p w:rsidRPr="009E0727" w:rsidR="00FA0835" w:rsidP="00FA0835" w:rsidRDefault="00FA0835">
      <w:pPr>
        <w:pStyle w:val="JuHa0"/>
      </w:pPr>
      <w:r w:rsidRPr="009E0727">
        <w:t>(a)  Admissibility</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204</w:t>
      </w:r>
      <w:r>
        <w:fldChar w:fldCharType="end"/>
      </w:r>
      <w:r>
        <w:t>.  The</w:t>
      </w:r>
      <w:r>
        <w:rPr>
          <w:rStyle w:val="sb8d990e2"/>
        </w:rPr>
        <w:t xml:space="preserve"> Court notes </w:t>
      </w:r>
      <w:r w:rsidRPr="00943AC6">
        <w:t>that it is not disputed that the applicant was deprived of his liberty from 11 June 2010 until 3 May 201</w:t>
      </w:r>
      <w:r>
        <w:t xml:space="preserve">1 </w:t>
      </w:r>
      <w:r>
        <w:rPr>
          <w:rStyle w:val="sb8d990e2"/>
        </w:rPr>
        <w:t>on the basis of deportation and detention orders issued under the Aliens and Immigration Law.</w:t>
      </w:r>
    </w:p>
    <w:p w:rsidRPr="009E4926" w:rsidR="00FA0835" w:rsidP="00FA0835" w:rsidRDefault="00FA0835">
      <w:pPr>
        <w:pStyle w:val="JuPara"/>
      </w:pPr>
      <w:r w:rsidRPr="00C1600B">
        <w:rPr>
          <w:rStyle w:val="sb8d990e2"/>
        </w:rPr>
        <w:fldChar w:fldCharType="begin"/>
      </w:r>
      <w:r w:rsidRPr="00C1600B">
        <w:rPr>
          <w:rStyle w:val="sb8d990e2"/>
        </w:rPr>
        <w:instrText xml:space="preserve"> SEQ level0 \*arabic </w:instrText>
      </w:r>
      <w:r w:rsidRPr="00C1600B">
        <w:rPr>
          <w:rStyle w:val="sb8d990e2"/>
        </w:rPr>
        <w:fldChar w:fldCharType="separate"/>
      </w:r>
      <w:r w:rsidR="00C5470A">
        <w:rPr>
          <w:rStyle w:val="sb8d990e2"/>
          <w:noProof/>
        </w:rPr>
        <w:t>205</w:t>
      </w:r>
      <w:r w:rsidRPr="00C1600B">
        <w:rPr>
          <w:rStyle w:val="sb8d990e2"/>
        </w:rPr>
        <w:fldChar w:fldCharType="end"/>
      </w:r>
      <w:r w:rsidRPr="00C1600B">
        <w:rPr>
          <w:rStyle w:val="sb8d990e2"/>
        </w:rPr>
        <w:t>.  The Court further notes that the</w:t>
      </w:r>
      <w:r>
        <w:rPr>
          <w:rStyle w:val="sb8d990e2"/>
        </w:rPr>
        <w:t xml:space="preserve"> applicant</w:t>
      </w:r>
      <w:r w:rsidR="00A7319E">
        <w:rPr>
          <w:rStyle w:val="sb8d990e2"/>
        </w:rPr>
        <w:t>’</w:t>
      </w:r>
      <w:r>
        <w:rPr>
          <w:rStyle w:val="sb8d990e2"/>
        </w:rPr>
        <w:t xml:space="preserve">s complaints under this head </w:t>
      </w:r>
      <w:r w:rsidRPr="00C1600B">
        <w:rPr>
          <w:rStyle w:val="sb8d990e2"/>
        </w:rPr>
        <w:t>are not manifestly ill-founded within the meaning of Article 35 § 3 (a) of the Convention. It further notes that they are not inadmissible on any other grounds. They must therefore be declared admissible.</w:t>
      </w:r>
    </w:p>
    <w:p w:rsidRPr="009E0727" w:rsidR="00FA0835" w:rsidP="00FA0835" w:rsidRDefault="00FA0835">
      <w:pPr>
        <w:pStyle w:val="JuHa0"/>
      </w:pPr>
      <w:r w:rsidRPr="009E0727">
        <w:t>(b)  Merits</w:t>
      </w:r>
    </w:p>
    <w:p w:rsidRPr="0011063E" w:rsidR="00FA0835" w:rsidP="00FA0835" w:rsidRDefault="00FA0835">
      <w:pPr>
        <w:pStyle w:val="JuPara"/>
      </w:pPr>
      <w:r w:rsidRPr="00C1600B">
        <w:fldChar w:fldCharType="begin"/>
      </w:r>
      <w:r w:rsidRPr="00C1600B">
        <w:instrText xml:space="preserve"> SEQ level0 \*arabic </w:instrText>
      </w:r>
      <w:r w:rsidRPr="00C1600B">
        <w:fldChar w:fldCharType="separate"/>
      </w:r>
      <w:r w:rsidR="00C5470A">
        <w:rPr>
          <w:noProof/>
        </w:rPr>
        <w:t>206</w:t>
      </w:r>
      <w:r w:rsidRPr="00C1600B">
        <w:fldChar w:fldCharType="end"/>
      </w:r>
      <w:r w:rsidRPr="00C1600B">
        <w:t>.  </w:t>
      </w:r>
      <w:r>
        <w:rPr>
          <w:rStyle w:val="sb8d990e2"/>
        </w:rPr>
        <w:t>The Court is satisfied that the applicant</w:t>
      </w:r>
      <w:r w:rsidR="00A7319E">
        <w:rPr>
          <w:rStyle w:val="sb8d990e2"/>
        </w:rPr>
        <w:t>’</w:t>
      </w:r>
      <w:r>
        <w:rPr>
          <w:rStyle w:val="sb8d990e2"/>
        </w:rPr>
        <w:t>s deprivation of liberty from 11 June 2010 to 3 May 2011 fell within the ambit of Article 5 §</w:t>
      </w:r>
      <w:r>
        <w:t> </w:t>
      </w:r>
      <w:r>
        <w:rPr>
          <w:rStyle w:val="sb8d990e2"/>
        </w:rPr>
        <w:t xml:space="preserve">1 (f) of the Convention as he was detained </w:t>
      </w:r>
      <w:r w:rsidRPr="0011063E">
        <w:t>for the purpose of being deported from Cyprus</w:t>
      </w:r>
      <w:r>
        <w:rPr>
          <w:rStyle w:val="sb8d990e2"/>
        </w:rPr>
        <w:t xml:space="preserve">. </w:t>
      </w:r>
      <w:r w:rsidRPr="0011063E">
        <w:t xml:space="preserve">This provision does not require that the detention of a person against whom action is being taken with a view to deportation be reasonably considered necessary, for example to prevent his committing an offence or fleeing; in this respect Article 5 § 1 (f) provides a different level of protection from Article 5 § 1 (c) (see </w:t>
      </w:r>
      <w:r w:rsidRPr="0011063E">
        <w:rPr>
          <w:rStyle w:val="ju-005fpara--char"/>
          <w:i/>
          <w:iCs/>
        </w:rPr>
        <w:t xml:space="preserve">Chahal </w:t>
      </w:r>
      <w:r w:rsidRPr="0011063E">
        <w:t>§§ 112-113 and</w:t>
      </w:r>
      <w:r w:rsidRPr="0011063E">
        <w:rPr>
          <w:rStyle w:val="ju-005fpara--char"/>
          <w:i/>
          <w:iCs/>
        </w:rPr>
        <w:t xml:space="preserve"> Čonka, </w:t>
      </w:r>
      <w:r>
        <w:t>§ </w:t>
      </w:r>
      <w:r w:rsidRPr="0011063E">
        <w:t>38, both cited above). All that is required under this provision is that “action is being taken with a view to deportation”. It is therefore immaterial, for the purposes of Article 5</w:t>
      </w:r>
      <w:r>
        <w:t xml:space="preserve"> </w:t>
      </w:r>
      <w:r w:rsidRPr="0011063E">
        <w:t xml:space="preserve">§ 1 (f), whether the underlying decision to expel can be justified under national or Convention law (see </w:t>
      </w:r>
      <w:r w:rsidRPr="0011063E">
        <w:rPr>
          <w:rStyle w:val="ju-005fpara--char"/>
          <w:i/>
          <w:iCs/>
        </w:rPr>
        <w:t>Chahal</w:t>
      </w:r>
      <w:r>
        <w:t>, cited above, § </w:t>
      </w:r>
      <w:r w:rsidRPr="0011063E">
        <w:t>112).</w:t>
      </w:r>
    </w:p>
    <w:p w:rsidRPr="0011063E" w:rsidR="00FA0835" w:rsidP="00FA0835" w:rsidRDefault="00FA0835">
      <w:pPr>
        <w:pStyle w:val="JuPara"/>
      </w:pPr>
      <w:r w:rsidRPr="009803C8">
        <w:fldChar w:fldCharType="begin"/>
      </w:r>
      <w:r w:rsidRPr="009803C8">
        <w:instrText xml:space="preserve"> SEQ level0 \*arabic </w:instrText>
      </w:r>
      <w:r w:rsidRPr="009803C8">
        <w:fldChar w:fldCharType="separate"/>
      </w:r>
      <w:r w:rsidR="00C5470A">
        <w:rPr>
          <w:noProof/>
        </w:rPr>
        <w:t>207</w:t>
      </w:r>
      <w:r w:rsidRPr="009803C8">
        <w:fldChar w:fldCharType="end"/>
      </w:r>
      <w:r w:rsidRPr="009803C8">
        <w:t>.  The Court notes that Cypriot law allows for the possibility of detention with a view to deportation. The Court observes in this respect that</w:t>
      </w:r>
      <w:r w:rsidRPr="0011063E">
        <w:t xml:space="preserve"> </w:t>
      </w:r>
      <w:r>
        <w:t>both the</w:t>
      </w:r>
      <w:r w:rsidRPr="0011063E">
        <w:t xml:space="preserve"> decision</w:t>
      </w:r>
      <w:r>
        <w:t>s of 11 June and 20 August 2010 ordering the applicant</w:t>
      </w:r>
      <w:r w:rsidR="00A7319E">
        <w:t>’</w:t>
      </w:r>
      <w:r>
        <w:t xml:space="preserve">s </w:t>
      </w:r>
      <w:r w:rsidRPr="0011063E">
        <w:t>detention and deportation w</w:t>
      </w:r>
      <w:r>
        <w:t>ere</w:t>
      </w:r>
      <w:r w:rsidRPr="0011063E">
        <w:t xml:space="preserve"> based on section 14 of the Aliens and Immigration </w:t>
      </w:r>
      <w:r>
        <w:t>Law,</w:t>
      </w:r>
      <w:r w:rsidRPr="009B3B6E">
        <w:t xml:space="preserve"> </w:t>
      </w:r>
      <w:r w:rsidRPr="00D03C5B">
        <w:t xml:space="preserve">which permits </w:t>
      </w:r>
      <w:r>
        <w:t xml:space="preserve">the </w:t>
      </w:r>
      <w:r w:rsidRPr="00D03C5B">
        <w:t>Chief Immigration Officer to order the</w:t>
      </w:r>
      <w:r w:rsidRPr="000A5815">
        <w:t xml:space="preserve"> deportation of any alien who is a prohibited immigrant and his or her detention in the meantime (see paragraph </w:t>
      </w:r>
      <w:r>
        <w:t>63</w:t>
      </w:r>
      <w:r w:rsidRPr="000A5815">
        <w:t xml:space="preserve"> above).</w:t>
      </w:r>
    </w:p>
    <w:p w:rsidR="00FA0835" w:rsidP="00FA0835" w:rsidRDefault="00FA0835">
      <w:pPr>
        <w:pStyle w:val="JuPara"/>
      </w:pPr>
      <w:r>
        <w:fldChar w:fldCharType="begin"/>
      </w:r>
      <w:r>
        <w:instrText xml:space="preserve"> SEQ level0 \*arabic </w:instrText>
      </w:r>
      <w:r>
        <w:fldChar w:fldCharType="separate"/>
      </w:r>
      <w:r w:rsidR="00C5470A">
        <w:rPr>
          <w:noProof/>
        </w:rPr>
        <w:t>208</w:t>
      </w:r>
      <w:r>
        <w:fldChar w:fldCharType="end"/>
      </w:r>
      <w:r>
        <w:t>.  </w:t>
      </w:r>
      <w:r w:rsidRPr="0011063E">
        <w:t>It follows that the issue to be deter</w:t>
      </w:r>
      <w:r>
        <w:t>mined is whether the applicant</w:t>
      </w:r>
      <w:r w:rsidR="00A7319E">
        <w:t>’</w:t>
      </w:r>
      <w:r>
        <w:t>s</w:t>
      </w:r>
      <w:r w:rsidRPr="0011063E">
        <w:t xml:space="preserve"> detention under th</w:t>
      </w:r>
      <w:r>
        <w:t>at</w:t>
      </w:r>
      <w:r w:rsidRPr="0011063E">
        <w:t xml:space="preserve"> provision was “lawful”, </w:t>
      </w:r>
      <w:r w:rsidRPr="009E0727">
        <w:t xml:space="preserve">including whether it complied with “a procedure prescribed by </w:t>
      </w:r>
      <w:r w:rsidRPr="005F725D">
        <w:t>law” (</w:t>
      </w:r>
      <w:r w:rsidRPr="00721423">
        <w:t>see paragraphs 197-198</w:t>
      </w:r>
      <w:r w:rsidRPr="005F725D">
        <w:t xml:space="preserve"> above).</w:t>
      </w:r>
    </w:p>
    <w:p w:rsidR="00FA0835" w:rsidP="00FA0835" w:rsidRDefault="00FA0835">
      <w:pPr>
        <w:pStyle w:val="JuHi"/>
      </w:pPr>
      <w:r>
        <w:t>i.  The applicant</w:t>
      </w:r>
      <w:r w:rsidR="00A7319E">
        <w:t>’</w:t>
      </w:r>
      <w:r>
        <w:t>s detention between 11 June and 20 August 2010 on the basis of the deportation and detention orders of 11 June 2010</w:t>
      </w:r>
    </w:p>
    <w:p w:rsidR="00FA0835" w:rsidP="00FA0835" w:rsidRDefault="00FA0835">
      <w:pPr>
        <w:pStyle w:val="JuPara"/>
      </w:pPr>
      <w:r>
        <w:fldChar w:fldCharType="begin"/>
      </w:r>
      <w:r>
        <w:instrText xml:space="preserve"> SEQ level0 \*arabic </w:instrText>
      </w:r>
      <w:r>
        <w:fldChar w:fldCharType="separate"/>
      </w:r>
      <w:r w:rsidR="00C5470A">
        <w:rPr>
          <w:noProof/>
        </w:rPr>
        <w:t>209</w:t>
      </w:r>
      <w:r>
        <w:fldChar w:fldCharType="end"/>
      </w:r>
      <w:r>
        <w:t>.  The Court notes that the applicant was charged on 11 June 2010 with the offence of unlawful stay and was detained, on the basis of deportation and detention orders issued on the same day, for a total of two months and nine days. These orders had been issued pursuant to</w:t>
      </w:r>
      <w:r w:rsidRPr="00C778DC">
        <w:t xml:space="preserve"> section</w:t>
      </w:r>
      <w:r>
        <w:t> </w:t>
      </w:r>
      <w:r w:rsidRPr="00C778DC">
        <w:t xml:space="preserve">6(1)(k) of </w:t>
      </w:r>
      <w:r>
        <w:t xml:space="preserve">the Aliens and Immigration Law on the ground that the applicant </w:t>
      </w:r>
      <w:r w:rsidRPr="00C778DC">
        <w:t xml:space="preserve">was a </w:t>
      </w:r>
      <w:r>
        <w:t>“</w:t>
      </w:r>
      <w:r w:rsidRPr="00C778DC">
        <w:t>prohibited immigrant</w:t>
      </w:r>
      <w:r>
        <w:t>”</w:t>
      </w:r>
      <w:r w:rsidRPr="00C778DC">
        <w:t xml:space="preserve"> </w:t>
      </w:r>
      <w:r>
        <w:t>staying in the Republic</w:t>
      </w:r>
      <w:r w:rsidRPr="00110C34">
        <w:t xml:space="preserve"> </w:t>
      </w:r>
      <w:r>
        <w:t xml:space="preserve">unlawfully. However, it is clear from the information before the Court that this was not the case as, at the </w:t>
      </w:r>
      <w:r w:rsidRPr="00463C6D">
        <w:t>time</w:t>
      </w:r>
      <w:r>
        <w:t>,</w:t>
      </w:r>
      <w:r w:rsidRPr="00463C6D">
        <w:t xml:space="preserve"> the re-examination of the applicant</w:t>
      </w:r>
      <w:r w:rsidR="00A7319E">
        <w:t>’</w:t>
      </w:r>
      <w:r w:rsidRPr="00463C6D">
        <w:t>s asylum application was still pending.</w:t>
      </w:r>
      <w:r w:rsidRPr="00CB1E16">
        <w:t xml:space="preserve"> </w:t>
      </w:r>
      <w:r>
        <w:t>Indeed, the Government admitted in their observations of 20 September 2011 that the applicant had been legally residing in the Republic and that a mistake was made by the authorities.</w:t>
      </w:r>
    </w:p>
    <w:p w:rsidR="00FA0835" w:rsidP="00FA0835" w:rsidRDefault="00FA0835">
      <w:pPr>
        <w:pStyle w:val="JuPara"/>
      </w:pPr>
      <w:r w:rsidRPr="000C1F27">
        <w:fldChar w:fldCharType="begin"/>
      </w:r>
      <w:r w:rsidRPr="000C1F27">
        <w:instrText xml:space="preserve"> SEQ level0 \*arabic </w:instrText>
      </w:r>
      <w:r w:rsidRPr="000C1F27">
        <w:fldChar w:fldCharType="separate"/>
      </w:r>
      <w:r w:rsidR="00C5470A">
        <w:rPr>
          <w:noProof/>
        </w:rPr>
        <w:t>210</w:t>
      </w:r>
      <w:r w:rsidRPr="000C1F27">
        <w:fldChar w:fldCharType="end"/>
      </w:r>
      <w:r w:rsidRPr="000C1F27">
        <w:t xml:space="preserve">.  In these circumstances, the Court finds </w:t>
      </w:r>
      <w:r>
        <w:t xml:space="preserve">that </w:t>
      </w:r>
      <w:r w:rsidRPr="000C1F27">
        <w:t>during this period the applicant was unlawfully deprived of his liberty. There has therefore been a violation of Article 5 § 1 of the Convention.</w:t>
      </w:r>
    </w:p>
    <w:p w:rsidR="00FA0835" w:rsidP="00FA0835" w:rsidRDefault="00FA0835">
      <w:pPr>
        <w:pStyle w:val="JuHi"/>
      </w:pPr>
      <w:r w:rsidRPr="00887D20">
        <w:t>ii.</w:t>
      </w:r>
      <w:r>
        <w:t>  </w:t>
      </w:r>
      <w:r w:rsidRPr="00887D20">
        <w:t>The applicant</w:t>
      </w:r>
      <w:r w:rsidR="00A7319E">
        <w:t>’</w:t>
      </w:r>
      <w:r w:rsidRPr="00887D20">
        <w:t xml:space="preserve">s detention between 20 August 2010 and 3 May 2011 on the basis of the </w:t>
      </w:r>
      <w:r>
        <w:t>deportation and detention orders</w:t>
      </w:r>
      <w:r w:rsidRPr="00887D20">
        <w:t xml:space="preserve"> of 20 August 2010</w:t>
      </w:r>
    </w:p>
    <w:p w:rsidR="00FA0835" w:rsidP="00FA0835" w:rsidRDefault="00FA0835">
      <w:pPr>
        <w:pStyle w:val="JuPara"/>
      </w:pPr>
      <w:r>
        <w:fldChar w:fldCharType="begin"/>
      </w:r>
      <w:r>
        <w:instrText xml:space="preserve"> SEQ level0 \*arabic </w:instrText>
      </w:r>
      <w:r>
        <w:fldChar w:fldCharType="separate"/>
      </w:r>
      <w:r w:rsidR="00C5470A">
        <w:rPr>
          <w:noProof/>
        </w:rPr>
        <w:t>211</w:t>
      </w:r>
      <w:r>
        <w:fldChar w:fldCharType="end"/>
      </w:r>
      <w:r>
        <w:t>.  By</w:t>
      </w:r>
      <w:r w:rsidRPr="00B57632">
        <w:t xml:space="preserve"> a letter dated 12 October 2010</w:t>
      </w:r>
      <w:r>
        <w:t>,</w:t>
      </w:r>
      <w:r w:rsidRPr="00B57632">
        <w:t xml:space="preserve"> the Government informed the Court that on 17 August 2010 the Minister of Interior had declared the applicant an illegal immigrant on public order grounds under section 6(1)(g) of the Aliens and Immigration Law</w:t>
      </w:r>
      <w:r>
        <w:t>,</w:t>
      </w:r>
      <w:r w:rsidRPr="00B57632">
        <w:t xml:space="preserve"> on the basis of information that he had been involved in activities relating to </w:t>
      </w:r>
      <w:r>
        <w:t>the receipt of</w:t>
      </w:r>
      <w:r w:rsidRPr="00B57632">
        <w:t xml:space="preserve"> money from prospective Kurd</w:t>
      </w:r>
      <w:r>
        <w:t>ish immigrants in exchange for securing</w:t>
      </w:r>
      <w:r w:rsidRPr="00B57632">
        <w:t xml:space="preserve"> residence and work permits in Cyprus.</w:t>
      </w:r>
      <w:r>
        <w:t xml:space="preserve"> Deportation and detention orders</w:t>
      </w:r>
      <w:r w:rsidRPr="00B57632">
        <w:t xml:space="preserve"> had then been issued o</w:t>
      </w:r>
      <w:r>
        <w:t>n 20 </w:t>
      </w:r>
      <w:r w:rsidRPr="00B57632">
        <w:t xml:space="preserve">August 2010 on the basis of the above provision and the previous orders of 11 June 2010 were </w:t>
      </w:r>
      <w:r>
        <w:t>annulled</w:t>
      </w:r>
      <w:r w:rsidRPr="00B57632">
        <w:t xml:space="preserve"> </w:t>
      </w:r>
      <w:r w:rsidRPr="005F725D">
        <w:t xml:space="preserve">(see paragraphs </w:t>
      </w:r>
      <w:r>
        <w:t>47-48</w:t>
      </w:r>
      <w:r w:rsidRPr="005F725D">
        <w:t xml:space="preserve"> above). The applicant was therefore detained on the basis</w:t>
      </w:r>
      <w:r w:rsidRPr="00B57632">
        <w:t xml:space="preserve"> of these orders for another eight months and twelve days until his release on</w:t>
      </w:r>
      <w:r>
        <w:t xml:space="preserve"> 3 </w:t>
      </w:r>
      <w:r w:rsidRPr="00B57632">
        <w:t xml:space="preserve">May 2011. </w:t>
      </w:r>
      <w:r w:rsidRPr="009A2816">
        <w:t xml:space="preserve">The applicant, however, claims that the orders had not been communicated to him in accordance with domestic law </w:t>
      </w:r>
      <w:r>
        <w:t>and</w:t>
      </w:r>
      <w:r w:rsidRPr="009A2816">
        <w:t xml:space="preserve"> that he had found out about </w:t>
      </w:r>
      <w:r>
        <w:t xml:space="preserve">the decision of the Minister of the Interior </w:t>
      </w:r>
      <w:r w:rsidRPr="009A2816">
        <w:t>following an exchange of information between the parties in the context of the Court proceedings</w:t>
      </w:r>
      <w:r>
        <w:t>.</w:t>
      </w:r>
    </w:p>
    <w:p w:rsidRPr="00961CBE" w:rsidR="00FA0835" w:rsidP="00FA0835" w:rsidRDefault="00FA0835">
      <w:pPr>
        <w:pStyle w:val="JuPara"/>
      </w:pPr>
      <w:r w:rsidRPr="00F3362D">
        <w:rPr>
          <w:rStyle w:val="sb8d990e2"/>
        </w:rPr>
        <w:fldChar w:fldCharType="begin"/>
      </w:r>
      <w:r w:rsidRPr="00F3362D">
        <w:rPr>
          <w:rStyle w:val="sb8d990e2"/>
        </w:rPr>
        <w:instrText xml:space="preserve"> SEQ level0 \*arabic </w:instrText>
      </w:r>
      <w:r w:rsidRPr="00F3362D">
        <w:rPr>
          <w:rStyle w:val="sb8d990e2"/>
        </w:rPr>
        <w:fldChar w:fldCharType="separate"/>
      </w:r>
      <w:r w:rsidR="00C5470A">
        <w:rPr>
          <w:rStyle w:val="sb8d990e2"/>
          <w:noProof/>
        </w:rPr>
        <w:t>212</w:t>
      </w:r>
      <w:r w:rsidRPr="00F3362D">
        <w:rPr>
          <w:rStyle w:val="sb8d990e2"/>
        </w:rPr>
        <w:fldChar w:fldCharType="end"/>
      </w:r>
      <w:r w:rsidRPr="00F3362D">
        <w:rPr>
          <w:rStyle w:val="sb8d990e2"/>
        </w:rPr>
        <w:t>.</w:t>
      </w:r>
      <w:r w:rsidRPr="00F3362D">
        <w:t>  </w:t>
      </w:r>
      <w:r w:rsidRPr="00F3362D">
        <w:rPr>
          <w:rStyle w:val="sb8d990e2"/>
        </w:rPr>
        <w:t xml:space="preserve">The Court first </w:t>
      </w:r>
      <w:r w:rsidRPr="00F3362D">
        <w:t>observes that there does not appear to have been any follow-up to the allegations against the applicant</w:t>
      </w:r>
      <w:r>
        <w:t xml:space="preserve"> so as to lend support to what was imputed to him</w:t>
      </w:r>
      <w:r w:rsidRPr="00F3362D">
        <w:t>.</w:t>
      </w:r>
    </w:p>
    <w:p w:rsidR="00FA0835" w:rsidP="00FA0835" w:rsidRDefault="00FA0835">
      <w:pPr>
        <w:pStyle w:val="JuPara"/>
        <w:rPr>
          <w:rStyle w:val="sfbbfee58"/>
        </w:rPr>
      </w:pPr>
      <w:r w:rsidRPr="00961CBE">
        <w:fldChar w:fldCharType="begin"/>
      </w:r>
      <w:r w:rsidRPr="00961CBE">
        <w:instrText xml:space="preserve"> SEQ level0 \*arabic </w:instrText>
      </w:r>
      <w:r w:rsidRPr="00961CBE">
        <w:fldChar w:fldCharType="separate"/>
      </w:r>
      <w:r w:rsidR="00C5470A">
        <w:rPr>
          <w:noProof/>
        </w:rPr>
        <w:t>213</w:t>
      </w:r>
      <w:r w:rsidRPr="00961CBE">
        <w:fldChar w:fldCharType="end"/>
      </w:r>
      <w:r w:rsidRPr="00961CBE">
        <w:t>.  Second</w:t>
      </w:r>
      <w:r>
        <w:t>ly</w:t>
      </w:r>
      <w:r w:rsidRPr="00961CBE">
        <w:t>, the</w:t>
      </w:r>
      <w:r>
        <w:t xml:space="preserve"> Court notes that, </w:t>
      </w:r>
      <w:r w:rsidRPr="00116721">
        <w:rPr>
          <w:rStyle w:val="sfbbfee58"/>
        </w:rPr>
        <w:t>ac</w:t>
      </w:r>
      <w:r w:rsidRPr="00116721">
        <w:t>cording to section 14(6) of the Aliens and Immigration Law</w:t>
      </w:r>
      <w:r>
        <w:t>,</w:t>
      </w:r>
      <w:r w:rsidRPr="00116721">
        <w:t xml:space="preserve"> a person against whom a detention and/or deportation order has been issued shall be informed in writing, in a language which he understands, of the reasons for th</w:t>
      </w:r>
      <w:r>
        <w:t>e decision</w:t>
      </w:r>
      <w:r w:rsidRPr="00116721">
        <w:t xml:space="preserve"> unless this is not desir</w:t>
      </w:r>
      <w:r>
        <w:t xml:space="preserve">able on public-security </w:t>
      </w:r>
      <w:r w:rsidRPr="005F725D">
        <w:t xml:space="preserve">grounds (see paragraph </w:t>
      </w:r>
      <w:r>
        <w:t xml:space="preserve">63 </w:t>
      </w:r>
      <w:r w:rsidRPr="005F725D">
        <w:t>above). This</w:t>
      </w:r>
      <w:r>
        <w:t xml:space="preserve"> provision </w:t>
      </w:r>
      <w:r>
        <w:rPr>
          <w:rStyle w:val="wordhighlighted"/>
        </w:rPr>
        <w:t>affords certain minimum guarantees</w:t>
      </w:r>
      <w:r>
        <w:rPr>
          <w:rStyle w:val="sb8d990e2"/>
        </w:rPr>
        <w:t xml:space="preserve"> </w:t>
      </w:r>
      <w:r>
        <w:rPr>
          <w:rStyle w:val="sfbbfee58"/>
        </w:rPr>
        <w:t xml:space="preserve">to persons against whom a decision to deport and/or detain has been taken </w:t>
      </w:r>
      <w:r w:rsidRPr="00116721">
        <w:rPr>
          <w:rStyle w:val="sfbbfee58"/>
        </w:rPr>
        <w:t xml:space="preserve">(see </w:t>
      </w:r>
      <w:r>
        <w:rPr>
          <w:rStyle w:val="sfbbfee58"/>
        </w:rPr>
        <w:t xml:space="preserve">the </w:t>
      </w:r>
      <w:r w:rsidRPr="00116721">
        <w:rPr>
          <w:rStyle w:val="sfbbfee58"/>
        </w:rPr>
        <w:t>Supreme Court</w:t>
      </w:r>
      <w:r w:rsidR="00A7319E">
        <w:rPr>
          <w:rStyle w:val="sfbbfee58"/>
        </w:rPr>
        <w:t>’</w:t>
      </w:r>
      <w:r w:rsidRPr="00116721">
        <w:rPr>
          <w:rStyle w:val="sfbbfee58"/>
        </w:rPr>
        <w:t>s judgments</w:t>
      </w:r>
      <w:r w:rsidRPr="00116721">
        <w:rPr>
          <w:i/>
        </w:rPr>
        <w:t xml:space="preserve"> </w:t>
      </w:r>
      <w:r w:rsidRPr="00116721">
        <w:t xml:space="preserve">in </w:t>
      </w:r>
      <w:r w:rsidRPr="00116721">
        <w:rPr>
          <w:i/>
        </w:rPr>
        <w:t>Uros Stojicic</w:t>
      </w:r>
      <w:r w:rsidRPr="00116721">
        <w:t xml:space="preserve"> and </w:t>
      </w:r>
      <w:r w:rsidRPr="00116721">
        <w:rPr>
          <w:i/>
        </w:rPr>
        <w:t>Kamran Sharajeel</w:t>
      </w:r>
      <w:r w:rsidRPr="00116721">
        <w:t>,</w:t>
      </w:r>
      <w:r w:rsidRPr="00E73821">
        <w:t xml:space="preserve"> </w:t>
      </w:r>
      <w:r w:rsidRPr="005F725D">
        <w:t xml:space="preserve">paragraph </w:t>
      </w:r>
      <w:r>
        <w:t>64</w:t>
      </w:r>
      <w:r w:rsidRPr="005F725D">
        <w:t xml:space="preserve"> above</w:t>
      </w:r>
      <w:r w:rsidRPr="005F725D">
        <w:rPr>
          <w:rStyle w:val="sfbbfee58"/>
        </w:rPr>
        <w:t>).</w:t>
      </w:r>
    </w:p>
    <w:p w:rsidR="00FA0835" w:rsidP="00FA0835" w:rsidRDefault="00FA0835">
      <w:pPr>
        <w:pStyle w:val="JuPara"/>
      </w:pPr>
      <w:r>
        <w:fldChar w:fldCharType="begin"/>
      </w:r>
      <w:r>
        <w:instrText xml:space="preserve"> SEQ level0 \*arabic </w:instrText>
      </w:r>
      <w:r>
        <w:fldChar w:fldCharType="separate"/>
      </w:r>
      <w:r w:rsidR="00C5470A">
        <w:rPr>
          <w:noProof/>
        </w:rPr>
        <w:t>214</w:t>
      </w:r>
      <w:r>
        <w:fldChar w:fldCharType="end"/>
      </w:r>
      <w:r>
        <w:t>.  The</w:t>
      </w:r>
      <w:r>
        <w:rPr>
          <w:rStyle w:val="sb8d990e2"/>
        </w:rPr>
        <w:t xml:space="preserve"> Government, on 12 October 2010, provided the Court with a copy of the deportation and detention orders,</w:t>
      </w:r>
      <w:r w:rsidRPr="000901FD">
        <w:t xml:space="preserve"> </w:t>
      </w:r>
      <w:r>
        <w:t>which</w:t>
      </w:r>
      <w:r w:rsidRPr="0011063E">
        <w:t xml:space="preserve"> were </w:t>
      </w:r>
      <w:r>
        <w:t>written</w:t>
      </w:r>
      <w:r w:rsidRPr="0011063E">
        <w:t xml:space="preserve"> in Greek</w:t>
      </w:r>
      <w:r>
        <w:t>. However, they have not submitted</w:t>
      </w:r>
      <w:r w:rsidRPr="0011063E">
        <w:t xml:space="preserve"> </w:t>
      </w:r>
      <w:r>
        <w:t>any evidence that the applicant was notified by the authorities of the issuance of these orders and the new grounds for his detention</w:t>
      </w:r>
      <w:r w:rsidRPr="00961CBE">
        <w:t>. Indeed, the Government have not made any submissions on this matter.</w:t>
      </w:r>
    </w:p>
    <w:p w:rsidRPr="00B15374" w:rsidR="00FA0835" w:rsidP="00FA0835" w:rsidRDefault="00FA0835">
      <w:pPr>
        <w:pStyle w:val="JuPara"/>
        <w:rPr>
          <w:b/>
        </w:rPr>
      </w:pPr>
      <w:r>
        <w:fldChar w:fldCharType="begin"/>
      </w:r>
      <w:r>
        <w:instrText xml:space="preserve"> SEQ level0 \*arabic </w:instrText>
      </w:r>
      <w:r>
        <w:fldChar w:fldCharType="separate"/>
      </w:r>
      <w:r w:rsidR="00C5470A">
        <w:rPr>
          <w:noProof/>
        </w:rPr>
        <w:t>215</w:t>
      </w:r>
      <w:r>
        <w:fldChar w:fldCharType="end"/>
      </w:r>
      <w:r>
        <w:t>.  Consequently, in</w:t>
      </w:r>
      <w:r w:rsidRPr="0011063E">
        <w:t xml:space="preserve"> the absence of any evidence or explanation</w:t>
      </w:r>
      <w:r>
        <w:t xml:space="preserve"> by the Government</w:t>
      </w:r>
      <w:r w:rsidRPr="0011063E">
        <w:t xml:space="preserve"> to the contrary, the Court finds that the applicant </w:t>
      </w:r>
      <w:r>
        <w:t>was</w:t>
      </w:r>
      <w:r w:rsidRPr="0011063E">
        <w:t xml:space="preserve"> not given notice of the </w:t>
      </w:r>
      <w:r>
        <w:t>new deportation and detention orders</w:t>
      </w:r>
      <w:r w:rsidRPr="0011063E">
        <w:t xml:space="preserve"> </w:t>
      </w:r>
      <w:r>
        <w:t>in accordance with</w:t>
      </w:r>
      <w:r w:rsidRPr="0011063E">
        <w:t xml:space="preserve"> section 14(6) of</w:t>
      </w:r>
      <w:r>
        <w:t xml:space="preserve"> the Aliens and Immigration Law</w:t>
      </w:r>
      <w:r w:rsidRPr="00E73821">
        <w:t>.</w:t>
      </w:r>
      <w:r>
        <w:t xml:space="preserve"> Although section </w:t>
      </w:r>
      <w:r w:rsidRPr="0011063E">
        <w:t>14(6</w:t>
      </w:r>
      <w:r>
        <w:t>) provides an exception to this rule on public-security grounds, the Government have not pleaded this as a reason for not communicating the orders to the applicant</w:t>
      </w:r>
      <w:r w:rsidRPr="003D32F8">
        <w:t>.</w:t>
      </w:r>
      <w:r>
        <w:rPr>
          <w:b/>
          <w:color w:val="0000FF"/>
        </w:rPr>
        <w:t xml:space="preserve"> </w:t>
      </w:r>
      <w:r w:rsidRPr="00C869CF">
        <w:t>Nor</w:t>
      </w:r>
      <w:r>
        <w:t xml:space="preserve"> </w:t>
      </w:r>
      <w:r w:rsidRPr="00C869CF">
        <w:t xml:space="preserve">can it be said, on the basis of </w:t>
      </w:r>
      <w:r w:rsidRPr="00B15374">
        <w:t>the file</w:t>
      </w:r>
      <w:r w:rsidRPr="0006246A">
        <w:t xml:space="preserve"> </w:t>
      </w:r>
      <w:r w:rsidRPr="00C869CF">
        <w:t>in any event</w:t>
      </w:r>
      <w:r>
        <w:t>,</w:t>
      </w:r>
      <w:r w:rsidRPr="00B15374">
        <w:t xml:space="preserve"> </w:t>
      </w:r>
      <w:r w:rsidRPr="00E04EF3">
        <w:t xml:space="preserve">that </w:t>
      </w:r>
      <w:r w:rsidRPr="00057411">
        <w:t xml:space="preserve">there was a potential </w:t>
      </w:r>
      <w:r w:rsidRPr="00E04EF3">
        <w:t>public-security issue</w:t>
      </w:r>
      <w:r w:rsidRPr="00B15374">
        <w:t>.</w:t>
      </w:r>
    </w:p>
    <w:p w:rsidRPr="00B15374" w:rsidR="00FA0835" w:rsidP="00FA0835" w:rsidRDefault="00FA0835">
      <w:pPr>
        <w:ind w:firstLine="284"/>
        <w:jc w:val="both"/>
        <w:rPr>
          <w:lang w:eastAsia="en-US"/>
        </w:rPr>
      </w:pPr>
      <w:r w:rsidRPr="00B15374">
        <w:rPr>
          <w:rStyle w:val="sf6541cea"/>
        </w:rPr>
        <w:fldChar w:fldCharType="begin"/>
      </w:r>
      <w:r w:rsidRPr="00B15374">
        <w:rPr>
          <w:rStyle w:val="sf6541cea"/>
        </w:rPr>
        <w:instrText xml:space="preserve"> SEQ level0 \*arabic </w:instrText>
      </w:r>
      <w:r w:rsidRPr="00B15374">
        <w:rPr>
          <w:rStyle w:val="sf6541cea"/>
        </w:rPr>
        <w:fldChar w:fldCharType="separate"/>
      </w:r>
      <w:r w:rsidR="00C5470A">
        <w:rPr>
          <w:rStyle w:val="sf6541cea"/>
          <w:noProof/>
        </w:rPr>
        <w:t>216</w:t>
      </w:r>
      <w:r w:rsidRPr="00B15374">
        <w:rPr>
          <w:rStyle w:val="sf6541cea"/>
        </w:rPr>
        <w:fldChar w:fldCharType="end"/>
      </w:r>
      <w:r w:rsidRPr="00B15374">
        <w:rPr>
          <w:rStyle w:val="sf6541cea"/>
        </w:rPr>
        <w:t>.  The Court therefore finds that the</w:t>
      </w:r>
      <w:r w:rsidRPr="00B15374">
        <w:rPr>
          <w:rStyle w:val="sb8d990e2"/>
        </w:rPr>
        <w:t xml:space="preserve"> procedure prescribed by law was not followed (see </w:t>
      </w:r>
      <w:r w:rsidRPr="00B15374">
        <w:rPr>
          <w:i/>
          <w:lang w:eastAsia="en-US"/>
        </w:rPr>
        <w:t>Voskuil v. the Netherlands</w:t>
      </w:r>
      <w:r w:rsidRPr="00B15374">
        <w:rPr>
          <w:lang w:eastAsia="en-US"/>
        </w:rPr>
        <w:t>, no. 64752/01, §§ 81-83, 22 November 2007).</w:t>
      </w:r>
    </w:p>
    <w:p w:rsidRPr="00B15374" w:rsidR="00FA0835" w:rsidP="00FA0835" w:rsidRDefault="00FA0835">
      <w:pPr>
        <w:ind w:firstLine="284"/>
        <w:jc w:val="both"/>
        <w:rPr>
          <w:rStyle w:val="sf6541cea"/>
          <w:b/>
          <w:lang w:eastAsia="en-US"/>
        </w:rPr>
      </w:pPr>
      <w:r w:rsidRPr="00B15374">
        <w:rPr>
          <w:rStyle w:val="sb8d990e2"/>
        </w:rPr>
        <w:t>There has accordingly also</w:t>
      </w:r>
      <w:r w:rsidRPr="00B15374">
        <w:rPr>
          <w:rStyle w:val="sb8d990e2"/>
          <w:b/>
        </w:rPr>
        <w:t xml:space="preserve"> </w:t>
      </w:r>
      <w:r w:rsidRPr="00B15374">
        <w:rPr>
          <w:rStyle w:val="sb8d990e2"/>
        </w:rPr>
        <w:t>been a violation of Article 5 § 1 of the Convention</w:t>
      </w:r>
      <w:r w:rsidRPr="00B15374">
        <w:rPr>
          <w:rStyle w:val="sb8d990e2"/>
          <w:b/>
        </w:rPr>
        <w:t xml:space="preserve"> </w:t>
      </w:r>
      <w:r w:rsidRPr="00B15374">
        <w:rPr>
          <w:rStyle w:val="sb8d990e2"/>
        </w:rPr>
        <w:t>in so far as this period of detention is concerned.</w:t>
      </w:r>
    </w:p>
    <w:p w:rsidR="00FA0835" w:rsidP="00FA0835" w:rsidRDefault="00FA0835">
      <w:pPr>
        <w:pStyle w:val="JuHA"/>
        <w:rPr>
          <w:rStyle w:val="sb8d990e2"/>
        </w:rPr>
      </w:pPr>
      <w:r>
        <w:rPr>
          <w:rStyle w:val="sb8d990e2"/>
        </w:rPr>
        <w:t>C.</w:t>
      </w:r>
      <w:r w:rsidRPr="0011250F">
        <w:t>  </w:t>
      </w:r>
      <w:r>
        <w:rPr>
          <w:rStyle w:val="sb8d990e2"/>
        </w:rPr>
        <w:t>Overall conclusion</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217</w:t>
      </w:r>
      <w:r>
        <w:fldChar w:fldCharType="end"/>
      </w:r>
      <w:r>
        <w:t>.  </w:t>
      </w:r>
      <w:r>
        <w:rPr>
          <w:rStyle w:val="sb8d990e2"/>
        </w:rPr>
        <w:t>The Court finds a violation of Article 5 § 1 of the Convention in respect of the applicant</w:t>
      </w:r>
      <w:r w:rsidR="00A7319E">
        <w:rPr>
          <w:rStyle w:val="sb8d990e2"/>
        </w:rPr>
        <w:t>’</w:t>
      </w:r>
      <w:r>
        <w:rPr>
          <w:rStyle w:val="sb8d990e2"/>
        </w:rPr>
        <w:t xml:space="preserve">s entire period of detention, namely, from 11 June 2010 until 3 May </w:t>
      </w:r>
      <w:r w:rsidRPr="005F725D">
        <w:rPr>
          <w:rStyle w:val="sb8d990e2"/>
        </w:rPr>
        <w:t xml:space="preserve">2011 (see </w:t>
      </w:r>
      <w:r w:rsidRPr="00BF010E">
        <w:rPr>
          <w:rStyle w:val="sb8d990e2"/>
        </w:rPr>
        <w:t>paragraphs 197</w:t>
      </w:r>
      <w:r>
        <w:rPr>
          <w:rStyle w:val="sb8d990e2"/>
        </w:rPr>
        <w:t>-203</w:t>
      </w:r>
      <w:r w:rsidRPr="00BF010E">
        <w:rPr>
          <w:rStyle w:val="sb8d990e2"/>
        </w:rPr>
        <w:t xml:space="preserve">, </w:t>
      </w:r>
      <w:r>
        <w:rPr>
          <w:rStyle w:val="sb8d990e2"/>
        </w:rPr>
        <w:t>209-210</w:t>
      </w:r>
      <w:r w:rsidRPr="00BF010E">
        <w:rPr>
          <w:rStyle w:val="sb8d990e2"/>
        </w:rPr>
        <w:t xml:space="preserve"> and </w:t>
      </w:r>
      <w:r>
        <w:rPr>
          <w:rStyle w:val="sb8d990e2"/>
        </w:rPr>
        <w:t>211</w:t>
      </w:r>
      <w:r>
        <w:rPr>
          <w:rStyle w:val="sb8d990e2"/>
        </w:rPr>
        <w:noBreakHyphen/>
        <w:t>216</w:t>
      </w:r>
      <w:r w:rsidRPr="005F725D">
        <w:rPr>
          <w:rStyle w:val="sb8d990e2"/>
        </w:rPr>
        <w:t xml:space="preserve"> above).</w:t>
      </w:r>
    </w:p>
    <w:p w:rsidR="00FA0835" w:rsidP="00FA0835" w:rsidRDefault="00FA0835">
      <w:pPr>
        <w:pStyle w:val="JuHIRoman"/>
      </w:pPr>
      <w:r>
        <w:t>V</w:t>
      </w:r>
      <w:r w:rsidRPr="0011250F">
        <w:t xml:space="preserve">.  ALLEGED VIOLATION OF ARTICLE </w:t>
      </w:r>
      <w:r>
        <w:t xml:space="preserve">5 § 2 </w:t>
      </w:r>
      <w:r w:rsidRPr="0011250F">
        <w:t>OF THE CONVENTION</w:t>
      </w:r>
    </w:p>
    <w:p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218</w:t>
      </w:r>
      <w:r w:rsidRPr="0011250F">
        <w:fldChar w:fldCharType="end"/>
      </w:r>
      <w:r w:rsidRPr="0011250F">
        <w:t>.  </w:t>
      </w:r>
      <w:r w:rsidRPr="0045438C">
        <w:t xml:space="preserve">The applicant complained that </w:t>
      </w:r>
      <w:r>
        <w:t>t</w:t>
      </w:r>
      <w:r w:rsidRPr="0045438C">
        <w:t>he</w:t>
      </w:r>
      <w:r>
        <w:t xml:space="preserve"> authorities had not complied with the requirements of</w:t>
      </w:r>
      <w:r w:rsidRPr="0045438C">
        <w:t xml:space="preserve"> Article 5 § 2 of the Convention</w:t>
      </w:r>
      <w:r>
        <w:t>. This provision</w:t>
      </w:r>
      <w:r w:rsidRPr="0045438C">
        <w:t xml:space="preserve"> reads as follows:</w:t>
      </w:r>
    </w:p>
    <w:p w:rsidRPr="0011250F" w:rsidR="00FA0835" w:rsidP="00FA0835" w:rsidRDefault="00FA0835">
      <w:pPr>
        <w:pStyle w:val="JuQuot"/>
      </w:pPr>
      <w:r>
        <w:t>“ Everyone who is arrested shall be informed promptly, in a language which he understands, of the reasons for his arrest and of any charge against him.”</w:t>
      </w:r>
    </w:p>
    <w:p w:rsidR="00FA0835" w:rsidP="00FA0835" w:rsidRDefault="00FA0835">
      <w:pPr>
        <w:pStyle w:val="JuPara"/>
      </w:pPr>
      <w:r w:rsidRPr="0011250F">
        <w:fldChar w:fldCharType="begin"/>
      </w:r>
      <w:r w:rsidRPr="0011250F">
        <w:instrText xml:space="preserve"> SEQ level0 \*arabic </w:instrText>
      </w:r>
      <w:r w:rsidRPr="0011250F">
        <w:fldChar w:fldCharType="separate"/>
      </w:r>
      <w:r w:rsidR="00C5470A">
        <w:rPr>
          <w:noProof/>
        </w:rPr>
        <w:t>219</w:t>
      </w:r>
      <w:r w:rsidRPr="0011250F">
        <w:fldChar w:fldCharType="end"/>
      </w:r>
      <w:r w:rsidRPr="0011250F">
        <w:t>.  The Government contested that argument.</w:t>
      </w:r>
    </w:p>
    <w:p w:rsidR="00FA0835" w:rsidP="00FA0835" w:rsidRDefault="00FA0835">
      <w:pPr>
        <w:pStyle w:val="JuHA"/>
      </w:pPr>
      <w:r>
        <w:t>A.  Admissibility</w:t>
      </w:r>
    </w:p>
    <w:p w:rsidRPr="00C97C6D" w:rsidR="00FA0835" w:rsidP="00FA0835" w:rsidRDefault="00FA0835">
      <w:pPr>
        <w:pStyle w:val="JuPara"/>
      </w:pPr>
      <w:r w:rsidRPr="00C97C6D">
        <w:fldChar w:fldCharType="begin"/>
      </w:r>
      <w:r w:rsidRPr="00C97C6D">
        <w:instrText xml:space="preserve"> SEQ level0 \*arabic </w:instrText>
      </w:r>
      <w:r w:rsidRPr="00C97C6D">
        <w:fldChar w:fldCharType="separate"/>
      </w:r>
      <w:r w:rsidR="00C5470A">
        <w:rPr>
          <w:noProof/>
        </w:rPr>
        <w:t>220</w:t>
      </w:r>
      <w:r w:rsidRPr="00C97C6D">
        <w:fldChar w:fldCharType="end"/>
      </w:r>
      <w:r w:rsidRPr="00C97C6D">
        <w:t>.  </w:t>
      </w:r>
      <w:r w:rsidRPr="00C97C6D">
        <w:rPr>
          <w:rStyle w:val="sb8d990e2"/>
        </w:rPr>
        <w:t>The Court notes that this complaint is not manifestly ill-founded within the meaning of Article 35 § 3 (a) of the Convention. It further notes that it is not inadmissible on any other grounds. It must therefore be declared admissible.</w:t>
      </w:r>
    </w:p>
    <w:p w:rsidRPr="00EC6F2A" w:rsidR="00FA0835" w:rsidP="00FA0835" w:rsidRDefault="00FA0835">
      <w:pPr>
        <w:pStyle w:val="JuHA"/>
        <w:tabs>
          <w:tab w:val="clear" w:pos="584"/>
        </w:tabs>
        <w:ind w:left="232" w:firstLine="0"/>
      </w:pPr>
      <w:r>
        <w:t>B</w:t>
      </w:r>
      <w:r w:rsidRPr="00EC6F2A">
        <w:t>.  </w:t>
      </w:r>
      <w:r>
        <w:t>Merits</w:t>
      </w:r>
    </w:p>
    <w:p w:rsidR="00FA0835" w:rsidP="00FA0835" w:rsidRDefault="00FA0835">
      <w:pPr>
        <w:pStyle w:val="JuH1"/>
      </w:pPr>
      <w:r>
        <w:t>1.  </w:t>
      </w:r>
      <w:r w:rsidRPr="006725CB">
        <w:t xml:space="preserve">The </w:t>
      </w:r>
      <w:r>
        <w:t>parties</w:t>
      </w:r>
      <w:r w:rsidR="00A7319E">
        <w:t>’</w:t>
      </w:r>
      <w:r>
        <w:t xml:space="preserve"> submissions</w:t>
      </w:r>
    </w:p>
    <w:p w:rsidRPr="0062485E" w:rsidR="00FA0835" w:rsidP="00FA0835" w:rsidRDefault="00FA0835">
      <w:pPr>
        <w:pStyle w:val="JuHa0"/>
      </w:pPr>
      <w:r>
        <w:t>(a)</w:t>
      </w:r>
      <w:r w:rsidRPr="009E0727">
        <w:t>  </w:t>
      </w:r>
      <w:r>
        <w:t>The applicant</w:t>
      </w:r>
    </w:p>
    <w:p w:rsidR="00FA0835" w:rsidP="00FA0835" w:rsidRDefault="00FA0835">
      <w:pPr>
        <w:pStyle w:val="JuPara"/>
      </w:pPr>
      <w:r>
        <w:fldChar w:fldCharType="begin"/>
      </w:r>
      <w:r>
        <w:instrText xml:space="preserve"> SEQ level0 \*arabic </w:instrText>
      </w:r>
      <w:r>
        <w:fldChar w:fldCharType="separate"/>
      </w:r>
      <w:r w:rsidR="00C5470A">
        <w:rPr>
          <w:noProof/>
        </w:rPr>
        <w:t>221</w:t>
      </w:r>
      <w:r>
        <w:fldChar w:fldCharType="end"/>
      </w:r>
      <w:r>
        <w:t>.  </w:t>
      </w:r>
      <w:r>
        <w:rPr>
          <w:rStyle w:val="sb8d990e2"/>
        </w:rPr>
        <w:t xml:space="preserve">First of all, the applicant submitted that he had not been informed of the grounds for his arrest either at the place of protest or when he was brought to the ERU headquarters. </w:t>
      </w:r>
      <w:r>
        <w:t xml:space="preserve">It was only </w:t>
      </w:r>
      <w:r w:rsidRPr="00E53B7B">
        <w:t>on 14 June 2010</w:t>
      </w:r>
      <w:r>
        <w:t xml:space="preserve">, more than 72 hours after his arrest, that he </w:t>
      </w:r>
      <w:r w:rsidRPr="00C869CF">
        <w:t>had been</w:t>
      </w:r>
      <w:r w:rsidRPr="00E53B7B">
        <w:t xml:space="preserve"> informed orally that he would be deported to Syria on the same day</w:t>
      </w:r>
      <w:r>
        <w:t>. Relying on the Court</w:t>
      </w:r>
      <w:r w:rsidR="00A7319E">
        <w:t>’</w:t>
      </w:r>
      <w:r>
        <w:t xml:space="preserve">s judgment in </w:t>
      </w:r>
      <w:r w:rsidRPr="00E7206E">
        <w:rPr>
          <w:i/>
          <w:lang w:eastAsia="en-US"/>
        </w:rPr>
        <w:t>Saadi v. the United Kingdom</w:t>
      </w:r>
      <w:r w:rsidRPr="00E7206E">
        <w:rPr>
          <w:lang w:eastAsia="en-US"/>
        </w:rPr>
        <w:t xml:space="preserve"> ([GC], no. 13229/03, ECHR 2008),</w:t>
      </w:r>
      <w:r>
        <w:rPr>
          <w:lang w:eastAsia="en-US"/>
        </w:rPr>
        <w:t xml:space="preserve"> the applicant pointed out that this could not be considered to be “prompt” and therefore in line with the requirements of </w:t>
      </w:r>
      <w:r>
        <w:t>Article 5 § 2. Although the applicant, along with a number of others, had submitted a Rule 39 request the day after his arrest, this had been due to the involvement of other members of the Kurdish community in Cyprus and the Yekiti Party who had been afraid that there was a serious possibility of deportation and instructed a lawyer to take action on behalf of those concerned.</w:t>
      </w:r>
    </w:p>
    <w:p w:rsidR="00FA0835" w:rsidP="00FA0835" w:rsidRDefault="00FA0835">
      <w:pPr>
        <w:pStyle w:val="JuPara"/>
      </w:pPr>
      <w:r>
        <w:fldChar w:fldCharType="begin"/>
      </w:r>
      <w:r>
        <w:instrText xml:space="preserve"> SEQ level0 \*arabic </w:instrText>
      </w:r>
      <w:r>
        <w:fldChar w:fldCharType="separate"/>
      </w:r>
      <w:r w:rsidR="00C5470A">
        <w:rPr>
          <w:noProof/>
        </w:rPr>
        <w:t>222</w:t>
      </w:r>
      <w:r>
        <w:fldChar w:fldCharType="end"/>
      </w:r>
      <w:r>
        <w:t>.  Furthermore, the applicant pointed out that the</w:t>
      </w:r>
      <w:r w:rsidRPr="00E53B7B">
        <w:t xml:space="preserve"> deportation and detention orders </w:t>
      </w:r>
      <w:r>
        <w:t xml:space="preserve">had not been </w:t>
      </w:r>
      <w:r w:rsidRPr="00E53B7B">
        <w:t xml:space="preserve">served on him. </w:t>
      </w:r>
      <w:r>
        <w:t>He</w:t>
      </w:r>
      <w:r w:rsidRPr="00E53B7B">
        <w:t xml:space="preserve"> </w:t>
      </w:r>
      <w:r>
        <w:t xml:space="preserve">had found out about them through </w:t>
      </w:r>
      <w:r w:rsidRPr="00E53B7B">
        <w:t>his lawyer, following the receipt of information submitted by the Government to the Court in the context of the application of Rule 39 of the Rules of Court</w:t>
      </w:r>
      <w:r>
        <w:t xml:space="preserve">. Likewise, the applicant had not been served with the letter of 11 June 2010. In this connection, the applicant noted that he had never refused to take receipt of any kind of information in writing. He also considered it strange that police officers in different detention centres had managed to co-ordinate and deliver all these letters to so many people on the same day. </w:t>
      </w:r>
      <w:r w:rsidRPr="000772BD">
        <w:t xml:space="preserve">In any event, the </w:t>
      </w:r>
      <w:r>
        <w:t>letter addressed to the applicant was in</w:t>
      </w:r>
      <w:r w:rsidRPr="000772BD">
        <w:t xml:space="preserve"> English, a langua</w:t>
      </w:r>
      <w:r>
        <w:t>ge that he could not understand. Moreover, it did not contain any information as to the remedies available for challenging the</w:t>
      </w:r>
      <w:r w:rsidRPr="000772BD">
        <w:t xml:space="preserve"> de</w:t>
      </w:r>
      <w:r>
        <w:t>cision to detain and deport him.</w:t>
      </w:r>
    </w:p>
    <w:p w:rsidR="00FA0835" w:rsidP="00FA0835" w:rsidRDefault="00FA0835">
      <w:pPr>
        <w:pStyle w:val="JuPara"/>
      </w:pPr>
      <w:r w:rsidRPr="00D94C1F">
        <w:fldChar w:fldCharType="begin"/>
      </w:r>
      <w:r w:rsidRPr="00D94C1F">
        <w:instrText xml:space="preserve"> SEQ level0 \*arabic </w:instrText>
      </w:r>
      <w:r w:rsidRPr="00D94C1F">
        <w:fldChar w:fldCharType="separate"/>
      </w:r>
      <w:r w:rsidR="00C5470A">
        <w:rPr>
          <w:noProof/>
        </w:rPr>
        <w:t>223</w:t>
      </w:r>
      <w:r w:rsidRPr="00D94C1F">
        <w:fldChar w:fldCharType="end"/>
      </w:r>
      <w:r>
        <w:t>.  Lastly</w:t>
      </w:r>
      <w:r w:rsidRPr="00D94C1F">
        <w:t>, the applicant had not been notified of the new orders issued against him on 20 August 2010 but had found out about the decision of</w:t>
      </w:r>
      <w:r>
        <w:t xml:space="preserve"> the Minister of the Interior when he received a copy of the Government</w:t>
      </w:r>
      <w:r w:rsidR="00A7319E">
        <w:t>’</w:t>
      </w:r>
      <w:r>
        <w:t xml:space="preserve">s letter of 12 October 2010 to the Court informing the latter of the issuance of those </w:t>
      </w:r>
      <w:r w:rsidRPr="005F725D">
        <w:t xml:space="preserve">orders (see </w:t>
      </w:r>
      <w:r w:rsidRPr="00BF010E">
        <w:t>paragraph</w:t>
      </w:r>
      <w:r>
        <w:t>s</w:t>
      </w:r>
      <w:r w:rsidRPr="00BF010E">
        <w:t xml:space="preserve"> 47</w:t>
      </w:r>
      <w:r>
        <w:t>-48</w:t>
      </w:r>
      <w:r w:rsidRPr="00BF010E">
        <w:t xml:space="preserve"> above</w:t>
      </w:r>
      <w:r w:rsidRPr="005F725D">
        <w:t>).</w:t>
      </w:r>
    </w:p>
    <w:p w:rsidRPr="00171FCC" w:rsidR="00FA0835" w:rsidP="00FA0835" w:rsidRDefault="00FA0835">
      <w:pPr>
        <w:pStyle w:val="JuHa0"/>
      </w:pPr>
      <w:r>
        <w:t>(b)</w:t>
      </w:r>
      <w:r w:rsidRPr="009E0727">
        <w:t>  </w:t>
      </w:r>
      <w:r>
        <w:t>The Government</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224</w:t>
      </w:r>
      <w:r>
        <w:rPr>
          <w:rStyle w:val="sb8d990e2"/>
        </w:rPr>
        <w:fldChar w:fldCharType="end"/>
      </w:r>
      <w:r>
        <w:rPr>
          <w:rStyle w:val="sb8d990e2"/>
        </w:rPr>
        <w:t xml:space="preserve">.  The Government submitted that once he had been identified at the ERU headquarters, the applicant was arrested and charged with the flagrant offence of unlawful stay in the Republic. He had been told there and then of the reasons for his arrest and detention, namely, that he had been staying on the territory unlawfully and was therefore a “prohibited immigrant”. He had also been informed that he had been detained with a view to his deportation and that this was imminent. Further, he had been informed of his right, under the Law on the Rights of Persons who are Arrested and Detained </w:t>
      </w:r>
      <w:r w:rsidRPr="00FB7E43">
        <w:rPr>
          <w:rStyle w:val="sb8d990e2"/>
        </w:rPr>
        <w:t>(Law no. 163(1)/2005</w:t>
      </w:r>
      <w:r>
        <w:rPr>
          <w:rStyle w:val="sb8d990e2"/>
        </w:rPr>
        <w:t>)</w:t>
      </w:r>
      <w:r w:rsidRPr="00FB7E43">
        <w:rPr>
          <w:rStyle w:val="sb8d990e2"/>
        </w:rPr>
        <w:t xml:space="preserve">, to </w:t>
      </w:r>
      <w:r w:rsidRPr="005F725D">
        <w:rPr>
          <w:rStyle w:val="sb8d990e2"/>
        </w:rPr>
        <w:t xml:space="preserve">contact a lawyer of his own choice (see </w:t>
      </w:r>
      <w:r w:rsidRPr="00BF010E">
        <w:rPr>
          <w:rStyle w:val="sb8d990e2"/>
        </w:rPr>
        <w:t>paragraph 93</w:t>
      </w:r>
      <w:r w:rsidRPr="005F725D">
        <w:rPr>
          <w:rStyle w:val="sb8d990e2"/>
        </w:rPr>
        <w:t xml:space="preserve"> above). As a result the ap</w:t>
      </w:r>
      <w:r>
        <w:rPr>
          <w:rStyle w:val="sb8d990e2"/>
        </w:rPr>
        <w:t xml:space="preserve">plicant had been able to </w:t>
      </w:r>
      <w:r>
        <w:t xml:space="preserve">appoint a lawyer and apply to the Court for an interim measure. </w:t>
      </w:r>
      <w:r w:rsidRPr="00C577E1">
        <w:t xml:space="preserve">In any event, the Government </w:t>
      </w:r>
      <w:r w:rsidRPr="00C577E1">
        <w:rPr>
          <w:rStyle w:val="sb8d990e2"/>
        </w:rPr>
        <w:t xml:space="preserve">considered that in view of the identification process at the </w:t>
      </w:r>
      <w:r>
        <w:rPr>
          <w:rStyle w:val="sb8d990e2"/>
        </w:rPr>
        <w:t>ERU</w:t>
      </w:r>
      <w:r w:rsidRPr="00C577E1">
        <w:rPr>
          <w:rStyle w:val="sb8d990e2"/>
        </w:rPr>
        <w:t xml:space="preserve"> headquarters</w:t>
      </w:r>
      <w:r>
        <w:rPr>
          <w:rStyle w:val="sb8d990e2"/>
        </w:rPr>
        <w:t xml:space="preserve">, during which the police had asked </w:t>
      </w:r>
      <w:r w:rsidRPr="00FB7E43">
        <w:rPr>
          <w:rStyle w:val="sb8d990e2"/>
        </w:rPr>
        <w:t>the applicant for his identity papers and questioned him</w:t>
      </w:r>
      <w:r>
        <w:rPr>
          <w:rStyle w:val="sb8d990e2"/>
        </w:rPr>
        <w:t xml:space="preserve"> about</w:t>
      </w:r>
      <w:r w:rsidRPr="00FB7E43">
        <w:rPr>
          <w:rStyle w:val="sb8d990e2"/>
        </w:rPr>
        <w:t xml:space="preserve"> his immigrati</w:t>
      </w:r>
      <w:r>
        <w:rPr>
          <w:rStyle w:val="sb8d990e2"/>
        </w:rPr>
        <w:t>on status</w:t>
      </w:r>
      <w:r w:rsidRPr="00C577E1">
        <w:rPr>
          <w:rStyle w:val="sb8d990e2"/>
        </w:rPr>
        <w:t xml:space="preserve">, the reasons for his arrest and detention must have been evident to </w:t>
      </w:r>
      <w:r>
        <w:rPr>
          <w:rStyle w:val="sb8d990e2"/>
        </w:rPr>
        <w:t>him.</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225</w:t>
      </w:r>
      <w:r>
        <w:rPr>
          <w:rStyle w:val="sb8d990e2"/>
        </w:rPr>
        <w:fldChar w:fldCharType="end"/>
      </w:r>
      <w:r>
        <w:rPr>
          <w:rStyle w:val="sb8d990e2"/>
        </w:rPr>
        <w:t xml:space="preserve">.  In addition, the Government noted that a letter had been </w:t>
      </w:r>
      <w:r w:rsidRPr="00F9347F">
        <w:rPr>
          <w:rStyle w:val="sb8d990e2"/>
        </w:rPr>
        <w:t>prepared in English by the Civil Registry and Migration Department informing</w:t>
      </w:r>
      <w:r w:rsidRPr="005F57CE">
        <w:rPr>
          <w:rStyle w:val="sb8d990e2"/>
        </w:rPr>
        <w:t xml:space="preserve"> the applicant of the authorities</w:t>
      </w:r>
      <w:r w:rsidR="00A7319E">
        <w:rPr>
          <w:rStyle w:val="sb8d990e2"/>
        </w:rPr>
        <w:t>’</w:t>
      </w:r>
      <w:r w:rsidRPr="005F57CE">
        <w:rPr>
          <w:rStyle w:val="sb8d990e2"/>
        </w:rPr>
        <w:t xml:space="preserve"> decision to deport him and the reasons for that decision. The</w:t>
      </w:r>
      <w:r>
        <w:rPr>
          <w:rStyle w:val="sb8d990e2"/>
        </w:rPr>
        <w:t xml:space="preserve"> letter also informed the applicant that his temporary residence permit had been revoked and </w:t>
      </w:r>
      <w:r w:rsidRPr="00045263">
        <w:rPr>
          <w:rStyle w:val="sb8d990e2"/>
        </w:rPr>
        <w:t xml:space="preserve">that he had the right to be represented before the authorities, to seek the services of an interpreter and to express possible objections </w:t>
      </w:r>
      <w:r>
        <w:rPr>
          <w:rStyle w:val="sb8d990e2"/>
        </w:rPr>
        <w:t>to</w:t>
      </w:r>
      <w:r w:rsidRPr="00045263">
        <w:rPr>
          <w:rStyle w:val="sb8d990e2"/>
        </w:rPr>
        <w:t xml:space="preserve"> his deportation.</w:t>
      </w:r>
      <w:r>
        <w:rPr>
          <w:rStyle w:val="sb8d990e2"/>
        </w:rPr>
        <w:t xml:space="preserve"> The applicant had, however, refused to sign and receive the </w:t>
      </w:r>
      <w:r w:rsidRPr="005F725D">
        <w:rPr>
          <w:rStyle w:val="sb8d990e2"/>
        </w:rPr>
        <w:t xml:space="preserve">letter (see paragraph </w:t>
      </w:r>
      <w:r w:rsidRPr="00BF010E">
        <w:rPr>
          <w:rStyle w:val="sb8d990e2"/>
        </w:rPr>
        <w:t>44</w:t>
      </w:r>
      <w:r w:rsidRPr="005F725D">
        <w:rPr>
          <w:rStyle w:val="sb8d990e2"/>
        </w:rPr>
        <w:t xml:space="preserve"> above).</w:t>
      </w:r>
    </w:p>
    <w:p w:rsidR="00FA0835" w:rsidP="00FA0835" w:rsidRDefault="00FA0835">
      <w:pPr>
        <w:pStyle w:val="JuPara"/>
        <w:rPr>
          <w:rStyle w:val="sb8d990e2"/>
        </w:rPr>
      </w:pPr>
      <w:r w:rsidRPr="00EC6F2A">
        <w:rPr>
          <w:rStyle w:val="sb8d990e2"/>
        </w:rPr>
        <w:fldChar w:fldCharType="begin"/>
      </w:r>
      <w:r w:rsidRPr="00EC6F2A">
        <w:rPr>
          <w:rStyle w:val="sb8d990e2"/>
        </w:rPr>
        <w:instrText xml:space="preserve"> SEQ level0 \*arabic </w:instrText>
      </w:r>
      <w:r w:rsidRPr="00EC6F2A">
        <w:rPr>
          <w:rStyle w:val="sb8d990e2"/>
        </w:rPr>
        <w:fldChar w:fldCharType="separate"/>
      </w:r>
      <w:r w:rsidR="00C5470A">
        <w:rPr>
          <w:rStyle w:val="sb8d990e2"/>
          <w:noProof/>
        </w:rPr>
        <w:t>226</w:t>
      </w:r>
      <w:r w:rsidRPr="00EC6F2A">
        <w:rPr>
          <w:rStyle w:val="sb8d990e2"/>
        </w:rPr>
        <w:fldChar w:fldCharType="end"/>
      </w:r>
      <w:r w:rsidRPr="00EC6F2A">
        <w:rPr>
          <w:rStyle w:val="sb8d990e2"/>
        </w:rPr>
        <w:t xml:space="preserve">.  The Government did not make any submissions as to whether the applicant had been notified on 20 August 2010 of the new deportation and </w:t>
      </w:r>
      <w:r w:rsidRPr="005F725D">
        <w:rPr>
          <w:rStyle w:val="sb8d990e2"/>
        </w:rPr>
        <w:t>detention orders and</w:t>
      </w:r>
      <w:r>
        <w:rPr>
          <w:rStyle w:val="sb8d990e2"/>
        </w:rPr>
        <w:t>,</w:t>
      </w:r>
      <w:r w:rsidRPr="005F725D">
        <w:rPr>
          <w:rStyle w:val="sb8d990e2"/>
        </w:rPr>
        <w:t xml:space="preserve"> consequently</w:t>
      </w:r>
      <w:r>
        <w:rPr>
          <w:rStyle w:val="sb8d990e2"/>
        </w:rPr>
        <w:t>,</w:t>
      </w:r>
      <w:r w:rsidRPr="005F725D">
        <w:rPr>
          <w:rStyle w:val="sb8d990e2"/>
        </w:rPr>
        <w:t xml:space="preserve"> the change of the legal basis of his detention (see paragraph </w:t>
      </w:r>
      <w:r>
        <w:rPr>
          <w:rStyle w:val="sb8d990e2"/>
        </w:rPr>
        <w:t xml:space="preserve">183 </w:t>
      </w:r>
      <w:r w:rsidRPr="005F725D">
        <w:rPr>
          <w:rStyle w:val="sb8d990e2"/>
        </w:rPr>
        <w:t>above).</w:t>
      </w:r>
    </w:p>
    <w:p w:rsidR="00FA0835" w:rsidP="00FA0835" w:rsidRDefault="00FA0835">
      <w:pPr>
        <w:pStyle w:val="JuH1"/>
      </w:pPr>
      <w:r>
        <w:t>2.</w:t>
      </w:r>
      <w:r w:rsidRPr="00EC6F2A">
        <w:t>  </w:t>
      </w:r>
      <w:r>
        <w:t>The Court</w:t>
      </w:r>
      <w:r w:rsidR="00A7319E">
        <w:t>’</w:t>
      </w:r>
      <w:r>
        <w:t>s assessment</w:t>
      </w:r>
    </w:p>
    <w:p w:rsidRPr="00171FCC" w:rsidR="00FA0835" w:rsidP="00FA0835" w:rsidRDefault="00FA0835">
      <w:pPr>
        <w:pStyle w:val="JuHa0"/>
      </w:pPr>
      <w:r>
        <w:t>(a)</w:t>
      </w:r>
      <w:r w:rsidRPr="009E0727">
        <w:t>  </w:t>
      </w:r>
      <w:r>
        <w:t>General principles</w:t>
      </w:r>
    </w:p>
    <w:p w:rsidRPr="006F470F"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227</w:t>
      </w:r>
      <w:r>
        <w:rPr>
          <w:rStyle w:val="sb8d990e2"/>
        </w:rPr>
        <w:fldChar w:fldCharType="end"/>
      </w:r>
      <w:r>
        <w:rPr>
          <w:rStyle w:val="sb8d990e2"/>
        </w:rPr>
        <w:t xml:space="preserve">.  The Court reiterates that paragraph 2 of Article 5 contains the elementary safeguard that anyone who has been arrested should know why he is being deprived of his liberty. This is a minimum safeguard against arbitrary treatment. This provision is an integral part of the scheme of protection afforded by Article 5: by virtue of paragraph 2 anyone who is arrested must be told, in simple, non-technical language that he can understand, the essential legal and factual grounds for his arrest, so as to be able, if he sees fit, to apply to a court to challenge its lawfulness in accordance with paragraph 4. Whilst this information must be conveyed “promptly”, it need not be related in its entirety by the arresting officer at the very moment of the arrest. Whether the content and promptness of the information conveyed are sufficient is to be assessed in each case according to its special features (see </w:t>
      </w:r>
      <w:r w:rsidRPr="0015047E">
        <w:rPr>
          <w:rStyle w:val="s6b621b36"/>
          <w:i/>
        </w:rPr>
        <w:t>Fox, Campbell and Hartley v</w:t>
      </w:r>
      <w:r w:rsidRPr="00AA17F3">
        <w:rPr>
          <w:rStyle w:val="s6b621b36"/>
          <w:i/>
        </w:rPr>
        <w:t>. the United Kingdom</w:t>
      </w:r>
      <w:r w:rsidRPr="00AA17F3">
        <w:rPr>
          <w:rStyle w:val="sb8d990e2"/>
        </w:rPr>
        <w:t xml:space="preserve">, 30 August 1990, </w:t>
      </w:r>
      <w:r w:rsidRPr="00AA17F3">
        <w:rPr>
          <w:lang w:eastAsia="en-US"/>
        </w:rPr>
        <w:t xml:space="preserve">§ 40, </w:t>
      </w:r>
      <w:r w:rsidRPr="00AA17F3">
        <w:rPr>
          <w:rStyle w:val="sb8d990e2"/>
        </w:rPr>
        <w:t>Series A no. 182).</w:t>
      </w:r>
      <w:r>
        <w:rPr>
          <w:rStyle w:val="sb8d990e2"/>
        </w:rPr>
        <w:t xml:space="preserve"> Anyone entitled to take proceedings to have the lawfulness of his detention speedily decided cannot make effective use of that right unless he is promptly and adequately informed of the reasons relied on to deprive him of his liberty (see </w:t>
      </w:r>
      <w:r w:rsidRPr="0015047E">
        <w:rPr>
          <w:rStyle w:val="s6b621b36"/>
          <w:i/>
        </w:rPr>
        <w:t>Van der Leer v. the Netherlands</w:t>
      </w:r>
      <w:r>
        <w:rPr>
          <w:rStyle w:val="sb8d990e2"/>
        </w:rPr>
        <w:t>, 21 February 1990, § 28, Series A no. 170</w:t>
      </w:r>
      <w:r>
        <w:rPr>
          <w:rStyle w:val="sb8d990e2"/>
        </w:rPr>
        <w:noBreakHyphen/>
        <w:t>A).</w:t>
      </w:r>
      <w:r w:rsidRPr="006F470F">
        <w:t xml:space="preserve"> </w:t>
      </w:r>
      <w:r>
        <w:t xml:space="preserve">Further, if the grounds for detention change, or if new relevant facts arise concerning the detention, a detainee has a right to this further information (see </w:t>
      </w:r>
      <w:r>
        <w:rPr>
          <w:i/>
        </w:rPr>
        <w:t xml:space="preserve">X. v. the United Kingdom, </w:t>
      </w:r>
      <w:r>
        <w:rPr>
          <w:rStyle w:val="sb8d990e2"/>
        </w:rPr>
        <w:t>no. 6998/75, Commission</w:t>
      </w:r>
      <w:r w:rsidR="00A7319E">
        <w:rPr>
          <w:rStyle w:val="sb8d990e2"/>
        </w:rPr>
        <w:t>’</w:t>
      </w:r>
      <w:r>
        <w:rPr>
          <w:rStyle w:val="sb8d990e2"/>
        </w:rPr>
        <w:t>s report of 16 July 1980, § 105, Series </w:t>
      </w:r>
      <w:r w:rsidRPr="006F470F">
        <w:rPr>
          <w:rStyle w:val="sb8d990e2"/>
        </w:rPr>
        <w:t>B</w:t>
      </w:r>
      <w:r>
        <w:rPr>
          <w:rStyle w:val="sb8d990e2"/>
        </w:rPr>
        <w:t xml:space="preserve"> no. 41).</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228</w:t>
      </w:r>
      <w:r>
        <w:rPr>
          <w:rStyle w:val="sb8d990e2"/>
        </w:rPr>
        <w:fldChar w:fldCharType="end"/>
      </w:r>
      <w:r>
        <w:rPr>
          <w:rStyle w:val="sb8d990e2"/>
        </w:rPr>
        <w:t xml:space="preserve">.  The constraints of time imposed by the notion of promptness will be satisfied where the reasons for the arrest are provided within a few hours of arrest (see </w:t>
      </w:r>
      <w:r>
        <w:rPr>
          <w:rStyle w:val="sb8d990e2"/>
          <w:i/>
        </w:rPr>
        <w:t>Kerr v. the United Kingdom</w:t>
      </w:r>
      <w:r>
        <w:rPr>
          <w:rStyle w:val="sb8d990e2"/>
        </w:rPr>
        <w:t xml:space="preserve"> (dec.), no. 40451/98, 7 December 1999,</w:t>
      </w:r>
      <w:r w:rsidRPr="004C4DC3">
        <w:rPr>
          <w:rStyle w:val="sb8d990e2"/>
        </w:rPr>
        <w:t xml:space="preserve"> and</w:t>
      </w:r>
      <w:r>
        <w:rPr>
          <w:rStyle w:val="sb8d990e2"/>
        </w:rPr>
        <w:t xml:space="preserve"> </w:t>
      </w:r>
      <w:r w:rsidRPr="00AA17F3">
        <w:rPr>
          <w:i/>
          <w:lang w:eastAsia="en-US"/>
        </w:rPr>
        <w:t>Fox</w:t>
      </w:r>
      <w:r w:rsidRPr="00AA17F3">
        <w:rPr>
          <w:i/>
          <w:iCs/>
          <w:lang w:eastAsia="en-US"/>
        </w:rPr>
        <w:t>,</w:t>
      </w:r>
      <w:r w:rsidRPr="00AA17F3">
        <w:rPr>
          <w:i/>
          <w:lang w:eastAsia="en-US"/>
        </w:rPr>
        <w:t xml:space="preserve"> Campbell and Hartley</w:t>
      </w:r>
      <w:r w:rsidRPr="00AA17F3">
        <w:rPr>
          <w:lang w:eastAsia="en-US"/>
        </w:rPr>
        <w:t>,</w:t>
      </w:r>
      <w:r>
        <w:rPr>
          <w:lang w:eastAsia="en-US"/>
        </w:rPr>
        <w:t xml:space="preserve"> cited above, § 41</w:t>
      </w:r>
      <w:r w:rsidRPr="004C4DC3">
        <w:rPr>
          <w:lang w:eastAsia="en-US"/>
        </w:rPr>
        <w:t>).</w:t>
      </w:r>
      <w:r>
        <w:rPr>
          <w:lang w:eastAsia="en-US"/>
        </w:rPr>
        <w:t xml:space="preserve"> </w:t>
      </w:r>
      <w:r w:rsidRPr="00C5786A">
        <w:rPr>
          <w:lang w:eastAsia="en-US"/>
        </w:rPr>
        <w:t xml:space="preserve">A </w:t>
      </w:r>
      <w:r w:rsidRPr="00C5786A">
        <w:rPr>
          <w:rStyle w:val="sb8d990e2"/>
        </w:rPr>
        <w:t>violation was found by the Court where seventy-six hours elapsed before the applicants were informed of the reasons of detention (</w:t>
      </w:r>
      <w:r w:rsidRPr="00C5786A">
        <w:rPr>
          <w:rStyle w:val="sb8d990e2"/>
          <w:i/>
        </w:rPr>
        <w:t>Saadi</w:t>
      </w:r>
      <w:r w:rsidRPr="00C5786A">
        <w:rPr>
          <w:rStyle w:val="sb8d990e2"/>
        </w:rPr>
        <w:t>, §§ 55-56, cited above; see also</w:t>
      </w:r>
      <w:r w:rsidRPr="00C5786A">
        <w:rPr>
          <w:rStyle w:val="s6b621b36"/>
        </w:rPr>
        <w:t xml:space="preserve"> </w:t>
      </w:r>
      <w:r w:rsidRPr="00C5786A">
        <w:rPr>
          <w:rStyle w:val="s6b621b36"/>
          <w:i/>
        </w:rPr>
        <w:t>Shamayev and Others v. Georgia and Russia</w:t>
      </w:r>
      <w:r w:rsidRPr="00C5786A">
        <w:rPr>
          <w:rStyle w:val="sb8d990e2"/>
        </w:rPr>
        <w:t xml:space="preserve">, § 416, </w:t>
      </w:r>
      <w:r>
        <w:rPr>
          <w:rStyle w:val="sb8d990e2"/>
        </w:rPr>
        <w:t xml:space="preserve">cited above, where </w:t>
      </w:r>
      <w:r w:rsidRPr="00C5786A">
        <w:rPr>
          <w:rStyle w:val="sb8d990e2"/>
        </w:rPr>
        <w:t>the Court found a violation in respect of a four-day delay</w:t>
      </w:r>
      <w:r>
        <w:rPr>
          <w:rStyle w:val="sb8d990e2"/>
        </w:rPr>
        <w:t>;</w:t>
      </w:r>
      <w:r w:rsidRPr="00C5786A">
        <w:rPr>
          <w:rStyle w:val="sb8d990e2"/>
        </w:rPr>
        <w:t xml:space="preserve"> and </w:t>
      </w:r>
      <w:r w:rsidRPr="00C5786A">
        <w:rPr>
          <w:rStyle w:val="s6b621b36"/>
          <w:i/>
        </w:rPr>
        <w:t>Rusu v. Austria</w:t>
      </w:r>
      <w:r w:rsidRPr="00C5786A">
        <w:rPr>
          <w:rStyle w:val="sb8d990e2"/>
        </w:rPr>
        <w:t>, no.</w:t>
      </w:r>
      <w:r>
        <w:rPr>
          <w:rStyle w:val="sb8d990e2"/>
        </w:rPr>
        <w:t xml:space="preserve"> </w:t>
      </w:r>
      <w:r w:rsidRPr="00C5786A">
        <w:rPr>
          <w:rStyle w:val="sb8d990e2"/>
        </w:rPr>
        <w:t>34082/02, §</w:t>
      </w:r>
      <w:r>
        <w:rPr>
          <w:rStyle w:val="sb8d990e2"/>
        </w:rPr>
        <w:t xml:space="preserve"> </w:t>
      </w:r>
      <w:r w:rsidRPr="00C5786A">
        <w:rPr>
          <w:rStyle w:val="sb8d990e2"/>
        </w:rPr>
        <w:t>43, 2 October 2008 in respect of a ten-day delay).</w:t>
      </w:r>
    </w:p>
    <w:p w:rsidR="00FA0835" w:rsidP="00FA0835" w:rsidRDefault="00FA0835">
      <w:pPr>
        <w:pStyle w:val="JuPara"/>
        <w:rPr>
          <w:lang w:eastAsia="en-US"/>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229</w:t>
      </w:r>
      <w:r>
        <w:rPr>
          <w:rStyle w:val="sb8d990e2"/>
        </w:rPr>
        <w:fldChar w:fldCharType="end"/>
      </w:r>
      <w:r>
        <w:rPr>
          <w:rStyle w:val="sb8d990e2"/>
        </w:rPr>
        <w:t>.  As regards the manner of communicating the reasons for the arrest, Article 5 § 2 does not require the reasons to be given in writing to the detained person or otherwise in a particular form (</w:t>
      </w:r>
      <w:r w:rsidRPr="00AD33CD">
        <w:rPr>
          <w:rStyle w:val="sb8d990e2"/>
        </w:rPr>
        <w:t xml:space="preserve">see </w:t>
      </w:r>
      <w:r>
        <w:rPr>
          <w:rStyle w:val="sb8d990e2"/>
          <w:i/>
        </w:rPr>
        <w:t xml:space="preserve">Kane v. </w:t>
      </w:r>
      <w:r w:rsidRPr="00AD33CD">
        <w:rPr>
          <w:rStyle w:val="sb8d990e2"/>
          <w:i/>
        </w:rPr>
        <w:t>Cyprus</w:t>
      </w:r>
      <w:r w:rsidRPr="00AD33CD">
        <w:rPr>
          <w:rStyle w:val="sb8d990e2"/>
        </w:rPr>
        <w:t xml:space="preserve"> (dec.), no. 33655/06, 13 September 2011</w:t>
      </w:r>
      <w:r>
        <w:rPr>
          <w:rStyle w:val="sb8d990e2"/>
        </w:rPr>
        <w:t>,</w:t>
      </w:r>
      <w:r w:rsidRPr="00AD33CD">
        <w:rPr>
          <w:rStyle w:val="sb8d990e2"/>
        </w:rPr>
        <w:t xml:space="preserve"> and </w:t>
      </w:r>
      <w:r w:rsidRPr="00AD33CD">
        <w:rPr>
          <w:rStyle w:val="s6b621b36"/>
          <w:i/>
        </w:rPr>
        <w:t>X</w:t>
      </w:r>
      <w:r>
        <w:rPr>
          <w:rStyle w:val="s6b621b36"/>
          <w:i/>
        </w:rPr>
        <w:t>.</w:t>
      </w:r>
      <w:r w:rsidRPr="00AD33CD">
        <w:rPr>
          <w:rStyle w:val="s6b621b36"/>
          <w:i/>
        </w:rPr>
        <w:t xml:space="preserve"> v. Germany</w:t>
      </w:r>
      <w:r>
        <w:rPr>
          <w:rStyle w:val="sb8d990e2"/>
        </w:rPr>
        <w:t>, no. </w:t>
      </w:r>
      <w:r w:rsidRPr="00AD33CD">
        <w:rPr>
          <w:rStyle w:val="sb8d990e2"/>
        </w:rPr>
        <w:t xml:space="preserve">8098/77, Commission decision of 13 December </w:t>
      </w:r>
      <w:r w:rsidRPr="00961CBE">
        <w:rPr>
          <w:rStyle w:val="sb8d990e2"/>
        </w:rPr>
        <w:t>1978, DR 16, p. 111).</w:t>
      </w:r>
      <w:r>
        <w:rPr>
          <w:rStyle w:val="sb8d990e2"/>
        </w:rPr>
        <w:t xml:space="preserve"> Further, the reasons may be provided or become apparent in the course of post-arrest interrogations or questioning (see</w:t>
      </w:r>
      <w:r w:rsidRPr="00B22B59">
        <w:rPr>
          <w:i/>
          <w:lang w:eastAsia="en-US"/>
        </w:rPr>
        <w:t xml:space="preserve"> </w:t>
      </w:r>
      <w:r>
        <w:rPr>
          <w:rStyle w:val="sb8d990e2"/>
          <w:i/>
        </w:rPr>
        <w:t>Kerr</w:t>
      </w:r>
      <w:r w:rsidRPr="00057411">
        <w:rPr>
          <w:rStyle w:val="sb8d990e2"/>
        </w:rPr>
        <w:t>,</w:t>
      </w:r>
      <w:r>
        <w:rPr>
          <w:rStyle w:val="sb8d990e2"/>
          <w:i/>
        </w:rPr>
        <w:t xml:space="preserve"> </w:t>
      </w:r>
      <w:r w:rsidRPr="00B22B59">
        <w:rPr>
          <w:rStyle w:val="sb8d990e2"/>
        </w:rPr>
        <w:t>cited above</w:t>
      </w:r>
      <w:r>
        <w:rPr>
          <w:rStyle w:val="sb8d990e2"/>
          <w:i/>
        </w:rPr>
        <w:t xml:space="preserve">; </w:t>
      </w:r>
      <w:r w:rsidRPr="00B22B59">
        <w:rPr>
          <w:i/>
          <w:lang w:eastAsia="en-US"/>
        </w:rPr>
        <w:t>Murray</w:t>
      </w:r>
      <w:r>
        <w:rPr>
          <w:i/>
          <w:lang w:eastAsia="en-US"/>
        </w:rPr>
        <w:t xml:space="preserve"> v. </w:t>
      </w:r>
      <w:r w:rsidRPr="00B22B59">
        <w:rPr>
          <w:i/>
          <w:lang w:eastAsia="en-US"/>
        </w:rPr>
        <w:t>the United Kingdom</w:t>
      </w:r>
      <w:r w:rsidRPr="00B22B59">
        <w:rPr>
          <w:lang w:eastAsia="en-US"/>
        </w:rPr>
        <w:t xml:space="preserve">, 28 October 1994, § </w:t>
      </w:r>
      <w:r>
        <w:rPr>
          <w:lang w:eastAsia="en-US"/>
        </w:rPr>
        <w:t>77</w:t>
      </w:r>
      <w:r w:rsidRPr="00B22B59">
        <w:rPr>
          <w:lang w:eastAsia="en-US"/>
        </w:rPr>
        <w:t>, Series A no. 300</w:t>
      </w:r>
      <w:r w:rsidRPr="00B22B59">
        <w:rPr>
          <w:lang w:eastAsia="en-US"/>
        </w:rPr>
        <w:noBreakHyphen/>
        <w:t>A</w:t>
      </w:r>
      <w:r>
        <w:rPr>
          <w:lang w:eastAsia="en-US"/>
        </w:rPr>
        <w:t xml:space="preserve">; </w:t>
      </w:r>
      <w:r w:rsidRPr="004C4DC3">
        <w:rPr>
          <w:rStyle w:val="sb8d990e2"/>
        </w:rPr>
        <w:t>and</w:t>
      </w:r>
      <w:r>
        <w:rPr>
          <w:rStyle w:val="sb8d990e2"/>
        </w:rPr>
        <w:t xml:space="preserve"> </w:t>
      </w:r>
      <w:r w:rsidRPr="004C4DC3">
        <w:rPr>
          <w:i/>
          <w:lang w:eastAsia="en-US"/>
        </w:rPr>
        <w:t>Fox</w:t>
      </w:r>
      <w:r w:rsidRPr="004C4DC3">
        <w:rPr>
          <w:i/>
          <w:iCs/>
          <w:lang w:eastAsia="en-US"/>
        </w:rPr>
        <w:t>,</w:t>
      </w:r>
      <w:r>
        <w:rPr>
          <w:i/>
          <w:lang w:eastAsia="en-US"/>
        </w:rPr>
        <w:t xml:space="preserve"> Campbell and Hartley</w:t>
      </w:r>
      <w:r w:rsidRPr="004C4DC3">
        <w:rPr>
          <w:lang w:eastAsia="en-US"/>
        </w:rPr>
        <w:t>, § 41</w:t>
      </w:r>
      <w:r>
        <w:rPr>
          <w:lang w:eastAsia="en-US"/>
        </w:rPr>
        <w:t>, cited above).</w:t>
      </w:r>
    </w:p>
    <w:p w:rsidRPr="003B4F37" w:rsidR="00FA0835" w:rsidP="00FA0835" w:rsidRDefault="00FA0835">
      <w:pPr>
        <w:pStyle w:val="JuPara"/>
        <w:rPr>
          <w:rStyle w:val="sb8d990e2"/>
        </w:rPr>
      </w:pPr>
      <w:r>
        <w:rPr>
          <w:lang w:eastAsia="en-US"/>
        </w:rPr>
        <w:fldChar w:fldCharType="begin"/>
      </w:r>
      <w:r>
        <w:rPr>
          <w:lang w:eastAsia="en-US"/>
        </w:rPr>
        <w:instrText xml:space="preserve"> SEQ level0 \*arabic </w:instrText>
      </w:r>
      <w:r>
        <w:rPr>
          <w:lang w:eastAsia="en-US"/>
        </w:rPr>
        <w:fldChar w:fldCharType="separate"/>
      </w:r>
      <w:r w:rsidR="00C5470A">
        <w:rPr>
          <w:noProof/>
          <w:lang w:eastAsia="en-US"/>
        </w:rPr>
        <w:t>230</w:t>
      </w:r>
      <w:r>
        <w:rPr>
          <w:lang w:eastAsia="en-US"/>
        </w:rPr>
        <w:fldChar w:fldCharType="end"/>
      </w:r>
      <w:r>
        <w:rPr>
          <w:lang w:eastAsia="en-US"/>
        </w:rPr>
        <w:t>.  It should also be noted that w</w:t>
      </w:r>
      <w:r>
        <w:rPr>
          <w:rStyle w:val="sb8d990e2"/>
        </w:rPr>
        <w:t xml:space="preserve">hen a person is arrested with a view to extradition, the information given may be even less complete </w:t>
      </w:r>
      <w:r w:rsidRPr="00C538D3">
        <w:rPr>
          <w:rStyle w:val="sb8d990e2"/>
        </w:rPr>
        <w:t xml:space="preserve">(see </w:t>
      </w:r>
      <w:r w:rsidRPr="00C538D3">
        <w:rPr>
          <w:rStyle w:val="s6b621b36"/>
          <w:i/>
        </w:rPr>
        <w:t xml:space="preserve">Kaboulov </w:t>
      </w:r>
      <w:r w:rsidRPr="00B22B59">
        <w:rPr>
          <w:rStyle w:val="s6b621b36"/>
          <w:i/>
        </w:rPr>
        <w:t>v. Ukraine</w:t>
      </w:r>
      <w:r w:rsidRPr="00C538D3">
        <w:rPr>
          <w:rStyle w:val="sb8d990e2"/>
        </w:rPr>
        <w:t>, no. 41015/04, §§ 143-144, 19 November 2009, with further references;</w:t>
      </w:r>
      <w:r w:rsidRPr="00C538D3">
        <w:rPr>
          <w:rStyle w:val="s6b621b36"/>
        </w:rPr>
        <w:t xml:space="preserve"> </w:t>
      </w:r>
      <w:r w:rsidRPr="00C538D3">
        <w:rPr>
          <w:rStyle w:val="s6b621b36"/>
          <w:i/>
        </w:rPr>
        <w:t>Ryabikin v. Russia</w:t>
      </w:r>
      <w:r w:rsidRPr="00C538D3">
        <w:rPr>
          <w:rStyle w:val="sb8d990e2"/>
        </w:rPr>
        <w:t xml:space="preserve"> (dec.), no. 8320/04, 10 April 2007;</w:t>
      </w:r>
      <w:r w:rsidRPr="00C538D3">
        <w:rPr>
          <w:rStyle w:val="s6b621b36"/>
        </w:rPr>
        <w:t xml:space="preserve"> </w:t>
      </w:r>
      <w:r w:rsidRPr="00C538D3">
        <w:rPr>
          <w:rStyle w:val="sb8d990e2"/>
        </w:rPr>
        <w:t>and</w:t>
      </w:r>
      <w:r w:rsidRPr="00C538D3">
        <w:rPr>
          <w:rStyle w:val="s6b621b36"/>
        </w:rPr>
        <w:t xml:space="preserve"> </w:t>
      </w:r>
      <w:r>
        <w:rPr>
          <w:rStyle w:val="s6b621b36"/>
          <w:i/>
        </w:rPr>
        <w:t>K. v. </w:t>
      </w:r>
      <w:r w:rsidRPr="00C538D3">
        <w:rPr>
          <w:rStyle w:val="s6b621b36"/>
          <w:i/>
        </w:rPr>
        <w:t>Belgium</w:t>
      </w:r>
      <w:r w:rsidRPr="00C538D3">
        <w:rPr>
          <w:rStyle w:val="sb8d990e2"/>
        </w:rPr>
        <w:t xml:space="preserve">, no. 10819/84, </w:t>
      </w:r>
      <w:r w:rsidRPr="00961CBE">
        <w:rPr>
          <w:rStyle w:val="sb8d990e2"/>
        </w:rPr>
        <w:t>Commission decision of</w:t>
      </w:r>
      <w:r>
        <w:rPr>
          <w:rStyle w:val="sb8d990e2"/>
        </w:rPr>
        <w:t xml:space="preserve"> 5 July 1984, DR 38, p. 230). A similar approach has been taken in deportation cases (</w:t>
      </w:r>
      <w:r w:rsidRPr="00AD33CD">
        <w:rPr>
          <w:rStyle w:val="sb8d990e2"/>
        </w:rPr>
        <w:t>see</w:t>
      </w:r>
      <w:r>
        <w:rPr>
          <w:rStyle w:val="sb8d990e2"/>
        </w:rPr>
        <w:t xml:space="preserve">, for example, </w:t>
      </w:r>
      <w:r w:rsidRPr="00AD33CD">
        <w:rPr>
          <w:rStyle w:val="sb8d990e2"/>
          <w:i/>
        </w:rPr>
        <w:t>Kane</w:t>
      </w:r>
      <w:r>
        <w:rPr>
          <w:rStyle w:val="sb8d990e2"/>
          <w:i/>
        </w:rPr>
        <w:t xml:space="preserve">, </w:t>
      </w:r>
      <w:r>
        <w:rPr>
          <w:rStyle w:val="sb8d990e2"/>
        </w:rPr>
        <w:t>cited above).</w:t>
      </w:r>
    </w:p>
    <w:p w:rsidR="00FA0835" w:rsidP="00FA0835" w:rsidRDefault="00FA0835">
      <w:pPr>
        <w:pStyle w:val="JuHa0"/>
        <w:rPr>
          <w:rStyle w:val="sb8d990e2"/>
        </w:rPr>
      </w:pPr>
      <w:r w:rsidRPr="00961CBE">
        <w:t>(b)  Application to the present case</w:t>
      </w:r>
    </w:p>
    <w:p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231</w:t>
      </w:r>
      <w:r>
        <w:rPr>
          <w:rStyle w:val="sb8d990e2"/>
        </w:rPr>
        <w:fldChar w:fldCharType="end"/>
      </w:r>
      <w:r>
        <w:rPr>
          <w:rStyle w:val="sb8d990e2"/>
        </w:rPr>
        <w:t xml:space="preserve">.  In the present case on 11 June 2010 the applicant, along with the other protesters, was taken to </w:t>
      </w:r>
      <w:r w:rsidRPr="00FC33E8">
        <w:rPr>
          <w:rStyle w:val="sb8d990e2"/>
        </w:rPr>
        <w:t xml:space="preserve">the </w:t>
      </w:r>
      <w:r>
        <w:rPr>
          <w:rStyle w:val="sf6541cea"/>
        </w:rPr>
        <w:t>ERU</w:t>
      </w:r>
      <w:r w:rsidRPr="00FC33E8">
        <w:rPr>
          <w:rStyle w:val="sf6541cea"/>
        </w:rPr>
        <w:t xml:space="preserve"> headquarters</w:t>
      </w:r>
      <w:r>
        <w:rPr>
          <w:rStyle w:val="sf6541cea"/>
        </w:rPr>
        <w:t xml:space="preserve"> and kept there for identification purposes. His detention continued on the basis of deportation and detention orders issued on the same day which remained in force until 20 August 2010. New orders were then issued on </w:t>
      </w:r>
      <w:r>
        <w:t>the latter date, changing the grounds for the applicant</w:t>
      </w:r>
      <w:r w:rsidR="00A7319E">
        <w:t>’</w:t>
      </w:r>
      <w:r>
        <w:t>s detention.</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232</w:t>
      </w:r>
      <w:r>
        <w:rPr>
          <w:rStyle w:val="sb8d990e2"/>
        </w:rPr>
        <w:fldChar w:fldCharType="end"/>
      </w:r>
      <w:r>
        <w:rPr>
          <w:rStyle w:val="sb8d990e2"/>
        </w:rPr>
        <w:t>. In view of the above, the Court considers that the applicant</w:t>
      </w:r>
      <w:r w:rsidR="00A7319E">
        <w:rPr>
          <w:rStyle w:val="sb8d990e2"/>
        </w:rPr>
        <w:t>’</w:t>
      </w:r>
      <w:r>
        <w:rPr>
          <w:rStyle w:val="sb8d990e2"/>
        </w:rPr>
        <w:t>s complaint under this provision is twofold.</w:t>
      </w:r>
    </w:p>
    <w:p w:rsidRPr="005F725D" w:rsidR="00FA0835" w:rsidP="00FA0835" w:rsidRDefault="00FA0835">
      <w:pPr>
        <w:pStyle w:val="JuPara"/>
        <w:rPr>
          <w:rStyle w:val="sb8d990e2"/>
          <w:highlight w:val="yellow"/>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233</w:t>
      </w:r>
      <w:r>
        <w:rPr>
          <w:rStyle w:val="sb8d990e2"/>
        </w:rPr>
        <w:fldChar w:fldCharType="end"/>
      </w:r>
      <w:r>
        <w:rPr>
          <w:rStyle w:val="sb8d990e2"/>
        </w:rPr>
        <w:t xml:space="preserve">.  First of all, the Court has to examine whether the applicant was informed of the reasons for his detention on 11 June 2010. In this respect, the Court notes that the parties differ as to the exact date when the applicant found out about the reasons for his detention. On the one hand, the applicant claimed that he had not been informed </w:t>
      </w:r>
      <w:r w:rsidRPr="00BA120E">
        <w:rPr>
          <w:rStyle w:val="sb8d990e2"/>
        </w:rPr>
        <w:t>orally of the</w:t>
      </w:r>
      <w:r>
        <w:rPr>
          <w:rStyle w:val="sb8d990e2"/>
        </w:rPr>
        <w:t xml:space="preserve"> grounds for his arrest and detention until 14 June 2010, that is, after more than seventy-two hours. He also stated in that connection that he had not received any information in writing. According to the Government, on the other hand, the applicant had </w:t>
      </w:r>
      <w:r w:rsidRPr="00BA120E">
        <w:rPr>
          <w:rStyle w:val="sb8d990e2"/>
        </w:rPr>
        <w:t>been informed</w:t>
      </w:r>
      <w:r>
        <w:rPr>
          <w:rStyle w:val="sb8d990e2"/>
        </w:rPr>
        <w:t xml:space="preserve"> </w:t>
      </w:r>
      <w:r w:rsidRPr="00BA120E">
        <w:rPr>
          <w:rStyle w:val="sb8d990e2"/>
        </w:rPr>
        <w:t>orally</w:t>
      </w:r>
      <w:r>
        <w:rPr>
          <w:rStyle w:val="sb8d990e2"/>
        </w:rPr>
        <w:t xml:space="preserve"> on 11 June 2010, once his identity had been checked, of the grounds for his arrest and detention as well as the fact that he was facing imminent deportation. They also claimed that</w:t>
      </w:r>
      <w:r w:rsidRPr="00843425">
        <w:rPr>
          <w:rStyle w:val="sb8d990e2"/>
        </w:rPr>
        <w:t xml:space="preserve"> </w:t>
      </w:r>
      <w:r>
        <w:rPr>
          <w:rStyle w:val="sb8d990e2"/>
        </w:rPr>
        <w:t xml:space="preserve">in any event, these grounds must have become apparent to him during the identification procedure. As to the written reasons, they stated that </w:t>
      </w:r>
      <w:r w:rsidRPr="00563586">
        <w:rPr>
          <w:rStyle w:val="sb8d990e2"/>
        </w:rPr>
        <w:t>attempts had also</w:t>
      </w:r>
      <w:r>
        <w:rPr>
          <w:rStyle w:val="sb8d990e2"/>
        </w:rPr>
        <w:t xml:space="preserve"> been</w:t>
      </w:r>
      <w:r w:rsidRPr="00563586">
        <w:rPr>
          <w:rStyle w:val="sb8d990e2"/>
        </w:rPr>
        <w:t xml:space="preserve"> made to serve the applicant with the </w:t>
      </w:r>
      <w:r>
        <w:rPr>
          <w:rStyle w:val="sb8d990e2"/>
        </w:rPr>
        <w:t>relevant letter.</w:t>
      </w:r>
    </w:p>
    <w:p w:rsidR="00FA0835" w:rsidP="00FA0835" w:rsidRDefault="00FA0835">
      <w:pPr>
        <w:pStyle w:val="JuPara"/>
        <w:rPr>
          <w:rStyle w:val="sb8d990e2"/>
        </w:rPr>
      </w:pPr>
      <w:r w:rsidRPr="002B5BEB">
        <w:rPr>
          <w:rStyle w:val="sb8d990e2"/>
        </w:rPr>
        <w:fldChar w:fldCharType="begin"/>
      </w:r>
      <w:r w:rsidRPr="002B5BEB">
        <w:rPr>
          <w:rStyle w:val="sb8d990e2"/>
        </w:rPr>
        <w:instrText xml:space="preserve"> SEQ level0 \*arabic </w:instrText>
      </w:r>
      <w:r w:rsidRPr="002B5BEB">
        <w:rPr>
          <w:rStyle w:val="sb8d990e2"/>
        </w:rPr>
        <w:fldChar w:fldCharType="separate"/>
      </w:r>
      <w:r w:rsidR="00C5470A">
        <w:rPr>
          <w:rStyle w:val="sb8d990e2"/>
          <w:noProof/>
        </w:rPr>
        <w:t>234</w:t>
      </w:r>
      <w:r w:rsidRPr="002B5BEB">
        <w:rPr>
          <w:rStyle w:val="sb8d990e2"/>
        </w:rPr>
        <w:fldChar w:fldCharType="end"/>
      </w:r>
      <w:r w:rsidRPr="002B5BEB">
        <w:rPr>
          <w:rStyle w:val="sb8d990e2"/>
        </w:rPr>
        <w:t xml:space="preserve">.  The Court observes that upon his transfer to </w:t>
      </w:r>
      <w:r>
        <w:rPr>
          <w:rStyle w:val="sb8d990e2"/>
        </w:rPr>
        <w:t xml:space="preserve">the </w:t>
      </w:r>
      <w:r w:rsidRPr="002B5BEB">
        <w:rPr>
          <w:rStyle w:val="sb8d990e2"/>
        </w:rPr>
        <w:t xml:space="preserve">ERU headquarters the applicant, along with the rest of the protesters, </w:t>
      </w:r>
      <w:r>
        <w:rPr>
          <w:rStyle w:val="sb8d990e2"/>
        </w:rPr>
        <w:t>underwent</w:t>
      </w:r>
      <w:r w:rsidRPr="002B5BEB">
        <w:rPr>
          <w:rStyle w:val="sb8d990e2"/>
        </w:rPr>
        <w:t xml:space="preserve"> an identification procedure which </w:t>
      </w:r>
      <w:r>
        <w:rPr>
          <w:rStyle w:val="sb8d990e2"/>
        </w:rPr>
        <w:t xml:space="preserve">was </w:t>
      </w:r>
      <w:r w:rsidRPr="002B5BEB">
        <w:rPr>
          <w:rStyle w:val="sb8d990e2"/>
        </w:rPr>
        <w:t xml:space="preserve">aimed at ascertaining </w:t>
      </w:r>
      <w:r>
        <w:rPr>
          <w:rStyle w:val="sb8d990e2"/>
        </w:rPr>
        <w:t>whether any of them were</w:t>
      </w:r>
      <w:r w:rsidRPr="002B5BEB">
        <w:rPr>
          <w:rStyle w:val="sb8d990e2"/>
        </w:rPr>
        <w:t xml:space="preserve"> staying in Cyprus unlawfully. The Court has no reason to doubt, in the circumstances, that the applicant was informed at the time that he had been arrested on the ground of unlawful </w:t>
      </w:r>
      <w:r w:rsidRPr="00B75F4E">
        <w:rPr>
          <w:rStyle w:val="sb8d990e2"/>
        </w:rPr>
        <w:t>stay or that he at least understood,</w:t>
      </w:r>
      <w:r w:rsidRPr="002B5BEB">
        <w:rPr>
          <w:rStyle w:val="sb8d990e2"/>
        </w:rPr>
        <w:t xml:space="preserve"> bearing in mind the nature of the identification process, that the reason for his arrest and detention related to</w:t>
      </w:r>
      <w:r>
        <w:rPr>
          <w:rStyle w:val="sb8d990e2"/>
        </w:rPr>
        <w:t xml:space="preserve"> his</w:t>
      </w:r>
      <w:r w:rsidRPr="002B5BEB">
        <w:rPr>
          <w:rStyle w:val="sb8d990e2"/>
        </w:rPr>
        <w:t xml:space="preserve"> immigration status. In this connection, the Court notes that the applicant filed a Rule 39 request, along with a number of other protesters, the very next day, seeking the </w:t>
      </w:r>
      <w:r w:rsidRPr="002B5BEB">
        <w:rPr>
          <w:rStyle w:val="wordhighlighted"/>
        </w:rPr>
        <w:t>suspension of their deportation</w:t>
      </w:r>
      <w:r w:rsidRPr="002B5BEB">
        <w:rPr>
          <w:rStyle w:val="sb8d990e2"/>
        </w:rPr>
        <w:t>. A reading of this request indicates that they were all aware of the fact that they were detained for the purpose of deportation.</w:t>
      </w:r>
    </w:p>
    <w:p w:rsidR="00FA0835" w:rsidP="00FA0835" w:rsidRDefault="00FA0835">
      <w:pPr>
        <w:pStyle w:val="JuPara"/>
        <w:rPr>
          <w:rStyle w:val="sb8d990e2"/>
        </w:rPr>
      </w:pPr>
      <w:r w:rsidRPr="002B5BEB">
        <w:rPr>
          <w:rStyle w:val="sb8d990e2"/>
        </w:rPr>
        <w:fldChar w:fldCharType="begin"/>
      </w:r>
      <w:r w:rsidRPr="002B5BEB">
        <w:rPr>
          <w:rStyle w:val="sb8d990e2"/>
        </w:rPr>
        <w:instrText xml:space="preserve"> SEQ level0 \*arabic </w:instrText>
      </w:r>
      <w:r w:rsidRPr="002B5BEB">
        <w:rPr>
          <w:rStyle w:val="sb8d990e2"/>
        </w:rPr>
        <w:fldChar w:fldCharType="separate"/>
      </w:r>
      <w:r w:rsidR="00C5470A">
        <w:rPr>
          <w:rStyle w:val="sb8d990e2"/>
          <w:noProof/>
        </w:rPr>
        <w:t>235</w:t>
      </w:r>
      <w:r w:rsidRPr="002B5BEB">
        <w:rPr>
          <w:rStyle w:val="sb8d990e2"/>
        </w:rPr>
        <w:fldChar w:fldCharType="end"/>
      </w:r>
      <w:r w:rsidRPr="002B5BEB">
        <w:rPr>
          <w:rStyle w:val="sb8d990e2"/>
        </w:rPr>
        <w:t>.  The foregoing considerations are sufficient to enable the Court to</w:t>
      </w:r>
      <w:r>
        <w:rPr>
          <w:rStyle w:val="sb8d990e2"/>
        </w:rPr>
        <w:t xml:space="preserve"> conclude that</w:t>
      </w:r>
      <w:r w:rsidRPr="00C656B7">
        <w:rPr>
          <w:rStyle w:val="sb8d990e2"/>
        </w:rPr>
        <w:t xml:space="preserve"> </w:t>
      </w:r>
      <w:r>
        <w:rPr>
          <w:rStyle w:val="sb8d990e2"/>
        </w:rPr>
        <w:t>the requirements of Article 5 § 2 of the Convention were complied with.</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236</w:t>
      </w:r>
      <w:r>
        <w:rPr>
          <w:rStyle w:val="sb8d990e2"/>
        </w:rPr>
        <w:fldChar w:fldCharType="end"/>
      </w:r>
      <w:r>
        <w:rPr>
          <w:rStyle w:val="sb8d990e2"/>
        </w:rPr>
        <w:t>.  There has accordingly been no violation of this provision as regards the first part of the applicant</w:t>
      </w:r>
      <w:r w:rsidR="00A7319E">
        <w:rPr>
          <w:rStyle w:val="sb8d990e2"/>
        </w:rPr>
        <w:t>’</w:t>
      </w:r>
      <w:r>
        <w:rPr>
          <w:rStyle w:val="sb8d990e2"/>
        </w:rPr>
        <w:t>s complaint.</w:t>
      </w:r>
    </w:p>
    <w:p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237</w:t>
      </w:r>
      <w:r>
        <w:rPr>
          <w:rStyle w:val="sb8d990e2"/>
        </w:rPr>
        <w:fldChar w:fldCharType="end"/>
      </w:r>
      <w:r>
        <w:rPr>
          <w:rStyle w:val="sb8d990e2"/>
        </w:rPr>
        <w:t xml:space="preserve">.  The second issue under this provision </w:t>
      </w:r>
      <w:r w:rsidRPr="008708E8">
        <w:rPr>
          <w:rStyle w:val="sb8d990e2"/>
        </w:rPr>
        <w:t xml:space="preserve">concerns </w:t>
      </w:r>
      <w:r>
        <w:rPr>
          <w:rStyle w:val="sb8d990e2"/>
        </w:rPr>
        <w:t xml:space="preserve">the notification of the applicant of the new grounds for his detention </w:t>
      </w:r>
      <w:r w:rsidRPr="008708E8">
        <w:rPr>
          <w:rStyle w:val="sb8d990e2"/>
        </w:rPr>
        <w:t>on 20 August 2010</w:t>
      </w:r>
      <w:r>
        <w:rPr>
          <w:rStyle w:val="sb8d990e2"/>
        </w:rPr>
        <w:t xml:space="preserve">. </w:t>
      </w:r>
      <w:r>
        <w:t>However, h</w:t>
      </w:r>
      <w:r w:rsidRPr="0011250F">
        <w:t>aving regard to its finding</w:t>
      </w:r>
      <w:r>
        <w:t>s</w:t>
      </w:r>
      <w:r w:rsidRPr="0011250F">
        <w:t xml:space="preserve"> under Article </w:t>
      </w:r>
      <w:r>
        <w:t>5 § 1 of the Convention pertaining to the applicant</w:t>
      </w:r>
      <w:r w:rsidR="00A7319E">
        <w:t>’</w:t>
      </w:r>
      <w:r>
        <w:t xml:space="preserve">s detention on this </w:t>
      </w:r>
      <w:r w:rsidRPr="005F725D">
        <w:t xml:space="preserve">new basis (see </w:t>
      </w:r>
      <w:r w:rsidRPr="00BF010E">
        <w:t>paragraphs 2</w:t>
      </w:r>
      <w:r>
        <w:t>11-216</w:t>
      </w:r>
      <w:r w:rsidRPr="005F725D">
        <w:t xml:space="preserve"> above),</w:t>
      </w:r>
      <w:r w:rsidRPr="0011250F">
        <w:t xml:space="preserve"> the Court </w:t>
      </w:r>
      <w:r>
        <w:t>considers that it is not necessary to examine</w:t>
      </w:r>
      <w:r w:rsidRPr="001C189F">
        <w:rPr>
          <w:rStyle w:val="OpiHA"/>
        </w:rPr>
        <w:t xml:space="preserve"> </w:t>
      </w:r>
      <w:r>
        <w:rPr>
          <w:rStyle w:val="sb8d990e2"/>
        </w:rPr>
        <w:t xml:space="preserve">this part of the case under Article </w:t>
      </w:r>
      <w:r w:rsidRPr="00EB679B">
        <w:t xml:space="preserve">5 § 2 </w:t>
      </w:r>
      <w:r w:rsidRPr="00EB679B">
        <w:rPr>
          <w:rStyle w:val="sb8d990e2"/>
        </w:rPr>
        <w:t>as well.</w:t>
      </w:r>
    </w:p>
    <w:p w:rsidRPr="0011250F" w:rsidR="00FA0835" w:rsidP="00FA0835" w:rsidRDefault="00FA0835">
      <w:pPr>
        <w:pStyle w:val="JuHIRoman"/>
      </w:pPr>
      <w:r w:rsidRPr="003B1F6B">
        <w:t xml:space="preserve">VI.  ALLEGED VIOLATION OF ARTICLE 4 OF </w:t>
      </w:r>
      <w:r w:rsidRPr="009F24C3">
        <w:t xml:space="preserve">PROTOCOL </w:t>
      </w:r>
      <w:r w:rsidRPr="001A07AE">
        <w:t>N</w:t>
      </w:r>
      <w:r>
        <w:t>O</w:t>
      </w:r>
      <w:r w:rsidRPr="001A07AE">
        <w:t>. 4 TO</w:t>
      </w:r>
      <w:r w:rsidRPr="009F24C3">
        <w:t xml:space="preserve"> THE CONVENTION</w:t>
      </w:r>
    </w:p>
    <w:p w:rsidR="00FA0835" w:rsidP="00FA0835" w:rsidRDefault="00FA0835">
      <w:pPr>
        <w:pStyle w:val="JuPara"/>
      </w:pPr>
      <w:r w:rsidRPr="009F24C3">
        <w:fldChar w:fldCharType="begin"/>
      </w:r>
      <w:r w:rsidRPr="009F24C3">
        <w:instrText xml:space="preserve"> SEQ level0 \*arabic </w:instrText>
      </w:r>
      <w:r w:rsidRPr="009F24C3">
        <w:fldChar w:fldCharType="separate"/>
      </w:r>
      <w:r w:rsidR="00C5470A">
        <w:rPr>
          <w:noProof/>
        </w:rPr>
        <w:t>238</w:t>
      </w:r>
      <w:r w:rsidRPr="009F24C3">
        <w:fldChar w:fldCharType="end"/>
      </w:r>
      <w:r w:rsidRPr="009F24C3">
        <w:t xml:space="preserve">.  Lastly, the applicant complained of a violation of Article 4 of </w:t>
      </w:r>
      <w:r w:rsidRPr="00D5737C">
        <w:t xml:space="preserve">Protocol No. 4 in that the authorities were going to deport him </w:t>
      </w:r>
      <w:r>
        <w:t xml:space="preserve">and others </w:t>
      </w:r>
      <w:r w:rsidRPr="00D5737C">
        <w:t>collectively without having carried out an individual assessment and examination of his case. This provision provides as follows:</w:t>
      </w:r>
    </w:p>
    <w:p w:rsidR="00FA0835" w:rsidP="00FA0835" w:rsidRDefault="00FA0835">
      <w:pPr>
        <w:pStyle w:val="JuQuot"/>
      </w:pPr>
      <w:r>
        <w:t>“Collective expulsion of aliens is prohibited.”</w:t>
      </w:r>
    </w:p>
    <w:p w:rsidR="00FA0835" w:rsidP="00FA0835" w:rsidRDefault="00FA0835">
      <w:pPr>
        <w:pStyle w:val="JuHA"/>
        <w:ind w:hanging="442"/>
      </w:pPr>
      <w:r>
        <w:t>A.</w:t>
      </w:r>
      <w:r w:rsidRPr="00EC6F2A">
        <w:t>  </w:t>
      </w:r>
      <w:r>
        <w:t>Admissibility</w:t>
      </w:r>
    </w:p>
    <w:p w:rsidRPr="005F2FEE" w:rsidR="00FA0835" w:rsidP="00FA0835" w:rsidRDefault="00FA0835">
      <w:pPr>
        <w:pStyle w:val="JuPara"/>
      </w:pPr>
      <w:r w:rsidRPr="0082023A">
        <w:fldChar w:fldCharType="begin"/>
      </w:r>
      <w:r w:rsidRPr="0082023A">
        <w:instrText xml:space="preserve"> SEQ level0 \*arabic </w:instrText>
      </w:r>
      <w:r w:rsidRPr="0082023A">
        <w:fldChar w:fldCharType="separate"/>
      </w:r>
      <w:r w:rsidR="00C5470A">
        <w:rPr>
          <w:noProof/>
        </w:rPr>
        <w:t>239</w:t>
      </w:r>
      <w:r w:rsidRPr="0082023A">
        <w:fldChar w:fldCharType="end"/>
      </w:r>
      <w:r w:rsidRPr="0082023A">
        <w:t>.  </w:t>
      </w:r>
      <w:r w:rsidRPr="0082023A">
        <w:rPr>
          <w:rStyle w:val="sb8d990e2"/>
        </w:rPr>
        <w:t>The Court notes that this complaint is not manifestly ill-founded within the meaning of Article 35 § 3 (a) of the Convention. It further notes that it is not inadmissible on any other grounds. It must therefore be declared admissible.</w:t>
      </w:r>
    </w:p>
    <w:p w:rsidR="00FA0835" w:rsidP="00FA0835" w:rsidRDefault="00FA0835">
      <w:pPr>
        <w:pStyle w:val="JuHA"/>
        <w:ind w:left="142" w:firstLine="0"/>
      </w:pPr>
      <w:r>
        <w:t>B.</w:t>
      </w:r>
      <w:r w:rsidRPr="00EC6F2A">
        <w:t>  </w:t>
      </w:r>
      <w:r>
        <w:t>Merits</w:t>
      </w:r>
    </w:p>
    <w:p w:rsidRPr="009F24C3" w:rsidR="00FA0835" w:rsidP="00FA0835" w:rsidRDefault="00FA0835">
      <w:pPr>
        <w:pStyle w:val="JuH1"/>
      </w:pPr>
      <w:r>
        <w:t>1.  The parties</w:t>
      </w:r>
      <w:r w:rsidR="00A7319E">
        <w:t>’</w:t>
      </w:r>
      <w:r>
        <w:t xml:space="preserve"> submissions</w:t>
      </w:r>
    </w:p>
    <w:p w:rsidR="00FA0835" w:rsidP="00FA0835" w:rsidRDefault="00FA0835">
      <w:pPr>
        <w:pStyle w:val="JuHa0"/>
      </w:pPr>
      <w:r w:rsidRPr="009F24C3">
        <w:t>(a)  The applicant</w:t>
      </w:r>
    </w:p>
    <w:p w:rsidR="00FA0835" w:rsidP="00FA0835" w:rsidRDefault="00FA0835">
      <w:pPr>
        <w:pStyle w:val="JuPara"/>
        <w:rPr>
          <w:rStyle w:val="sb8d990e2"/>
        </w:rPr>
      </w:pPr>
      <w:r>
        <w:fldChar w:fldCharType="begin"/>
      </w:r>
      <w:r>
        <w:instrText xml:space="preserve"> SEQ level0 \*arabic </w:instrText>
      </w:r>
      <w:r>
        <w:fldChar w:fldCharType="separate"/>
      </w:r>
      <w:r w:rsidR="00C5470A">
        <w:rPr>
          <w:noProof/>
        </w:rPr>
        <w:t>240</w:t>
      </w:r>
      <w:r>
        <w:fldChar w:fldCharType="end"/>
      </w:r>
      <w:r>
        <w:t>.  </w:t>
      </w:r>
      <w:r>
        <w:rPr>
          <w:rStyle w:val="sb8d990e2"/>
        </w:rPr>
        <w:t xml:space="preserve">The applicant, relying on the </w:t>
      </w:r>
      <w:r w:rsidRPr="00603A89">
        <w:rPr>
          <w:i/>
          <w:lang w:eastAsia="en-US"/>
        </w:rPr>
        <w:t>Čonka</w:t>
      </w:r>
      <w:r>
        <w:rPr>
          <w:rStyle w:val="sb8d990e2"/>
        </w:rPr>
        <w:t xml:space="preserve"> judgment (cited above), submitted that he had been the subject of a collective expulsion operation. In his view, the intention of the authorities had been to deal with a group of individuals, namely Syrian Kurds, collectively. This had been evident from all the circumstances of the case. </w:t>
      </w:r>
      <w:r w:rsidRPr="00937160">
        <w:rPr>
          <w:rStyle w:val="sb8d990e2"/>
        </w:rPr>
        <w:t xml:space="preserve">The </w:t>
      </w:r>
      <w:r>
        <w:rPr>
          <w:rStyle w:val="sb8d990e2"/>
        </w:rPr>
        <w:t xml:space="preserve">relevant meetings that had been held by the authorities concerned the handling of the situation of </w:t>
      </w:r>
      <w:r w:rsidRPr="00D5737C">
        <w:rPr>
          <w:rStyle w:val="sb8d990e2"/>
        </w:rPr>
        <w:t>Syrian Kurdish failed asylum</w:t>
      </w:r>
      <w:r>
        <w:rPr>
          <w:rStyle w:val="sb8d990e2"/>
        </w:rPr>
        <w:t>-</w:t>
      </w:r>
      <w:r w:rsidRPr="00D5737C">
        <w:rPr>
          <w:rStyle w:val="sb8d990e2"/>
        </w:rPr>
        <w:t xml:space="preserve">seekers. The Minister of the Interior had </w:t>
      </w:r>
      <w:r>
        <w:rPr>
          <w:rStyle w:val="sb8d990e2"/>
        </w:rPr>
        <w:t xml:space="preserve">given instructions to proceed with the deportation of Syrian Kurdish failed asylum-seekers with the exception of those who were Ajanib or Mahtoumeen. </w:t>
      </w:r>
      <w:r w:rsidRPr="00937160">
        <w:rPr>
          <w:rStyle w:val="sb8d990e2"/>
        </w:rPr>
        <w:t>The police had been instructed to use discreet</w:t>
      </w:r>
      <w:r>
        <w:rPr>
          <w:rStyle w:val="sb8d990e2"/>
        </w:rPr>
        <w:t xml:space="preserve"> methods of arrest and execute the deportation orders starting with the leaders of the protest. As a result, the police had carried out an operation on 11 June 2010 against the whole group of protesters, including women and children. According to the Government only those whose asylum applications had still been pending were released. The rest had been kept in detention pending deportation. </w:t>
      </w:r>
      <w:r>
        <w:t xml:space="preserve">However, in reality, </w:t>
      </w:r>
      <w:r>
        <w:rPr>
          <w:rStyle w:val="sb8d990e2"/>
        </w:rPr>
        <w:t xml:space="preserve">the asylum procedure had not been completed for the applicant as well as a number of other protesters whom the Government had intended to deport. If it had not been for the application of Rule 39 by the Court they would all have been deported. In fact, some of the protesters </w:t>
      </w:r>
      <w:r w:rsidRPr="00937160">
        <w:rPr>
          <w:rStyle w:val="sb8d990e2"/>
        </w:rPr>
        <w:t xml:space="preserve">had been released by the authorities following the application of Rule 39 and </w:t>
      </w:r>
      <w:r>
        <w:rPr>
          <w:rStyle w:val="sb8d990e2"/>
        </w:rPr>
        <w:t xml:space="preserve">had had </w:t>
      </w:r>
      <w:r w:rsidRPr="00937160">
        <w:rPr>
          <w:rStyle w:val="sb8d990e2"/>
        </w:rPr>
        <w:t xml:space="preserve">their deportation </w:t>
      </w:r>
      <w:r>
        <w:rPr>
          <w:rStyle w:val="sb8d990e2"/>
        </w:rPr>
        <w:t xml:space="preserve">orders </w:t>
      </w:r>
      <w:r w:rsidRPr="00937160">
        <w:rPr>
          <w:rStyle w:val="sb8d990e2"/>
        </w:rPr>
        <w:t>annulled.</w:t>
      </w:r>
      <w:r>
        <w:rPr>
          <w:rStyle w:val="sb8d990e2"/>
        </w:rPr>
        <w:t xml:space="preserve"> The applicant also noted that the authorities had issued deportation orders against stateless Syrian Kurds and that some of the asylum-seekers concerned had had their asylum applications dismissed purely on procedural grounds without having benefited from an examination of the merits of their claim.</w:t>
      </w:r>
    </w:p>
    <w:p w:rsidR="00FA0835" w:rsidP="00FA0835" w:rsidRDefault="00FA0835">
      <w:pPr>
        <w:pStyle w:val="JuPara"/>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241</w:t>
      </w:r>
      <w:r>
        <w:rPr>
          <w:rStyle w:val="sb8d990e2"/>
        </w:rPr>
        <w:fldChar w:fldCharType="end"/>
      </w:r>
      <w:r>
        <w:rPr>
          <w:rStyle w:val="sb8d990e2"/>
        </w:rPr>
        <w:t>.  The applicant further pointed out that everyone had been arrested at the same time and had been informed orally of the same thing, namely, that they would be deported</w:t>
      </w:r>
      <w:r w:rsidRPr="00A90BB7">
        <w:rPr>
          <w:rStyle w:val="sb8d990e2"/>
        </w:rPr>
        <w:t xml:space="preserve">. The letters prepared by the authorities had been couched in identical terms and had </w:t>
      </w:r>
      <w:r>
        <w:rPr>
          <w:rStyle w:val="sb8d990e2"/>
        </w:rPr>
        <w:t>therefore just been a formality. The same could be said for a number of the</w:t>
      </w:r>
      <w:r w:rsidRPr="00A90BB7">
        <w:rPr>
          <w:rStyle w:val="sb8d990e2"/>
        </w:rPr>
        <w:t xml:space="preserve"> letters </w:t>
      </w:r>
      <w:r>
        <w:rPr>
          <w:rStyle w:val="sb8d990e2"/>
        </w:rPr>
        <w:t xml:space="preserve">sent, </w:t>
      </w:r>
      <w:r w:rsidRPr="00A90BB7">
        <w:rPr>
          <w:rStyle w:val="sb8d990e2"/>
        </w:rPr>
        <w:t xml:space="preserve">requesting </w:t>
      </w:r>
      <w:r w:rsidRPr="00A90BB7">
        <w:t xml:space="preserve">the </w:t>
      </w:r>
      <w:r>
        <w:t>individuals</w:t>
      </w:r>
      <w:r w:rsidRPr="00A90BB7">
        <w:t xml:space="preserve"> concerned to make arrangements to depart from Cyprus</w:t>
      </w:r>
      <w:r>
        <w:t>,</w:t>
      </w:r>
      <w:r w:rsidRPr="00A90BB7">
        <w:t xml:space="preserve"> </w:t>
      </w:r>
      <w:r>
        <w:t xml:space="preserve">as they had been </w:t>
      </w:r>
      <w:r w:rsidRPr="00A90BB7">
        <w:t xml:space="preserve">issued just before the operation was carried out </w:t>
      </w:r>
      <w:r>
        <w:t>o</w:t>
      </w:r>
      <w:r w:rsidRPr="00A90BB7">
        <w:t xml:space="preserve">r </w:t>
      </w:r>
      <w:r>
        <w:t>just after and, in on</w:t>
      </w:r>
      <w:r w:rsidRPr="00A90BB7">
        <w:t>e case</w:t>
      </w:r>
      <w:r>
        <w:t>,</w:t>
      </w:r>
      <w:r w:rsidRPr="00A90BB7">
        <w:t xml:space="preserve"> </w:t>
      </w:r>
      <w:r w:rsidRPr="00D5737C">
        <w:t>even after the person in question had been sent</w:t>
      </w:r>
      <w:r>
        <w:t xml:space="preserve"> back to Syria.</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242</w:t>
      </w:r>
      <w:r>
        <w:rPr>
          <w:rStyle w:val="sb8d990e2"/>
        </w:rPr>
        <w:fldChar w:fldCharType="end"/>
      </w:r>
      <w:r>
        <w:rPr>
          <w:rStyle w:val="sb8d990e2"/>
        </w:rPr>
        <w:t>.  Consequently, it could not be said in the circumstances that an individual examination of each case had taken place. The applicant submitted therefore that all the elements indicated that the authorities had carried out a collective expulsion operation in violation of Article 4 of Protocol No. 4.</w:t>
      </w:r>
    </w:p>
    <w:p w:rsidR="00FA0835" w:rsidP="00FA0835" w:rsidRDefault="00FA0835">
      <w:pPr>
        <w:pStyle w:val="JuHa0"/>
      </w:pPr>
      <w:r>
        <w:t>(b</w:t>
      </w:r>
      <w:r w:rsidRPr="009F24C3">
        <w:t>)  </w:t>
      </w:r>
      <w:r w:rsidRPr="006725CB">
        <w:t xml:space="preserve">The </w:t>
      </w:r>
      <w:r>
        <w:t>Government</w:t>
      </w:r>
    </w:p>
    <w:p w:rsidR="00FA0835" w:rsidP="00FA0835" w:rsidRDefault="00FA0835">
      <w:pPr>
        <w:pStyle w:val="JuPara"/>
      </w:pPr>
      <w:r>
        <w:fldChar w:fldCharType="begin"/>
      </w:r>
      <w:r>
        <w:instrText xml:space="preserve"> SEQ level0 \*arabic </w:instrText>
      </w:r>
      <w:r>
        <w:fldChar w:fldCharType="separate"/>
      </w:r>
      <w:r w:rsidR="00C5470A">
        <w:rPr>
          <w:noProof/>
        </w:rPr>
        <w:t>243</w:t>
      </w:r>
      <w:r>
        <w:fldChar w:fldCharType="end"/>
      </w:r>
      <w:r>
        <w:t xml:space="preserve">.  The Government submitted that the authorities had carried out a detailed individual examination of the immigration status of all the protesters in order to ascertain whether or not they were staying in the </w:t>
      </w:r>
      <w:r w:rsidRPr="006C72CD">
        <w:t>Republic</w:t>
      </w:r>
      <w:r w:rsidRPr="0008173E">
        <w:t xml:space="preserve"> </w:t>
      </w:r>
      <w:r>
        <w:t>unlawfully</w:t>
      </w:r>
      <w:r w:rsidRPr="006C72CD">
        <w:t xml:space="preserve">. Letters proposing detention and deportation </w:t>
      </w:r>
      <w:r>
        <w:t>had been</w:t>
      </w:r>
      <w:r w:rsidRPr="006C72CD">
        <w:t xml:space="preserve"> issued on the same day and</w:t>
      </w:r>
      <w:r>
        <w:t xml:space="preserve"> separate deportation and detention orders had then been issued against each person. Although </w:t>
      </w:r>
      <w:r w:rsidRPr="00474F17">
        <w:t xml:space="preserve">the instructions </w:t>
      </w:r>
      <w:r>
        <w:t xml:space="preserve">given by the Minister of the Interior to the authorities had been that the deportation of Kurdish failed asylum-seekers from Syria should go ahead in </w:t>
      </w:r>
      <w:r w:rsidRPr="00196541">
        <w:t>the normal way, these instructions could not have been enforced</w:t>
      </w:r>
      <w:r>
        <w:t xml:space="preserve"> without the issuing of deportation and detention orders. The latter had been issued on the ground of unlawful stay and not on the basis of the aforementioned instructions. The authorities had already been searching for a number of people who were among the protesters and had been staying in Cyprus</w:t>
      </w:r>
      <w:r w:rsidRPr="0008173E">
        <w:t xml:space="preserve"> </w:t>
      </w:r>
      <w:r>
        <w:t>unlawfully. Some of them had already been asked to leave the country following the rejection of their asylum applications.</w:t>
      </w:r>
    </w:p>
    <w:p w:rsidR="00FA0835" w:rsidP="00FA0835" w:rsidRDefault="00FA0835">
      <w:pPr>
        <w:pStyle w:val="JuPara"/>
      </w:pPr>
      <w:r>
        <w:fldChar w:fldCharType="begin"/>
      </w:r>
      <w:r>
        <w:instrText xml:space="preserve"> SEQ level0 \*arabic </w:instrText>
      </w:r>
      <w:r>
        <w:fldChar w:fldCharType="separate"/>
      </w:r>
      <w:r w:rsidR="00C5470A">
        <w:rPr>
          <w:noProof/>
        </w:rPr>
        <w:t>244</w:t>
      </w:r>
      <w:r>
        <w:fldChar w:fldCharType="end"/>
      </w:r>
      <w:r>
        <w:t>.  The authorities would have therefore proceeded in any event to deport these individuals once traced, even if the Minister had not given the relevant instructions. The Government therefore maintained that it had acted in compliance with Article 4 of Protocol No. 4.</w:t>
      </w:r>
    </w:p>
    <w:p w:rsidR="00FA0835" w:rsidP="00FA0835" w:rsidRDefault="00FA0835">
      <w:pPr>
        <w:pStyle w:val="JuH1"/>
      </w:pPr>
      <w:r>
        <w:t>2.  The Court</w:t>
      </w:r>
      <w:r w:rsidR="00A7319E">
        <w:t>’</w:t>
      </w:r>
      <w:r>
        <w:t>s assessment</w:t>
      </w:r>
    </w:p>
    <w:p w:rsidRPr="00D6451B" w:rsidR="00FA0835" w:rsidP="00FA0835" w:rsidRDefault="00FA0835">
      <w:pPr>
        <w:pStyle w:val="JuHa0"/>
        <w:rPr>
          <w:rStyle w:val="JuParaChar"/>
          <w:sz w:val="20"/>
        </w:rPr>
      </w:pPr>
      <w:r w:rsidRPr="00D6451B">
        <w:rPr>
          <w:rStyle w:val="JuParaChar"/>
          <w:sz w:val="20"/>
        </w:rPr>
        <w:t>(a)</w:t>
      </w:r>
      <w:r w:rsidRPr="00D6451B">
        <w:t>  </w:t>
      </w:r>
      <w:r w:rsidRPr="00D6451B">
        <w:rPr>
          <w:rStyle w:val="JuParaChar"/>
          <w:sz w:val="20"/>
        </w:rPr>
        <w:t>General principles</w:t>
      </w:r>
    </w:p>
    <w:p w:rsidR="00FA0835" w:rsidP="00FA0835" w:rsidRDefault="00FA0835">
      <w:pPr>
        <w:suppressAutoHyphens w:val="0"/>
        <w:ind w:firstLine="284"/>
        <w:jc w:val="both"/>
        <w:rPr>
          <w:snapToGrid w:val="0"/>
          <w:szCs w:val="22"/>
          <w:lang w:eastAsia="en-US"/>
        </w:rPr>
      </w:pPr>
      <w:r>
        <w:fldChar w:fldCharType="begin"/>
      </w:r>
      <w:r>
        <w:instrText xml:space="preserve"> SEQ level0 \*arabic </w:instrText>
      </w:r>
      <w:r>
        <w:fldChar w:fldCharType="separate"/>
      </w:r>
      <w:r w:rsidR="00C5470A">
        <w:rPr>
          <w:noProof/>
        </w:rPr>
        <w:t>245</w:t>
      </w:r>
      <w:r>
        <w:fldChar w:fldCharType="end"/>
      </w:r>
      <w:r>
        <w:t>.  </w:t>
      </w:r>
      <w:r w:rsidRPr="00434080">
        <w:t>According to the well-established case</w:t>
      </w:r>
      <w:r w:rsidRPr="00434080">
        <w:noBreakHyphen/>
        <w:t xml:space="preserve">law of the Commission and the Court, </w:t>
      </w:r>
      <w:r w:rsidRPr="006540F5">
        <w:t>collective expulsion, within the meaning of Article 4 of Protocol No. 4, is to be understood as any measure</w:t>
      </w:r>
      <w:r>
        <w:t xml:space="preserve"> </w:t>
      </w:r>
      <w:r w:rsidRPr="006540F5">
        <w:t>of the competent authority compelling aliens</w:t>
      </w:r>
      <w:r>
        <w:t>,</w:t>
      </w:r>
      <w:r w:rsidRPr="006540F5">
        <w:t xml:space="preserve"> as a group</w:t>
      </w:r>
      <w:r>
        <w:t>,</w:t>
      </w:r>
      <w:r w:rsidRPr="006540F5">
        <w:t xml:space="preserve"> to leave the country, except where such a measure is taken on the basis of a reasonable and objective examination of the particular case of each individual alien </w:t>
      </w:r>
      <w:r>
        <w:t>in</w:t>
      </w:r>
      <w:r w:rsidRPr="006540F5">
        <w:t xml:space="preserve"> the group</w:t>
      </w:r>
      <w:r>
        <w:t xml:space="preserve"> (</w:t>
      </w:r>
      <w:r w:rsidRPr="00434080">
        <w:t xml:space="preserve">see, for example, </w:t>
      </w:r>
      <w:r w:rsidRPr="00434080">
        <w:rPr>
          <w:i/>
          <w:lang w:eastAsia="en-US"/>
        </w:rPr>
        <w:t>Hirsi Jamaa and Others</w:t>
      </w:r>
      <w:r>
        <w:rPr>
          <w:i/>
          <w:lang w:eastAsia="en-US"/>
        </w:rPr>
        <w:t xml:space="preserve"> </w:t>
      </w:r>
      <w:r w:rsidRPr="00434080">
        <w:rPr>
          <w:i/>
          <w:lang w:eastAsia="en-US"/>
        </w:rPr>
        <w:t>v.</w:t>
      </w:r>
      <w:r>
        <w:rPr>
          <w:i/>
          <w:lang w:eastAsia="en-US"/>
        </w:rPr>
        <w:t xml:space="preserve"> </w:t>
      </w:r>
      <w:r w:rsidRPr="00434080">
        <w:rPr>
          <w:i/>
          <w:lang w:eastAsia="en-US"/>
        </w:rPr>
        <w:t xml:space="preserve">Italy, </w:t>
      </w:r>
      <w:r w:rsidRPr="00434080">
        <w:rPr>
          <w:lang w:eastAsia="en-US"/>
        </w:rPr>
        <w:t xml:space="preserve">[GC], </w:t>
      </w:r>
      <w:r w:rsidRPr="00434080">
        <w:rPr>
          <w:szCs w:val="22"/>
          <w:lang w:eastAsia="en-US"/>
        </w:rPr>
        <w:t>no. 27765/09</w:t>
      </w:r>
      <w:r w:rsidRPr="00434080">
        <w:rPr>
          <w:snapToGrid w:val="0"/>
          <w:szCs w:val="24"/>
          <w:lang w:val="pt-BR" w:eastAsia="en-US"/>
        </w:rPr>
        <w:t xml:space="preserve">, §§ 166-167, </w:t>
      </w:r>
      <w:r w:rsidRPr="00434080">
        <w:rPr>
          <w:snapToGrid w:val="0"/>
          <w:szCs w:val="22"/>
          <w:lang w:eastAsia="en-US"/>
        </w:rPr>
        <w:t>ECHR 2012</w:t>
      </w:r>
      <w:r>
        <w:rPr>
          <w:snapToGrid w:val="0"/>
          <w:szCs w:val="22"/>
          <w:lang w:eastAsia="en-US"/>
        </w:rPr>
        <w:t>;</w:t>
      </w:r>
      <w:r w:rsidRPr="00434080">
        <w:rPr>
          <w:snapToGrid w:val="0"/>
          <w:szCs w:val="22"/>
          <w:lang w:eastAsia="en-US"/>
        </w:rPr>
        <w:t xml:space="preserve"> </w:t>
      </w:r>
      <w:r w:rsidRPr="00434080">
        <w:rPr>
          <w:i/>
          <w:lang w:eastAsia="en-US"/>
        </w:rPr>
        <w:t>Čonka</w:t>
      </w:r>
      <w:r w:rsidRPr="00434080">
        <w:rPr>
          <w:i/>
        </w:rPr>
        <w:t>,</w:t>
      </w:r>
      <w:r w:rsidRPr="00434080">
        <w:t xml:space="preserve"> cited above; </w:t>
      </w:r>
      <w:r w:rsidRPr="00434080">
        <w:rPr>
          <w:szCs w:val="24"/>
          <w:lang w:eastAsia="en-US"/>
        </w:rPr>
        <w:t>§ 59</w:t>
      </w:r>
      <w:r w:rsidRPr="00434080">
        <w:t xml:space="preserve">, </w:t>
      </w:r>
      <w:r w:rsidRPr="00434080">
        <w:rPr>
          <w:i/>
        </w:rPr>
        <w:t>Ghulami v. France</w:t>
      </w:r>
      <w:r w:rsidRPr="00434080">
        <w:t xml:space="preserve"> (dec), no. 45302/05, 7 April 2009; </w:t>
      </w:r>
      <w:r w:rsidRPr="00434080">
        <w:rPr>
          <w:i/>
          <w:szCs w:val="24"/>
          <w:lang w:eastAsia="en-US"/>
        </w:rPr>
        <w:t>Sultani</w:t>
      </w:r>
      <w:r>
        <w:rPr>
          <w:i/>
          <w:szCs w:val="24"/>
          <w:lang w:eastAsia="en-US"/>
        </w:rPr>
        <w:t xml:space="preserve"> </w:t>
      </w:r>
      <w:r w:rsidRPr="00434080">
        <w:rPr>
          <w:i/>
          <w:szCs w:val="24"/>
          <w:lang w:eastAsia="en-US"/>
        </w:rPr>
        <w:t>v. France</w:t>
      </w:r>
      <w:r w:rsidRPr="00434080">
        <w:rPr>
          <w:szCs w:val="24"/>
          <w:lang w:eastAsia="en-US"/>
        </w:rPr>
        <w:t>, no. 45223/05, §</w:t>
      </w:r>
      <w:r>
        <w:rPr>
          <w:szCs w:val="24"/>
          <w:lang w:eastAsia="en-US"/>
        </w:rPr>
        <w:t xml:space="preserve"> </w:t>
      </w:r>
      <w:r w:rsidRPr="00434080">
        <w:rPr>
          <w:szCs w:val="24"/>
          <w:lang w:eastAsia="en-US"/>
        </w:rPr>
        <w:t xml:space="preserve">81, </w:t>
      </w:r>
      <w:r w:rsidRPr="00434080">
        <w:rPr>
          <w:lang w:eastAsia="en-US"/>
        </w:rPr>
        <w:t>ECHR 2007</w:t>
      </w:r>
      <w:r w:rsidRPr="00434080">
        <w:rPr>
          <w:lang w:eastAsia="en-US"/>
        </w:rPr>
        <w:noBreakHyphen/>
        <w:t>IV (extracts);</w:t>
      </w:r>
      <w:r w:rsidRPr="00434080">
        <w:t xml:space="preserve"> </w:t>
      </w:r>
      <w:r w:rsidRPr="00434080">
        <w:rPr>
          <w:i/>
        </w:rPr>
        <w:t>Davydov</w:t>
      </w:r>
      <w:r>
        <w:rPr>
          <w:i/>
        </w:rPr>
        <w:t xml:space="preserve"> </w:t>
      </w:r>
      <w:r w:rsidRPr="00434080">
        <w:rPr>
          <w:i/>
        </w:rPr>
        <w:t>v.</w:t>
      </w:r>
      <w:r>
        <w:rPr>
          <w:i/>
        </w:rPr>
        <w:t xml:space="preserve"> </w:t>
      </w:r>
      <w:r w:rsidRPr="00434080">
        <w:rPr>
          <w:i/>
        </w:rPr>
        <w:t>Estonia</w:t>
      </w:r>
      <w:r w:rsidRPr="00434080">
        <w:t xml:space="preserve"> (dec), no. 16387/03, 31</w:t>
      </w:r>
      <w:r>
        <w:t> </w:t>
      </w:r>
      <w:r w:rsidRPr="00434080">
        <w:t>May</w:t>
      </w:r>
      <w:r>
        <w:t xml:space="preserve"> </w:t>
      </w:r>
      <w:r w:rsidRPr="00434080">
        <w:t xml:space="preserve">2005; </w:t>
      </w:r>
      <w:r w:rsidRPr="00434080">
        <w:rPr>
          <w:i/>
        </w:rPr>
        <w:t>Andric v. Sweden</w:t>
      </w:r>
      <w:r w:rsidRPr="00434080">
        <w:t xml:space="preserve"> (dec.), no. 45917/99, 23 February 1999; </w:t>
      </w:r>
      <w:r w:rsidRPr="00434080">
        <w:rPr>
          <w:i/>
        </w:rPr>
        <w:t>A.</w:t>
      </w:r>
      <w:r>
        <w:rPr>
          <w:i/>
        </w:rPr>
        <w:t> </w:t>
      </w:r>
      <w:r w:rsidRPr="00434080">
        <w:rPr>
          <w:i/>
        </w:rPr>
        <w:t>and Others v. the Netherlands</w:t>
      </w:r>
      <w:r w:rsidRPr="00434080">
        <w:t>, no. 14209/88, Commission decision of 16</w:t>
      </w:r>
      <w:r>
        <w:t> </w:t>
      </w:r>
      <w:r w:rsidRPr="00434080">
        <w:t xml:space="preserve">December 1988; </w:t>
      </w:r>
      <w:r w:rsidRPr="00434080">
        <w:rPr>
          <w:i/>
        </w:rPr>
        <w:t>O. and Others</w:t>
      </w:r>
      <w:r>
        <w:rPr>
          <w:i/>
        </w:rPr>
        <w:t xml:space="preserve"> </w:t>
      </w:r>
      <w:r w:rsidRPr="00434080">
        <w:rPr>
          <w:i/>
        </w:rPr>
        <w:t>v.</w:t>
      </w:r>
      <w:r>
        <w:rPr>
          <w:i/>
        </w:rPr>
        <w:t xml:space="preserve"> </w:t>
      </w:r>
      <w:r w:rsidRPr="00434080">
        <w:rPr>
          <w:i/>
        </w:rPr>
        <w:t>Luxembourg</w:t>
      </w:r>
      <w:r w:rsidRPr="00434080">
        <w:t xml:space="preserve">, no. 7757/77, Commission decision of 3 March 1978; </w:t>
      </w:r>
      <w:r w:rsidRPr="00434080">
        <w:rPr>
          <w:i/>
        </w:rPr>
        <w:t>K.G. v. the F.R.G</w:t>
      </w:r>
      <w:r w:rsidRPr="00434080">
        <w:t>., no. 7704/76, Commission decision</w:t>
      </w:r>
      <w:r w:rsidRPr="00434080">
        <w:rPr>
          <w:i/>
        </w:rPr>
        <w:t xml:space="preserve"> </w:t>
      </w:r>
      <w:r w:rsidRPr="00434080">
        <w:t xml:space="preserve">of 1 March 1977; and </w:t>
      </w:r>
      <w:r w:rsidRPr="00DD6A60">
        <w:rPr>
          <w:i/>
        </w:rPr>
        <w:t>Henning Becker</w:t>
      </w:r>
      <w:r w:rsidRPr="00DD6A60">
        <w:t xml:space="preserve"> v. </w:t>
      </w:r>
      <w:r w:rsidRPr="00DD6A60">
        <w:rPr>
          <w:i/>
        </w:rPr>
        <w:t xml:space="preserve">Denmark, </w:t>
      </w:r>
      <w:r w:rsidRPr="00DD6A60">
        <w:t>no. 7011/75</w:t>
      </w:r>
      <w:r w:rsidRPr="00DD6A60">
        <w:rPr>
          <w:i/>
        </w:rPr>
        <w:t xml:space="preserve">, </w:t>
      </w:r>
      <w:r w:rsidRPr="00DD6A60">
        <w:t>Commission decision of</w:t>
      </w:r>
      <w:r w:rsidRPr="00434080">
        <w:t xml:space="preserve"> 3</w:t>
      </w:r>
      <w:r>
        <w:t xml:space="preserve"> </w:t>
      </w:r>
      <w:r w:rsidRPr="00434080">
        <w:t xml:space="preserve">October 1975). It can be derived from this case-law that the purpose of Article 4 of Protocol No. 4 is to prevent States </w:t>
      </w:r>
      <w:r>
        <w:t>from removing</w:t>
      </w:r>
      <w:r w:rsidRPr="00434080">
        <w:t xml:space="preserve"> certain aliens without examining their personal circumstances and, consequently, without enabling them to put forward their arguments against the measure taken by the relevant authority (see </w:t>
      </w:r>
      <w:r w:rsidRPr="00434080">
        <w:rPr>
          <w:i/>
          <w:lang w:eastAsia="en-US"/>
        </w:rPr>
        <w:t xml:space="preserve">Hirsi, </w:t>
      </w:r>
      <w:r w:rsidRPr="00434080">
        <w:rPr>
          <w:lang w:eastAsia="en-US"/>
        </w:rPr>
        <w:t>cited above</w:t>
      </w:r>
      <w:r w:rsidRPr="00434080">
        <w:rPr>
          <w:snapToGrid w:val="0"/>
          <w:szCs w:val="24"/>
          <w:lang w:val="pt-BR" w:eastAsia="en-US"/>
        </w:rPr>
        <w:t>, §177</w:t>
      </w:r>
      <w:r w:rsidRPr="00434080">
        <w:rPr>
          <w:snapToGrid w:val="0"/>
          <w:szCs w:val="22"/>
          <w:lang w:eastAsia="en-US"/>
        </w:rPr>
        <w:t>).</w:t>
      </w:r>
    </w:p>
    <w:p w:rsidR="00FA0835" w:rsidP="00FA0835" w:rsidRDefault="00FA0835">
      <w:pPr>
        <w:suppressAutoHyphens w:val="0"/>
        <w:ind w:firstLine="284"/>
        <w:jc w:val="both"/>
      </w:pPr>
      <w:r>
        <w:fldChar w:fldCharType="begin"/>
      </w:r>
      <w:r>
        <w:instrText xml:space="preserve"> SEQ level0 \*arabic </w:instrText>
      </w:r>
      <w:r>
        <w:fldChar w:fldCharType="separate"/>
      </w:r>
      <w:r w:rsidR="00C5470A">
        <w:rPr>
          <w:noProof/>
        </w:rPr>
        <w:t>246</w:t>
      </w:r>
      <w:r>
        <w:fldChar w:fldCharType="end"/>
      </w:r>
      <w:r>
        <w:t>.  </w:t>
      </w:r>
      <w:r w:rsidRPr="00434080">
        <w:t xml:space="preserve">The fact, however, that a number of aliens are subject to similar decisions does not in itself lead to the conclusion that there is a collective expulsion if each person concerned has been given the opportunity to put arguments against his expulsion to the competent authorities on an individual basis (see the judgments in </w:t>
      </w:r>
      <w:r w:rsidRPr="00434080">
        <w:rPr>
          <w:i/>
          <w:lang w:eastAsia="en-US"/>
        </w:rPr>
        <w:t xml:space="preserve">Hirsi, </w:t>
      </w:r>
      <w:r w:rsidRPr="00434080">
        <w:t>§ 184 and</w:t>
      </w:r>
      <w:r w:rsidRPr="00434080">
        <w:rPr>
          <w:i/>
        </w:rPr>
        <w:t xml:space="preserve"> Sultani</w:t>
      </w:r>
      <w:r w:rsidRPr="00434080">
        <w:t>, § 81, both cited above; the Court</w:t>
      </w:r>
      <w:r w:rsidR="00A7319E">
        <w:t>’</w:t>
      </w:r>
      <w:r w:rsidRPr="00434080">
        <w:t xml:space="preserve">s decisions in </w:t>
      </w:r>
      <w:r w:rsidRPr="00434080">
        <w:rPr>
          <w:i/>
        </w:rPr>
        <w:t>Ghulami</w:t>
      </w:r>
      <w:r>
        <w:rPr>
          <w:i/>
        </w:rPr>
        <w:t xml:space="preserve"> </w:t>
      </w:r>
      <w:r w:rsidRPr="00434080">
        <w:t>and</w:t>
      </w:r>
      <w:r>
        <w:t xml:space="preserve"> </w:t>
      </w:r>
      <w:r w:rsidRPr="0082186E">
        <w:rPr>
          <w:i/>
        </w:rPr>
        <w:t>Andric</w:t>
      </w:r>
      <w:r w:rsidRPr="0082186E">
        <w:t>,</w:t>
      </w:r>
      <w:r w:rsidRPr="00434080">
        <w:t xml:space="preserve"> </w:t>
      </w:r>
      <w:r>
        <w:t xml:space="preserve">both </w:t>
      </w:r>
      <w:r w:rsidRPr="00434080">
        <w:t>cited above; and the Commission</w:t>
      </w:r>
      <w:r w:rsidR="00A7319E">
        <w:t>’</w:t>
      </w:r>
      <w:r w:rsidRPr="00434080">
        <w:t xml:space="preserve">s decisions in </w:t>
      </w:r>
      <w:r w:rsidRPr="00434080">
        <w:rPr>
          <w:i/>
        </w:rPr>
        <w:t>Tahiri v. Sweden</w:t>
      </w:r>
      <w:r>
        <w:t>, no. </w:t>
      </w:r>
      <w:r w:rsidRPr="00434080">
        <w:t xml:space="preserve">25129/94, decision of 11 January 1995 and </w:t>
      </w:r>
      <w:r w:rsidRPr="00434080">
        <w:rPr>
          <w:i/>
        </w:rPr>
        <w:t>B. and others v. the Netherlands</w:t>
      </w:r>
      <w:r w:rsidRPr="00434080">
        <w:t>, no. 14457/88</w:t>
      </w:r>
      <w:r w:rsidRPr="00434080">
        <w:rPr>
          <w:sz w:val="16"/>
        </w:rPr>
        <w:t>,</w:t>
      </w:r>
      <w:r>
        <w:rPr>
          <w:sz w:val="16"/>
        </w:rPr>
        <w:t xml:space="preserve"> </w:t>
      </w:r>
      <w:r w:rsidRPr="00434080">
        <w:t>decision of 16 December 1988).</w:t>
      </w:r>
    </w:p>
    <w:p w:rsidRPr="00434080" w:rsidR="00FA0835" w:rsidP="00FA0835" w:rsidRDefault="00FA0835">
      <w:pPr>
        <w:suppressAutoHyphens w:val="0"/>
        <w:ind w:firstLine="284"/>
        <w:jc w:val="both"/>
      </w:pPr>
      <w:r>
        <w:fldChar w:fldCharType="begin"/>
      </w:r>
      <w:r>
        <w:instrText xml:space="preserve"> SEQ level0 \*arabic </w:instrText>
      </w:r>
      <w:r>
        <w:fldChar w:fldCharType="separate"/>
      </w:r>
      <w:r w:rsidR="00C5470A">
        <w:rPr>
          <w:noProof/>
        </w:rPr>
        <w:t>247</w:t>
      </w:r>
      <w:r>
        <w:fldChar w:fldCharType="end"/>
      </w:r>
      <w:r>
        <w:t>.  </w:t>
      </w:r>
      <w:r w:rsidRPr="00434080">
        <w:t>Moreover, there will be no violation of Article 4 of Protocol No. 4</w:t>
      </w:r>
      <w:r>
        <w:t xml:space="preserve"> </w:t>
      </w:r>
      <w:r w:rsidRPr="00434080">
        <w:t>if the lack of an expulsion decision made on an individual basis is the consequence of an applicant</w:t>
      </w:r>
      <w:r w:rsidR="00A7319E">
        <w:t>’</w:t>
      </w:r>
      <w:r w:rsidRPr="00434080">
        <w:t xml:space="preserve">s own culpable conduct (see </w:t>
      </w:r>
      <w:r w:rsidRPr="00434080">
        <w:rPr>
          <w:i/>
        </w:rPr>
        <w:t>Berisha and Haljiti</w:t>
      </w:r>
      <w:r w:rsidRPr="00434080">
        <w:t xml:space="preserve"> </w:t>
      </w:r>
      <w:r w:rsidRPr="00057411">
        <w:rPr>
          <w:i/>
        </w:rPr>
        <w:t>v.</w:t>
      </w:r>
      <w:r w:rsidRPr="00434080">
        <w:t xml:space="preserve"> </w:t>
      </w:r>
      <w:r w:rsidRPr="00434080">
        <w:rPr>
          <w:i/>
        </w:rPr>
        <w:t>“the former Yugoslav Republic of Macedonia”,</w:t>
      </w:r>
      <w:r w:rsidRPr="00434080">
        <w:t xml:space="preserve"> no. 18670/03, decision of 16 June 2005</w:t>
      </w:r>
      <w:r>
        <w:t>,</w:t>
      </w:r>
      <w:r w:rsidRPr="00434080">
        <w:t xml:space="preserve"> where the applicants had pursued a joint asylum procedure and thus received a single common decision</w:t>
      </w:r>
      <w:r>
        <w:t>,</w:t>
      </w:r>
      <w:r w:rsidRPr="00434080">
        <w:t xml:space="preserve"> and </w:t>
      </w:r>
      <w:r w:rsidRPr="00434080">
        <w:rPr>
          <w:i/>
        </w:rPr>
        <w:t>Dritsas v. Italy</w:t>
      </w:r>
      <w:r w:rsidRPr="00434080">
        <w:t xml:space="preserve"> (dec), no. 2344/02, 1 February 2011</w:t>
      </w:r>
      <w:r>
        <w:t>,</w:t>
      </w:r>
      <w:r w:rsidRPr="00434080">
        <w:t xml:space="preserve"> where the applicants had refused to show their identity papers to the police and thus the latter had been unable to draw up expulsion orders in the applicants</w:t>
      </w:r>
      <w:r w:rsidR="00A7319E">
        <w:t>’</w:t>
      </w:r>
      <w:r w:rsidRPr="00434080">
        <w:t xml:space="preserve"> names).</w:t>
      </w:r>
    </w:p>
    <w:p w:rsidRPr="0044440C" w:rsidR="00FA0835" w:rsidP="00FA0835" w:rsidRDefault="00FA0835">
      <w:pPr>
        <w:suppressAutoHyphens w:val="0"/>
        <w:ind w:firstLine="284"/>
        <w:jc w:val="both"/>
      </w:pPr>
      <w:r w:rsidRPr="0044440C">
        <w:fldChar w:fldCharType="begin"/>
      </w:r>
      <w:r w:rsidRPr="0044440C">
        <w:instrText xml:space="preserve"> SEQ level0 \*arabic </w:instrText>
      </w:r>
      <w:r w:rsidRPr="0044440C">
        <w:fldChar w:fldCharType="separate"/>
      </w:r>
      <w:r w:rsidR="00C5470A">
        <w:rPr>
          <w:noProof/>
        </w:rPr>
        <w:t>248</w:t>
      </w:r>
      <w:r w:rsidRPr="0044440C">
        <w:fldChar w:fldCharType="end"/>
      </w:r>
      <w:r w:rsidRPr="0044440C">
        <w:t>.  The Court observes that, to date, it has found a violation of Article</w:t>
      </w:r>
      <w:r>
        <w:t> </w:t>
      </w:r>
      <w:r w:rsidRPr="0044440C">
        <w:t xml:space="preserve">4 of Protocol No. 4 in only two cases. First, in </w:t>
      </w:r>
      <w:r w:rsidRPr="0044440C">
        <w:rPr>
          <w:i/>
          <w:lang w:eastAsia="en-US"/>
        </w:rPr>
        <w:t>Čonka,</w:t>
      </w:r>
      <w:r w:rsidRPr="0044440C">
        <w:t xml:space="preserve"> which concerned the deportation of Slovakian nationals of Roma origin from Belgium to Slovakia, the Court found a breach because the procedure followed by the authorities did not enable it to eliminate all doubt that the expulsion might have been collective. </w:t>
      </w:r>
      <w:r w:rsidRPr="00282B9E">
        <w:t>This view was taken on the grounds that the applicants</w:t>
      </w:r>
      <w:r w:rsidR="00A7319E">
        <w:t>’</w:t>
      </w:r>
      <w:r w:rsidRPr="00282B9E">
        <w:t xml:space="preserve"> arrest and consequent expulsion was ordered for the first time in a decision of 29 September 1999 on a legal basis unrelated to the requests for asylum</w:t>
      </w:r>
      <w:r>
        <w:t>,</w:t>
      </w:r>
      <w:r w:rsidRPr="00282B9E">
        <w:t xml:space="preserve"> and in view of the large number of pe</w:t>
      </w:r>
      <w:r>
        <w:t>ople</w:t>
      </w:r>
      <w:r w:rsidRPr="00282B9E">
        <w:t xml:space="preserve"> of the same origin who had suffered the same fate as the applicants. The</w:t>
      </w:r>
      <w:r w:rsidRPr="0044440C">
        <w:t xml:space="preserve"> Court added that the doubt was reinforced by a series of factors:</w:t>
      </w:r>
    </w:p>
    <w:p w:rsidRPr="0044440C" w:rsidR="00FA0835" w:rsidP="00FA0835" w:rsidRDefault="00FA0835">
      <w:pPr>
        <w:suppressAutoHyphens w:val="0"/>
        <w:spacing w:before="120" w:after="120"/>
        <w:ind w:left="425" w:firstLine="142"/>
        <w:jc w:val="both"/>
        <w:rPr>
          <w:sz w:val="20"/>
        </w:rPr>
      </w:pPr>
      <w:r w:rsidRPr="0044440C">
        <w:rPr>
          <w:sz w:val="20"/>
        </w:rPr>
        <w:t>“</w:t>
      </w:r>
      <w:r>
        <w:rPr>
          <w:sz w:val="20"/>
        </w:rPr>
        <w:t xml:space="preserve">... </w:t>
      </w:r>
      <w:r w:rsidRPr="0044440C">
        <w:rPr>
          <w:sz w:val="20"/>
        </w:rPr>
        <w:t>firstly, prior to the applicants</w:t>
      </w:r>
      <w:r w:rsidR="00A7319E">
        <w:rPr>
          <w:sz w:val="20"/>
        </w:rPr>
        <w:t>’</w:t>
      </w:r>
      <w:r w:rsidRPr="0044440C">
        <w:rPr>
          <w:sz w:val="20"/>
        </w:rPr>
        <w:t xml:space="preserve"> deportation, the political authorities concerned had announced that there would be operations of that kind and given instructions to the relevant authority for their implementation ...; secondly, all the aliens concerned had been required to attend the police station at the same time; thirdly, the orders served on them requiring them to leave the territory and for their arrest were couched in identical terms; fourthly, it was very difficult for the aliens to contact a lawyer; lastly, the asylum procedure had not been completed.”</w:t>
      </w:r>
    </w:p>
    <w:p w:rsidR="00FA0835" w:rsidP="00FA0835" w:rsidRDefault="00FA0835">
      <w:pPr>
        <w:suppressAutoHyphens w:val="0"/>
        <w:ind w:firstLine="284"/>
        <w:jc w:val="both"/>
      </w:pPr>
      <w:r w:rsidRPr="0044440C">
        <w:fldChar w:fldCharType="begin"/>
      </w:r>
      <w:r w:rsidRPr="0044440C">
        <w:instrText xml:space="preserve"> SEQ level0 \*arabic </w:instrText>
      </w:r>
      <w:r w:rsidRPr="0044440C">
        <w:fldChar w:fldCharType="separate"/>
      </w:r>
      <w:r w:rsidR="00C5470A">
        <w:rPr>
          <w:noProof/>
        </w:rPr>
        <w:t>249</w:t>
      </w:r>
      <w:r w:rsidRPr="0044440C">
        <w:fldChar w:fldCharType="end"/>
      </w:r>
      <w:r w:rsidRPr="0044440C">
        <w:t xml:space="preserve">.  In these circumstances, the Court concluded that the procedure followed by the Belgian authorities had not afforded sufficient guarantees </w:t>
      </w:r>
      <w:r>
        <w:t xml:space="preserve">ensuring </w:t>
      </w:r>
      <w:r w:rsidRPr="0044440C">
        <w:t>that the personal circumstances of each of those concerned had been genuinely and individually taken into account (§ 63).</w:t>
      </w:r>
    </w:p>
    <w:p w:rsidR="00FA0835" w:rsidP="00FA0835" w:rsidRDefault="00FA0835">
      <w:pPr>
        <w:suppressAutoHyphens w:val="0"/>
        <w:ind w:firstLine="284"/>
        <w:jc w:val="both"/>
      </w:pPr>
      <w:r w:rsidRPr="0044440C">
        <w:fldChar w:fldCharType="begin"/>
      </w:r>
      <w:r w:rsidRPr="0044440C">
        <w:instrText xml:space="preserve"> SEQ level0 \*arabic </w:instrText>
      </w:r>
      <w:r w:rsidRPr="0044440C">
        <w:fldChar w:fldCharType="separate"/>
      </w:r>
      <w:r w:rsidR="00C5470A">
        <w:rPr>
          <w:noProof/>
        </w:rPr>
        <w:t>250</w:t>
      </w:r>
      <w:r w:rsidRPr="0044440C">
        <w:fldChar w:fldCharType="end"/>
      </w:r>
      <w:r w:rsidRPr="0044440C">
        <w:t xml:space="preserve">.  The Court </w:t>
      </w:r>
      <w:r>
        <w:t xml:space="preserve">considered </w:t>
      </w:r>
      <w:r w:rsidRPr="0044440C">
        <w:t>that the measures taken on 29</w:t>
      </w:r>
      <w:r>
        <w:t> </w:t>
      </w:r>
      <w:r w:rsidRPr="0044440C">
        <w:t>September</w:t>
      </w:r>
      <w:r>
        <w:t xml:space="preserve"> </w:t>
      </w:r>
      <w:r w:rsidRPr="0044440C">
        <w:t xml:space="preserve">1999 </w:t>
      </w:r>
      <w:r>
        <w:t>had to be seen in isolation</w:t>
      </w:r>
      <w:r w:rsidRPr="0044440C">
        <w:t xml:space="preserve"> from the earlier decisions regarding the asylum procedure in which the applicants</w:t>
      </w:r>
      <w:r w:rsidR="00A7319E">
        <w:t>’</w:t>
      </w:r>
      <w:r w:rsidRPr="0044440C">
        <w:t xml:space="preserve"> individual circumstances had been examined</w:t>
      </w:r>
      <w:r>
        <w:t xml:space="preserve"> and</w:t>
      </w:r>
      <w:r w:rsidRPr="0044440C">
        <w:t xml:space="preserve"> </w:t>
      </w:r>
      <w:r>
        <w:t xml:space="preserve">which, according to the minority view, </w:t>
      </w:r>
      <w:r w:rsidRPr="0044440C">
        <w:t xml:space="preserve">provided sufficient justification for the expulsion (see </w:t>
      </w:r>
      <w:r>
        <w:t xml:space="preserve">the </w:t>
      </w:r>
      <w:r w:rsidRPr="0044440C">
        <w:t>separate opinions of Judge Velaers and Jungwiert joined by Judge Kūris).</w:t>
      </w:r>
    </w:p>
    <w:p w:rsidR="00FA0835" w:rsidP="00FA0835" w:rsidRDefault="00FA0835">
      <w:pPr>
        <w:suppressAutoHyphens w:val="0"/>
        <w:ind w:firstLine="284"/>
        <w:jc w:val="both"/>
      </w:pPr>
      <w:r w:rsidRPr="00B75079">
        <w:fldChar w:fldCharType="begin"/>
      </w:r>
      <w:r w:rsidRPr="00B75079">
        <w:instrText xml:space="preserve"> SEQ level0 \*arabic </w:instrText>
      </w:r>
      <w:r w:rsidRPr="00B75079">
        <w:fldChar w:fldCharType="separate"/>
      </w:r>
      <w:r w:rsidR="00C5470A">
        <w:rPr>
          <w:noProof/>
        </w:rPr>
        <w:t>251</w:t>
      </w:r>
      <w:r w:rsidRPr="00B75079">
        <w:fldChar w:fldCharType="end"/>
      </w:r>
      <w:r w:rsidRPr="00B75079">
        <w:t>.  </w:t>
      </w:r>
      <w:r>
        <w:t>The</w:t>
      </w:r>
      <w:r w:rsidRPr="00B75079">
        <w:t xml:space="preserve"> recent case of </w:t>
      </w:r>
      <w:r w:rsidRPr="00B75079">
        <w:rPr>
          <w:i/>
          <w:lang w:eastAsia="en-US"/>
        </w:rPr>
        <w:t>Hirsi</w:t>
      </w:r>
      <w:r w:rsidRPr="00B75079">
        <w:rPr>
          <w:lang w:eastAsia="en-US"/>
        </w:rPr>
        <w:t xml:space="preserve"> (cited above,</w:t>
      </w:r>
      <w:r w:rsidRPr="00B75079">
        <w:rPr>
          <w:i/>
          <w:lang w:eastAsia="en-US"/>
        </w:rPr>
        <w:t xml:space="preserve"> </w:t>
      </w:r>
      <w:r w:rsidRPr="00B75079">
        <w:rPr>
          <w:snapToGrid w:val="0"/>
          <w:szCs w:val="24"/>
          <w:lang w:val="pt-BR" w:eastAsia="en-US"/>
        </w:rPr>
        <w:t>§§ 166-186</w:t>
      </w:r>
      <w:r>
        <w:rPr>
          <w:snapToGrid w:val="0"/>
          <w:szCs w:val="22"/>
          <w:lang w:eastAsia="en-US"/>
        </w:rPr>
        <w:t xml:space="preserve">) </w:t>
      </w:r>
      <w:r w:rsidRPr="00B75079">
        <w:rPr>
          <w:snapToGrid w:val="0"/>
          <w:szCs w:val="22"/>
          <w:lang w:eastAsia="en-US"/>
        </w:rPr>
        <w:t xml:space="preserve">concerned </w:t>
      </w:r>
      <w:r w:rsidRPr="00B75079">
        <w:t xml:space="preserve">the return of migrants, intercepted on the high seas by </w:t>
      </w:r>
      <w:r>
        <w:t>Italian naval vessels, to Libya, which was</w:t>
      </w:r>
      <w:r w:rsidRPr="00B75079">
        <w:t xml:space="preserve"> the country of their departur</w:t>
      </w:r>
      <w:r w:rsidRPr="00B75079">
        <w:rPr>
          <w:color w:val="000000"/>
        </w:rPr>
        <w:t>e</w:t>
      </w:r>
      <w:r>
        <w:rPr>
          <w:snapToGrid w:val="0"/>
          <w:color w:val="000000"/>
          <w:szCs w:val="22"/>
          <w:lang w:eastAsia="en-US"/>
        </w:rPr>
        <w:t>. T</w:t>
      </w:r>
      <w:r w:rsidRPr="00B75079">
        <w:rPr>
          <w:snapToGrid w:val="0"/>
          <w:color w:val="000000"/>
          <w:szCs w:val="22"/>
          <w:lang w:eastAsia="en-US"/>
        </w:rPr>
        <w:t>he Court came without difficulty to the conclusion that there had been a clear violation of Article 4 of Protocol No. 4.</w:t>
      </w:r>
      <w:r w:rsidRPr="00B75079">
        <w:t xml:space="preserve"> </w:t>
      </w:r>
      <w:r>
        <w:t>It</w:t>
      </w:r>
      <w:r w:rsidRPr="00B75079">
        <w:t xml:space="preserve"> first </w:t>
      </w:r>
      <w:r>
        <w:t>ruled</w:t>
      </w:r>
      <w:r w:rsidRPr="00B75079">
        <w:t xml:space="preserve"> on the complicated issue of </w:t>
      </w:r>
      <w:r>
        <w:t xml:space="preserve">the </w:t>
      </w:r>
      <w:r w:rsidRPr="00B75079">
        <w:t xml:space="preserve">extraterritorial applicability of Article 4 of Protocol No. 4 </w:t>
      </w:r>
      <w:r>
        <w:t>which</w:t>
      </w:r>
      <w:r w:rsidRPr="00B75079">
        <w:t xml:space="preserve"> arose in th</w:t>
      </w:r>
      <w:r>
        <w:t>at</w:t>
      </w:r>
      <w:r w:rsidRPr="00B75079">
        <w:t xml:space="preserve"> case. Once it </w:t>
      </w:r>
      <w:r>
        <w:t xml:space="preserve">had </w:t>
      </w:r>
      <w:r w:rsidRPr="00B75079">
        <w:t xml:space="preserve">found </w:t>
      </w:r>
      <w:r>
        <w:t xml:space="preserve">that </w:t>
      </w:r>
      <w:r w:rsidRPr="00B75079">
        <w:t xml:space="preserve">this provision </w:t>
      </w:r>
      <w:r>
        <w:t>was</w:t>
      </w:r>
      <w:r w:rsidRPr="00B75079">
        <w:t xml:space="preserve"> applicable, </w:t>
      </w:r>
      <w:r>
        <w:t>the</w:t>
      </w:r>
      <w:r w:rsidRPr="00B75079">
        <w:t xml:space="preserve"> violation </w:t>
      </w:r>
      <w:r>
        <w:t>was</w:t>
      </w:r>
      <w:r w:rsidRPr="00B75079">
        <w:t xml:space="preserve"> self-evident</w:t>
      </w:r>
      <w:r>
        <w:t>,</w:t>
      </w:r>
      <w:r w:rsidRPr="00B75079">
        <w:t xml:space="preserve"> as the </w:t>
      </w:r>
      <w:r w:rsidRPr="00B75079">
        <w:rPr>
          <w:rStyle w:val="sb8d990e2"/>
        </w:rPr>
        <w:t>transfer of the applicants to Libya had been carried out without any form of examination of each applicant</w:t>
      </w:r>
      <w:r w:rsidR="00A7319E">
        <w:rPr>
          <w:rStyle w:val="sb8d990e2"/>
        </w:rPr>
        <w:t>’</w:t>
      </w:r>
      <w:r w:rsidRPr="00B75079">
        <w:rPr>
          <w:rStyle w:val="sb8d990e2"/>
        </w:rPr>
        <w:t xml:space="preserve">s individual situation. </w:t>
      </w:r>
      <w:r w:rsidRPr="00B75079">
        <w:t xml:space="preserve">It </w:t>
      </w:r>
      <w:r>
        <w:t>was not</w:t>
      </w:r>
      <w:r w:rsidRPr="00B75079">
        <w:t xml:space="preserve"> disputed that the applicants had not </w:t>
      </w:r>
      <w:r>
        <w:t>undergone</w:t>
      </w:r>
      <w:r w:rsidRPr="00B75079">
        <w:t xml:space="preserve"> any identification procedure by the Italian authorities</w:t>
      </w:r>
      <w:r>
        <w:t>,</w:t>
      </w:r>
      <w:r w:rsidRPr="00B75079">
        <w:t xml:space="preserve"> wh</w:t>
      </w:r>
      <w:r>
        <w:t>o</w:t>
      </w:r>
      <w:r w:rsidRPr="00B75079">
        <w:t xml:space="preserve"> restricted themselves to embarking all the intercepted migrants onto military ships and disembarking them on Libyan soil. Moreover, the personnel aboard the military ships were not trained to conduct individual interviews and were not assisted by interpreters or legal advisers. In the Court</w:t>
      </w:r>
      <w:r w:rsidR="00A7319E">
        <w:t>’</w:t>
      </w:r>
      <w:r w:rsidRPr="00B75079">
        <w:t>s view this was sufficient to rule out the existence of sufficient guarantees ensuring that the individual circumstances of each of those concerned were actually the subject of a detailed examination (§§ 185-186).</w:t>
      </w:r>
    </w:p>
    <w:p w:rsidRPr="00434080" w:rsidR="00FA0835" w:rsidP="00FA0835" w:rsidRDefault="00FA0835">
      <w:pPr>
        <w:pStyle w:val="JuHa0"/>
      </w:pPr>
      <w:r>
        <w:rPr>
          <w:rStyle w:val="sdfc50a6a"/>
        </w:rPr>
        <w:t>(b)</w:t>
      </w:r>
      <w:r>
        <w:t>  </w:t>
      </w:r>
      <w:r>
        <w:rPr>
          <w:rStyle w:val="sdfc50a6a"/>
        </w:rPr>
        <w:t>Application of the above principles</w:t>
      </w:r>
    </w:p>
    <w:p w:rsidR="00FA0835" w:rsidP="00FA0835" w:rsidRDefault="00FA0835">
      <w:pPr>
        <w:suppressAutoHyphens w:val="0"/>
        <w:ind w:firstLine="284"/>
        <w:jc w:val="both"/>
      </w:pPr>
      <w:r w:rsidRPr="00282B9E">
        <w:fldChar w:fldCharType="begin"/>
      </w:r>
      <w:r w:rsidRPr="00282B9E">
        <w:instrText xml:space="preserve"> SEQ level0 \*arabic </w:instrText>
      </w:r>
      <w:r w:rsidRPr="00282B9E">
        <w:fldChar w:fldCharType="separate"/>
      </w:r>
      <w:r w:rsidR="00C5470A">
        <w:rPr>
          <w:noProof/>
        </w:rPr>
        <w:t>252</w:t>
      </w:r>
      <w:r w:rsidRPr="00282B9E">
        <w:fldChar w:fldCharType="end"/>
      </w:r>
      <w:r w:rsidRPr="00282B9E">
        <w:t>.  In the instant case, the Court notes that a</w:t>
      </w:r>
      <w:r>
        <w:t>n</w:t>
      </w:r>
      <w:r w:rsidRPr="00282B9E">
        <w:t xml:space="preserve"> identification procedure </w:t>
      </w:r>
      <w:r>
        <w:t xml:space="preserve">in respect of </w:t>
      </w:r>
      <w:r w:rsidRPr="00282B9E">
        <w:t>the 149</w:t>
      </w:r>
      <w:r>
        <w:t> </w:t>
      </w:r>
      <w:r w:rsidRPr="00282B9E">
        <w:t xml:space="preserve">Syrian Kurd protesters was carried out on 11 June 2010 at the ERU headquarters. Upon arrival at the headquarters registration took place and the status of each person was then examined </w:t>
      </w:r>
      <w:r>
        <w:t>using</w:t>
      </w:r>
      <w:r w:rsidRPr="00282B9E">
        <w:t xml:space="preserve"> computers which had been specially installed the day before. According to the Government, </w:t>
      </w:r>
      <w:r>
        <w:t>this procedure revealed</w:t>
      </w:r>
      <w:r w:rsidRPr="00282B9E">
        <w:t xml:space="preserve"> that seventy-six adults, along with their thirty children, were staying in the</w:t>
      </w:r>
      <w:r w:rsidRPr="00434080">
        <w:t xml:space="preserve"> Republic </w:t>
      </w:r>
      <w:r w:rsidRPr="00282B9E">
        <w:t>unlawfully</w:t>
      </w:r>
      <w:r w:rsidRPr="00434080">
        <w:t xml:space="preserve"> after having had their asylum applications rejected or their files closed. </w:t>
      </w:r>
      <w:r>
        <w:t>In this connection,</w:t>
      </w:r>
      <w:r w:rsidRPr="00434080">
        <w:t xml:space="preserve"> </w:t>
      </w:r>
      <w:r>
        <w:t>t</w:t>
      </w:r>
      <w:r w:rsidRPr="00434080">
        <w:t xml:space="preserve">he Court observes that it is clear from the information before it that their asylum applications had been dealt with on an individual basis over a period of more than five years. For those in respect of which the asylum procedure had been completed, the asylum applications had either been dismissed after an examination of their personal circumstances and any evidence they had provided or the files closed for failure to attend interviews. Those who had appealed to the Reviewing Authority had had their appeals individually examined and dismissed. Separate letters had been sent out by the asylum authorities to the </w:t>
      </w:r>
      <w:r>
        <w:t>individuals</w:t>
      </w:r>
      <w:r w:rsidRPr="00434080">
        <w:t xml:space="preserve"> concerned</w:t>
      </w:r>
      <w:r>
        <w:t>,</w:t>
      </w:r>
      <w:r w:rsidRPr="00434080">
        <w:t xml:space="preserve"> informing them of the relevant decisions.</w:t>
      </w:r>
    </w:p>
    <w:p w:rsidRPr="00434080" w:rsidR="00FA0835" w:rsidP="00FA0835" w:rsidRDefault="00FA0835">
      <w:pPr>
        <w:suppressAutoHyphens w:val="0"/>
        <w:ind w:firstLine="284"/>
        <w:jc w:val="both"/>
      </w:pPr>
      <w:r>
        <w:fldChar w:fldCharType="begin"/>
      </w:r>
      <w:r>
        <w:instrText xml:space="preserve"> SEQ level0 \*arabic </w:instrText>
      </w:r>
      <w:r>
        <w:fldChar w:fldCharType="separate"/>
      </w:r>
      <w:r w:rsidR="00C5470A">
        <w:rPr>
          <w:noProof/>
        </w:rPr>
        <w:t>253</w:t>
      </w:r>
      <w:r>
        <w:fldChar w:fldCharType="end"/>
      </w:r>
      <w:r>
        <w:t>.  </w:t>
      </w:r>
      <w:r w:rsidRPr="00434080">
        <w:t xml:space="preserve">Deportation and detention orders had already been issued in respect of some of the persons concerned. Orders against the remainder were issued on 11 June 2010. The authorities had carried out a background check with regard to each person before issuing the orders and separate deportation and detention orders were issued in respect of each person. Individual letters were also prepared by the Civil Registry and Migration Department informing </w:t>
      </w:r>
      <w:r>
        <w:t>those</w:t>
      </w:r>
      <w:r w:rsidRPr="00434080">
        <w:t xml:space="preserve"> detained of the authorities</w:t>
      </w:r>
      <w:r w:rsidR="00A7319E">
        <w:t>’</w:t>
      </w:r>
      <w:r w:rsidRPr="00434080">
        <w:t xml:space="preserve"> decision to detain and deport them.</w:t>
      </w:r>
    </w:p>
    <w:p w:rsidRPr="00434080" w:rsidR="00FA0835" w:rsidP="00FA0835" w:rsidRDefault="00FA0835">
      <w:pPr>
        <w:suppressAutoHyphens w:val="0"/>
        <w:ind w:firstLine="284"/>
        <w:jc w:val="both"/>
      </w:pPr>
      <w:r>
        <w:fldChar w:fldCharType="begin"/>
      </w:r>
      <w:r>
        <w:instrText xml:space="preserve"> SEQ level0 \*arabic </w:instrText>
      </w:r>
      <w:r>
        <w:fldChar w:fldCharType="separate"/>
      </w:r>
      <w:r w:rsidR="00C5470A">
        <w:rPr>
          <w:noProof/>
        </w:rPr>
        <w:t>254</w:t>
      </w:r>
      <w:r>
        <w:fldChar w:fldCharType="end"/>
      </w:r>
      <w:r>
        <w:t>. </w:t>
      </w:r>
      <w:r w:rsidRPr="00434080">
        <w:t xml:space="preserve"> </w:t>
      </w:r>
      <w:r>
        <w:t xml:space="preserve">It is clear from the above that </w:t>
      </w:r>
      <w:r w:rsidRPr="00434080">
        <w:t xml:space="preserve">all </w:t>
      </w:r>
      <w:r>
        <w:t>those</w:t>
      </w:r>
      <w:r w:rsidRPr="00434080">
        <w:t xml:space="preserve"> concerned did have an individual examination of their </w:t>
      </w:r>
      <w:r>
        <w:t>personal circumstances. As a result of this examination some of the persons arrested were allowed to return home as their immigration status was found to be in order and thus their presence on Cypriot territory was lawful.</w:t>
      </w:r>
      <w:r w:rsidRPr="00CF7718">
        <w:t xml:space="preserve"> </w:t>
      </w:r>
      <w:r w:rsidRPr="00434080">
        <w:t xml:space="preserve">In these circumstances, the fact that all the persons concerned were taken together to </w:t>
      </w:r>
      <w:r>
        <w:t xml:space="preserve">the </w:t>
      </w:r>
      <w:r w:rsidRPr="00434080">
        <w:t xml:space="preserve">ERU headquarters and </w:t>
      </w:r>
      <w:r>
        <w:t xml:space="preserve">that the authorities decided to </w:t>
      </w:r>
      <w:r w:rsidRPr="00434080">
        <w:t xml:space="preserve">deport </w:t>
      </w:r>
      <w:r>
        <w:t>them in groups</w:t>
      </w:r>
      <w:r w:rsidRPr="00434080">
        <w:t xml:space="preserve"> </w:t>
      </w:r>
      <w:r>
        <w:t>did</w:t>
      </w:r>
      <w:r w:rsidRPr="00434080">
        <w:t xml:space="preserve"> not render their deportation a collective measure</w:t>
      </w:r>
      <w:r>
        <w:t xml:space="preserve"> within the meaning attributed to that term by the Court</w:t>
      </w:r>
      <w:r w:rsidR="00A7319E">
        <w:t>’</w:t>
      </w:r>
      <w:r>
        <w:t>s case-law.</w:t>
      </w:r>
      <w:r w:rsidRPr="00CF7718">
        <w:t xml:space="preserve"> </w:t>
      </w:r>
      <w:r w:rsidRPr="00434080">
        <w:t xml:space="preserve">Similarly, the fact that the deportation orders and the corresponding letters were couched </w:t>
      </w:r>
      <w:r w:rsidRPr="00C42F21">
        <w:t xml:space="preserve">in </w:t>
      </w:r>
      <w:r>
        <w:t>formulaic</w:t>
      </w:r>
      <w:r w:rsidRPr="00C42F21">
        <w:t xml:space="preserve"> and</w:t>
      </w:r>
      <w:r>
        <w:t>, therefore</w:t>
      </w:r>
      <w:r w:rsidRPr="00C42F21">
        <w:t>, identical</w:t>
      </w:r>
      <w:r w:rsidRPr="00434080">
        <w:t xml:space="preserve"> terms</w:t>
      </w:r>
      <w:r>
        <w:t xml:space="preserve"> and did not specifically refer to the earlier decisions regarding the asylum procedure</w:t>
      </w:r>
      <w:r w:rsidRPr="00434080">
        <w:t xml:space="preserve"> is not itself </w:t>
      </w:r>
      <w:r>
        <w:t>indicative</w:t>
      </w:r>
      <w:r w:rsidRPr="00434080">
        <w:t xml:space="preserve"> of a collective expulsion</w:t>
      </w:r>
      <w:r>
        <w:t xml:space="preserve">. What is important is that every case was looked at individually and decided on its own particular facts (see </w:t>
      </w:r>
      <w:r w:rsidRPr="00434080">
        <w:rPr>
          <w:i/>
        </w:rPr>
        <w:t>Andric</w:t>
      </w:r>
      <w:r w:rsidRPr="00434080">
        <w:t>, cited above</w:t>
      </w:r>
      <w:r w:rsidRPr="00A63407">
        <w:t>).</w:t>
      </w:r>
      <w:r>
        <w:t xml:space="preserve"> A</w:t>
      </w:r>
      <w:r w:rsidRPr="00434080">
        <w:t xml:space="preserve">lthough not expressly stated in the </w:t>
      </w:r>
      <w:r>
        <w:t xml:space="preserve">deportation orders and letters, the </w:t>
      </w:r>
      <w:r w:rsidRPr="00434080">
        <w:t xml:space="preserve">decision to deport was based on the </w:t>
      </w:r>
      <w:r>
        <w:t>conclusion</w:t>
      </w:r>
      <w:r w:rsidRPr="00434080">
        <w:t xml:space="preserve"> that </w:t>
      </w:r>
      <w:r>
        <w:t>the person concerned was an illegal immigrant</w:t>
      </w:r>
      <w:r w:rsidRPr="00434080">
        <w:t xml:space="preserve"> following the rejection of </w:t>
      </w:r>
      <w:r>
        <w:t>his or her</w:t>
      </w:r>
      <w:r w:rsidRPr="00434080">
        <w:t xml:space="preserve"> asylum claim</w:t>
      </w:r>
      <w:r>
        <w:t xml:space="preserve"> or the closure of the asylum file</w:t>
      </w:r>
      <w:r w:rsidRPr="00434080">
        <w:t>.</w:t>
      </w:r>
      <w:r>
        <w:t xml:space="preserve"> Although a mistake was</w:t>
      </w:r>
      <w:r w:rsidRPr="00434080">
        <w:t xml:space="preserve"> made in relation to the status of some of the persons concerned, including that of the </w:t>
      </w:r>
      <w:r w:rsidRPr="00282B9E">
        <w:t>applicant (s</w:t>
      </w:r>
      <w:r>
        <w:t>ee paragraphs 58 and 134 above)</w:t>
      </w:r>
      <w:r w:rsidRPr="00282B9E">
        <w:t xml:space="preserve"> </w:t>
      </w:r>
      <w:r>
        <w:t>this, while unfortunate,</w:t>
      </w:r>
      <w:r w:rsidRPr="00282B9E">
        <w:t xml:space="preserve"> cannot be taken</w:t>
      </w:r>
      <w:r w:rsidRPr="00434080">
        <w:t xml:space="preserve"> </w:t>
      </w:r>
      <w:r>
        <w:t>as showing that there was</w:t>
      </w:r>
      <w:r w:rsidRPr="00434080">
        <w:t xml:space="preserve"> a collective expulsion.</w:t>
      </w:r>
    </w:p>
    <w:p w:rsidR="00FA0835" w:rsidP="00FA0835" w:rsidRDefault="00FA0835">
      <w:pPr>
        <w:suppressAutoHyphens w:val="0"/>
        <w:ind w:firstLine="284"/>
        <w:jc w:val="both"/>
      </w:pPr>
      <w:r>
        <w:fldChar w:fldCharType="begin"/>
      </w:r>
      <w:r>
        <w:instrText xml:space="preserve"> SEQ level0 \*arabic </w:instrText>
      </w:r>
      <w:r>
        <w:fldChar w:fldCharType="separate"/>
      </w:r>
      <w:r w:rsidR="00C5470A">
        <w:rPr>
          <w:noProof/>
        </w:rPr>
        <w:t>255</w:t>
      </w:r>
      <w:r>
        <w:fldChar w:fldCharType="end"/>
      </w:r>
      <w:r>
        <w:t>.  </w:t>
      </w:r>
      <w:r w:rsidRPr="00434080">
        <w:t xml:space="preserve">In view of the foregoing, the Court </w:t>
      </w:r>
      <w:r>
        <w:t>is not persuaded</w:t>
      </w:r>
      <w:r w:rsidRPr="00434080">
        <w:t xml:space="preserve"> that the measure taken by the authorities </w:t>
      </w:r>
      <w:r>
        <w:t>reveals</w:t>
      </w:r>
      <w:r w:rsidRPr="00434080">
        <w:t xml:space="preserve"> the appearance of a collective expulsion within the meaning Article 4 of Protocol No. 4. There has therefore </w:t>
      </w:r>
      <w:r>
        <w:t xml:space="preserve">not </w:t>
      </w:r>
      <w:r w:rsidRPr="00434080">
        <w:t xml:space="preserve">been </w:t>
      </w:r>
      <w:r>
        <w:t>a</w:t>
      </w:r>
      <w:r w:rsidRPr="00434080">
        <w:t xml:space="preserve"> violation of th</w:t>
      </w:r>
      <w:r>
        <w:t>is</w:t>
      </w:r>
      <w:r w:rsidRPr="00434080">
        <w:t xml:space="preserve"> provision.</w:t>
      </w:r>
    </w:p>
    <w:p w:rsidRPr="0011250F" w:rsidR="00FA0835" w:rsidP="00FA0835" w:rsidRDefault="00FA0835">
      <w:pPr>
        <w:pStyle w:val="JuHIRoman"/>
      </w:pPr>
      <w:r>
        <w:t>VII. </w:t>
      </w:r>
      <w:r w:rsidRPr="006E59A9">
        <w:t>APPLICATION OF ARTICLE 41 OF THE CONVENTION</w:t>
      </w:r>
    </w:p>
    <w:p w:rsidRPr="0011250F" w:rsidR="00FA0835" w:rsidP="00FA0835" w:rsidRDefault="00FA0835">
      <w:pPr>
        <w:pStyle w:val="JuPara"/>
        <w:keepNext/>
        <w:keepLines/>
      </w:pPr>
      <w:r>
        <w:fldChar w:fldCharType="begin"/>
      </w:r>
      <w:r>
        <w:instrText xml:space="preserve"> SEQ level0 \*arabic </w:instrText>
      </w:r>
      <w:r>
        <w:fldChar w:fldCharType="separate"/>
      </w:r>
      <w:r w:rsidR="00C5470A">
        <w:rPr>
          <w:noProof/>
        </w:rPr>
        <w:t>256</w:t>
      </w:r>
      <w:r>
        <w:fldChar w:fldCharType="end"/>
      </w:r>
      <w:r>
        <w:t>.  </w:t>
      </w:r>
      <w:r w:rsidRPr="0011250F">
        <w:t>Article 41 of the Convention provides:</w:t>
      </w:r>
    </w:p>
    <w:p w:rsidRPr="0011250F" w:rsidR="00FA0835" w:rsidP="00FA0835" w:rsidRDefault="00FA0835">
      <w:pPr>
        <w:pStyle w:val="JuQuot"/>
        <w:keepNext/>
        <w:keepLines/>
      </w:pPr>
      <w:r w:rsidRPr="0011250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1250F" w:rsidR="00FA0835" w:rsidP="00FA0835" w:rsidRDefault="00FA0835">
      <w:pPr>
        <w:pStyle w:val="JuHA"/>
        <w:keepLines w:val="0"/>
        <w:outlineLvl w:val="0"/>
      </w:pPr>
      <w:r w:rsidRPr="0011250F">
        <w:t>A.  Damage</w:t>
      </w:r>
    </w:p>
    <w:p w:rsidR="00FA0835" w:rsidP="00FA0835" w:rsidRDefault="00FA0835">
      <w:pPr>
        <w:pStyle w:val="JuPara"/>
      </w:pPr>
      <w:r>
        <w:fldChar w:fldCharType="begin"/>
      </w:r>
      <w:r>
        <w:instrText xml:space="preserve"> SEQ level0 \*arabic </w:instrText>
      </w:r>
      <w:r>
        <w:fldChar w:fldCharType="separate"/>
      </w:r>
      <w:r w:rsidR="00C5470A">
        <w:rPr>
          <w:noProof/>
        </w:rPr>
        <w:t>257</w:t>
      </w:r>
      <w:r>
        <w:fldChar w:fldCharType="end"/>
      </w:r>
      <w:r>
        <w:t>.  </w:t>
      </w:r>
      <w:r w:rsidRPr="0011250F">
        <w:t xml:space="preserve">The applicant </w:t>
      </w:r>
      <w:r w:rsidRPr="00413AB3">
        <w:t>claimed 10,000 euros</w:t>
      </w:r>
      <w:r w:rsidRPr="0011250F">
        <w:t xml:space="preserve"> (EUR) in </w:t>
      </w:r>
      <w:r>
        <w:t>respect of non</w:t>
      </w:r>
      <w:r>
        <w:noBreakHyphen/>
        <w:t>pecuniary damage.</w:t>
      </w:r>
    </w:p>
    <w:p w:rsidR="00FA0835" w:rsidP="00FA0835" w:rsidRDefault="00FA0835">
      <w:pPr>
        <w:pStyle w:val="JuPara"/>
      </w:pPr>
      <w:r>
        <w:fldChar w:fldCharType="begin"/>
      </w:r>
      <w:r>
        <w:instrText xml:space="preserve"> SEQ level0 \*arabic </w:instrText>
      </w:r>
      <w:r>
        <w:fldChar w:fldCharType="separate"/>
      </w:r>
      <w:r w:rsidR="00C5470A">
        <w:rPr>
          <w:noProof/>
        </w:rPr>
        <w:t>258</w:t>
      </w:r>
      <w:r>
        <w:fldChar w:fldCharType="end"/>
      </w:r>
      <w:r>
        <w:t>.</w:t>
      </w:r>
      <w:r w:rsidRPr="00C63FEE">
        <w:t>  The Government contested this claim</w:t>
      </w:r>
      <w:r>
        <w:t xml:space="preserve"> in so far as it concerned Articles 2 and 3 of the Convention as the applicant had not been deported</w:t>
      </w:r>
      <w:r w:rsidRPr="00C63FEE">
        <w:t>.</w:t>
      </w:r>
      <w:r>
        <w:t xml:space="preserve"> They also considered that the claim was excessive.</w:t>
      </w:r>
    </w:p>
    <w:p w:rsidR="00FA0835" w:rsidP="00FA0835" w:rsidRDefault="00FA0835">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C5470A">
        <w:rPr>
          <w:rStyle w:val="sb8d990e2"/>
          <w:noProof/>
        </w:rPr>
        <w:t>259</w:t>
      </w:r>
      <w:r>
        <w:rPr>
          <w:rStyle w:val="sb8d990e2"/>
        </w:rPr>
        <w:fldChar w:fldCharType="end"/>
      </w:r>
      <w:r>
        <w:rPr>
          <w:rStyle w:val="sb8d990e2"/>
        </w:rPr>
        <w:t>.  Having regard to the nature of the violations found in the present case and the relevant case-law, the Court, ruling on an equitable basis as required under Article 41, awards the amount claimed by the applicant under this head in full.</w:t>
      </w:r>
    </w:p>
    <w:p w:rsidRPr="0011250F" w:rsidR="00FA0835" w:rsidP="00FA0835" w:rsidRDefault="00FA0835">
      <w:pPr>
        <w:pStyle w:val="JuHA"/>
        <w:outlineLvl w:val="0"/>
      </w:pPr>
      <w:r w:rsidRPr="0011250F">
        <w:t>B.  Costs and expenses</w:t>
      </w:r>
    </w:p>
    <w:p w:rsidR="00FA0835" w:rsidP="00FA0835" w:rsidRDefault="00FA0835">
      <w:pPr>
        <w:pStyle w:val="JuPara"/>
      </w:pPr>
      <w:r>
        <w:fldChar w:fldCharType="begin"/>
      </w:r>
      <w:r>
        <w:instrText xml:space="preserve"> SEQ level0 \*arabic </w:instrText>
      </w:r>
      <w:r>
        <w:fldChar w:fldCharType="separate"/>
      </w:r>
      <w:r w:rsidR="00C5470A">
        <w:rPr>
          <w:noProof/>
        </w:rPr>
        <w:t>260</w:t>
      </w:r>
      <w:r>
        <w:fldChar w:fldCharType="end"/>
      </w:r>
      <w:r>
        <w:t>.  </w:t>
      </w:r>
      <w:r w:rsidRPr="0011250F">
        <w:t xml:space="preserve">The applicant also claimed EUR </w:t>
      </w:r>
      <w:r>
        <w:t>1,700</w:t>
      </w:r>
      <w:r w:rsidRPr="0011250F">
        <w:t xml:space="preserve"> </w:t>
      </w:r>
      <w:r>
        <w:t xml:space="preserve">plus VAT </w:t>
      </w:r>
      <w:r w:rsidRPr="0011250F">
        <w:t>for costs and expenses incurred before the Court</w:t>
      </w:r>
      <w:r>
        <w:t xml:space="preserve">, less the </w:t>
      </w:r>
      <w:r>
        <w:rPr>
          <w:rStyle w:val="sb8d990e2"/>
        </w:rPr>
        <w:t>sum granted as legal aid by the Council of Europe.</w:t>
      </w:r>
      <w:r>
        <w:t xml:space="preserve"> In this respect he submitted that this </w:t>
      </w:r>
      <w:r w:rsidRPr="005971AC">
        <w:t xml:space="preserve">was the amount agreed upon with </w:t>
      </w:r>
      <w:r>
        <w:t>his representative and it represented the sum normally awarded for costs by the Supreme Court in successful recourse proceedings.</w:t>
      </w:r>
    </w:p>
    <w:p w:rsidR="00FA0835" w:rsidP="00FA0835" w:rsidRDefault="00FA0835">
      <w:pPr>
        <w:pStyle w:val="JuPara"/>
        <w:rPr>
          <w:rStyle w:val="OpiHA"/>
        </w:rPr>
      </w:pPr>
      <w:r>
        <w:fldChar w:fldCharType="begin"/>
      </w:r>
      <w:r>
        <w:instrText xml:space="preserve"> SEQ level0 \*arabic </w:instrText>
      </w:r>
      <w:r>
        <w:fldChar w:fldCharType="separate"/>
      </w:r>
      <w:r w:rsidR="00C5470A">
        <w:rPr>
          <w:noProof/>
        </w:rPr>
        <w:t>261</w:t>
      </w:r>
      <w:r>
        <w:fldChar w:fldCharType="end"/>
      </w:r>
      <w:r>
        <w:t>.  </w:t>
      </w:r>
      <w:r w:rsidRPr="0011250F">
        <w:t xml:space="preserve">The Government </w:t>
      </w:r>
      <w:r>
        <w:t>contested the applicant</w:t>
      </w:r>
      <w:r w:rsidR="00A7319E">
        <w:t>’</w:t>
      </w:r>
      <w:r>
        <w:t>s claim and maintained that it was excessive.</w:t>
      </w:r>
    </w:p>
    <w:p w:rsidR="00FA0835" w:rsidP="00FA0835" w:rsidRDefault="00FA0835">
      <w:pPr>
        <w:pStyle w:val="JuPara"/>
      </w:pPr>
      <w:r>
        <w:fldChar w:fldCharType="begin"/>
      </w:r>
      <w:r>
        <w:instrText xml:space="preserve"> SEQ level0 \*arabic </w:instrText>
      </w:r>
      <w:r>
        <w:fldChar w:fldCharType="separate"/>
      </w:r>
      <w:r w:rsidR="00C5470A">
        <w:rPr>
          <w:noProof/>
        </w:rPr>
        <w:t>262</w:t>
      </w:r>
      <w:r>
        <w:fldChar w:fldCharType="end"/>
      </w:r>
      <w:r>
        <w:t>.  </w:t>
      </w:r>
      <w:r w:rsidRPr="0011250F">
        <w:t>According to the Court</w:t>
      </w:r>
      <w:r w:rsidR="00A7319E">
        <w:t>’</w:t>
      </w:r>
      <w:r w:rsidRPr="0011250F">
        <w:t xml:space="preserve">s case-law, an applicant is entitled to the reimbursement of costs and expenses only in so far as it has been shown that these have been actually and necessarily incurred and are reasonable as to quantum. </w:t>
      </w:r>
      <w:r>
        <w:t>The</w:t>
      </w:r>
      <w:r w:rsidRPr="005971AC">
        <w:t xml:space="preserve"> Court notes that the applicant has failed to provide any supporting documents – such as itemised bills or invoices – substantiating </w:t>
      </w:r>
      <w:r>
        <w:t>his</w:t>
      </w:r>
      <w:r w:rsidRPr="005971AC">
        <w:t xml:space="preserve"> claim (Rule</w:t>
      </w:r>
      <w:r>
        <w:t xml:space="preserve"> </w:t>
      </w:r>
      <w:r w:rsidRPr="005971AC">
        <w:t>60</w:t>
      </w:r>
      <w:r>
        <w:t xml:space="preserve"> </w:t>
      </w:r>
      <w:r w:rsidRPr="005971AC">
        <w:t>§§ 1</w:t>
      </w:r>
      <w:r>
        <w:t xml:space="preserve"> </w:t>
      </w:r>
      <w:r w:rsidRPr="005971AC">
        <w:t>and 2 of the Rules of Court). The Court accordingly makes no award under this head.</w:t>
      </w:r>
    </w:p>
    <w:p w:rsidRPr="0011250F" w:rsidR="00FA0835" w:rsidP="00FA0835" w:rsidRDefault="00FA0835">
      <w:pPr>
        <w:pStyle w:val="JuHA"/>
        <w:outlineLvl w:val="0"/>
      </w:pPr>
      <w:r w:rsidRPr="0011250F">
        <w:t>C.  Default interest</w:t>
      </w:r>
    </w:p>
    <w:p w:rsidRPr="0011250F" w:rsidR="00FA0835" w:rsidP="00FA0835" w:rsidRDefault="00FA0835">
      <w:pPr>
        <w:pStyle w:val="JuPara"/>
      </w:pPr>
      <w:r>
        <w:fldChar w:fldCharType="begin"/>
      </w:r>
      <w:r>
        <w:instrText xml:space="preserve"> SEQ level0 \*arabic </w:instrText>
      </w:r>
      <w:r>
        <w:fldChar w:fldCharType="separate"/>
      </w:r>
      <w:r w:rsidR="00C5470A">
        <w:rPr>
          <w:noProof/>
        </w:rPr>
        <w:t>263</w:t>
      </w:r>
      <w:r>
        <w:fldChar w:fldCharType="end"/>
      </w:r>
      <w:r>
        <w:t>.  </w:t>
      </w:r>
      <w:r w:rsidRPr="0011250F">
        <w:t>The Court considers it appropriate that the default interest rate should be based on the marginal lending rate of the European Central Bank, to which should be added three percentage points.</w:t>
      </w:r>
    </w:p>
    <w:p w:rsidRPr="0011250F" w:rsidR="00FA0835" w:rsidP="00FA0835" w:rsidRDefault="00FA0835">
      <w:pPr>
        <w:pStyle w:val="JuHHead"/>
      </w:pPr>
      <w:r w:rsidRPr="0011250F">
        <w:t>FOR THESE REASONS, THE COURT UNANIMOUSLY</w:t>
      </w:r>
    </w:p>
    <w:p w:rsidR="00FA0835" w:rsidP="00FA0835" w:rsidRDefault="00FA0835">
      <w:pPr>
        <w:pStyle w:val="JuList"/>
      </w:pPr>
      <w:r>
        <w:t>1</w:t>
      </w:r>
      <w:r w:rsidRPr="00D9253E">
        <w:t>.  </w:t>
      </w:r>
      <w:r w:rsidRPr="00D9253E">
        <w:rPr>
          <w:i/>
        </w:rPr>
        <w:t>Declares</w:t>
      </w:r>
      <w:r w:rsidRPr="00D9253E">
        <w:t xml:space="preserve"> the complaints concerning Article 13 taken together with Articles 2 and 3, Article 5 §§ 1, 2 and 4 of the Convention and Article 4 of Protocol No. 4 to the Convention</w:t>
      </w:r>
      <w:r>
        <w:t xml:space="preserve"> </w:t>
      </w:r>
      <w:r w:rsidRPr="00D9253E">
        <w:t>admissible and the remainder of the application inadmissible;</w:t>
      </w:r>
    </w:p>
    <w:p w:rsidR="00FA0835" w:rsidP="00FA0835" w:rsidRDefault="00FA0835">
      <w:pPr>
        <w:pStyle w:val="JuList"/>
      </w:pPr>
    </w:p>
    <w:p w:rsidRPr="0011250F" w:rsidR="00FA0835" w:rsidP="00FA0835" w:rsidRDefault="00FA0835">
      <w:pPr>
        <w:pStyle w:val="JuList"/>
      </w:pPr>
      <w:r>
        <w:t>2</w:t>
      </w:r>
      <w:r w:rsidRPr="0011250F">
        <w:t>.  </w:t>
      </w:r>
      <w:r w:rsidRPr="0011250F">
        <w:rPr>
          <w:i/>
        </w:rPr>
        <w:t>Holds</w:t>
      </w:r>
      <w:r w:rsidRPr="0011250F">
        <w:t xml:space="preserve"> that there has been a violation of Article </w:t>
      </w:r>
      <w:r w:rsidRPr="00D9253E">
        <w:t xml:space="preserve">13 of the Convention taken together </w:t>
      </w:r>
      <w:r w:rsidRPr="003F077C">
        <w:t>with Articles 2 and 3;</w:t>
      </w:r>
    </w:p>
    <w:p w:rsidRPr="0011250F" w:rsidR="00FA0835" w:rsidP="00FA0835" w:rsidRDefault="00FA0835">
      <w:pPr>
        <w:pStyle w:val="JuList"/>
      </w:pPr>
    </w:p>
    <w:p w:rsidR="00FA0835" w:rsidP="00FA0835" w:rsidRDefault="00FA0835">
      <w:pPr>
        <w:pStyle w:val="JuList"/>
      </w:pPr>
      <w:r>
        <w:t>3</w:t>
      </w:r>
      <w:r w:rsidRPr="0011250F">
        <w:t>.  </w:t>
      </w:r>
      <w:r w:rsidRPr="0011250F">
        <w:rPr>
          <w:i/>
        </w:rPr>
        <w:t>Holds</w:t>
      </w:r>
      <w:r w:rsidRPr="0011250F">
        <w:t xml:space="preserve"> </w:t>
      </w:r>
      <w:r>
        <w:t xml:space="preserve">that there has been a violation </w:t>
      </w:r>
      <w:r w:rsidRPr="0011250F">
        <w:t xml:space="preserve">of Article </w:t>
      </w:r>
      <w:r w:rsidRPr="00D9253E">
        <w:t>5 § 4 of</w:t>
      </w:r>
      <w:r w:rsidRPr="0011250F">
        <w:t xml:space="preserve"> the Convention;</w:t>
      </w:r>
    </w:p>
    <w:p w:rsidRPr="0011250F" w:rsidR="00FA0835" w:rsidP="00FA0835" w:rsidRDefault="00FA0835">
      <w:pPr>
        <w:pStyle w:val="JuList"/>
        <w:ind w:left="0" w:firstLine="0"/>
      </w:pPr>
    </w:p>
    <w:p w:rsidR="00FA0835" w:rsidP="00FA0835" w:rsidRDefault="00FA0835">
      <w:pPr>
        <w:pStyle w:val="JuList"/>
      </w:pPr>
      <w:r>
        <w:t>4</w:t>
      </w:r>
      <w:r w:rsidRPr="0011250F">
        <w:t>.  </w:t>
      </w:r>
      <w:r w:rsidRPr="0011250F">
        <w:rPr>
          <w:i/>
        </w:rPr>
        <w:t>Holds</w:t>
      </w:r>
      <w:r w:rsidRPr="0011250F">
        <w:t xml:space="preserve"> </w:t>
      </w:r>
      <w:r>
        <w:t xml:space="preserve">that there has been a violation </w:t>
      </w:r>
      <w:r w:rsidRPr="0011250F">
        <w:t>of Artic</w:t>
      </w:r>
      <w:r w:rsidRPr="00D9253E">
        <w:t>le 5 § 1 of the Convention;</w:t>
      </w:r>
    </w:p>
    <w:p w:rsidRPr="0011250F" w:rsidR="00FA0835" w:rsidP="00FA0835" w:rsidRDefault="00FA0835">
      <w:pPr>
        <w:pStyle w:val="JuList"/>
        <w:ind w:left="0" w:firstLine="0"/>
      </w:pPr>
    </w:p>
    <w:p w:rsidRPr="003C3D3F" w:rsidR="00FA0835" w:rsidP="00FA0835" w:rsidRDefault="00FA0835">
      <w:pPr>
        <w:pStyle w:val="JuList"/>
      </w:pPr>
      <w:r w:rsidRPr="003C3D3F">
        <w:t>5.  </w:t>
      </w:r>
      <w:r w:rsidRPr="003C3D3F">
        <w:rPr>
          <w:i/>
        </w:rPr>
        <w:t>Holds</w:t>
      </w:r>
      <w:r w:rsidRPr="003C3D3F">
        <w:t xml:space="preserve"> that there has been no violation of Article 5 § 2 of the Convention in so far as the applicant</w:t>
      </w:r>
      <w:r w:rsidR="00A7319E">
        <w:t>’</w:t>
      </w:r>
      <w:r w:rsidRPr="003C3D3F">
        <w:t>s arrest on 11</w:t>
      </w:r>
      <w:r>
        <w:t xml:space="preserve"> </w:t>
      </w:r>
      <w:r w:rsidRPr="003C3D3F">
        <w:t xml:space="preserve">June 2010 and </w:t>
      </w:r>
      <w:r>
        <w:t>his</w:t>
      </w:r>
      <w:r w:rsidRPr="003C3D3F">
        <w:t xml:space="preserve"> ensuing detention on the basis of the deportation and detention </w:t>
      </w:r>
      <w:r>
        <w:t xml:space="preserve">orders </w:t>
      </w:r>
      <w:r w:rsidRPr="003C3D3F">
        <w:t>issued on that date are concerned;</w:t>
      </w:r>
    </w:p>
    <w:p w:rsidRPr="003C3D3F" w:rsidR="00FA0835" w:rsidP="00FA0835" w:rsidRDefault="00FA0835">
      <w:pPr>
        <w:pStyle w:val="JuList"/>
      </w:pPr>
    </w:p>
    <w:p w:rsidRPr="006540F5" w:rsidR="00FA0835" w:rsidP="00FA0835" w:rsidRDefault="00FA0835">
      <w:pPr>
        <w:pStyle w:val="JuList"/>
      </w:pPr>
      <w:r w:rsidRPr="003C3D3F">
        <w:t>6.  </w:t>
      </w:r>
      <w:r w:rsidRPr="003C3D3F">
        <w:rPr>
          <w:i/>
        </w:rPr>
        <w:t>Holds</w:t>
      </w:r>
      <w:r w:rsidRPr="003C3D3F">
        <w:t xml:space="preserve"> that no separate issue arises under Article 5 § 2 of the Convention in so far a</w:t>
      </w:r>
      <w:r>
        <w:t>s applicant</w:t>
      </w:r>
      <w:r w:rsidR="00A7319E">
        <w:t>’</w:t>
      </w:r>
      <w:r>
        <w:t xml:space="preserve">s detention from 20 </w:t>
      </w:r>
      <w:r w:rsidRPr="003C3D3F">
        <w:t>August 2010 until 3 May 2011 is concerned;</w:t>
      </w:r>
    </w:p>
    <w:p w:rsidRPr="006540F5" w:rsidR="00FA0835" w:rsidP="00FA0835" w:rsidRDefault="00FA0835">
      <w:pPr>
        <w:pStyle w:val="JuList"/>
        <w:ind w:left="0" w:firstLine="0"/>
      </w:pPr>
    </w:p>
    <w:p w:rsidR="00FA0835" w:rsidP="00FA0835" w:rsidRDefault="00FA0835">
      <w:pPr>
        <w:pStyle w:val="JuList"/>
      </w:pPr>
      <w:r>
        <w:t>7</w:t>
      </w:r>
      <w:r w:rsidRPr="0011250F">
        <w:t>.</w:t>
      </w:r>
      <w:r>
        <w:t>  </w:t>
      </w:r>
      <w:r w:rsidRPr="0011250F">
        <w:rPr>
          <w:i/>
        </w:rPr>
        <w:t>Holds</w:t>
      </w:r>
      <w:r w:rsidRPr="0011250F">
        <w:t xml:space="preserve"> </w:t>
      </w:r>
      <w:r>
        <w:t xml:space="preserve">that there has been no violation </w:t>
      </w:r>
      <w:r w:rsidRPr="0011250F">
        <w:t>of Article</w:t>
      </w:r>
      <w:r>
        <w:t xml:space="preserve"> 4 of Protocol No. 4 to</w:t>
      </w:r>
      <w:r w:rsidRPr="0011250F">
        <w:t xml:space="preserve"> the Convention;</w:t>
      </w:r>
    </w:p>
    <w:p w:rsidR="00FA0835" w:rsidP="00FA0835" w:rsidRDefault="00FA0835">
      <w:pPr>
        <w:pStyle w:val="JuList"/>
        <w:ind w:left="0" w:firstLine="0"/>
      </w:pPr>
    </w:p>
    <w:p w:rsidRPr="006B6041" w:rsidR="00FA0835" w:rsidP="00FA0835" w:rsidRDefault="00FA0835">
      <w:pPr>
        <w:pStyle w:val="JuList"/>
      </w:pPr>
      <w:r w:rsidRPr="006B6041">
        <w:t>8.  </w:t>
      </w:r>
      <w:r w:rsidRPr="006B6041">
        <w:rPr>
          <w:i/>
        </w:rPr>
        <w:t>Holds</w:t>
      </w:r>
    </w:p>
    <w:p w:rsidRPr="006B6041" w:rsidR="00FA0835" w:rsidP="00FA0835" w:rsidRDefault="00FA0835">
      <w:pPr>
        <w:pStyle w:val="JuLista"/>
      </w:pPr>
      <w:r w:rsidRPr="006B6041">
        <w:t>(a)  that the respondent State is to pay the applicant, within three months from the date on which the judgment becomes final in accordance with Article 44 § 2 of the Convention, EUR 10,000 (ten thousand euros), plus any tax that may be chargeable, in respect of non-pecuniary damage;</w:t>
      </w:r>
    </w:p>
    <w:p w:rsidRPr="0011250F" w:rsidR="00FA0835" w:rsidP="00FA0835" w:rsidRDefault="00FA0835">
      <w:pPr>
        <w:pStyle w:val="JuLista"/>
      </w:pPr>
      <w:r w:rsidRPr="006B6041">
        <w:t>(b)  that from the expiry of the above-mentioned three months until</w:t>
      </w:r>
      <w:r w:rsidRPr="0011250F">
        <w:t xml:space="preserve"> settlement simple interest shall be payable on the above amount</w:t>
      </w:r>
      <w:r>
        <w:t xml:space="preserve"> </w:t>
      </w:r>
      <w:r w:rsidRPr="0011250F">
        <w:t>at a rate equal to the marginal lending rate of the European Central Bank during the default period plus three percentage points;</w:t>
      </w:r>
    </w:p>
    <w:p w:rsidRPr="0011250F" w:rsidR="00FA0835" w:rsidP="00FA0835" w:rsidRDefault="00FA0835">
      <w:pPr>
        <w:pStyle w:val="JuList"/>
      </w:pPr>
    </w:p>
    <w:p w:rsidRPr="006B6041" w:rsidR="00FA0835" w:rsidP="00FA0835" w:rsidRDefault="00FA0835">
      <w:pPr>
        <w:pStyle w:val="JuList"/>
      </w:pPr>
      <w:r w:rsidRPr="006B6041">
        <w:t>9.  </w:t>
      </w:r>
      <w:r w:rsidRPr="006B6041">
        <w:rPr>
          <w:i/>
        </w:rPr>
        <w:t>Dismisses</w:t>
      </w:r>
      <w:r w:rsidRPr="006B6041">
        <w:t xml:space="preserve"> the remainder of the applicant</w:t>
      </w:r>
      <w:r w:rsidR="00A7319E">
        <w:t>’</w:t>
      </w:r>
      <w:r w:rsidRPr="006B6041">
        <w:t>s claim for just satisfaction.</w:t>
      </w:r>
    </w:p>
    <w:p w:rsidRPr="0011250F" w:rsidR="00FA0835" w:rsidP="00FA0835" w:rsidRDefault="00FA0835">
      <w:pPr>
        <w:pStyle w:val="JuParaLast"/>
      </w:pPr>
      <w:r w:rsidRPr="006B6041">
        <w:t>Done in English</w:t>
      </w:r>
      <w:r w:rsidRPr="0011250F">
        <w:t xml:space="preserve">, and notified in writing on </w:t>
      </w:r>
      <w:r>
        <w:t>23 July 2013</w:t>
      </w:r>
      <w:r w:rsidRPr="0011250F">
        <w:t>, pursuant to Rule 77 §§ 2 and 3 of the Rules of Court.</w:t>
      </w:r>
    </w:p>
    <w:p w:rsidRPr="00C170C6" w:rsidR="00FA0835" w:rsidP="00FA0835" w:rsidRDefault="00FA0835">
      <w:pPr>
        <w:pStyle w:val="JuSigned"/>
        <w:keepNext/>
        <w:keepLines/>
        <w:tabs>
          <w:tab w:val="clear" w:pos="851"/>
          <w:tab w:val="center" w:pos="1134"/>
        </w:tabs>
        <w:ind w:left="284" w:hanging="284"/>
        <w:rPr>
          <w:lang w:val="it-IT"/>
        </w:rPr>
      </w:pPr>
      <w:r>
        <w:rPr>
          <w:szCs w:val="24"/>
          <w:lang w:val="en-US"/>
        </w:rPr>
        <w:tab/>
      </w:r>
      <w:r>
        <w:rPr>
          <w:szCs w:val="24"/>
          <w:lang w:val="en-US"/>
        </w:rPr>
        <w:tab/>
      </w:r>
      <w:r w:rsidRPr="00C170C6">
        <w:rPr>
          <w:szCs w:val="24"/>
          <w:lang w:val="it-IT"/>
        </w:rPr>
        <w:t>Fato</w:t>
      </w:r>
      <w:r w:rsidRPr="00C170C6">
        <w:rPr>
          <w:rStyle w:val="JuJudgesChar"/>
          <w:lang w:val="it-IT"/>
        </w:rPr>
        <w:t>ş</w:t>
      </w:r>
      <w:r w:rsidRPr="00C170C6">
        <w:rPr>
          <w:szCs w:val="24"/>
          <w:lang w:val="it-IT"/>
        </w:rPr>
        <w:t xml:space="preserve"> </w:t>
      </w:r>
      <w:r w:rsidRPr="00C170C6">
        <w:rPr>
          <w:lang w:val="it-IT"/>
        </w:rPr>
        <w:t>Aracı</w:t>
      </w:r>
      <w:r w:rsidRPr="00C170C6">
        <w:rPr>
          <w:lang w:val="it-IT"/>
        </w:rPr>
        <w:tab/>
      </w:r>
      <w:r w:rsidRPr="00C170C6">
        <w:rPr>
          <w:rStyle w:val="sb8d990e2"/>
          <w:lang w:val="it-IT"/>
        </w:rPr>
        <w:t xml:space="preserve">Ineta </w:t>
      </w:r>
      <w:r w:rsidRPr="00C170C6">
        <w:rPr>
          <w:rStyle w:val="wordhighlighted"/>
          <w:lang w:val="it-IT"/>
        </w:rPr>
        <w:t>Ziemele</w:t>
      </w:r>
      <w:r w:rsidRPr="00C170C6">
        <w:rPr>
          <w:rStyle w:val="wordhighlighted"/>
          <w:lang w:val="it-IT"/>
        </w:rPr>
        <w:br/>
      </w:r>
      <w:r w:rsidRPr="00C170C6">
        <w:rPr>
          <w:iCs/>
          <w:lang w:val="it-IT"/>
        </w:rPr>
        <w:t>Deputy Registrar</w:t>
      </w:r>
      <w:r w:rsidRPr="00C170C6">
        <w:rPr>
          <w:lang w:val="it-IT"/>
        </w:rPr>
        <w:tab/>
        <w:t>President</w:t>
      </w:r>
    </w:p>
    <w:p w:rsidRPr="00C170C6" w:rsidR="00FA0835" w:rsidP="00FA0835" w:rsidRDefault="00FA0835">
      <w:pPr>
        <w:pStyle w:val="JuParaLast"/>
        <w:rPr>
          <w:lang w:val="it-IT"/>
        </w:rPr>
      </w:pPr>
    </w:p>
    <w:p w:rsidRPr="00FA0835" w:rsidR="00EC4AAB" w:rsidP="00FA0835" w:rsidRDefault="00EC4AAB">
      <w:pPr>
        <w:rPr>
          <w:lang w:val="it-IT"/>
        </w:rPr>
      </w:pPr>
    </w:p>
    <w:sectPr w:rsidRPr="00FA0835" w:rsidR="00EC4AAB" w:rsidSect="0004555A">
      <w:headerReference w:type="even" r:id="rId14"/>
      <w:headerReference w:type="default" r:id="rId15"/>
      <w:pgSz w:w="11906" w:h="16838" w:code="9"/>
      <w:pgMar w:top="2274" w:right="2274" w:bottom="2274" w:left="2268"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B4D" w:rsidRDefault="00F31B4D">
      <w:r>
        <w:separator/>
      </w:r>
    </w:p>
  </w:endnote>
  <w:endnote w:type="continuationSeparator" w:id="0">
    <w:p w:rsidR="00F31B4D" w:rsidRDefault="00F31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mnestyTradeGothic-BdCn20">
    <w:altName w:val="MS Mincho"/>
    <w:panose1 w:val="00000000000000000000"/>
    <w:charset w:val="80"/>
    <w:family w:val="auto"/>
    <w:notTrueType/>
    <w:pitch w:val="default"/>
    <w:sig w:usb0="00000003" w:usb1="08070000" w:usb2="00000010" w:usb3="00000000" w:csb0="00020001" w:csb1="00000000"/>
  </w:font>
  <w:font w:name="AmnestyTradeGothic">
    <w:panose1 w:val="00000000000000000000"/>
    <w:charset w:val="00"/>
    <w:family w:val="swiss"/>
    <w:notTrueType/>
    <w:pitch w:val="default"/>
    <w:sig w:usb0="00000003" w:usb1="00000000" w:usb2="00000000" w:usb3="00000000" w:csb0="00000001" w:csb1="00000000"/>
  </w:font>
  <w:font w:name="AmnestyTradeGothic-Light">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835" w:rsidRDefault="00FA08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835" w:rsidRDefault="00FA08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835" w:rsidRPr="00150BFA" w:rsidRDefault="00FA0835" w:rsidP="009D7D8C">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85pt;height:32.9pt">
          <v:imagedata r:id="rId1" o:title="DocFooter-03"/>
        </v:shape>
      </w:pict>
    </w:r>
  </w:p>
  <w:p w:rsidR="00FA0835" w:rsidRDefault="00FA08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B4D" w:rsidRDefault="00F31B4D">
      <w:r>
        <w:separator/>
      </w:r>
    </w:p>
  </w:footnote>
  <w:footnote w:type="continuationSeparator" w:id="0">
    <w:p w:rsidR="00F31B4D" w:rsidRDefault="00F31B4D">
      <w:r>
        <w:continuationSeparator/>
      </w:r>
    </w:p>
  </w:footnote>
  <w:footnote w:id="1">
    <w:p w:rsidR="00FA0835" w:rsidRDefault="00FA0835" w:rsidP="00FA0835">
      <w:pPr>
        <w:pStyle w:val="FootnoteText"/>
      </w:pPr>
      <w:r>
        <w:rPr>
          <w:rStyle w:val="FootnoteReference"/>
        </w:rPr>
        <w:footnoteRef/>
      </w:r>
      <w:r>
        <w:t xml:space="preserve"> Refugee Law (Law no. 6(I)/2000 as amended up to 2005); </w:t>
      </w:r>
      <w:r w:rsidRPr="004F6F99">
        <w:t>see paragraph 7</w:t>
      </w:r>
      <w:r>
        <w:t>4</w:t>
      </w:r>
      <w:r w:rsidRPr="004F6F99">
        <w:t xml:space="preserve"> below.</w:t>
      </w:r>
    </w:p>
  </w:footnote>
  <w:footnote w:id="2">
    <w:p w:rsidR="00FA0835" w:rsidRPr="005D18A3" w:rsidRDefault="00FA0835" w:rsidP="00FA0835">
      <w:pPr>
        <w:pStyle w:val="FootnoteText"/>
      </w:pPr>
      <w:r w:rsidRPr="00A0254F">
        <w:rPr>
          <w:rStyle w:val="FootnoteReference"/>
        </w:rPr>
        <w:footnoteRef/>
      </w:r>
      <w:r w:rsidRPr="00A0254F">
        <w:t xml:space="preserve"> Refugee</w:t>
      </w:r>
      <w:r>
        <w:t xml:space="preserve"> Law (Law no. 6(I)/2000 as amended up to 2009); </w:t>
      </w:r>
      <w:r w:rsidRPr="004F6F99">
        <w:rPr>
          <w:lang w:val="en-US"/>
        </w:rPr>
        <w:t>see paragraph 7</w:t>
      </w:r>
      <w:r>
        <w:rPr>
          <w:lang w:val="en-US"/>
        </w:rPr>
        <w:t>4</w:t>
      </w:r>
      <w:r w:rsidRPr="004F6F99">
        <w:rPr>
          <w:lang w:val="en-US"/>
        </w:rPr>
        <w:t xml:space="preserve"> below</w:t>
      </w:r>
      <w:r>
        <w:rPr>
          <w:lang w:val="en-US"/>
        </w:rPr>
        <w:t>.</w:t>
      </w:r>
    </w:p>
  </w:footnote>
  <w:footnote w:id="3">
    <w:p w:rsidR="00FA0835" w:rsidRPr="008D5B2D" w:rsidRDefault="00FA0835" w:rsidP="00FA0835">
      <w:pPr>
        <w:pStyle w:val="FootnoteText"/>
        <w:rPr>
          <w:lang w:val="en-US"/>
        </w:rPr>
      </w:pPr>
      <w:r>
        <w:rPr>
          <w:rStyle w:val="FootnoteReference"/>
        </w:rPr>
        <w:footnoteRef/>
      </w:r>
      <w:r>
        <w:t xml:space="preserve"> </w:t>
      </w:r>
      <w:r w:rsidRPr="008D5B2D">
        <w:rPr>
          <w:lang w:val="en-US"/>
        </w:rPr>
        <w:t>Most of these letters referred to groups of people</w:t>
      </w:r>
      <w:r>
        <w:rPr>
          <w:lang w:val="en-US"/>
        </w:rPr>
        <w:t>.</w:t>
      </w:r>
    </w:p>
  </w:footnote>
  <w:footnote w:id="4">
    <w:p w:rsidR="00FA0835" w:rsidRDefault="00FA0835" w:rsidP="00FA0835">
      <w:pPr>
        <w:pStyle w:val="FootnoteText"/>
      </w:pPr>
      <w:r w:rsidRPr="00A0254F">
        <w:rPr>
          <w:rStyle w:val="FootnoteReference"/>
        </w:rPr>
        <w:footnoteRef/>
      </w:r>
      <w:r w:rsidRPr="00A0254F">
        <w:t xml:space="preserve"> This figure is stated in documents submitted by the Government with no further details.</w:t>
      </w:r>
    </w:p>
    <w:p w:rsidR="00FA0835" w:rsidRDefault="00FA0835" w:rsidP="00FA0835">
      <w:pPr>
        <w:pStyle w:val="FootnoteText"/>
      </w:pPr>
    </w:p>
  </w:footnote>
  <w:footnote w:id="5">
    <w:p w:rsidR="00FA0835" w:rsidRDefault="00FA0835" w:rsidP="00FA0835">
      <w:pPr>
        <w:pStyle w:val="FootnoteText"/>
      </w:pPr>
      <w:r w:rsidRPr="00756FAD">
        <w:rPr>
          <w:rStyle w:val="FootnoteReference"/>
        </w:rPr>
        <w:footnoteRef/>
      </w:r>
      <w:r w:rsidRPr="00756FAD">
        <w:t xml:space="preserve"> 37 of the persons concerned have applications pending before the Court. In</w:t>
      </w:r>
      <w:r>
        <w:t xml:space="preserve"> </w:t>
      </w:r>
      <w:r w:rsidRPr="00FC0D41">
        <w:t>two</w:t>
      </w:r>
      <w:r w:rsidRPr="00756FAD">
        <w:t xml:space="preserve"> of these Rule 39 continues to be </w:t>
      </w:r>
      <w:r>
        <w:t>in force</w:t>
      </w:r>
      <w:r w:rsidRPr="00756FAD">
        <w:t>.</w:t>
      </w:r>
      <w:r>
        <w:t xml:space="preserve"> </w:t>
      </w:r>
    </w:p>
  </w:footnote>
  <w:footnote w:id="6">
    <w:p w:rsidR="00FA0835" w:rsidRPr="00092462" w:rsidRDefault="00FA0835" w:rsidP="00FA0835">
      <w:pPr>
        <w:pStyle w:val="FootnoteText"/>
        <w:rPr>
          <w:lang w:val="en-US"/>
        </w:rPr>
      </w:pPr>
      <w:r w:rsidRPr="00CD53E6">
        <w:rPr>
          <w:rStyle w:val="FootnoteReference"/>
        </w:rPr>
        <w:footnoteRef/>
      </w:r>
      <w:r w:rsidRPr="00CD53E6">
        <w:t xml:space="preserve"> </w:t>
      </w:r>
      <w:r w:rsidRPr="00CD53E6">
        <w:rPr>
          <w:lang w:val="en-US"/>
        </w:rPr>
        <w:t>Report of May 2011 by the NGO “KISA” – “Action for Equality, Support, Antiracism “and Report of 21 July 2011 by the NGO “Future World Centre”</w:t>
      </w:r>
      <w:r>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835" w:rsidRDefault="00FA08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835" w:rsidRPr="0004555A" w:rsidRDefault="00FA0835" w:rsidP="0004555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835" w:rsidRPr="00C00F0F" w:rsidRDefault="00FA083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6pt;height:164.3pt">
          <v:imagedata r:id="rId1" o:title="TranspDocHeaderBigBlack"/>
        </v:shape>
      </w:pict>
    </w:r>
  </w:p>
  <w:p w:rsidR="00FA0835" w:rsidRDefault="00FA08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8C" w:rsidRDefault="009D7D8C">
    <w:pPr>
      <w:pStyle w:val="JuHeader"/>
    </w:pPr>
    <w:r>
      <w:rPr>
        <w:rStyle w:val="PageNumber"/>
      </w:rPr>
      <w:fldChar w:fldCharType="begin"/>
    </w:r>
    <w:r>
      <w:rPr>
        <w:rStyle w:val="PageNumber"/>
      </w:rPr>
      <w:instrText xml:space="preserve"> PAGE </w:instrText>
    </w:r>
    <w:r>
      <w:rPr>
        <w:rStyle w:val="PageNumber"/>
      </w:rPr>
      <w:fldChar w:fldCharType="separate"/>
    </w:r>
    <w:r w:rsidR="00A7319E">
      <w:rPr>
        <w:rStyle w:val="PageNumber"/>
        <w:noProof/>
      </w:rPr>
      <w:t>6</w:t>
    </w:r>
    <w:r>
      <w:rPr>
        <w:rStyle w:val="PageNumber"/>
      </w:rPr>
      <w:fldChar w:fldCharType="end"/>
    </w:r>
    <w:r>
      <w:tab/>
    </w:r>
    <w:r w:rsidRPr="00782210">
      <w:t xml:space="preserve">M.A. v. CYPRUS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8C" w:rsidRDefault="009D7D8C">
    <w:pPr>
      <w:pStyle w:val="JuHeader"/>
    </w:pPr>
    <w:r>
      <w:tab/>
      <w:t>M.A. v. CYPRUS</w:t>
    </w:r>
    <w:r w:rsidR="00D93353">
      <w:t xml:space="preserve"> </w:t>
    </w:r>
    <w:r>
      <w:t>JUDGMENT</w:t>
    </w:r>
    <w:r>
      <w:tab/>
    </w:r>
    <w:r>
      <w:rPr>
        <w:rStyle w:val="PageNumber"/>
      </w:rPr>
      <w:fldChar w:fldCharType="begin"/>
    </w:r>
    <w:r>
      <w:rPr>
        <w:rStyle w:val="PageNumber"/>
      </w:rPr>
      <w:instrText xml:space="preserve"> PAGE </w:instrText>
    </w:r>
    <w:r>
      <w:rPr>
        <w:rStyle w:val="PageNumber"/>
      </w:rPr>
      <w:fldChar w:fldCharType="separate"/>
    </w:r>
    <w:r w:rsidR="00A7319E">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07002838"/>
    <w:multiLevelType w:val="hybridMultilevel"/>
    <w:tmpl w:val="C52CB948"/>
    <w:lvl w:ilvl="0" w:tplc="993AABE4">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
    <w:nsid w:val="0EB6017C"/>
    <w:multiLevelType w:val="hybridMultilevel"/>
    <w:tmpl w:val="B444037A"/>
    <w:lvl w:ilvl="0" w:tplc="B7362352">
      <w:start w:val="1"/>
      <w:numFmt w:val="upperLetter"/>
      <w:lvlText w:val="%1."/>
      <w:lvlJc w:val="left"/>
      <w:pPr>
        <w:tabs>
          <w:tab w:val="num" w:pos="592"/>
        </w:tabs>
        <w:ind w:left="592" w:hanging="360"/>
      </w:pPr>
      <w:rPr>
        <w:rFonts w:hint="default"/>
      </w:rPr>
    </w:lvl>
    <w:lvl w:ilvl="1" w:tplc="9B404B46">
      <w:start w:val="1"/>
      <w:numFmt w:val="decimal"/>
      <w:lvlText w:val="%2."/>
      <w:lvlJc w:val="left"/>
      <w:pPr>
        <w:tabs>
          <w:tab w:val="num" w:pos="1312"/>
        </w:tabs>
        <w:ind w:left="1312" w:hanging="360"/>
      </w:pPr>
      <w:rPr>
        <w:rFonts w:hint="default"/>
      </w:r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
    <w:nsid w:val="1480371D"/>
    <w:multiLevelType w:val="hybridMultilevel"/>
    <w:tmpl w:val="63AA0D0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EB356CB"/>
    <w:multiLevelType w:val="multilevel"/>
    <w:tmpl w:val="FF54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2E63AE"/>
    <w:multiLevelType w:val="hybridMultilevel"/>
    <w:tmpl w:val="BE380CAE"/>
    <w:lvl w:ilvl="0" w:tplc="2A324F2C">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3BE03FBA"/>
    <w:multiLevelType w:val="hybridMultilevel"/>
    <w:tmpl w:val="7E483812"/>
    <w:lvl w:ilvl="0" w:tplc="80C47222">
      <w:start w:val="1"/>
      <w:numFmt w:val="upperLetter"/>
      <w:lvlText w:val="%1."/>
      <w:lvlJc w:val="left"/>
      <w:pPr>
        <w:tabs>
          <w:tab w:val="num" w:pos="502"/>
        </w:tabs>
        <w:ind w:left="502" w:hanging="360"/>
      </w:pPr>
      <w:rPr>
        <w:rFonts w:hint="default"/>
      </w:rPr>
    </w:lvl>
    <w:lvl w:ilvl="1" w:tplc="8A8E0186">
      <w:start w:val="1"/>
      <w:numFmt w:val="decimal"/>
      <w:lvlText w:val="%2."/>
      <w:lvlJc w:val="left"/>
      <w:pPr>
        <w:tabs>
          <w:tab w:val="num" w:pos="1222"/>
        </w:tabs>
        <w:ind w:left="1222" w:hanging="360"/>
      </w:pPr>
      <w:rPr>
        <w:rFonts w:hint="default"/>
      </w:rPr>
    </w:lvl>
    <w:lvl w:ilvl="2" w:tplc="0809001B" w:tentative="1">
      <w:start w:val="1"/>
      <w:numFmt w:val="lowerRoman"/>
      <w:lvlText w:val="%3."/>
      <w:lvlJc w:val="right"/>
      <w:pPr>
        <w:tabs>
          <w:tab w:val="num" w:pos="1942"/>
        </w:tabs>
        <w:ind w:left="1942" w:hanging="180"/>
      </w:pPr>
    </w:lvl>
    <w:lvl w:ilvl="3" w:tplc="0809000F" w:tentative="1">
      <w:start w:val="1"/>
      <w:numFmt w:val="decimal"/>
      <w:lvlText w:val="%4."/>
      <w:lvlJc w:val="left"/>
      <w:pPr>
        <w:tabs>
          <w:tab w:val="num" w:pos="2662"/>
        </w:tabs>
        <w:ind w:left="2662" w:hanging="360"/>
      </w:pPr>
    </w:lvl>
    <w:lvl w:ilvl="4" w:tplc="08090019" w:tentative="1">
      <w:start w:val="1"/>
      <w:numFmt w:val="lowerLetter"/>
      <w:lvlText w:val="%5."/>
      <w:lvlJc w:val="left"/>
      <w:pPr>
        <w:tabs>
          <w:tab w:val="num" w:pos="3382"/>
        </w:tabs>
        <w:ind w:left="3382" w:hanging="360"/>
      </w:pPr>
    </w:lvl>
    <w:lvl w:ilvl="5" w:tplc="0809001B" w:tentative="1">
      <w:start w:val="1"/>
      <w:numFmt w:val="lowerRoman"/>
      <w:lvlText w:val="%6."/>
      <w:lvlJc w:val="right"/>
      <w:pPr>
        <w:tabs>
          <w:tab w:val="num" w:pos="4102"/>
        </w:tabs>
        <w:ind w:left="4102" w:hanging="180"/>
      </w:pPr>
    </w:lvl>
    <w:lvl w:ilvl="6" w:tplc="0809000F" w:tentative="1">
      <w:start w:val="1"/>
      <w:numFmt w:val="decimal"/>
      <w:lvlText w:val="%7."/>
      <w:lvlJc w:val="left"/>
      <w:pPr>
        <w:tabs>
          <w:tab w:val="num" w:pos="4822"/>
        </w:tabs>
        <w:ind w:left="4822" w:hanging="360"/>
      </w:pPr>
    </w:lvl>
    <w:lvl w:ilvl="7" w:tplc="08090019" w:tentative="1">
      <w:start w:val="1"/>
      <w:numFmt w:val="lowerLetter"/>
      <w:lvlText w:val="%8."/>
      <w:lvlJc w:val="left"/>
      <w:pPr>
        <w:tabs>
          <w:tab w:val="num" w:pos="5542"/>
        </w:tabs>
        <w:ind w:left="5542" w:hanging="360"/>
      </w:pPr>
    </w:lvl>
    <w:lvl w:ilvl="8" w:tplc="0809001B" w:tentative="1">
      <w:start w:val="1"/>
      <w:numFmt w:val="lowerRoman"/>
      <w:lvlText w:val="%9."/>
      <w:lvlJc w:val="right"/>
      <w:pPr>
        <w:tabs>
          <w:tab w:val="num" w:pos="6262"/>
        </w:tabs>
        <w:ind w:left="6262" w:hanging="180"/>
      </w:pPr>
    </w:lvl>
  </w:abstractNum>
  <w:abstractNum w:abstractNumId="7">
    <w:nsid w:val="46526F76"/>
    <w:multiLevelType w:val="hybridMultilevel"/>
    <w:tmpl w:val="EBBC39E4"/>
    <w:lvl w:ilvl="0" w:tplc="F6140D48">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8">
    <w:nsid w:val="47A551F0"/>
    <w:multiLevelType w:val="multilevel"/>
    <w:tmpl w:val="392A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206465"/>
    <w:multiLevelType w:val="hybridMultilevel"/>
    <w:tmpl w:val="820CA392"/>
    <w:lvl w:ilvl="0" w:tplc="35B4C0DE">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1">
    <w:nsid w:val="6C497094"/>
    <w:multiLevelType w:val="hybridMultilevel"/>
    <w:tmpl w:val="28EE78BA"/>
    <w:lvl w:ilvl="0" w:tplc="B67EB6E0">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2">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7C8F4BF5"/>
    <w:multiLevelType w:val="hybridMultilevel"/>
    <w:tmpl w:val="C1FEDA1C"/>
    <w:lvl w:ilvl="0" w:tplc="D188015E">
      <w:start w:val="1"/>
      <w:numFmt w:val="upperLetter"/>
      <w:lvlText w:val="%1."/>
      <w:lvlJc w:val="left"/>
      <w:pPr>
        <w:tabs>
          <w:tab w:val="num" w:pos="592"/>
        </w:tabs>
        <w:ind w:left="592" w:hanging="360"/>
      </w:pPr>
      <w:rPr>
        <w:rFonts w:hint="default"/>
      </w:rPr>
    </w:lvl>
    <w:lvl w:ilvl="1" w:tplc="EA94F60C">
      <w:start w:val="1"/>
      <w:numFmt w:val="lowerLetter"/>
      <w:lvlText w:val="%2."/>
      <w:lvlJc w:val="left"/>
      <w:pPr>
        <w:tabs>
          <w:tab w:val="num" w:pos="1312"/>
        </w:tabs>
        <w:ind w:left="1312" w:hanging="360"/>
      </w:pPr>
      <w:rPr>
        <w:rFonts w:hint="default"/>
      </w:r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nsid w:val="7F1E07D3"/>
    <w:multiLevelType w:val="hybridMultilevel"/>
    <w:tmpl w:val="DE4C9042"/>
    <w:lvl w:ilvl="0" w:tplc="E0BC447C">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num w:numId="1">
    <w:abstractNumId w:val="0"/>
  </w:num>
  <w:num w:numId="2">
    <w:abstractNumId w:val="10"/>
  </w:num>
  <w:num w:numId="3">
    <w:abstractNumId w:val="12"/>
  </w:num>
  <w:num w:numId="4">
    <w:abstractNumId w:val="12"/>
  </w:num>
  <w:num w:numId="5">
    <w:abstractNumId w:val="12"/>
  </w:num>
  <w:num w:numId="6">
    <w:abstractNumId w:val="12"/>
  </w:num>
  <w:num w:numId="7">
    <w:abstractNumId w:val="8"/>
  </w:num>
  <w:num w:numId="8">
    <w:abstractNumId w:val="4"/>
  </w:num>
  <w:num w:numId="9">
    <w:abstractNumId w:val="14"/>
  </w:num>
  <w:num w:numId="10">
    <w:abstractNumId w:val="13"/>
  </w:num>
  <w:num w:numId="11">
    <w:abstractNumId w:val="9"/>
  </w:num>
  <w:num w:numId="12">
    <w:abstractNumId w:val="7"/>
  </w:num>
  <w:num w:numId="13">
    <w:abstractNumId w:val="11"/>
  </w:num>
  <w:num w:numId="14">
    <w:abstractNumId w:val="2"/>
  </w:num>
  <w:num w:numId="15">
    <w:abstractNumId w:val="5"/>
  </w:num>
  <w:num w:numId="16">
    <w:abstractNumId w:val="3"/>
  </w:num>
  <w:num w:numId="17">
    <w:abstractNumId w:val="6"/>
  </w:num>
  <w:num w:numId="18">
    <w:abstractNumId w:val="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11250F"/>
    <w:rsid w:val="000007A8"/>
    <w:rsid w:val="000008B8"/>
    <w:rsid w:val="00000961"/>
    <w:rsid w:val="00000CF7"/>
    <w:rsid w:val="000017C6"/>
    <w:rsid w:val="00001A72"/>
    <w:rsid w:val="00001CC5"/>
    <w:rsid w:val="0000292F"/>
    <w:rsid w:val="00002DD1"/>
    <w:rsid w:val="000033BF"/>
    <w:rsid w:val="000033FE"/>
    <w:rsid w:val="00003BCE"/>
    <w:rsid w:val="00003F0B"/>
    <w:rsid w:val="000042D1"/>
    <w:rsid w:val="00004F3C"/>
    <w:rsid w:val="000050AC"/>
    <w:rsid w:val="00005152"/>
    <w:rsid w:val="0000569E"/>
    <w:rsid w:val="00005A50"/>
    <w:rsid w:val="00006368"/>
    <w:rsid w:val="00006404"/>
    <w:rsid w:val="000067C8"/>
    <w:rsid w:val="00006C45"/>
    <w:rsid w:val="000070B6"/>
    <w:rsid w:val="00007122"/>
    <w:rsid w:val="00007133"/>
    <w:rsid w:val="00007183"/>
    <w:rsid w:val="00010DE7"/>
    <w:rsid w:val="00010E58"/>
    <w:rsid w:val="00010ED6"/>
    <w:rsid w:val="0001134A"/>
    <w:rsid w:val="000113EE"/>
    <w:rsid w:val="000121E6"/>
    <w:rsid w:val="000121F8"/>
    <w:rsid w:val="000122E2"/>
    <w:rsid w:val="000137F4"/>
    <w:rsid w:val="00013894"/>
    <w:rsid w:val="00013A66"/>
    <w:rsid w:val="000141F8"/>
    <w:rsid w:val="00014B43"/>
    <w:rsid w:val="00015031"/>
    <w:rsid w:val="0001515F"/>
    <w:rsid w:val="000159E6"/>
    <w:rsid w:val="00015B55"/>
    <w:rsid w:val="00015CF3"/>
    <w:rsid w:val="000163FC"/>
    <w:rsid w:val="00016C62"/>
    <w:rsid w:val="00017B3F"/>
    <w:rsid w:val="00017CAD"/>
    <w:rsid w:val="00017D1C"/>
    <w:rsid w:val="00017D58"/>
    <w:rsid w:val="00017DA5"/>
    <w:rsid w:val="00020179"/>
    <w:rsid w:val="00020E76"/>
    <w:rsid w:val="00021D24"/>
    <w:rsid w:val="00021E23"/>
    <w:rsid w:val="00022129"/>
    <w:rsid w:val="000222EB"/>
    <w:rsid w:val="00022AC8"/>
    <w:rsid w:val="00022D34"/>
    <w:rsid w:val="00022D80"/>
    <w:rsid w:val="000235A8"/>
    <w:rsid w:val="000239E8"/>
    <w:rsid w:val="0002401E"/>
    <w:rsid w:val="000241AF"/>
    <w:rsid w:val="00024596"/>
    <w:rsid w:val="0002471D"/>
    <w:rsid w:val="00024AAB"/>
    <w:rsid w:val="00024C83"/>
    <w:rsid w:val="00024E14"/>
    <w:rsid w:val="00025579"/>
    <w:rsid w:val="0002613B"/>
    <w:rsid w:val="0002749F"/>
    <w:rsid w:val="000275E8"/>
    <w:rsid w:val="00027972"/>
    <w:rsid w:val="00030031"/>
    <w:rsid w:val="000311D6"/>
    <w:rsid w:val="000319B7"/>
    <w:rsid w:val="00031F6A"/>
    <w:rsid w:val="000327A8"/>
    <w:rsid w:val="000327E8"/>
    <w:rsid w:val="00032E52"/>
    <w:rsid w:val="00032E56"/>
    <w:rsid w:val="00033160"/>
    <w:rsid w:val="00033453"/>
    <w:rsid w:val="00033FD2"/>
    <w:rsid w:val="00034659"/>
    <w:rsid w:val="00034C66"/>
    <w:rsid w:val="00034E41"/>
    <w:rsid w:val="00035492"/>
    <w:rsid w:val="000354FE"/>
    <w:rsid w:val="00035795"/>
    <w:rsid w:val="00035AB9"/>
    <w:rsid w:val="00035E5C"/>
    <w:rsid w:val="000363BE"/>
    <w:rsid w:val="000364E6"/>
    <w:rsid w:val="00036656"/>
    <w:rsid w:val="0003679E"/>
    <w:rsid w:val="000369FE"/>
    <w:rsid w:val="00036C65"/>
    <w:rsid w:val="0003733B"/>
    <w:rsid w:val="00037533"/>
    <w:rsid w:val="00037786"/>
    <w:rsid w:val="00037943"/>
    <w:rsid w:val="0003797E"/>
    <w:rsid w:val="0004024B"/>
    <w:rsid w:val="00040323"/>
    <w:rsid w:val="0004086E"/>
    <w:rsid w:val="00041024"/>
    <w:rsid w:val="000413D6"/>
    <w:rsid w:val="00041FBB"/>
    <w:rsid w:val="00042543"/>
    <w:rsid w:val="000425A0"/>
    <w:rsid w:val="0004268E"/>
    <w:rsid w:val="00042867"/>
    <w:rsid w:val="00042BE0"/>
    <w:rsid w:val="00043B5A"/>
    <w:rsid w:val="00043D6F"/>
    <w:rsid w:val="00043F37"/>
    <w:rsid w:val="00044374"/>
    <w:rsid w:val="00044875"/>
    <w:rsid w:val="000448A7"/>
    <w:rsid w:val="00044A88"/>
    <w:rsid w:val="000451F9"/>
    <w:rsid w:val="00045263"/>
    <w:rsid w:val="0004555A"/>
    <w:rsid w:val="000455B6"/>
    <w:rsid w:val="00045BE9"/>
    <w:rsid w:val="00045CE9"/>
    <w:rsid w:val="00046146"/>
    <w:rsid w:val="00046517"/>
    <w:rsid w:val="000467F4"/>
    <w:rsid w:val="00046834"/>
    <w:rsid w:val="000468CC"/>
    <w:rsid w:val="00046D26"/>
    <w:rsid w:val="00047124"/>
    <w:rsid w:val="00047E29"/>
    <w:rsid w:val="000507C1"/>
    <w:rsid w:val="0005080F"/>
    <w:rsid w:val="000517E9"/>
    <w:rsid w:val="00052202"/>
    <w:rsid w:val="000522C7"/>
    <w:rsid w:val="000529C5"/>
    <w:rsid w:val="00053378"/>
    <w:rsid w:val="0005339D"/>
    <w:rsid w:val="00053EFC"/>
    <w:rsid w:val="0005422E"/>
    <w:rsid w:val="000542F1"/>
    <w:rsid w:val="00054468"/>
    <w:rsid w:val="000547F8"/>
    <w:rsid w:val="000551E0"/>
    <w:rsid w:val="0005522C"/>
    <w:rsid w:val="0005551A"/>
    <w:rsid w:val="00055705"/>
    <w:rsid w:val="000558FC"/>
    <w:rsid w:val="00055AC1"/>
    <w:rsid w:val="0005603B"/>
    <w:rsid w:val="000563D7"/>
    <w:rsid w:val="00056873"/>
    <w:rsid w:val="00056C75"/>
    <w:rsid w:val="0005705B"/>
    <w:rsid w:val="00057321"/>
    <w:rsid w:val="0005799A"/>
    <w:rsid w:val="00060C06"/>
    <w:rsid w:val="00060D7D"/>
    <w:rsid w:val="000612E2"/>
    <w:rsid w:val="0006147F"/>
    <w:rsid w:val="000614A5"/>
    <w:rsid w:val="000624AD"/>
    <w:rsid w:val="00062550"/>
    <w:rsid w:val="0006294E"/>
    <w:rsid w:val="00063376"/>
    <w:rsid w:val="000634AA"/>
    <w:rsid w:val="00064129"/>
    <w:rsid w:val="000642FF"/>
    <w:rsid w:val="000646D5"/>
    <w:rsid w:val="00065070"/>
    <w:rsid w:val="0006507A"/>
    <w:rsid w:val="000650A8"/>
    <w:rsid w:val="00065788"/>
    <w:rsid w:val="00065AE9"/>
    <w:rsid w:val="00065C3C"/>
    <w:rsid w:val="00065DE0"/>
    <w:rsid w:val="000664B4"/>
    <w:rsid w:val="00066CBC"/>
    <w:rsid w:val="00067291"/>
    <w:rsid w:val="00067F7F"/>
    <w:rsid w:val="00070590"/>
    <w:rsid w:val="00070A28"/>
    <w:rsid w:val="00070CF2"/>
    <w:rsid w:val="00070D5A"/>
    <w:rsid w:val="00071003"/>
    <w:rsid w:val="00071069"/>
    <w:rsid w:val="000711E7"/>
    <w:rsid w:val="00071CC5"/>
    <w:rsid w:val="00071D95"/>
    <w:rsid w:val="000726F6"/>
    <w:rsid w:val="00072CB3"/>
    <w:rsid w:val="00072EF3"/>
    <w:rsid w:val="00073AD0"/>
    <w:rsid w:val="000740AB"/>
    <w:rsid w:val="000741BF"/>
    <w:rsid w:val="00074E83"/>
    <w:rsid w:val="00075515"/>
    <w:rsid w:val="0007560D"/>
    <w:rsid w:val="00075620"/>
    <w:rsid w:val="00075960"/>
    <w:rsid w:val="00075F3F"/>
    <w:rsid w:val="00076428"/>
    <w:rsid w:val="00076563"/>
    <w:rsid w:val="00076717"/>
    <w:rsid w:val="00076792"/>
    <w:rsid w:val="00076A67"/>
    <w:rsid w:val="00076EF5"/>
    <w:rsid w:val="000770FA"/>
    <w:rsid w:val="000771DF"/>
    <w:rsid w:val="000772BD"/>
    <w:rsid w:val="000774B8"/>
    <w:rsid w:val="0007751E"/>
    <w:rsid w:val="00077828"/>
    <w:rsid w:val="0008007F"/>
    <w:rsid w:val="00081782"/>
    <w:rsid w:val="00081E2E"/>
    <w:rsid w:val="00082380"/>
    <w:rsid w:val="00082597"/>
    <w:rsid w:val="00083579"/>
    <w:rsid w:val="000836F6"/>
    <w:rsid w:val="00083A2C"/>
    <w:rsid w:val="0008401E"/>
    <w:rsid w:val="00084588"/>
    <w:rsid w:val="000845AD"/>
    <w:rsid w:val="00084701"/>
    <w:rsid w:val="00084703"/>
    <w:rsid w:val="00084BEC"/>
    <w:rsid w:val="000856E6"/>
    <w:rsid w:val="00085837"/>
    <w:rsid w:val="00085B3A"/>
    <w:rsid w:val="00085D07"/>
    <w:rsid w:val="00086596"/>
    <w:rsid w:val="000867A3"/>
    <w:rsid w:val="00087412"/>
    <w:rsid w:val="0008752C"/>
    <w:rsid w:val="0008764F"/>
    <w:rsid w:val="00087B7F"/>
    <w:rsid w:val="00087D90"/>
    <w:rsid w:val="00087EF6"/>
    <w:rsid w:val="000901FD"/>
    <w:rsid w:val="00090C82"/>
    <w:rsid w:val="00091009"/>
    <w:rsid w:val="00091656"/>
    <w:rsid w:val="00091A8E"/>
    <w:rsid w:val="00091B27"/>
    <w:rsid w:val="00092063"/>
    <w:rsid w:val="00092462"/>
    <w:rsid w:val="000926CE"/>
    <w:rsid w:val="000927A8"/>
    <w:rsid w:val="00092A4D"/>
    <w:rsid w:val="00092B2C"/>
    <w:rsid w:val="0009325A"/>
    <w:rsid w:val="000934BF"/>
    <w:rsid w:val="00093765"/>
    <w:rsid w:val="0009409F"/>
    <w:rsid w:val="000949F0"/>
    <w:rsid w:val="00094CF6"/>
    <w:rsid w:val="00094DBC"/>
    <w:rsid w:val="00094DBF"/>
    <w:rsid w:val="0009540C"/>
    <w:rsid w:val="00095482"/>
    <w:rsid w:val="0009592A"/>
    <w:rsid w:val="00095A58"/>
    <w:rsid w:val="00095E5B"/>
    <w:rsid w:val="000962B7"/>
    <w:rsid w:val="000971BD"/>
    <w:rsid w:val="00097445"/>
    <w:rsid w:val="000977C6"/>
    <w:rsid w:val="000A02CB"/>
    <w:rsid w:val="000A0D03"/>
    <w:rsid w:val="000A1078"/>
    <w:rsid w:val="000A1632"/>
    <w:rsid w:val="000A1866"/>
    <w:rsid w:val="000A223C"/>
    <w:rsid w:val="000A2574"/>
    <w:rsid w:val="000A2691"/>
    <w:rsid w:val="000A2CD4"/>
    <w:rsid w:val="000A347E"/>
    <w:rsid w:val="000A412A"/>
    <w:rsid w:val="000A46A8"/>
    <w:rsid w:val="000A4A12"/>
    <w:rsid w:val="000A5684"/>
    <w:rsid w:val="000A5815"/>
    <w:rsid w:val="000A655F"/>
    <w:rsid w:val="000A6C0E"/>
    <w:rsid w:val="000A71F6"/>
    <w:rsid w:val="000A7370"/>
    <w:rsid w:val="000A7426"/>
    <w:rsid w:val="000A74B5"/>
    <w:rsid w:val="000A7D11"/>
    <w:rsid w:val="000B1232"/>
    <w:rsid w:val="000B13CD"/>
    <w:rsid w:val="000B19A2"/>
    <w:rsid w:val="000B1B4C"/>
    <w:rsid w:val="000B21C4"/>
    <w:rsid w:val="000B22AA"/>
    <w:rsid w:val="000B23E3"/>
    <w:rsid w:val="000B2493"/>
    <w:rsid w:val="000B2588"/>
    <w:rsid w:val="000B3593"/>
    <w:rsid w:val="000B35F2"/>
    <w:rsid w:val="000B3F4E"/>
    <w:rsid w:val="000B422C"/>
    <w:rsid w:val="000B4373"/>
    <w:rsid w:val="000B43DD"/>
    <w:rsid w:val="000B465A"/>
    <w:rsid w:val="000B50B1"/>
    <w:rsid w:val="000B5265"/>
    <w:rsid w:val="000B56FD"/>
    <w:rsid w:val="000B5758"/>
    <w:rsid w:val="000B59BA"/>
    <w:rsid w:val="000B64A8"/>
    <w:rsid w:val="000B67B3"/>
    <w:rsid w:val="000B6C96"/>
    <w:rsid w:val="000B7251"/>
    <w:rsid w:val="000B765B"/>
    <w:rsid w:val="000B7677"/>
    <w:rsid w:val="000B79D7"/>
    <w:rsid w:val="000B7F4D"/>
    <w:rsid w:val="000C0C06"/>
    <w:rsid w:val="000C0D7E"/>
    <w:rsid w:val="000C0DB8"/>
    <w:rsid w:val="000C0E3E"/>
    <w:rsid w:val="000C10EA"/>
    <w:rsid w:val="000C10F9"/>
    <w:rsid w:val="000C1826"/>
    <w:rsid w:val="000C1AA8"/>
    <w:rsid w:val="000C1F27"/>
    <w:rsid w:val="000C22CC"/>
    <w:rsid w:val="000C27F1"/>
    <w:rsid w:val="000C3A56"/>
    <w:rsid w:val="000C431E"/>
    <w:rsid w:val="000C4B92"/>
    <w:rsid w:val="000C59D2"/>
    <w:rsid w:val="000C5A9B"/>
    <w:rsid w:val="000C5D06"/>
    <w:rsid w:val="000C5EE8"/>
    <w:rsid w:val="000C6BD1"/>
    <w:rsid w:val="000C6CB1"/>
    <w:rsid w:val="000C6D11"/>
    <w:rsid w:val="000C71F0"/>
    <w:rsid w:val="000C79E9"/>
    <w:rsid w:val="000C7C06"/>
    <w:rsid w:val="000C7C4E"/>
    <w:rsid w:val="000C7E8F"/>
    <w:rsid w:val="000D0148"/>
    <w:rsid w:val="000D017B"/>
    <w:rsid w:val="000D0390"/>
    <w:rsid w:val="000D0E1D"/>
    <w:rsid w:val="000D0E3F"/>
    <w:rsid w:val="000D0E41"/>
    <w:rsid w:val="000D0F2E"/>
    <w:rsid w:val="000D0FE9"/>
    <w:rsid w:val="000D1C62"/>
    <w:rsid w:val="000D1D3F"/>
    <w:rsid w:val="000D2084"/>
    <w:rsid w:val="000D25C0"/>
    <w:rsid w:val="000D2625"/>
    <w:rsid w:val="000D33E9"/>
    <w:rsid w:val="000D3879"/>
    <w:rsid w:val="000D3B1F"/>
    <w:rsid w:val="000D4296"/>
    <w:rsid w:val="000D431F"/>
    <w:rsid w:val="000D466E"/>
    <w:rsid w:val="000D4903"/>
    <w:rsid w:val="000D4B6E"/>
    <w:rsid w:val="000D4EEA"/>
    <w:rsid w:val="000D5762"/>
    <w:rsid w:val="000D58E7"/>
    <w:rsid w:val="000D60A4"/>
    <w:rsid w:val="000D6108"/>
    <w:rsid w:val="000D6559"/>
    <w:rsid w:val="000D6D2B"/>
    <w:rsid w:val="000D715D"/>
    <w:rsid w:val="000D74E4"/>
    <w:rsid w:val="000D7530"/>
    <w:rsid w:val="000D7861"/>
    <w:rsid w:val="000D7BE5"/>
    <w:rsid w:val="000D7E11"/>
    <w:rsid w:val="000E04E7"/>
    <w:rsid w:val="000E091E"/>
    <w:rsid w:val="000E0CFB"/>
    <w:rsid w:val="000E13CD"/>
    <w:rsid w:val="000E1443"/>
    <w:rsid w:val="000E1449"/>
    <w:rsid w:val="000E2950"/>
    <w:rsid w:val="000E3F3A"/>
    <w:rsid w:val="000E44DB"/>
    <w:rsid w:val="000E5FF1"/>
    <w:rsid w:val="000E6161"/>
    <w:rsid w:val="000E6CCF"/>
    <w:rsid w:val="000E79CC"/>
    <w:rsid w:val="000E7A5E"/>
    <w:rsid w:val="000E7AD0"/>
    <w:rsid w:val="000F0139"/>
    <w:rsid w:val="000F1221"/>
    <w:rsid w:val="000F1944"/>
    <w:rsid w:val="000F28DA"/>
    <w:rsid w:val="000F2A65"/>
    <w:rsid w:val="000F2ABF"/>
    <w:rsid w:val="000F2D2B"/>
    <w:rsid w:val="000F3184"/>
    <w:rsid w:val="000F3CEB"/>
    <w:rsid w:val="000F3FC8"/>
    <w:rsid w:val="000F40AF"/>
    <w:rsid w:val="000F41C2"/>
    <w:rsid w:val="000F4B90"/>
    <w:rsid w:val="000F4FE8"/>
    <w:rsid w:val="000F507E"/>
    <w:rsid w:val="000F5A31"/>
    <w:rsid w:val="000F5B7B"/>
    <w:rsid w:val="000F5CE7"/>
    <w:rsid w:val="000F5E83"/>
    <w:rsid w:val="000F60D2"/>
    <w:rsid w:val="000F615D"/>
    <w:rsid w:val="000F6195"/>
    <w:rsid w:val="000F6327"/>
    <w:rsid w:val="000F699D"/>
    <w:rsid w:val="000F6CBA"/>
    <w:rsid w:val="000F76C7"/>
    <w:rsid w:val="000F78C8"/>
    <w:rsid w:val="00100B9E"/>
    <w:rsid w:val="00100C39"/>
    <w:rsid w:val="00100C81"/>
    <w:rsid w:val="00100EAF"/>
    <w:rsid w:val="00101B1E"/>
    <w:rsid w:val="00101DEB"/>
    <w:rsid w:val="001026BB"/>
    <w:rsid w:val="00102DAA"/>
    <w:rsid w:val="00102DB8"/>
    <w:rsid w:val="00102F44"/>
    <w:rsid w:val="00103715"/>
    <w:rsid w:val="001037E4"/>
    <w:rsid w:val="00104274"/>
    <w:rsid w:val="001046D8"/>
    <w:rsid w:val="001048AA"/>
    <w:rsid w:val="00104AD1"/>
    <w:rsid w:val="00105B16"/>
    <w:rsid w:val="00105BCD"/>
    <w:rsid w:val="00105C75"/>
    <w:rsid w:val="00106442"/>
    <w:rsid w:val="00106D60"/>
    <w:rsid w:val="00107C32"/>
    <w:rsid w:val="00110FE6"/>
    <w:rsid w:val="00111D99"/>
    <w:rsid w:val="00111DAB"/>
    <w:rsid w:val="00111E8C"/>
    <w:rsid w:val="0011230F"/>
    <w:rsid w:val="0011250F"/>
    <w:rsid w:val="00112A37"/>
    <w:rsid w:val="00112AC2"/>
    <w:rsid w:val="00113199"/>
    <w:rsid w:val="001132DF"/>
    <w:rsid w:val="00113560"/>
    <w:rsid w:val="001135FF"/>
    <w:rsid w:val="001138AD"/>
    <w:rsid w:val="001147F7"/>
    <w:rsid w:val="001153A1"/>
    <w:rsid w:val="0011547E"/>
    <w:rsid w:val="001155AF"/>
    <w:rsid w:val="00115CA6"/>
    <w:rsid w:val="001164D3"/>
    <w:rsid w:val="0011665B"/>
    <w:rsid w:val="0011669C"/>
    <w:rsid w:val="00116721"/>
    <w:rsid w:val="00116997"/>
    <w:rsid w:val="00116A4A"/>
    <w:rsid w:val="00116EC9"/>
    <w:rsid w:val="0011773B"/>
    <w:rsid w:val="001177E7"/>
    <w:rsid w:val="00117F30"/>
    <w:rsid w:val="001202E2"/>
    <w:rsid w:val="001205FF"/>
    <w:rsid w:val="00120979"/>
    <w:rsid w:val="00121752"/>
    <w:rsid w:val="0012185D"/>
    <w:rsid w:val="00121EE9"/>
    <w:rsid w:val="00122051"/>
    <w:rsid w:val="00122335"/>
    <w:rsid w:val="0012288F"/>
    <w:rsid w:val="001234D1"/>
    <w:rsid w:val="001235AA"/>
    <w:rsid w:val="001237D3"/>
    <w:rsid w:val="00123ECC"/>
    <w:rsid w:val="00124603"/>
    <w:rsid w:val="00124E02"/>
    <w:rsid w:val="001256B6"/>
    <w:rsid w:val="0012575D"/>
    <w:rsid w:val="00125B6A"/>
    <w:rsid w:val="00126105"/>
    <w:rsid w:val="00126213"/>
    <w:rsid w:val="00126450"/>
    <w:rsid w:val="00127562"/>
    <w:rsid w:val="001304C7"/>
    <w:rsid w:val="0013070E"/>
    <w:rsid w:val="00130806"/>
    <w:rsid w:val="00130CE3"/>
    <w:rsid w:val="00130CE8"/>
    <w:rsid w:val="0013107D"/>
    <w:rsid w:val="00131221"/>
    <w:rsid w:val="001312C0"/>
    <w:rsid w:val="001329DB"/>
    <w:rsid w:val="00132B76"/>
    <w:rsid w:val="00133530"/>
    <w:rsid w:val="00133D57"/>
    <w:rsid w:val="001342A1"/>
    <w:rsid w:val="001343A7"/>
    <w:rsid w:val="00135346"/>
    <w:rsid w:val="00135DBF"/>
    <w:rsid w:val="00136BF2"/>
    <w:rsid w:val="00136E9F"/>
    <w:rsid w:val="00137260"/>
    <w:rsid w:val="00137395"/>
    <w:rsid w:val="0014042C"/>
    <w:rsid w:val="001405B4"/>
    <w:rsid w:val="00140807"/>
    <w:rsid w:val="00140960"/>
    <w:rsid w:val="00141595"/>
    <w:rsid w:val="00141612"/>
    <w:rsid w:val="00141C1F"/>
    <w:rsid w:val="001422F4"/>
    <w:rsid w:val="00142465"/>
    <w:rsid w:val="001425AB"/>
    <w:rsid w:val="001437A4"/>
    <w:rsid w:val="00143A06"/>
    <w:rsid w:val="00143DA3"/>
    <w:rsid w:val="001450A9"/>
    <w:rsid w:val="00145372"/>
    <w:rsid w:val="00145500"/>
    <w:rsid w:val="0014582B"/>
    <w:rsid w:val="00145BA0"/>
    <w:rsid w:val="00145D17"/>
    <w:rsid w:val="0014641E"/>
    <w:rsid w:val="00146E17"/>
    <w:rsid w:val="001479B6"/>
    <w:rsid w:val="00147C9C"/>
    <w:rsid w:val="0015047E"/>
    <w:rsid w:val="00150DB0"/>
    <w:rsid w:val="00150DC8"/>
    <w:rsid w:val="00150F8B"/>
    <w:rsid w:val="00151443"/>
    <w:rsid w:val="00151CCA"/>
    <w:rsid w:val="0015240B"/>
    <w:rsid w:val="00152538"/>
    <w:rsid w:val="0015281F"/>
    <w:rsid w:val="00152958"/>
    <w:rsid w:val="001529F4"/>
    <w:rsid w:val="00152B70"/>
    <w:rsid w:val="00152C8E"/>
    <w:rsid w:val="00153348"/>
    <w:rsid w:val="00153C5E"/>
    <w:rsid w:val="00154002"/>
    <w:rsid w:val="001541F4"/>
    <w:rsid w:val="001544A7"/>
    <w:rsid w:val="001545A4"/>
    <w:rsid w:val="00154999"/>
    <w:rsid w:val="00154E25"/>
    <w:rsid w:val="00155D2C"/>
    <w:rsid w:val="001563E8"/>
    <w:rsid w:val="00156D8F"/>
    <w:rsid w:val="00157066"/>
    <w:rsid w:val="001576E4"/>
    <w:rsid w:val="00157901"/>
    <w:rsid w:val="00157BD8"/>
    <w:rsid w:val="001603A5"/>
    <w:rsid w:val="0016072E"/>
    <w:rsid w:val="0016073B"/>
    <w:rsid w:val="001611ED"/>
    <w:rsid w:val="0016120B"/>
    <w:rsid w:val="0016154D"/>
    <w:rsid w:val="00161B4F"/>
    <w:rsid w:val="001621B2"/>
    <w:rsid w:val="001627DF"/>
    <w:rsid w:val="00162D5C"/>
    <w:rsid w:val="00162D7E"/>
    <w:rsid w:val="00163291"/>
    <w:rsid w:val="00163E1F"/>
    <w:rsid w:val="00164390"/>
    <w:rsid w:val="00164822"/>
    <w:rsid w:val="001650DB"/>
    <w:rsid w:val="00165A48"/>
    <w:rsid w:val="001662C3"/>
    <w:rsid w:val="00166E53"/>
    <w:rsid w:val="00167DD6"/>
    <w:rsid w:val="001707CF"/>
    <w:rsid w:val="00171D15"/>
    <w:rsid w:val="00171E6B"/>
    <w:rsid w:val="00171FCC"/>
    <w:rsid w:val="00172783"/>
    <w:rsid w:val="0017293C"/>
    <w:rsid w:val="00172A89"/>
    <w:rsid w:val="00172AF0"/>
    <w:rsid w:val="001730B7"/>
    <w:rsid w:val="00173641"/>
    <w:rsid w:val="00173904"/>
    <w:rsid w:val="00174336"/>
    <w:rsid w:val="0017477A"/>
    <w:rsid w:val="001748B1"/>
    <w:rsid w:val="00174A6F"/>
    <w:rsid w:val="00174A78"/>
    <w:rsid w:val="00175113"/>
    <w:rsid w:val="00175584"/>
    <w:rsid w:val="001755DF"/>
    <w:rsid w:val="00176557"/>
    <w:rsid w:val="00176A2D"/>
    <w:rsid w:val="0017704B"/>
    <w:rsid w:val="001770F5"/>
    <w:rsid w:val="001771C7"/>
    <w:rsid w:val="0017720E"/>
    <w:rsid w:val="0017776A"/>
    <w:rsid w:val="00177C8D"/>
    <w:rsid w:val="00177D9C"/>
    <w:rsid w:val="00180D68"/>
    <w:rsid w:val="001812B2"/>
    <w:rsid w:val="001817E7"/>
    <w:rsid w:val="001818F9"/>
    <w:rsid w:val="00181A13"/>
    <w:rsid w:val="00181B11"/>
    <w:rsid w:val="00181E19"/>
    <w:rsid w:val="001823BF"/>
    <w:rsid w:val="00182791"/>
    <w:rsid w:val="0018282E"/>
    <w:rsid w:val="00183822"/>
    <w:rsid w:val="001841C1"/>
    <w:rsid w:val="00184398"/>
    <w:rsid w:val="001843C5"/>
    <w:rsid w:val="00184623"/>
    <w:rsid w:val="00184631"/>
    <w:rsid w:val="00184881"/>
    <w:rsid w:val="00184AA8"/>
    <w:rsid w:val="00184C19"/>
    <w:rsid w:val="00185806"/>
    <w:rsid w:val="00187016"/>
    <w:rsid w:val="00190198"/>
    <w:rsid w:val="001905A5"/>
    <w:rsid w:val="00190622"/>
    <w:rsid w:val="00192518"/>
    <w:rsid w:val="001925D9"/>
    <w:rsid w:val="0019388B"/>
    <w:rsid w:val="00193A4F"/>
    <w:rsid w:val="00193CD7"/>
    <w:rsid w:val="00193E13"/>
    <w:rsid w:val="00195281"/>
    <w:rsid w:val="00195378"/>
    <w:rsid w:val="00195457"/>
    <w:rsid w:val="00195470"/>
    <w:rsid w:val="0019575F"/>
    <w:rsid w:val="00195EC1"/>
    <w:rsid w:val="001961CD"/>
    <w:rsid w:val="001962A0"/>
    <w:rsid w:val="001962B2"/>
    <w:rsid w:val="00196541"/>
    <w:rsid w:val="0019693F"/>
    <w:rsid w:val="00196A61"/>
    <w:rsid w:val="001970F8"/>
    <w:rsid w:val="00197323"/>
    <w:rsid w:val="00197AD5"/>
    <w:rsid w:val="00197C29"/>
    <w:rsid w:val="00197F4A"/>
    <w:rsid w:val="001A005D"/>
    <w:rsid w:val="001A0438"/>
    <w:rsid w:val="001A07AE"/>
    <w:rsid w:val="001A0EBE"/>
    <w:rsid w:val="001A0EEA"/>
    <w:rsid w:val="001A105A"/>
    <w:rsid w:val="001A1498"/>
    <w:rsid w:val="001A292B"/>
    <w:rsid w:val="001A2ABD"/>
    <w:rsid w:val="001A2CB2"/>
    <w:rsid w:val="001A2FBA"/>
    <w:rsid w:val="001A31F2"/>
    <w:rsid w:val="001A37A4"/>
    <w:rsid w:val="001A4040"/>
    <w:rsid w:val="001A41F2"/>
    <w:rsid w:val="001A4633"/>
    <w:rsid w:val="001A4772"/>
    <w:rsid w:val="001A5155"/>
    <w:rsid w:val="001A6E28"/>
    <w:rsid w:val="001A6F22"/>
    <w:rsid w:val="001A6F60"/>
    <w:rsid w:val="001A71F4"/>
    <w:rsid w:val="001A743E"/>
    <w:rsid w:val="001A77FE"/>
    <w:rsid w:val="001A785D"/>
    <w:rsid w:val="001A7937"/>
    <w:rsid w:val="001A79E7"/>
    <w:rsid w:val="001A7AEC"/>
    <w:rsid w:val="001B02EA"/>
    <w:rsid w:val="001B0897"/>
    <w:rsid w:val="001B0FBD"/>
    <w:rsid w:val="001B1167"/>
    <w:rsid w:val="001B13EF"/>
    <w:rsid w:val="001B146E"/>
    <w:rsid w:val="001B18FF"/>
    <w:rsid w:val="001B29CF"/>
    <w:rsid w:val="001B2EFC"/>
    <w:rsid w:val="001B2F33"/>
    <w:rsid w:val="001B3730"/>
    <w:rsid w:val="001B3778"/>
    <w:rsid w:val="001B4156"/>
    <w:rsid w:val="001B45DF"/>
    <w:rsid w:val="001B4E23"/>
    <w:rsid w:val="001B5737"/>
    <w:rsid w:val="001B5FC0"/>
    <w:rsid w:val="001B612D"/>
    <w:rsid w:val="001B62B1"/>
    <w:rsid w:val="001B69B5"/>
    <w:rsid w:val="001B69C8"/>
    <w:rsid w:val="001B74F7"/>
    <w:rsid w:val="001B7C20"/>
    <w:rsid w:val="001B7D8D"/>
    <w:rsid w:val="001C0944"/>
    <w:rsid w:val="001C0969"/>
    <w:rsid w:val="001C0B3A"/>
    <w:rsid w:val="001C0E59"/>
    <w:rsid w:val="001C11EE"/>
    <w:rsid w:val="001C189F"/>
    <w:rsid w:val="001C1A36"/>
    <w:rsid w:val="001C1F0E"/>
    <w:rsid w:val="001C2359"/>
    <w:rsid w:val="001C2A35"/>
    <w:rsid w:val="001C2BCE"/>
    <w:rsid w:val="001C31C3"/>
    <w:rsid w:val="001C358B"/>
    <w:rsid w:val="001C38A3"/>
    <w:rsid w:val="001C3A4E"/>
    <w:rsid w:val="001C43F0"/>
    <w:rsid w:val="001C5304"/>
    <w:rsid w:val="001C55E9"/>
    <w:rsid w:val="001C5B74"/>
    <w:rsid w:val="001C5C7B"/>
    <w:rsid w:val="001C6268"/>
    <w:rsid w:val="001C6F22"/>
    <w:rsid w:val="001D0030"/>
    <w:rsid w:val="001D07DE"/>
    <w:rsid w:val="001D0CC8"/>
    <w:rsid w:val="001D14A9"/>
    <w:rsid w:val="001D15E7"/>
    <w:rsid w:val="001D1D78"/>
    <w:rsid w:val="001D25B4"/>
    <w:rsid w:val="001D2D84"/>
    <w:rsid w:val="001D2E06"/>
    <w:rsid w:val="001D3436"/>
    <w:rsid w:val="001D378E"/>
    <w:rsid w:val="001D444A"/>
    <w:rsid w:val="001D45CF"/>
    <w:rsid w:val="001D4FED"/>
    <w:rsid w:val="001D59DD"/>
    <w:rsid w:val="001D5AEC"/>
    <w:rsid w:val="001D5D4A"/>
    <w:rsid w:val="001D5D81"/>
    <w:rsid w:val="001D64C5"/>
    <w:rsid w:val="001D6760"/>
    <w:rsid w:val="001D6ED2"/>
    <w:rsid w:val="001D716C"/>
    <w:rsid w:val="001D7805"/>
    <w:rsid w:val="001D7832"/>
    <w:rsid w:val="001D7DE4"/>
    <w:rsid w:val="001E0422"/>
    <w:rsid w:val="001E0B32"/>
    <w:rsid w:val="001E0B4D"/>
    <w:rsid w:val="001E0EFE"/>
    <w:rsid w:val="001E15CE"/>
    <w:rsid w:val="001E1908"/>
    <w:rsid w:val="001E2206"/>
    <w:rsid w:val="001E25D5"/>
    <w:rsid w:val="001E260F"/>
    <w:rsid w:val="001E2615"/>
    <w:rsid w:val="001E2A82"/>
    <w:rsid w:val="001E3073"/>
    <w:rsid w:val="001E30FC"/>
    <w:rsid w:val="001E3190"/>
    <w:rsid w:val="001E33CC"/>
    <w:rsid w:val="001E3707"/>
    <w:rsid w:val="001E3AB4"/>
    <w:rsid w:val="001E4714"/>
    <w:rsid w:val="001E478B"/>
    <w:rsid w:val="001E4873"/>
    <w:rsid w:val="001E5F51"/>
    <w:rsid w:val="001E6229"/>
    <w:rsid w:val="001E6579"/>
    <w:rsid w:val="001E6834"/>
    <w:rsid w:val="001E6965"/>
    <w:rsid w:val="001E6D7B"/>
    <w:rsid w:val="001E713D"/>
    <w:rsid w:val="001E736C"/>
    <w:rsid w:val="001E73BB"/>
    <w:rsid w:val="001E7755"/>
    <w:rsid w:val="001E79C3"/>
    <w:rsid w:val="001F02E8"/>
    <w:rsid w:val="001F0537"/>
    <w:rsid w:val="001F0785"/>
    <w:rsid w:val="001F0B95"/>
    <w:rsid w:val="001F10DA"/>
    <w:rsid w:val="001F1175"/>
    <w:rsid w:val="001F18B7"/>
    <w:rsid w:val="001F1EE7"/>
    <w:rsid w:val="001F1FC4"/>
    <w:rsid w:val="001F2BB4"/>
    <w:rsid w:val="001F3554"/>
    <w:rsid w:val="001F3913"/>
    <w:rsid w:val="001F3B78"/>
    <w:rsid w:val="001F4229"/>
    <w:rsid w:val="001F434C"/>
    <w:rsid w:val="001F482D"/>
    <w:rsid w:val="001F4B5C"/>
    <w:rsid w:val="001F5586"/>
    <w:rsid w:val="001F577C"/>
    <w:rsid w:val="001F5A69"/>
    <w:rsid w:val="001F5E87"/>
    <w:rsid w:val="001F5F11"/>
    <w:rsid w:val="001F6C7F"/>
    <w:rsid w:val="001F7ADD"/>
    <w:rsid w:val="0020030F"/>
    <w:rsid w:val="00200477"/>
    <w:rsid w:val="0020047B"/>
    <w:rsid w:val="002006C9"/>
    <w:rsid w:val="00200A06"/>
    <w:rsid w:val="00200FA4"/>
    <w:rsid w:val="00201641"/>
    <w:rsid w:val="00201DB7"/>
    <w:rsid w:val="0020251B"/>
    <w:rsid w:val="002028BF"/>
    <w:rsid w:val="00202A33"/>
    <w:rsid w:val="00202F06"/>
    <w:rsid w:val="002034C5"/>
    <w:rsid w:val="002037A1"/>
    <w:rsid w:val="0020425F"/>
    <w:rsid w:val="002046BF"/>
    <w:rsid w:val="00204D8F"/>
    <w:rsid w:val="00204FF4"/>
    <w:rsid w:val="002055AD"/>
    <w:rsid w:val="0020601A"/>
    <w:rsid w:val="00206062"/>
    <w:rsid w:val="002061C3"/>
    <w:rsid w:val="0020675E"/>
    <w:rsid w:val="00206791"/>
    <w:rsid w:val="00206825"/>
    <w:rsid w:val="00206F79"/>
    <w:rsid w:val="00207691"/>
    <w:rsid w:val="00207720"/>
    <w:rsid w:val="00207EE4"/>
    <w:rsid w:val="002100D2"/>
    <w:rsid w:val="00210142"/>
    <w:rsid w:val="0021016A"/>
    <w:rsid w:val="0021062E"/>
    <w:rsid w:val="002106DF"/>
    <w:rsid w:val="00210772"/>
    <w:rsid w:val="00210A44"/>
    <w:rsid w:val="00210C94"/>
    <w:rsid w:val="00211074"/>
    <w:rsid w:val="00211194"/>
    <w:rsid w:val="002115A8"/>
    <w:rsid w:val="00211827"/>
    <w:rsid w:val="00211887"/>
    <w:rsid w:val="00211988"/>
    <w:rsid w:val="00211AF7"/>
    <w:rsid w:val="002120B2"/>
    <w:rsid w:val="00212180"/>
    <w:rsid w:val="0021223C"/>
    <w:rsid w:val="00212375"/>
    <w:rsid w:val="00212EA8"/>
    <w:rsid w:val="00212F46"/>
    <w:rsid w:val="00213C09"/>
    <w:rsid w:val="00214058"/>
    <w:rsid w:val="0021468B"/>
    <w:rsid w:val="00216289"/>
    <w:rsid w:val="002165E3"/>
    <w:rsid w:val="002170CA"/>
    <w:rsid w:val="002173B0"/>
    <w:rsid w:val="00217741"/>
    <w:rsid w:val="00220B52"/>
    <w:rsid w:val="00220D49"/>
    <w:rsid w:val="0022112D"/>
    <w:rsid w:val="002212A6"/>
    <w:rsid w:val="0022182F"/>
    <w:rsid w:val="00221B9C"/>
    <w:rsid w:val="00221F5D"/>
    <w:rsid w:val="002222DE"/>
    <w:rsid w:val="0022230B"/>
    <w:rsid w:val="0022265D"/>
    <w:rsid w:val="002240C2"/>
    <w:rsid w:val="00224169"/>
    <w:rsid w:val="002256A7"/>
    <w:rsid w:val="00225BE5"/>
    <w:rsid w:val="00226347"/>
    <w:rsid w:val="002266CD"/>
    <w:rsid w:val="00226C6A"/>
    <w:rsid w:val="00227E2C"/>
    <w:rsid w:val="00227EA8"/>
    <w:rsid w:val="00227F94"/>
    <w:rsid w:val="002302F9"/>
    <w:rsid w:val="0023031F"/>
    <w:rsid w:val="00230677"/>
    <w:rsid w:val="0023076C"/>
    <w:rsid w:val="00230929"/>
    <w:rsid w:val="00231CEC"/>
    <w:rsid w:val="002320C6"/>
    <w:rsid w:val="00232376"/>
    <w:rsid w:val="00232780"/>
    <w:rsid w:val="0023284F"/>
    <w:rsid w:val="00232E13"/>
    <w:rsid w:val="00233032"/>
    <w:rsid w:val="00233193"/>
    <w:rsid w:val="002335C3"/>
    <w:rsid w:val="00233B82"/>
    <w:rsid w:val="00233E48"/>
    <w:rsid w:val="00233EBC"/>
    <w:rsid w:val="00234117"/>
    <w:rsid w:val="0023415B"/>
    <w:rsid w:val="002344CF"/>
    <w:rsid w:val="00234C18"/>
    <w:rsid w:val="0023548E"/>
    <w:rsid w:val="0023583B"/>
    <w:rsid w:val="00235BB0"/>
    <w:rsid w:val="00235D53"/>
    <w:rsid w:val="002360D7"/>
    <w:rsid w:val="00236439"/>
    <w:rsid w:val="00236DB1"/>
    <w:rsid w:val="00236F15"/>
    <w:rsid w:val="00237335"/>
    <w:rsid w:val="00237356"/>
    <w:rsid w:val="002376EB"/>
    <w:rsid w:val="00237732"/>
    <w:rsid w:val="00237BB2"/>
    <w:rsid w:val="00240112"/>
    <w:rsid w:val="00240251"/>
    <w:rsid w:val="002405A5"/>
    <w:rsid w:val="0024193B"/>
    <w:rsid w:val="00241959"/>
    <w:rsid w:val="00241F58"/>
    <w:rsid w:val="0024216D"/>
    <w:rsid w:val="00242604"/>
    <w:rsid w:val="002427EC"/>
    <w:rsid w:val="00242827"/>
    <w:rsid w:val="00242984"/>
    <w:rsid w:val="00242EF2"/>
    <w:rsid w:val="002438CE"/>
    <w:rsid w:val="00243955"/>
    <w:rsid w:val="00243C0F"/>
    <w:rsid w:val="00243CC1"/>
    <w:rsid w:val="002443C5"/>
    <w:rsid w:val="00244722"/>
    <w:rsid w:val="00245592"/>
    <w:rsid w:val="00245724"/>
    <w:rsid w:val="002458EE"/>
    <w:rsid w:val="00245C7F"/>
    <w:rsid w:val="00246989"/>
    <w:rsid w:val="00246CFC"/>
    <w:rsid w:val="002471E6"/>
    <w:rsid w:val="00247292"/>
    <w:rsid w:val="00247710"/>
    <w:rsid w:val="002502A7"/>
    <w:rsid w:val="00250444"/>
    <w:rsid w:val="0025077B"/>
    <w:rsid w:val="00250E8A"/>
    <w:rsid w:val="00252688"/>
    <w:rsid w:val="00252B31"/>
    <w:rsid w:val="00252BB5"/>
    <w:rsid w:val="002538CA"/>
    <w:rsid w:val="00253BBD"/>
    <w:rsid w:val="00253F1C"/>
    <w:rsid w:val="00254E23"/>
    <w:rsid w:val="002553D8"/>
    <w:rsid w:val="00255486"/>
    <w:rsid w:val="00255ABF"/>
    <w:rsid w:val="00256041"/>
    <w:rsid w:val="002560C0"/>
    <w:rsid w:val="002564D5"/>
    <w:rsid w:val="00256D62"/>
    <w:rsid w:val="00256FE8"/>
    <w:rsid w:val="00257789"/>
    <w:rsid w:val="00257807"/>
    <w:rsid w:val="00257896"/>
    <w:rsid w:val="0025793C"/>
    <w:rsid w:val="00257AEF"/>
    <w:rsid w:val="00257D7E"/>
    <w:rsid w:val="0026020A"/>
    <w:rsid w:val="002606E5"/>
    <w:rsid w:val="0026084B"/>
    <w:rsid w:val="00261059"/>
    <w:rsid w:val="002613BD"/>
    <w:rsid w:val="00262266"/>
    <w:rsid w:val="00262659"/>
    <w:rsid w:val="00262BFB"/>
    <w:rsid w:val="00262C8C"/>
    <w:rsid w:val="00262D1B"/>
    <w:rsid w:val="00263187"/>
    <w:rsid w:val="0026383E"/>
    <w:rsid w:val="00263B4B"/>
    <w:rsid w:val="00263BA5"/>
    <w:rsid w:val="00263EF9"/>
    <w:rsid w:val="0026409E"/>
    <w:rsid w:val="00264920"/>
    <w:rsid w:val="00265305"/>
    <w:rsid w:val="00265679"/>
    <w:rsid w:val="00265892"/>
    <w:rsid w:val="00265B4E"/>
    <w:rsid w:val="00265C01"/>
    <w:rsid w:val="00265CA1"/>
    <w:rsid w:val="0026619D"/>
    <w:rsid w:val="002663D7"/>
    <w:rsid w:val="002664EF"/>
    <w:rsid w:val="00266B9E"/>
    <w:rsid w:val="0026722F"/>
    <w:rsid w:val="002673D8"/>
    <w:rsid w:val="0026789F"/>
    <w:rsid w:val="00267A93"/>
    <w:rsid w:val="00270363"/>
    <w:rsid w:val="00271450"/>
    <w:rsid w:val="00271629"/>
    <w:rsid w:val="00271A81"/>
    <w:rsid w:val="00271AC9"/>
    <w:rsid w:val="00271F1C"/>
    <w:rsid w:val="00272314"/>
    <w:rsid w:val="0027263A"/>
    <w:rsid w:val="00273378"/>
    <w:rsid w:val="002734F1"/>
    <w:rsid w:val="00273767"/>
    <w:rsid w:val="0027385E"/>
    <w:rsid w:val="00273B6B"/>
    <w:rsid w:val="0027479E"/>
    <w:rsid w:val="00274B2B"/>
    <w:rsid w:val="00274F0D"/>
    <w:rsid w:val="00275867"/>
    <w:rsid w:val="00275CA1"/>
    <w:rsid w:val="002766C5"/>
    <w:rsid w:val="002769DE"/>
    <w:rsid w:val="0027731E"/>
    <w:rsid w:val="00277526"/>
    <w:rsid w:val="00277D4D"/>
    <w:rsid w:val="00277E29"/>
    <w:rsid w:val="0028030B"/>
    <w:rsid w:val="002807B7"/>
    <w:rsid w:val="0028086D"/>
    <w:rsid w:val="0028113C"/>
    <w:rsid w:val="00281419"/>
    <w:rsid w:val="00281490"/>
    <w:rsid w:val="0028175B"/>
    <w:rsid w:val="00281C2E"/>
    <w:rsid w:val="00281E39"/>
    <w:rsid w:val="00282909"/>
    <w:rsid w:val="00282B9E"/>
    <w:rsid w:val="00282F54"/>
    <w:rsid w:val="00283424"/>
    <w:rsid w:val="00283746"/>
    <w:rsid w:val="00283855"/>
    <w:rsid w:val="00283932"/>
    <w:rsid w:val="00283BCD"/>
    <w:rsid w:val="002844B0"/>
    <w:rsid w:val="00285399"/>
    <w:rsid w:val="00285402"/>
    <w:rsid w:val="002856E9"/>
    <w:rsid w:val="00286199"/>
    <w:rsid w:val="00290B04"/>
    <w:rsid w:val="002914AD"/>
    <w:rsid w:val="002919C1"/>
    <w:rsid w:val="00291EE0"/>
    <w:rsid w:val="00292756"/>
    <w:rsid w:val="00292784"/>
    <w:rsid w:val="002928AA"/>
    <w:rsid w:val="0029293F"/>
    <w:rsid w:val="00293521"/>
    <w:rsid w:val="002936DC"/>
    <w:rsid w:val="00293CFB"/>
    <w:rsid w:val="00293D71"/>
    <w:rsid w:val="002940D8"/>
    <w:rsid w:val="0029470F"/>
    <w:rsid w:val="0029493D"/>
    <w:rsid w:val="00295E10"/>
    <w:rsid w:val="0029639A"/>
    <w:rsid w:val="002964BA"/>
    <w:rsid w:val="0029664A"/>
    <w:rsid w:val="00296805"/>
    <w:rsid w:val="00296AF2"/>
    <w:rsid w:val="00296B76"/>
    <w:rsid w:val="00297942"/>
    <w:rsid w:val="00297A53"/>
    <w:rsid w:val="00297FFA"/>
    <w:rsid w:val="002A0D32"/>
    <w:rsid w:val="002A121A"/>
    <w:rsid w:val="002A13DE"/>
    <w:rsid w:val="002A1672"/>
    <w:rsid w:val="002A1854"/>
    <w:rsid w:val="002A1FC5"/>
    <w:rsid w:val="002A349C"/>
    <w:rsid w:val="002A3544"/>
    <w:rsid w:val="002A4296"/>
    <w:rsid w:val="002A46B5"/>
    <w:rsid w:val="002A6276"/>
    <w:rsid w:val="002A6584"/>
    <w:rsid w:val="002A6E27"/>
    <w:rsid w:val="002A7165"/>
    <w:rsid w:val="002B0084"/>
    <w:rsid w:val="002B0664"/>
    <w:rsid w:val="002B0CE2"/>
    <w:rsid w:val="002B0D9C"/>
    <w:rsid w:val="002B1887"/>
    <w:rsid w:val="002B18B7"/>
    <w:rsid w:val="002B1E3A"/>
    <w:rsid w:val="002B20C3"/>
    <w:rsid w:val="002B2753"/>
    <w:rsid w:val="002B2CC4"/>
    <w:rsid w:val="002B344F"/>
    <w:rsid w:val="002B47EC"/>
    <w:rsid w:val="002B4ADA"/>
    <w:rsid w:val="002B4E53"/>
    <w:rsid w:val="002B4F36"/>
    <w:rsid w:val="002B528C"/>
    <w:rsid w:val="002B56C7"/>
    <w:rsid w:val="002B57C9"/>
    <w:rsid w:val="002B5BEB"/>
    <w:rsid w:val="002B632D"/>
    <w:rsid w:val="002B63E6"/>
    <w:rsid w:val="002B7685"/>
    <w:rsid w:val="002B7E37"/>
    <w:rsid w:val="002C025C"/>
    <w:rsid w:val="002C05C1"/>
    <w:rsid w:val="002C0A4C"/>
    <w:rsid w:val="002C116B"/>
    <w:rsid w:val="002C1AF1"/>
    <w:rsid w:val="002C1CD3"/>
    <w:rsid w:val="002C1DE5"/>
    <w:rsid w:val="002C1E54"/>
    <w:rsid w:val="002C277F"/>
    <w:rsid w:val="002C27CA"/>
    <w:rsid w:val="002C281F"/>
    <w:rsid w:val="002C46C6"/>
    <w:rsid w:val="002C4A9B"/>
    <w:rsid w:val="002C4EBD"/>
    <w:rsid w:val="002C53EA"/>
    <w:rsid w:val="002C573E"/>
    <w:rsid w:val="002C5B13"/>
    <w:rsid w:val="002C5C3D"/>
    <w:rsid w:val="002C6733"/>
    <w:rsid w:val="002C6776"/>
    <w:rsid w:val="002C6AE4"/>
    <w:rsid w:val="002C6D72"/>
    <w:rsid w:val="002C7061"/>
    <w:rsid w:val="002C75F8"/>
    <w:rsid w:val="002C7903"/>
    <w:rsid w:val="002C79FB"/>
    <w:rsid w:val="002C7A5B"/>
    <w:rsid w:val="002C7D3E"/>
    <w:rsid w:val="002D0083"/>
    <w:rsid w:val="002D2501"/>
    <w:rsid w:val="002D2859"/>
    <w:rsid w:val="002D2CC9"/>
    <w:rsid w:val="002D34BA"/>
    <w:rsid w:val="002D590E"/>
    <w:rsid w:val="002D59E9"/>
    <w:rsid w:val="002D5B44"/>
    <w:rsid w:val="002D5B92"/>
    <w:rsid w:val="002D5CE2"/>
    <w:rsid w:val="002D633C"/>
    <w:rsid w:val="002D6465"/>
    <w:rsid w:val="002D6CED"/>
    <w:rsid w:val="002D7227"/>
    <w:rsid w:val="002D73AA"/>
    <w:rsid w:val="002D7439"/>
    <w:rsid w:val="002D7698"/>
    <w:rsid w:val="002D7DA8"/>
    <w:rsid w:val="002E04D4"/>
    <w:rsid w:val="002E0834"/>
    <w:rsid w:val="002E0A05"/>
    <w:rsid w:val="002E12D3"/>
    <w:rsid w:val="002E17E8"/>
    <w:rsid w:val="002E1C50"/>
    <w:rsid w:val="002E2294"/>
    <w:rsid w:val="002E2356"/>
    <w:rsid w:val="002E23FE"/>
    <w:rsid w:val="002E26E2"/>
    <w:rsid w:val="002E2DCF"/>
    <w:rsid w:val="002E2EAF"/>
    <w:rsid w:val="002E34F8"/>
    <w:rsid w:val="002E395C"/>
    <w:rsid w:val="002E3A7E"/>
    <w:rsid w:val="002E42AA"/>
    <w:rsid w:val="002E467D"/>
    <w:rsid w:val="002E46FA"/>
    <w:rsid w:val="002E47E5"/>
    <w:rsid w:val="002E4A3D"/>
    <w:rsid w:val="002E4ADF"/>
    <w:rsid w:val="002E4F81"/>
    <w:rsid w:val="002E573E"/>
    <w:rsid w:val="002E5792"/>
    <w:rsid w:val="002E5A7E"/>
    <w:rsid w:val="002E5DCB"/>
    <w:rsid w:val="002E6219"/>
    <w:rsid w:val="002E6338"/>
    <w:rsid w:val="002E63BC"/>
    <w:rsid w:val="002E6903"/>
    <w:rsid w:val="002E6A74"/>
    <w:rsid w:val="002E6B12"/>
    <w:rsid w:val="002E7DC4"/>
    <w:rsid w:val="002E7E82"/>
    <w:rsid w:val="002F053F"/>
    <w:rsid w:val="002F05F2"/>
    <w:rsid w:val="002F0619"/>
    <w:rsid w:val="002F06AA"/>
    <w:rsid w:val="002F084D"/>
    <w:rsid w:val="002F1236"/>
    <w:rsid w:val="002F1299"/>
    <w:rsid w:val="002F170B"/>
    <w:rsid w:val="002F238C"/>
    <w:rsid w:val="002F2BA8"/>
    <w:rsid w:val="002F2E35"/>
    <w:rsid w:val="002F2E63"/>
    <w:rsid w:val="002F34F7"/>
    <w:rsid w:val="002F41D6"/>
    <w:rsid w:val="002F4393"/>
    <w:rsid w:val="002F4A14"/>
    <w:rsid w:val="002F4BCF"/>
    <w:rsid w:val="002F4C8B"/>
    <w:rsid w:val="002F5080"/>
    <w:rsid w:val="002F52A5"/>
    <w:rsid w:val="002F568F"/>
    <w:rsid w:val="002F65CD"/>
    <w:rsid w:val="002F6851"/>
    <w:rsid w:val="002F68B2"/>
    <w:rsid w:val="002F6FE9"/>
    <w:rsid w:val="002F700A"/>
    <w:rsid w:val="002F70FB"/>
    <w:rsid w:val="002F7550"/>
    <w:rsid w:val="002F7B02"/>
    <w:rsid w:val="003002C5"/>
    <w:rsid w:val="003002D3"/>
    <w:rsid w:val="00300381"/>
    <w:rsid w:val="00300B48"/>
    <w:rsid w:val="00300DA7"/>
    <w:rsid w:val="00300E10"/>
    <w:rsid w:val="00301ADC"/>
    <w:rsid w:val="00302008"/>
    <w:rsid w:val="00302DDD"/>
    <w:rsid w:val="00303301"/>
    <w:rsid w:val="00304379"/>
    <w:rsid w:val="003043D6"/>
    <w:rsid w:val="00305F77"/>
    <w:rsid w:val="00306416"/>
    <w:rsid w:val="00306C19"/>
    <w:rsid w:val="00306C39"/>
    <w:rsid w:val="0030756A"/>
    <w:rsid w:val="003078D7"/>
    <w:rsid w:val="00307EFC"/>
    <w:rsid w:val="0031038D"/>
    <w:rsid w:val="00310422"/>
    <w:rsid w:val="003104E9"/>
    <w:rsid w:val="00310DB3"/>
    <w:rsid w:val="003111B9"/>
    <w:rsid w:val="00311646"/>
    <w:rsid w:val="00311D9E"/>
    <w:rsid w:val="00311FD2"/>
    <w:rsid w:val="003121D1"/>
    <w:rsid w:val="003126AB"/>
    <w:rsid w:val="003131F1"/>
    <w:rsid w:val="00314557"/>
    <w:rsid w:val="00314683"/>
    <w:rsid w:val="00314E9E"/>
    <w:rsid w:val="0031573C"/>
    <w:rsid w:val="00315DF2"/>
    <w:rsid w:val="0031614F"/>
    <w:rsid w:val="003164B6"/>
    <w:rsid w:val="003167BA"/>
    <w:rsid w:val="00316F0B"/>
    <w:rsid w:val="003175CA"/>
    <w:rsid w:val="00317F41"/>
    <w:rsid w:val="0032030B"/>
    <w:rsid w:val="003203FE"/>
    <w:rsid w:val="0032093A"/>
    <w:rsid w:val="00320C2B"/>
    <w:rsid w:val="00321290"/>
    <w:rsid w:val="00321465"/>
    <w:rsid w:val="00321538"/>
    <w:rsid w:val="00321AD6"/>
    <w:rsid w:val="0032211D"/>
    <w:rsid w:val="00322B57"/>
    <w:rsid w:val="00322DD4"/>
    <w:rsid w:val="00322E3F"/>
    <w:rsid w:val="00322FAF"/>
    <w:rsid w:val="00323C10"/>
    <w:rsid w:val="0032552F"/>
    <w:rsid w:val="003258A5"/>
    <w:rsid w:val="00325C2B"/>
    <w:rsid w:val="00326101"/>
    <w:rsid w:val="0032639E"/>
    <w:rsid w:val="00326E14"/>
    <w:rsid w:val="003271C8"/>
    <w:rsid w:val="00330412"/>
    <w:rsid w:val="00330A56"/>
    <w:rsid w:val="00330D2A"/>
    <w:rsid w:val="0033126E"/>
    <w:rsid w:val="00331309"/>
    <w:rsid w:val="00331710"/>
    <w:rsid w:val="00331795"/>
    <w:rsid w:val="00331E38"/>
    <w:rsid w:val="0033220D"/>
    <w:rsid w:val="00332417"/>
    <w:rsid w:val="00332547"/>
    <w:rsid w:val="00333F85"/>
    <w:rsid w:val="00334513"/>
    <w:rsid w:val="00334CDE"/>
    <w:rsid w:val="00334D66"/>
    <w:rsid w:val="00334FB1"/>
    <w:rsid w:val="0033501E"/>
    <w:rsid w:val="00335100"/>
    <w:rsid w:val="00335224"/>
    <w:rsid w:val="00335F79"/>
    <w:rsid w:val="0033623C"/>
    <w:rsid w:val="003362F4"/>
    <w:rsid w:val="00336521"/>
    <w:rsid w:val="00336887"/>
    <w:rsid w:val="00336BBA"/>
    <w:rsid w:val="00337600"/>
    <w:rsid w:val="003407F1"/>
    <w:rsid w:val="0034084D"/>
    <w:rsid w:val="00340C97"/>
    <w:rsid w:val="00340CAB"/>
    <w:rsid w:val="00341225"/>
    <w:rsid w:val="00341280"/>
    <w:rsid w:val="00341287"/>
    <w:rsid w:val="00341517"/>
    <w:rsid w:val="003419D0"/>
    <w:rsid w:val="00341B04"/>
    <w:rsid w:val="00341D13"/>
    <w:rsid w:val="00341FBE"/>
    <w:rsid w:val="0034215C"/>
    <w:rsid w:val="00342480"/>
    <w:rsid w:val="003427F4"/>
    <w:rsid w:val="00343677"/>
    <w:rsid w:val="003444DD"/>
    <w:rsid w:val="00344823"/>
    <w:rsid w:val="003450E2"/>
    <w:rsid w:val="00345143"/>
    <w:rsid w:val="00345789"/>
    <w:rsid w:val="0034580F"/>
    <w:rsid w:val="00345A88"/>
    <w:rsid w:val="0034640A"/>
    <w:rsid w:val="003464BA"/>
    <w:rsid w:val="00346678"/>
    <w:rsid w:val="003468A8"/>
    <w:rsid w:val="003468EA"/>
    <w:rsid w:val="00346B38"/>
    <w:rsid w:val="0034713F"/>
    <w:rsid w:val="003473A5"/>
    <w:rsid w:val="003474D5"/>
    <w:rsid w:val="003474E1"/>
    <w:rsid w:val="00347514"/>
    <w:rsid w:val="00347F4F"/>
    <w:rsid w:val="003506C9"/>
    <w:rsid w:val="00350739"/>
    <w:rsid w:val="00350747"/>
    <w:rsid w:val="00350A6F"/>
    <w:rsid w:val="00350F4F"/>
    <w:rsid w:val="003513B6"/>
    <w:rsid w:val="00351642"/>
    <w:rsid w:val="00351731"/>
    <w:rsid w:val="00351819"/>
    <w:rsid w:val="00352A25"/>
    <w:rsid w:val="00352DA1"/>
    <w:rsid w:val="00352EEA"/>
    <w:rsid w:val="003534A3"/>
    <w:rsid w:val="003540A1"/>
    <w:rsid w:val="0035452A"/>
    <w:rsid w:val="00354D29"/>
    <w:rsid w:val="0035534B"/>
    <w:rsid w:val="003556BC"/>
    <w:rsid w:val="0035587B"/>
    <w:rsid w:val="00355A95"/>
    <w:rsid w:val="00355F8F"/>
    <w:rsid w:val="00356621"/>
    <w:rsid w:val="0035683D"/>
    <w:rsid w:val="00356B75"/>
    <w:rsid w:val="00356E1C"/>
    <w:rsid w:val="003570A2"/>
    <w:rsid w:val="00360463"/>
    <w:rsid w:val="00360C6B"/>
    <w:rsid w:val="00361121"/>
    <w:rsid w:val="00361C9B"/>
    <w:rsid w:val="00361E51"/>
    <w:rsid w:val="0036299B"/>
    <w:rsid w:val="00362ABB"/>
    <w:rsid w:val="003636E9"/>
    <w:rsid w:val="0036370F"/>
    <w:rsid w:val="00363EDA"/>
    <w:rsid w:val="00364292"/>
    <w:rsid w:val="00364594"/>
    <w:rsid w:val="00365252"/>
    <w:rsid w:val="003652E2"/>
    <w:rsid w:val="00365548"/>
    <w:rsid w:val="00365BE9"/>
    <w:rsid w:val="00365C77"/>
    <w:rsid w:val="00365D40"/>
    <w:rsid w:val="00365DC3"/>
    <w:rsid w:val="00366264"/>
    <w:rsid w:val="0036645D"/>
    <w:rsid w:val="00366AAA"/>
    <w:rsid w:val="00366BB3"/>
    <w:rsid w:val="00366C8C"/>
    <w:rsid w:val="00367072"/>
    <w:rsid w:val="0036720B"/>
    <w:rsid w:val="0036778A"/>
    <w:rsid w:val="00367844"/>
    <w:rsid w:val="0037099C"/>
    <w:rsid w:val="00371135"/>
    <w:rsid w:val="00371277"/>
    <w:rsid w:val="0037150E"/>
    <w:rsid w:val="00371D71"/>
    <w:rsid w:val="00372117"/>
    <w:rsid w:val="0037228D"/>
    <w:rsid w:val="003729DE"/>
    <w:rsid w:val="0037352C"/>
    <w:rsid w:val="00373953"/>
    <w:rsid w:val="00373C81"/>
    <w:rsid w:val="00373E8F"/>
    <w:rsid w:val="003746C8"/>
    <w:rsid w:val="00374BB6"/>
    <w:rsid w:val="00374CA8"/>
    <w:rsid w:val="00374CF7"/>
    <w:rsid w:val="003756C3"/>
    <w:rsid w:val="003760A9"/>
    <w:rsid w:val="00376171"/>
    <w:rsid w:val="00376333"/>
    <w:rsid w:val="0037651B"/>
    <w:rsid w:val="003768FC"/>
    <w:rsid w:val="0038017D"/>
    <w:rsid w:val="003801CC"/>
    <w:rsid w:val="003804AD"/>
    <w:rsid w:val="003808B9"/>
    <w:rsid w:val="00380D2F"/>
    <w:rsid w:val="00380E8D"/>
    <w:rsid w:val="00381152"/>
    <w:rsid w:val="00381774"/>
    <w:rsid w:val="003818E4"/>
    <w:rsid w:val="00381951"/>
    <w:rsid w:val="003824DB"/>
    <w:rsid w:val="003828AD"/>
    <w:rsid w:val="00382BEB"/>
    <w:rsid w:val="00382E2E"/>
    <w:rsid w:val="00382EBE"/>
    <w:rsid w:val="00383042"/>
    <w:rsid w:val="003838A5"/>
    <w:rsid w:val="00383D25"/>
    <w:rsid w:val="0038422B"/>
    <w:rsid w:val="00384A7E"/>
    <w:rsid w:val="00385175"/>
    <w:rsid w:val="0038577B"/>
    <w:rsid w:val="00385A24"/>
    <w:rsid w:val="00385B3C"/>
    <w:rsid w:val="00385FE1"/>
    <w:rsid w:val="00386758"/>
    <w:rsid w:val="00386892"/>
    <w:rsid w:val="00387549"/>
    <w:rsid w:val="00390DF8"/>
    <w:rsid w:val="00391923"/>
    <w:rsid w:val="00391C77"/>
    <w:rsid w:val="00391ED7"/>
    <w:rsid w:val="00392183"/>
    <w:rsid w:val="00392A9B"/>
    <w:rsid w:val="00392B4F"/>
    <w:rsid w:val="00392CC3"/>
    <w:rsid w:val="003934A6"/>
    <w:rsid w:val="003935B0"/>
    <w:rsid w:val="00393D2E"/>
    <w:rsid w:val="003947C5"/>
    <w:rsid w:val="00394899"/>
    <w:rsid w:val="00394C87"/>
    <w:rsid w:val="00395099"/>
    <w:rsid w:val="00395A62"/>
    <w:rsid w:val="00395BF9"/>
    <w:rsid w:val="00395D05"/>
    <w:rsid w:val="00395F6E"/>
    <w:rsid w:val="0039613F"/>
    <w:rsid w:val="00396369"/>
    <w:rsid w:val="003968CB"/>
    <w:rsid w:val="00396972"/>
    <w:rsid w:val="003970E6"/>
    <w:rsid w:val="003974A8"/>
    <w:rsid w:val="00397511"/>
    <w:rsid w:val="003A08FD"/>
    <w:rsid w:val="003A09CF"/>
    <w:rsid w:val="003A0B7A"/>
    <w:rsid w:val="003A0F50"/>
    <w:rsid w:val="003A12C7"/>
    <w:rsid w:val="003A1E3B"/>
    <w:rsid w:val="003A2112"/>
    <w:rsid w:val="003A236F"/>
    <w:rsid w:val="003A23BD"/>
    <w:rsid w:val="003A2628"/>
    <w:rsid w:val="003A2698"/>
    <w:rsid w:val="003A2B51"/>
    <w:rsid w:val="003A3D67"/>
    <w:rsid w:val="003A4310"/>
    <w:rsid w:val="003A43BD"/>
    <w:rsid w:val="003A4717"/>
    <w:rsid w:val="003A4E91"/>
    <w:rsid w:val="003A5096"/>
    <w:rsid w:val="003A51CA"/>
    <w:rsid w:val="003A5AC2"/>
    <w:rsid w:val="003A5EA7"/>
    <w:rsid w:val="003A6501"/>
    <w:rsid w:val="003A6937"/>
    <w:rsid w:val="003A6BD5"/>
    <w:rsid w:val="003A6F6B"/>
    <w:rsid w:val="003A6FE8"/>
    <w:rsid w:val="003A71BD"/>
    <w:rsid w:val="003A72EE"/>
    <w:rsid w:val="003A7622"/>
    <w:rsid w:val="003A7CE0"/>
    <w:rsid w:val="003A7D9F"/>
    <w:rsid w:val="003B06EB"/>
    <w:rsid w:val="003B0B34"/>
    <w:rsid w:val="003B13F4"/>
    <w:rsid w:val="003B1506"/>
    <w:rsid w:val="003B158F"/>
    <w:rsid w:val="003B194A"/>
    <w:rsid w:val="003B1C46"/>
    <w:rsid w:val="003B1F11"/>
    <w:rsid w:val="003B1F6B"/>
    <w:rsid w:val="003B1FC1"/>
    <w:rsid w:val="003B240E"/>
    <w:rsid w:val="003B26CE"/>
    <w:rsid w:val="003B3108"/>
    <w:rsid w:val="003B34C4"/>
    <w:rsid w:val="003B38D9"/>
    <w:rsid w:val="003B3976"/>
    <w:rsid w:val="003B39B6"/>
    <w:rsid w:val="003B3BEA"/>
    <w:rsid w:val="003B40DB"/>
    <w:rsid w:val="003B41C7"/>
    <w:rsid w:val="003B429B"/>
    <w:rsid w:val="003B490D"/>
    <w:rsid w:val="003B4F37"/>
    <w:rsid w:val="003B50D7"/>
    <w:rsid w:val="003B527F"/>
    <w:rsid w:val="003B5416"/>
    <w:rsid w:val="003B570F"/>
    <w:rsid w:val="003B63FA"/>
    <w:rsid w:val="003B6542"/>
    <w:rsid w:val="003B6561"/>
    <w:rsid w:val="003B751C"/>
    <w:rsid w:val="003B7924"/>
    <w:rsid w:val="003B7951"/>
    <w:rsid w:val="003B7A5A"/>
    <w:rsid w:val="003B7AA0"/>
    <w:rsid w:val="003B7F76"/>
    <w:rsid w:val="003C01E5"/>
    <w:rsid w:val="003C038D"/>
    <w:rsid w:val="003C0723"/>
    <w:rsid w:val="003C0B4C"/>
    <w:rsid w:val="003C0E18"/>
    <w:rsid w:val="003C0F30"/>
    <w:rsid w:val="003C180E"/>
    <w:rsid w:val="003C1A48"/>
    <w:rsid w:val="003C1A62"/>
    <w:rsid w:val="003C1E07"/>
    <w:rsid w:val="003C1F63"/>
    <w:rsid w:val="003C28BE"/>
    <w:rsid w:val="003C2A8C"/>
    <w:rsid w:val="003C3275"/>
    <w:rsid w:val="003C3B8A"/>
    <w:rsid w:val="003C3BE5"/>
    <w:rsid w:val="003C3D3F"/>
    <w:rsid w:val="003C48B4"/>
    <w:rsid w:val="003C5891"/>
    <w:rsid w:val="003C5AF2"/>
    <w:rsid w:val="003C61C1"/>
    <w:rsid w:val="003C6380"/>
    <w:rsid w:val="003C693C"/>
    <w:rsid w:val="003C7152"/>
    <w:rsid w:val="003C75E6"/>
    <w:rsid w:val="003C7800"/>
    <w:rsid w:val="003C7D76"/>
    <w:rsid w:val="003D01BE"/>
    <w:rsid w:val="003D0306"/>
    <w:rsid w:val="003D03B9"/>
    <w:rsid w:val="003D0B0B"/>
    <w:rsid w:val="003D0F4A"/>
    <w:rsid w:val="003D13B9"/>
    <w:rsid w:val="003D15F5"/>
    <w:rsid w:val="003D15FC"/>
    <w:rsid w:val="003D1AD2"/>
    <w:rsid w:val="003D1BBA"/>
    <w:rsid w:val="003D2371"/>
    <w:rsid w:val="003D2923"/>
    <w:rsid w:val="003D29D6"/>
    <w:rsid w:val="003D29FE"/>
    <w:rsid w:val="003D300C"/>
    <w:rsid w:val="003D32F8"/>
    <w:rsid w:val="003D3854"/>
    <w:rsid w:val="003D3CAC"/>
    <w:rsid w:val="003D3FCF"/>
    <w:rsid w:val="003D44DF"/>
    <w:rsid w:val="003D44F9"/>
    <w:rsid w:val="003D4656"/>
    <w:rsid w:val="003D4A33"/>
    <w:rsid w:val="003D4B23"/>
    <w:rsid w:val="003D4CAD"/>
    <w:rsid w:val="003D5A24"/>
    <w:rsid w:val="003D60F0"/>
    <w:rsid w:val="003D6401"/>
    <w:rsid w:val="003D694B"/>
    <w:rsid w:val="003D7598"/>
    <w:rsid w:val="003D75F9"/>
    <w:rsid w:val="003D7891"/>
    <w:rsid w:val="003E0AB3"/>
    <w:rsid w:val="003E0B61"/>
    <w:rsid w:val="003E0E3C"/>
    <w:rsid w:val="003E1773"/>
    <w:rsid w:val="003E2006"/>
    <w:rsid w:val="003E22E3"/>
    <w:rsid w:val="003E2431"/>
    <w:rsid w:val="003E2C29"/>
    <w:rsid w:val="003E2E87"/>
    <w:rsid w:val="003E2FD8"/>
    <w:rsid w:val="003E319C"/>
    <w:rsid w:val="003E32E5"/>
    <w:rsid w:val="003E3A8A"/>
    <w:rsid w:val="003E3C45"/>
    <w:rsid w:val="003E44C1"/>
    <w:rsid w:val="003E4C48"/>
    <w:rsid w:val="003E51BF"/>
    <w:rsid w:val="003E534A"/>
    <w:rsid w:val="003E5B4B"/>
    <w:rsid w:val="003E5B54"/>
    <w:rsid w:val="003E6749"/>
    <w:rsid w:val="003E6B4D"/>
    <w:rsid w:val="003E7132"/>
    <w:rsid w:val="003E73A8"/>
    <w:rsid w:val="003E7F3A"/>
    <w:rsid w:val="003F03C4"/>
    <w:rsid w:val="003F077C"/>
    <w:rsid w:val="003F190C"/>
    <w:rsid w:val="003F1EC1"/>
    <w:rsid w:val="003F1F7D"/>
    <w:rsid w:val="003F31DC"/>
    <w:rsid w:val="003F3291"/>
    <w:rsid w:val="003F34A8"/>
    <w:rsid w:val="003F3613"/>
    <w:rsid w:val="003F390D"/>
    <w:rsid w:val="003F3BFD"/>
    <w:rsid w:val="003F3D72"/>
    <w:rsid w:val="003F3D79"/>
    <w:rsid w:val="003F3EB4"/>
    <w:rsid w:val="003F4154"/>
    <w:rsid w:val="003F4741"/>
    <w:rsid w:val="003F4AB5"/>
    <w:rsid w:val="003F4D37"/>
    <w:rsid w:val="003F52BD"/>
    <w:rsid w:val="003F577B"/>
    <w:rsid w:val="003F578B"/>
    <w:rsid w:val="003F6092"/>
    <w:rsid w:val="003F6C9C"/>
    <w:rsid w:val="003F7416"/>
    <w:rsid w:val="003F746E"/>
    <w:rsid w:val="003F7CB6"/>
    <w:rsid w:val="004000DF"/>
    <w:rsid w:val="004001A0"/>
    <w:rsid w:val="004004AD"/>
    <w:rsid w:val="004006AA"/>
    <w:rsid w:val="00401109"/>
    <w:rsid w:val="00401483"/>
    <w:rsid w:val="00401C5B"/>
    <w:rsid w:val="0040274E"/>
    <w:rsid w:val="00402BC7"/>
    <w:rsid w:val="00403390"/>
    <w:rsid w:val="0040350D"/>
    <w:rsid w:val="004039F0"/>
    <w:rsid w:val="00403FAC"/>
    <w:rsid w:val="00403FD2"/>
    <w:rsid w:val="00404183"/>
    <w:rsid w:val="00404BB8"/>
    <w:rsid w:val="0040516E"/>
    <w:rsid w:val="00406CDC"/>
    <w:rsid w:val="00406FF3"/>
    <w:rsid w:val="00407272"/>
    <w:rsid w:val="00407D13"/>
    <w:rsid w:val="00410639"/>
    <w:rsid w:val="00411059"/>
    <w:rsid w:val="00411230"/>
    <w:rsid w:val="00411540"/>
    <w:rsid w:val="00411ABF"/>
    <w:rsid w:val="00411FA0"/>
    <w:rsid w:val="004122E3"/>
    <w:rsid w:val="004123F0"/>
    <w:rsid w:val="00412B78"/>
    <w:rsid w:val="00412F5F"/>
    <w:rsid w:val="00412FC2"/>
    <w:rsid w:val="004132DD"/>
    <w:rsid w:val="004135CB"/>
    <w:rsid w:val="00413784"/>
    <w:rsid w:val="00413AB3"/>
    <w:rsid w:val="00413EFC"/>
    <w:rsid w:val="00414423"/>
    <w:rsid w:val="0041496E"/>
    <w:rsid w:val="00414C2B"/>
    <w:rsid w:val="00414E14"/>
    <w:rsid w:val="00414F73"/>
    <w:rsid w:val="004157A3"/>
    <w:rsid w:val="00415A71"/>
    <w:rsid w:val="004161B2"/>
    <w:rsid w:val="004162D0"/>
    <w:rsid w:val="00416627"/>
    <w:rsid w:val="004166DB"/>
    <w:rsid w:val="0041699B"/>
    <w:rsid w:val="00416E71"/>
    <w:rsid w:val="0041704D"/>
    <w:rsid w:val="00417366"/>
    <w:rsid w:val="00417471"/>
    <w:rsid w:val="00417540"/>
    <w:rsid w:val="00417639"/>
    <w:rsid w:val="004176A1"/>
    <w:rsid w:val="004176B0"/>
    <w:rsid w:val="00420281"/>
    <w:rsid w:val="004206F2"/>
    <w:rsid w:val="004209C4"/>
    <w:rsid w:val="004212FC"/>
    <w:rsid w:val="004213F4"/>
    <w:rsid w:val="004216F3"/>
    <w:rsid w:val="00421E11"/>
    <w:rsid w:val="00422B90"/>
    <w:rsid w:val="004230A3"/>
    <w:rsid w:val="0042331F"/>
    <w:rsid w:val="004235EC"/>
    <w:rsid w:val="004245A2"/>
    <w:rsid w:val="00424A40"/>
    <w:rsid w:val="00425B0C"/>
    <w:rsid w:val="00425BBD"/>
    <w:rsid w:val="00425E42"/>
    <w:rsid w:val="0042644E"/>
    <w:rsid w:val="004266B3"/>
    <w:rsid w:val="004270F2"/>
    <w:rsid w:val="0042779A"/>
    <w:rsid w:val="00427E26"/>
    <w:rsid w:val="00427EEE"/>
    <w:rsid w:val="00430583"/>
    <w:rsid w:val="00430889"/>
    <w:rsid w:val="004309C3"/>
    <w:rsid w:val="0043142B"/>
    <w:rsid w:val="0043165E"/>
    <w:rsid w:val="004318C6"/>
    <w:rsid w:val="0043259E"/>
    <w:rsid w:val="0043291C"/>
    <w:rsid w:val="00432BD3"/>
    <w:rsid w:val="004333F6"/>
    <w:rsid w:val="004336C4"/>
    <w:rsid w:val="00434080"/>
    <w:rsid w:val="00434912"/>
    <w:rsid w:val="00434B56"/>
    <w:rsid w:val="00434B65"/>
    <w:rsid w:val="00434BC0"/>
    <w:rsid w:val="00435DB1"/>
    <w:rsid w:val="004371A4"/>
    <w:rsid w:val="0043746B"/>
    <w:rsid w:val="004374C4"/>
    <w:rsid w:val="00437C1B"/>
    <w:rsid w:val="00437E8C"/>
    <w:rsid w:val="004400FF"/>
    <w:rsid w:val="004406AA"/>
    <w:rsid w:val="00440EF3"/>
    <w:rsid w:val="00441374"/>
    <w:rsid w:val="00441535"/>
    <w:rsid w:val="00442417"/>
    <w:rsid w:val="0044337B"/>
    <w:rsid w:val="004435CB"/>
    <w:rsid w:val="004438A2"/>
    <w:rsid w:val="00443D75"/>
    <w:rsid w:val="00443DA5"/>
    <w:rsid w:val="00444364"/>
    <w:rsid w:val="004443F8"/>
    <w:rsid w:val="0044440C"/>
    <w:rsid w:val="004445B5"/>
    <w:rsid w:val="004445E2"/>
    <w:rsid w:val="00444801"/>
    <w:rsid w:val="004456C1"/>
    <w:rsid w:val="004458D2"/>
    <w:rsid w:val="004460BD"/>
    <w:rsid w:val="0044675F"/>
    <w:rsid w:val="004467CB"/>
    <w:rsid w:val="00446853"/>
    <w:rsid w:val="00447980"/>
    <w:rsid w:val="004500FF"/>
    <w:rsid w:val="00450466"/>
    <w:rsid w:val="00450481"/>
    <w:rsid w:val="0045062E"/>
    <w:rsid w:val="00451205"/>
    <w:rsid w:val="004513AF"/>
    <w:rsid w:val="00451797"/>
    <w:rsid w:val="00451A1F"/>
    <w:rsid w:val="00451CE5"/>
    <w:rsid w:val="004525B5"/>
    <w:rsid w:val="00452607"/>
    <w:rsid w:val="004527E0"/>
    <w:rsid w:val="00452879"/>
    <w:rsid w:val="00452CF1"/>
    <w:rsid w:val="00452F22"/>
    <w:rsid w:val="004532D8"/>
    <w:rsid w:val="0045338C"/>
    <w:rsid w:val="0045438C"/>
    <w:rsid w:val="00454528"/>
    <w:rsid w:val="00455E3A"/>
    <w:rsid w:val="00456803"/>
    <w:rsid w:val="004572BE"/>
    <w:rsid w:val="004573F0"/>
    <w:rsid w:val="00457973"/>
    <w:rsid w:val="00457A18"/>
    <w:rsid w:val="00457D3C"/>
    <w:rsid w:val="0046041E"/>
    <w:rsid w:val="004608A2"/>
    <w:rsid w:val="00460AFA"/>
    <w:rsid w:val="00460B25"/>
    <w:rsid w:val="00460FAD"/>
    <w:rsid w:val="004611C0"/>
    <w:rsid w:val="00461508"/>
    <w:rsid w:val="00461799"/>
    <w:rsid w:val="004618E5"/>
    <w:rsid w:val="00462481"/>
    <w:rsid w:val="00462CEF"/>
    <w:rsid w:val="00462E77"/>
    <w:rsid w:val="00462EBC"/>
    <w:rsid w:val="004638A0"/>
    <w:rsid w:val="00463C6D"/>
    <w:rsid w:val="00464723"/>
    <w:rsid w:val="00464AA8"/>
    <w:rsid w:val="00464E43"/>
    <w:rsid w:val="00465239"/>
    <w:rsid w:val="00465CD3"/>
    <w:rsid w:val="00466083"/>
    <w:rsid w:val="004662DA"/>
    <w:rsid w:val="00466EF9"/>
    <w:rsid w:val="00467B60"/>
    <w:rsid w:val="00467B9E"/>
    <w:rsid w:val="00470CB4"/>
    <w:rsid w:val="0047140E"/>
    <w:rsid w:val="004721FB"/>
    <w:rsid w:val="004724CA"/>
    <w:rsid w:val="0047272F"/>
    <w:rsid w:val="004727F4"/>
    <w:rsid w:val="004728F8"/>
    <w:rsid w:val="00472CD4"/>
    <w:rsid w:val="0047315E"/>
    <w:rsid w:val="00473B59"/>
    <w:rsid w:val="004742D6"/>
    <w:rsid w:val="00474F17"/>
    <w:rsid w:val="00474FFB"/>
    <w:rsid w:val="0047515B"/>
    <w:rsid w:val="004751E2"/>
    <w:rsid w:val="00475293"/>
    <w:rsid w:val="00475A79"/>
    <w:rsid w:val="00475F9E"/>
    <w:rsid w:val="004761FF"/>
    <w:rsid w:val="00476269"/>
    <w:rsid w:val="00476BBE"/>
    <w:rsid w:val="00477D9C"/>
    <w:rsid w:val="0048016E"/>
    <w:rsid w:val="00481064"/>
    <w:rsid w:val="0048135A"/>
    <w:rsid w:val="004815F4"/>
    <w:rsid w:val="00482136"/>
    <w:rsid w:val="00482682"/>
    <w:rsid w:val="00482D20"/>
    <w:rsid w:val="00482F7B"/>
    <w:rsid w:val="00483642"/>
    <w:rsid w:val="0048387A"/>
    <w:rsid w:val="00483BB8"/>
    <w:rsid w:val="00483EE3"/>
    <w:rsid w:val="004847D9"/>
    <w:rsid w:val="0048481C"/>
    <w:rsid w:val="004851AC"/>
    <w:rsid w:val="004851C1"/>
    <w:rsid w:val="00485517"/>
    <w:rsid w:val="00485A6F"/>
    <w:rsid w:val="00485F05"/>
    <w:rsid w:val="00486014"/>
    <w:rsid w:val="004866F9"/>
    <w:rsid w:val="00486E57"/>
    <w:rsid w:val="00487629"/>
    <w:rsid w:val="00487820"/>
    <w:rsid w:val="00487DDC"/>
    <w:rsid w:val="00487E46"/>
    <w:rsid w:val="00487ECA"/>
    <w:rsid w:val="00487F39"/>
    <w:rsid w:val="00490090"/>
    <w:rsid w:val="00490446"/>
    <w:rsid w:val="004908CF"/>
    <w:rsid w:val="00490A3E"/>
    <w:rsid w:val="00490C8C"/>
    <w:rsid w:val="00490ED5"/>
    <w:rsid w:val="004919A4"/>
    <w:rsid w:val="00491CBE"/>
    <w:rsid w:val="00491FBB"/>
    <w:rsid w:val="004920B1"/>
    <w:rsid w:val="004920D1"/>
    <w:rsid w:val="0049250E"/>
    <w:rsid w:val="00492A72"/>
    <w:rsid w:val="00493E5C"/>
    <w:rsid w:val="00494373"/>
    <w:rsid w:val="00494888"/>
    <w:rsid w:val="00494A33"/>
    <w:rsid w:val="00495A7F"/>
    <w:rsid w:val="00496FF7"/>
    <w:rsid w:val="004971E8"/>
    <w:rsid w:val="004A02CD"/>
    <w:rsid w:val="004A07B9"/>
    <w:rsid w:val="004A090D"/>
    <w:rsid w:val="004A0C42"/>
    <w:rsid w:val="004A0C70"/>
    <w:rsid w:val="004A0E94"/>
    <w:rsid w:val="004A17A2"/>
    <w:rsid w:val="004A1C4C"/>
    <w:rsid w:val="004A1D2F"/>
    <w:rsid w:val="004A20DE"/>
    <w:rsid w:val="004A2458"/>
    <w:rsid w:val="004A26ED"/>
    <w:rsid w:val="004A2829"/>
    <w:rsid w:val="004A283E"/>
    <w:rsid w:val="004A2A69"/>
    <w:rsid w:val="004A34C6"/>
    <w:rsid w:val="004A351B"/>
    <w:rsid w:val="004A3547"/>
    <w:rsid w:val="004A3786"/>
    <w:rsid w:val="004A3C83"/>
    <w:rsid w:val="004A5521"/>
    <w:rsid w:val="004A56B4"/>
    <w:rsid w:val="004A5905"/>
    <w:rsid w:val="004A7156"/>
    <w:rsid w:val="004A725B"/>
    <w:rsid w:val="004A7CDE"/>
    <w:rsid w:val="004B0289"/>
    <w:rsid w:val="004B038A"/>
    <w:rsid w:val="004B0FFB"/>
    <w:rsid w:val="004B10F3"/>
    <w:rsid w:val="004B1162"/>
    <w:rsid w:val="004B1B3A"/>
    <w:rsid w:val="004B1D01"/>
    <w:rsid w:val="004B1DCD"/>
    <w:rsid w:val="004B2488"/>
    <w:rsid w:val="004B2867"/>
    <w:rsid w:val="004B3304"/>
    <w:rsid w:val="004B446A"/>
    <w:rsid w:val="004B4C00"/>
    <w:rsid w:val="004B4DC9"/>
    <w:rsid w:val="004B59D9"/>
    <w:rsid w:val="004B5A98"/>
    <w:rsid w:val="004B5B95"/>
    <w:rsid w:val="004B63C1"/>
    <w:rsid w:val="004B7A19"/>
    <w:rsid w:val="004B7C2F"/>
    <w:rsid w:val="004B7F55"/>
    <w:rsid w:val="004C0D21"/>
    <w:rsid w:val="004C0D4A"/>
    <w:rsid w:val="004C1376"/>
    <w:rsid w:val="004C1CEC"/>
    <w:rsid w:val="004C27F4"/>
    <w:rsid w:val="004C291A"/>
    <w:rsid w:val="004C342C"/>
    <w:rsid w:val="004C45A1"/>
    <w:rsid w:val="004C4DC3"/>
    <w:rsid w:val="004C4E68"/>
    <w:rsid w:val="004C52BF"/>
    <w:rsid w:val="004C542B"/>
    <w:rsid w:val="004C6176"/>
    <w:rsid w:val="004C6251"/>
    <w:rsid w:val="004C63E4"/>
    <w:rsid w:val="004C6FD1"/>
    <w:rsid w:val="004C7071"/>
    <w:rsid w:val="004C776A"/>
    <w:rsid w:val="004D075A"/>
    <w:rsid w:val="004D0840"/>
    <w:rsid w:val="004D08A6"/>
    <w:rsid w:val="004D08B9"/>
    <w:rsid w:val="004D0FAB"/>
    <w:rsid w:val="004D16D3"/>
    <w:rsid w:val="004D2284"/>
    <w:rsid w:val="004D2331"/>
    <w:rsid w:val="004D2979"/>
    <w:rsid w:val="004D3560"/>
    <w:rsid w:val="004D450D"/>
    <w:rsid w:val="004D482F"/>
    <w:rsid w:val="004D5175"/>
    <w:rsid w:val="004D64BF"/>
    <w:rsid w:val="004D65A5"/>
    <w:rsid w:val="004D6A23"/>
    <w:rsid w:val="004D7239"/>
    <w:rsid w:val="004D735D"/>
    <w:rsid w:val="004D7933"/>
    <w:rsid w:val="004D7A5F"/>
    <w:rsid w:val="004D7CF9"/>
    <w:rsid w:val="004D7DF7"/>
    <w:rsid w:val="004E0208"/>
    <w:rsid w:val="004E0720"/>
    <w:rsid w:val="004E073C"/>
    <w:rsid w:val="004E0C45"/>
    <w:rsid w:val="004E0EEB"/>
    <w:rsid w:val="004E1815"/>
    <w:rsid w:val="004E2081"/>
    <w:rsid w:val="004E2115"/>
    <w:rsid w:val="004E23E2"/>
    <w:rsid w:val="004E2C6F"/>
    <w:rsid w:val="004E3779"/>
    <w:rsid w:val="004E37E6"/>
    <w:rsid w:val="004E3C7D"/>
    <w:rsid w:val="004E442E"/>
    <w:rsid w:val="004E4AE5"/>
    <w:rsid w:val="004E51DC"/>
    <w:rsid w:val="004E5DFC"/>
    <w:rsid w:val="004E6349"/>
    <w:rsid w:val="004E6681"/>
    <w:rsid w:val="004E6B40"/>
    <w:rsid w:val="004E6B47"/>
    <w:rsid w:val="004E6E38"/>
    <w:rsid w:val="004E7341"/>
    <w:rsid w:val="004E79B0"/>
    <w:rsid w:val="004E7C81"/>
    <w:rsid w:val="004F0029"/>
    <w:rsid w:val="004F01E4"/>
    <w:rsid w:val="004F0707"/>
    <w:rsid w:val="004F0793"/>
    <w:rsid w:val="004F0ECA"/>
    <w:rsid w:val="004F108E"/>
    <w:rsid w:val="004F11C2"/>
    <w:rsid w:val="004F1B77"/>
    <w:rsid w:val="004F230B"/>
    <w:rsid w:val="004F23D4"/>
    <w:rsid w:val="004F2CCB"/>
    <w:rsid w:val="004F4A2F"/>
    <w:rsid w:val="004F6105"/>
    <w:rsid w:val="004F6279"/>
    <w:rsid w:val="004F63BD"/>
    <w:rsid w:val="004F63E3"/>
    <w:rsid w:val="004F64FE"/>
    <w:rsid w:val="004F6F99"/>
    <w:rsid w:val="004F7188"/>
    <w:rsid w:val="004F72E5"/>
    <w:rsid w:val="004F77C0"/>
    <w:rsid w:val="004F7B3A"/>
    <w:rsid w:val="004F7E83"/>
    <w:rsid w:val="0050096C"/>
    <w:rsid w:val="00500EF3"/>
    <w:rsid w:val="005017C5"/>
    <w:rsid w:val="00501A4B"/>
    <w:rsid w:val="00501DA4"/>
    <w:rsid w:val="0050215E"/>
    <w:rsid w:val="00502489"/>
    <w:rsid w:val="005024F0"/>
    <w:rsid w:val="0050260C"/>
    <w:rsid w:val="005027EF"/>
    <w:rsid w:val="0050284A"/>
    <w:rsid w:val="00502D89"/>
    <w:rsid w:val="00502E0A"/>
    <w:rsid w:val="0050302B"/>
    <w:rsid w:val="005038FE"/>
    <w:rsid w:val="005039BC"/>
    <w:rsid w:val="00503C10"/>
    <w:rsid w:val="00503EDA"/>
    <w:rsid w:val="00504397"/>
    <w:rsid w:val="0050478C"/>
    <w:rsid w:val="00504807"/>
    <w:rsid w:val="00504D9F"/>
    <w:rsid w:val="00505386"/>
    <w:rsid w:val="005053B3"/>
    <w:rsid w:val="00505A1D"/>
    <w:rsid w:val="00505B7B"/>
    <w:rsid w:val="00505EEB"/>
    <w:rsid w:val="00505F42"/>
    <w:rsid w:val="005064A3"/>
    <w:rsid w:val="00506714"/>
    <w:rsid w:val="0050691E"/>
    <w:rsid w:val="005079A6"/>
    <w:rsid w:val="00507A4B"/>
    <w:rsid w:val="00507D7F"/>
    <w:rsid w:val="00507E5A"/>
    <w:rsid w:val="00507EC2"/>
    <w:rsid w:val="0051047B"/>
    <w:rsid w:val="00510A49"/>
    <w:rsid w:val="00510D22"/>
    <w:rsid w:val="00510D3B"/>
    <w:rsid w:val="005113D6"/>
    <w:rsid w:val="00511B8E"/>
    <w:rsid w:val="00511BDE"/>
    <w:rsid w:val="005122A7"/>
    <w:rsid w:val="00512574"/>
    <w:rsid w:val="00512683"/>
    <w:rsid w:val="0051282D"/>
    <w:rsid w:val="005132ED"/>
    <w:rsid w:val="005132F1"/>
    <w:rsid w:val="00513415"/>
    <w:rsid w:val="00513446"/>
    <w:rsid w:val="00514F20"/>
    <w:rsid w:val="00515375"/>
    <w:rsid w:val="0051579E"/>
    <w:rsid w:val="0051583C"/>
    <w:rsid w:val="00516EBF"/>
    <w:rsid w:val="005170B2"/>
    <w:rsid w:val="00517AA2"/>
    <w:rsid w:val="00517F39"/>
    <w:rsid w:val="005203DC"/>
    <w:rsid w:val="00520E51"/>
    <w:rsid w:val="005210F2"/>
    <w:rsid w:val="00522362"/>
    <w:rsid w:val="00522451"/>
    <w:rsid w:val="00522536"/>
    <w:rsid w:val="00523352"/>
    <w:rsid w:val="0052387D"/>
    <w:rsid w:val="00524821"/>
    <w:rsid w:val="00524FFD"/>
    <w:rsid w:val="005251C7"/>
    <w:rsid w:val="0052585A"/>
    <w:rsid w:val="00525A65"/>
    <w:rsid w:val="00525AAD"/>
    <w:rsid w:val="00526244"/>
    <w:rsid w:val="005268CA"/>
    <w:rsid w:val="0052696C"/>
    <w:rsid w:val="00526CC3"/>
    <w:rsid w:val="00527B3D"/>
    <w:rsid w:val="00530B5C"/>
    <w:rsid w:val="00530F6E"/>
    <w:rsid w:val="005314A9"/>
    <w:rsid w:val="00531709"/>
    <w:rsid w:val="005317A9"/>
    <w:rsid w:val="00531A1D"/>
    <w:rsid w:val="00531D52"/>
    <w:rsid w:val="005322D8"/>
    <w:rsid w:val="00532398"/>
    <w:rsid w:val="00532895"/>
    <w:rsid w:val="00532A69"/>
    <w:rsid w:val="00533EFA"/>
    <w:rsid w:val="0053463A"/>
    <w:rsid w:val="00534C51"/>
    <w:rsid w:val="00534C53"/>
    <w:rsid w:val="00535319"/>
    <w:rsid w:val="00535358"/>
    <w:rsid w:val="00535537"/>
    <w:rsid w:val="00535C76"/>
    <w:rsid w:val="00535D7C"/>
    <w:rsid w:val="00535F66"/>
    <w:rsid w:val="00536281"/>
    <w:rsid w:val="005369EA"/>
    <w:rsid w:val="00536AD9"/>
    <w:rsid w:val="00537E64"/>
    <w:rsid w:val="00537FB5"/>
    <w:rsid w:val="005400EB"/>
    <w:rsid w:val="00540448"/>
    <w:rsid w:val="005404F4"/>
    <w:rsid w:val="00540571"/>
    <w:rsid w:val="005419B6"/>
    <w:rsid w:val="00541F51"/>
    <w:rsid w:val="00542CFC"/>
    <w:rsid w:val="00543BE8"/>
    <w:rsid w:val="00544954"/>
    <w:rsid w:val="00544D5D"/>
    <w:rsid w:val="0054503B"/>
    <w:rsid w:val="00545243"/>
    <w:rsid w:val="005454D2"/>
    <w:rsid w:val="00545887"/>
    <w:rsid w:val="00545AF7"/>
    <w:rsid w:val="00546394"/>
    <w:rsid w:val="005466DE"/>
    <w:rsid w:val="00546814"/>
    <w:rsid w:val="00546E74"/>
    <w:rsid w:val="00546F49"/>
    <w:rsid w:val="0054716B"/>
    <w:rsid w:val="00547372"/>
    <w:rsid w:val="00547F6E"/>
    <w:rsid w:val="0055011E"/>
    <w:rsid w:val="00550C68"/>
    <w:rsid w:val="00550EDD"/>
    <w:rsid w:val="005512F2"/>
    <w:rsid w:val="0055163E"/>
    <w:rsid w:val="005519EA"/>
    <w:rsid w:val="00551B04"/>
    <w:rsid w:val="005520C8"/>
    <w:rsid w:val="00552B78"/>
    <w:rsid w:val="00553117"/>
    <w:rsid w:val="0055459E"/>
    <w:rsid w:val="00554753"/>
    <w:rsid w:val="00554D5E"/>
    <w:rsid w:val="00554E6E"/>
    <w:rsid w:val="00554E7F"/>
    <w:rsid w:val="0055582D"/>
    <w:rsid w:val="00555B34"/>
    <w:rsid w:val="00555C9B"/>
    <w:rsid w:val="00556ABE"/>
    <w:rsid w:val="0055730F"/>
    <w:rsid w:val="0055731E"/>
    <w:rsid w:val="00557EA9"/>
    <w:rsid w:val="00557F3A"/>
    <w:rsid w:val="00560016"/>
    <w:rsid w:val="005600A1"/>
    <w:rsid w:val="00560744"/>
    <w:rsid w:val="005607DB"/>
    <w:rsid w:val="005612A1"/>
    <w:rsid w:val="005617DC"/>
    <w:rsid w:val="00561F9C"/>
    <w:rsid w:val="00562E78"/>
    <w:rsid w:val="00563586"/>
    <w:rsid w:val="0056374C"/>
    <w:rsid w:val="005640F2"/>
    <w:rsid w:val="005645DC"/>
    <w:rsid w:val="005648E3"/>
    <w:rsid w:val="00564A7B"/>
    <w:rsid w:val="00564AD5"/>
    <w:rsid w:val="00564C76"/>
    <w:rsid w:val="0056528D"/>
    <w:rsid w:val="00565B77"/>
    <w:rsid w:val="005664FF"/>
    <w:rsid w:val="0056707F"/>
    <w:rsid w:val="00567170"/>
    <w:rsid w:val="0056721A"/>
    <w:rsid w:val="00567355"/>
    <w:rsid w:val="00567466"/>
    <w:rsid w:val="0056771C"/>
    <w:rsid w:val="0057057C"/>
    <w:rsid w:val="005706FA"/>
    <w:rsid w:val="00570B4A"/>
    <w:rsid w:val="00570D38"/>
    <w:rsid w:val="005713F3"/>
    <w:rsid w:val="005716C7"/>
    <w:rsid w:val="005726EC"/>
    <w:rsid w:val="0057292E"/>
    <w:rsid w:val="00573E75"/>
    <w:rsid w:val="005741D5"/>
    <w:rsid w:val="00574389"/>
    <w:rsid w:val="005745B7"/>
    <w:rsid w:val="00574CE5"/>
    <w:rsid w:val="00574CF6"/>
    <w:rsid w:val="0057616A"/>
    <w:rsid w:val="00576438"/>
    <w:rsid w:val="00576729"/>
    <w:rsid w:val="00576CFC"/>
    <w:rsid w:val="005777BA"/>
    <w:rsid w:val="00577E6A"/>
    <w:rsid w:val="00580030"/>
    <w:rsid w:val="0058042E"/>
    <w:rsid w:val="00580B4B"/>
    <w:rsid w:val="00581520"/>
    <w:rsid w:val="0058301C"/>
    <w:rsid w:val="00583249"/>
    <w:rsid w:val="0058349F"/>
    <w:rsid w:val="00583E29"/>
    <w:rsid w:val="00584766"/>
    <w:rsid w:val="00584798"/>
    <w:rsid w:val="00584A11"/>
    <w:rsid w:val="00584C07"/>
    <w:rsid w:val="00584F8C"/>
    <w:rsid w:val="00585224"/>
    <w:rsid w:val="00585375"/>
    <w:rsid w:val="0058543C"/>
    <w:rsid w:val="0058543E"/>
    <w:rsid w:val="00585B47"/>
    <w:rsid w:val="00585B53"/>
    <w:rsid w:val="00585FCF"/>
    <w:rsid w:val="0058621E"/>
    <w:rsid w:val="005865BB"/>
    <w:rsid w:val="00586B66"/>
    <w:rsid w:val="005874FF"/>
    <w:rsid w:val="00587717"/>
    <w:rsid w:val="0058771C"/>
    <w:rsid w:val="005877AB"/>
    <w:rsid w:val="00587D51"/>
    <w:rsid w:val="00590504"/>
    <w:rsid w:val="00591014"/>
    <w:rsid w:val="0059128F"/>
    <w:rsid w:val="00591404"/>
    <w:rsid w:val="005916EA"/>
    <w:rsid w:val="00591843"/>
    <w:rsid w:val="00592037"/>
    <w:rsid w:val="005927AA"/>
    <w:rsid w:val="00592906"/>
    <w:rsid w:val="00592A3C"/>
    <w:rsid w:val="00592D59"/>
    <w:rsid w:val="005930F1"/>
    <w:rsid w:val="00593E25"/>
    <w:rsid w:val="00594489"/>
    <w:rsid w:val="00595005"/>
    <w:rsid w:val="00595547"/>
    <w:rsid w:val="005956FA"/>
    <w:rsid w:val="00595C5D"/>
    <w:rsid w:val="00595E4E"/>
    <w:rsid w:val="00595F5E"/>
    <w:rsid w:val="005964E5"/>
    <w:rsid w:val="00596DED"/>
    <w:rsid w:val="0059715D"/>
    <w:rsid w:val="00597C7E"/>
    <w:rsid w:val="005A014D"/>
    <w:rsid w:val="005A0916"/>
    <w:rsid w:val="005A0D3A"/>
    <w:rsid w:val="005A1009"/>
    <w:rsid w:val="005A127C"/>
    <w:rsid w:val="005A13F7"/>
    <w:rsid w:val="005A1507"/>
    <w:rsid w:val="005A1993"/>
    <w:rsid w:val="005A1F4D"/>
    <w:rsid w:val="005A238E"/>
    <w:rsid w:val="005A266F"/>
    <w:rsid w:val="005A2D98"/>
    <w:rsid w:val="005A348E"/>
    <w:rsid w:val="005A3A7E"/>
    <w:rsid w:val="005A3D27"/>
    <w:rsid w:val="005A4469"/>
    <w:rsid w:val="005A44C6"/>
    <w:rsid w:val="005A49CF"/>
    <w:rsid w:val="005A535A"/>
    <w:rsid w:val="005A54A9"/>
    <w:rsid w:val="005A589A"/>
    <w:rsid w:val="005A591E"/>
    <w:rsid w:val="005A6289"/>
    <w:rsid w:val="005A6D35"/>
    <w:rsid w:val="005A7334"/>
    <w:rsid w:val="005A73AB"/>
    <w:rsid w:val="005A75E1"/>
    <w:rsid w:val="005A7CD8"/>
    <w:rsid w:val="005B002A"/>
    <w:rsid w:val="005B077D"/>
    <w:rsid w:val="005B090E"/>
    <w:rsid w:val="005B0C32"/>
    <w:rsid w:val="005B0D05"/>
    <w:rsid w:val="005B134E"/>
    <w:rsid w:val="005B16A8"/>
    <w:rsid w:val="005B1A84"/>
    <w:rsid w:val="005B1DF4"/>
    <w:rsid w:val="005B1EEC"/>
    <w:rsid w:val="005B213D"/>
    <w:rsid w:val="005B224F"/>
    <w:rsid w:val="005B22EE"/>
    <w:rsid w:val="005B2704"/>
    <w:rsid w:val="005B290A"/>
    <w:rsid w:val="005B2AA7"/>
    <w:rsid w:val="005B2ED4"/>
    <w:rsid w:val="005B4233"/>
    <w:rsid w:val="005B4C48"/>
    <w:rsid w:val="005B50D2"/>
    <w:rsid w:val="005B5548"/>
    <w:rsid w:val="005B71AE"/>
    <w:rsid w:val="005B77C9"/>
    <w:rsid w:val="005C0397"/>
    <w:rsid w:val="005C041B"/>
    <w:rsid w:val="005C0507"/>
    <w:rsid w:val="005C0966"/>
    <w:rsid w:val="005C0EBC"/>
    <w:rsid w:val="005C0F3C"/>
    <w:rsid w:val="005C115A"/>
    <w:rsid w:val="005C128F"/>
    <w:rsid w:val="005C1351"/>
    <w:rsid w:val="005C1878"/>
    <w:rsid w:val="005C1929"/>
    <w:rsid w:val="005C1956"/>
    <w:rsid w:val="005C1BEB"/>
    <w:rsid w:val="005C1EB8"/>
    <w:rsid w:val="005C1FD0"/>
    <w:rsid w:val="005C254A"/>
    <w:rsid w:val="005C2770"/>
    <w:rsid w:val="005C28B6"/>
    <w:rsid w:val="005C2C88"/>
    <w:rsid w:val="005C306D"/>
    <w:rsid w:val="005C359E"/>
    <w:rsid w:val="005C3678"/>
    <w:rsid w:val="005C367B"/>
    <w:rsid w:val="005C40A9"/>
    <w:rsid w:val="005C4116"/>
    <w:rsid w:val="005C41CB"/>
    <w:rsid w:val="005C4E6B"/>
    <w:rsid w:val="005C52A6"/>
    <w:rsid w:val="005C5532"/>
    <w:rsid w:val="005C572D"/>
    <w:rsid w:val="005C6464"/>
    <w:rsid w:val="005C64B7"/>
    <w:rsid w:val="005C742C"/>
    <w:rsid w:val="005C75D4"/>
    <w:rsid w:val="005C79B7"/>
    <w:rsid w:val="005D0632"/>
    <w:rsid w:val="005D0AC3"/>
    <w:rsid w:val="005D0DCC"/>
    <w:rsid w:val="005D11BB"/>
    <w:rsid w:val="005D1817"/>
    <w:rsid w:val="005D18A3"/>
    <w:rsid w:val="005D2D40"/>
    <w:rsid w:val="005D331A"/>
    <w:rsid w:val="005D35E3"/>
    <w:rsid w:val="005D36E8"/>
    <w:rsid w:val="005D3861"/>
    <w:rsid w:val="005D42E4"/>
    <w:rsid w:val="005D48A9"/>
    <w:rsid w:val="005D5401"/>
    <w:rsid w:val="005D56EF"/>
    <w:rsid w:val="005D5C44"/>
    <w:rsid w:val="005D5C86"/>
    <w:rsid w:val="005D5DAB"/>
    <w:rsid w:val="005D6467"/>
    <w:rsid w:val="005D66F9"/>
    <w:rsid w:val="005D6875"/>
    <w:rsid w:val="005D77F1"/>
    <w:rsid w:val="005D7880"/>
    <w:rsid w:val="005D791C"/>
    <w:rsid w:val="005D7F06"/>
    <w:rsid w:val="005E0156"/>
    <w:rsid w:val="005E0F72"/>
    <w:rsid w:val="005E1702"/>
    <w:rsid w:val="005E298E"/>
    <w:rsid w:val="005E384F"/>
    <w:rsid w:val="005E40B9"/>
    <w:rsid w:val="005E40D2"/>
    <w:rsid w:val="005E4686"/>
    <w:rsid w:val="005E4894"/>
    <w:rsid w:val="005E4A27"/>
    <w:rsid w:val="005E5011"/>
    <w:rsid w:val="005E5254"/>
    <w:rsid w:val="005E5264"/>
    <w:rsid w:val="005E564B"/>
    <w:rsid w:val="005E598A"/>
    <w:rsid w:val="005E5B52"/>
    <w:rsid w:val="005E5BAF"/>
    <w:rsid w:val="005E62A9"/>
    <w:rsid w:val="005E6B25"/>
    <w:rsid w:val="005E6D29"/>
    <w:rsid w:val="005E749F"/>
    <w:rsid w:val="005E74EB"/>
    <w:rsid w:val="005E7F44"/>
    <w:rsid w:val="005E7F91"/>
    <w:rsid w:val="005F0028"/>
    <w:rsid w:val="005F049B"/>
    <w:rsid w:val="005F0792"/>
    <w:rsid w:val="005F0EC2"/>
    <w:rsid w:val="005F2041"/>
    <w:rsid w:val="005F251A"/>
    <w:rsid w:val="005F2831"/>
    <w:rsid w:val="005F2DF4"/>
    <w:rsid w:val="005F2FEE"/>
    <w:rsid w:val="005F3390"/>
    <w:rsid w:val="005F3440"/>
    <w:rsid w:val="005F3A09"/>
    <w:rsid w:val="005F3AB2"/>
    <w:rsid w:val="005F3BAC"/>
    <w:rsid w:val="005F4138"/>
    <w:rsid w:val="005F4753"/>
    <w:rsid w:val="005F4832"/>
    <w:rsid w:val="005F5638"/>
    <w:rsid w:val="005F57CE"/>
    <w:rsid w:val="005F5A1E"/>
    <w:rsid w:val="005F5AC1"/>
    <w:rsid w:val="005F5F75"/>
    <w:rsid w:val="005F5FAC"/>
    <w:rsid w:val="005F6486"/>
    <w:rsid w:val="005F6B43"/>
    <w:rsid w:val="005F6D07"/>
    <w:rsid w:val="005F725D"/>
    <w:rsid w:val="005F7377"/>
    <w:rsid w:val="005F7757"/>
    <w:rsid w:val="005F7A10"/>
    <w:rsid w:val="005F7BB4"/>
    <w:rsid w:val="006005C5"/>
    <w:rsid w:val="006016E1"/>
    <w:rsid w:val="00601B27"/>
    <w:rsid w:val="00602142"/>
    <w:rsid w:val="00602160"/>
    <w:rsid w:val="0060261F"/>
    <w:rsid w:val="00602B43"/>
    <w:rsid w:val="00602CF9"/>
    <w:rsid w:val="006035EB"/>
    <w:rsid w:val="006038B7"/>
    <w:rsid w:val="00603A89"/>
    <w:rsid w:val="00603CDB"/>
    <w:rsid w:val="00604320"/>
    <w:rsid w:val="00604356"/>
    <w:rsid w:val="0060456F"/>
    <w:rsid w:val="0060457E"/>
    <w:rsid w:val="00604BB5"/>
    <w:rsid w:val="00604D99"/>
    <w:rsid w:val="00604E54"/>
    <w:rsid w:val="00605666"/>
    <w:rsid w:val="006056AB"/>
    <w:rsid w:val="00605A4B"/>
    <w:rsid w:val="00605B13"/>
    <w:rsid w:val="006060E8"/>
    <w:rsid w:val="006079DC"/>
    <w:rsid w:val="00607D05"/>
    <w:rsid w:val="00610328"/>
    <w:rsid w:val="0061045A"/>
    <w:rsid w:val="006105AB"/>
    <w:rsid w:val="006107FF"/>
    <w:rsid w:val="00610CFD"/>
    <w:rsid w:val="00610F0D"/>
    <w:rsid w:val="006111FF"/>
    <w:rsid w:val="006123A5"/>
    <w:rsid w:val="00612EBC"/>
    <w:rsid w:val="00612F60"/>
    <w:rsid w:val="0061315F"/>
    <w:rsid w:val="006133FD"/>
    <w:rsid w:val="006138EA"/>
    <w:rsid w:val="00613901"/>
    <w:rsid w:val="00613A7E"/>
    <w:rsid w:val="00613CD1"/>
    <w:rsid w:val="00613F54"/>
    <w:rsid w:val="00614732"/>
    <w:rsid w:val="0061476D"/>
    <w:rsid w:val="00614D5B"/>
    <w:rsid w:val="00616AB6"/>
    <w:rsid w:val="00617035"/>
    <w:rsid w:val="00617428"/>
    <w:rsid w:val="00617566"/>
    <w:rsid w:val="0061769D"/>
    <w:rsid w:val="00617B9E"/>
    <w:rsid w:val="00617E51"/>
    <w:rsid w:val="00620424"/>
    <w:rsid w:val="00620A12"/>
    <w:rsid w:val="00620DFF"/>
    <w:rsid w:val="006210AD"/>
    <w:rsid w:val="006212AB"/>
    <w:rsid w:val="00621F06"/>
    <w:rsid w:val="00622B16"/>
    <w:rsid w:val="006230E1"/>
    <w:rsid w:val="00623284"/>
    <w:rsid w:val="00623427"/>
    <w:rsid w:val="006239D9"/>
    <w:rsid w:val="00623C36"/>
    <w:rsid w:val="00623CDC"/>
    <w:rsid w:val="0062406F"/>
    <w:rsid w:val="0062478B"/>
    <w:rsid w:val="0062485E"/>
    <w:rsid w:val="00624B00"/>
    <w:rsid w:val="00624C86"/>
    <w:rsid w:val="006254CC"/>
    <w:rsid w:val="00625699"/>
    <w:rsid w:val="00625758"/>
    <w:rsid w:val="00626048"/>
    <w:rsid w:val="00626641"/>
    <w:rsid w:val="006267A1"/>
    <w:rsid w:val="00626B29"/>
    <w:rsid w:val="00626BB1"/>
    <w:rsid w:val="0062787C"/>
    <w:rsid w:val="006279C0"/>
    <w:rsid w:val="00627DFD"/>
    <w:rsid w:val="00631052"/>
    <w:rsid w:val="006316E6"/>
    <w:rsid w:val="00631A00"/>
    <w:rsid w:val="00631B8D"/>
    <w:rsid w:val="00631E7A"/>
    <w:rsid w:val="00631F3F"/>
    <w:rsid w:val="00632001"/>
    <w:rsid w:val="00632C0C"/>
    <w:rsid w:val="00632C76"/>
    <w:rsid w:val="00633200"/>
    <w:rsid w:val="00633478"/>
    <w:rsid w:val="0063362B"/>
    <w:rsid w:val="0063394B"/>
    <w:rsid w:val="00634058"/>
    <w:rsid w:val="00634997"/>
    <w:rsid w:val="00634A8F"/>
    <w:rsid w:val="00634A9E"/>
    <w:rsid w:val="00634E1F"/>
    <w:rsid w:val="00634F80"/>
    <w:rsid w:val="00635B2A"/>
    <w:rsid w:val="00635BD5"/>
    <w:rsid w:val="00636130"/>
    <w:rsid w:val="006364B1"/>
    <w:rsid w:val="0063653E"/>
    <w:rsid w:val="00636F05"/>
    <w:rsid w:val="006372D6"/>
    <w:rsid w:val="0063730E"/>
    <w:rsid w:val="00637B62"/>
    <w:rsid w:val="00637EE3"/>
    <w:rsid w:val="00640371"/>
    <w:rsid w:val="006407B6"/>
    <w:rsid w:val="00640B82"/>
    <w:rsid w:val="00640FD4"/>
    <w:rsid w:val="0064200F"/>
    <w:rsid w:val="006420F8"/>
    <w:rsid w:val="00642BE5"/>
    <w:rsid w:val="0064321B"/>
    <w:rsid w:val="00643481"/>
    <w:rsid w:val="006435F3"/>
    <w:rsid w:val="00643BD0"/>
    <w:rsid w:val="00643ED1"/>
    <w:rsid w:val="00644448"/>
    <w:rsid w:val="00644B71"/>
    <w:rsid w:val="00644F3C"/>
    <w:rsid w:val="00646CB8"/>
    <w:rsid w:val="0064704A"/>
    <w:rsid w:val="0064716F"/>
    <w:rsid w:val="00647CF7"/>
    <w:rsid w:val="006510F8"/>
    <w:rsid w:val="00651667"/>
    <w:rsid w:val="0065189A"/>
    <w:rsid w:val="00651A8D"/>
    <w:rsid w:val="006529E4"/>
    <w:rsid w:val="00652BCF"/>
    <w:rsid w:val="00653586"/>
    <w:rsid w:val="006537E2"/>
    <w:rsid w:val="00653CE6"/>
    <w:rsid w:val="006540F5"/>
    <w:rsid w:val="006541DE"/>
    <w:rsid w:val="0065426E"/>
    <w:rsid w:val="006545DD"/>
    <w:rsid w:val="00654DE1"/>
    <w:rsid w:val="00655126"/>
    <w:rsid w:val="00655471"/>
    <w:rsid w:val="00655487"/>
    <w:rsid w:val="0065568F"/>
    <w:rsid w:val="006557F4"/>
    <w:rsid w:val="00656409"/>
    <w:rsid w:val="006565DE"/>
    <w:rsid w:val="00656975"/>
    <w:rsid w:val="006578B3"/>
    <w:rsid w:val="00657901"/>
    <w:rsid w:val="00657FBC"/>
    <w:rsid w:val="00660DEF"/>
    <w:rsid w:val="0066121C"/>
    <w:rsid w:val="006618A5"/>
    <w:rsid w:val="006618F6"/>
    <w:rsid w:val="00661E7B"/>
    <w:rsid w:val="00661FA1"/>
    <w:rsid w:val="00662780"/>
    <w:rsid w:val="00662853"/>
    <w:rsid w:val="00662AFA"/>
    <w:rsid w:val="00662E32"/>
    <w:rsid w:val="00662E6A"/>
    <w:rsid w:val="0066329E"/>
    <w:rsid w:val="006637A2"/>
    <w:rsid w:val="006637A4"/>
    <w:rsid w:val="006639B6"/>
    <w:rsid w:val="00663C93"/>
    <w:rsid w:val="006643CA"/>
    <w:rsid w:val="00664640"/>
    <w:rsid w:val="00665808"/>
    <w:rsid w:val="00665C18"/>
    <w:rsid w:val="00665D06"/>
    <w:rsid w:val="00665D0E"/>
    <w:rsid w:val="006661AF"/>
    <w:rsid w:val="00666AFC"/>
    <w:rsid w:val="00670521"/>
    <w:rsid w:val="00670BF3"/>
    <w:rsid w:val="00671682"/>
    <w:rsid w:val="0067175B"/>
    <w:rsid w:val="0067176A"/>
    <w:rsid w:val="0067191B"/>
    <w:rsid w:val="00671D61"/>
    <w:rsid w:val="006721EB"/>
    <w:rsid w:val="006722D9"/>
    <w:rsid w:val="0067257A"/>
    <w:rsid w:val="006725CB"/>
    <w:rsid w:val="00672931"/>
    <w:rsid w:val="00673037"/>
    <w:rsid w:val="00673476"/>
    <w:rsid w:val="00673801"/>
    <w:rsid w:val="0067468C"/>
    <w:rsid w:val="006748C8"/>
    <w:rsid w:val="006749A9"/>
    <w:rsid w:val="00674A35"/>
    <w:rsid w:val="00675A5E"/>
    <w:rsid w:val="00676795"/>
    <w:rsid w:val="00676FE6"/>
    <w:rsid w:val="00677A30"/>
    <w:rsid w:val="006800F9"/>
    <w:rsid w:val="00680228"/>
    <w:rsid w:val="006805A1"/>
    <w:rsid w:val="00680852"/>
    <w:rsid w:val="00680B0F"/>
    <w:rsid w:val="00681500"/>
    <w:rsid w:val="0068215A"/>
    <w:rsid w:val="0068223B"/>
    <w:rsid w:val="006823B9"/>
    <w:rsid w:val="006823BF"/>
    <w:rsid w:val="006828E5"/>
    <w:rsid w:val="00682F9F"/>
    <w:rsid w:val="006837B9"/>
    <w:rsid w:val="00684416"/>
    <w:rsid w:val="0068448B"/>
    <w:rsid w:val="0068448F"/>
    <w:rsid w:val="0068451F"/>
    <w:rsid w:val="00684652"/>
    <w:rsid w:val="00685278"/>
    <w:rsid w:val="006861F1"/>
    <w:rsid w:val="00686721"/>
    <w:rsid w:val="0068690C"/>
    <w:rsid w:val="006873FF"/>
    <w:rsid w:val="00687498"/>
    <w:rsid w:val="006902B6"/>
    <w:rsid w:val="00690933"/>
    <w:rsid w:val="00690E3E"/>
    <w:rsid w:val="00690E60"/>
    <w:rsid w:val="00690F14"/>
    <w:rsid w:val="00690F78"/>
    <w:rsid w:val="00692266"/>
    <w:rsid w:val="00692841"/>
    <w:rsid w:val="00692BAB"/>
    <w:rsid w:val="0069310D"/>
    <w:rsid w:val="006931BB"/>
    <w:rsid w:val="00693966"/>
    <w:rsid w:val="00693B14"/>
    <w:rsid w:val="00694113"/>
    <w:rsid w:val="00695E52"/>
    <w:rsid w:val="00695F16"/>
    <w:rsid w:val="006962C5"/>
    <w:rsid w:val="0069757A"/>
    <w:rsid w:val="00697B9B"/>
    <w:rsid w:val="00697F14"/>
    <w:rsid w:val="006A0253"/>
    <w:rsid w:val="006A06BD"/>
    <w:rsid w:val="006A134D"/>
    <w:rsid w:val="006A18C8"/>
    <w:rsid w:val="006A1915"/>
    <w:rsid w:val="006A1983"/>
    <w:rsid w:val="006A1F3F"/>
    <w:rsid w:val="006A2511"/>
    <w:rsid w:val="006A30D5"/>
    <w:rsid w:val="006A343C"/>
    <w:rsid w:val="006A391A"/>
    <w:rsid w:val="006A3CD8"/>
    <w:rsid w:val="006A3D9D"/>
    <w:rsid w:val="006A4D68"/>
    <w:rsid w:val="006A552B"/>
    <w:rsid w:val="006A58FC"/>
    <w:rsid w:val="006A5C7A"/>
    <w:rsid w:val="006A5FF9"/>
    <w:rsid w:val="006A6229"/>
    <w:rsid w:val="006A6FCB"/>
    <w:rsid w:val="006A7556"/>
    <w:rsid w:val="006A780D"/>
    <w:rsid w:val="006A7896"/>
    <w:rsid w:val="006A7C48"/>
    <w:rsid w:val="006A7ED5"/>
    <w:rsid w:val="006B0D5D"/>
    <w:rsid w:val="006B1427"/>
    <w:rsid w:val="006B1556"/>
    <w:rsid w:val="006B1942"/>
    <w:rsid w:val="006B1C2B"/>
    <w:rsid w:val="006B1F45"/>
    <w:rsid w:val="006B1FA4"/>
    <w:rsid w:val="006B20E2"/>
    <w:rsid w:val="006B2362"/>
    <w:rsid w:val="006B2965"/>
    <w:rsid w:val="006B3B51"/>
    <w:rsid w:val="006B3F53"/>
    <w:rsid w:val="006B48CF"/>
    <w:rsid w:val="006B4BC9"/>
    <w:rsid w:val="006B4F29"/>
    <w:rsid w:val="006B5179"/>
    <w:rsid w:val="006B543D"/>
    <w:rsid w:val="006B6041"/>
    <w:rsid w:val="006B7094"/>
    <w:rsid w:val="006B7251"/>
    <w:rsid w:val="006B789F"/>
    <w:rsid w:val="006B7D9E"/>
    <w:rsid w:val="006B7E9E"/>
    <w:rsid w:val="006C0668"/>
    <w:rsid w:val="006C0DE7"/>
    <w:rsid w:val="006C1B05"/>
    <w:rsid w:val="006C295D"/>
    <w:rsid w:val="006C2B52"/>
    <w:rsid w:val="006C2D49"/>
    <w:rsid w:val="006C2FA1"/>
    <w:rsid w:val="006C35C5"/>
    <w:rsid w:val="006C3655"/>
    <w:rsid w:val="006C4482"/>
    <w:rsid w:val="006C4D14"/>
    <w:rsid w:val="006C4D19"/>
    <w:rsid w:val="006C5130"/>
    <w:rsid w:val="006C5711"/>
    <w:rsid w:val="006C6587"/>
    <w:rsid w:val="006C6A45"/>
    <w:rsid w:val="006C6D02"/>
    <w:rsid w:val="006C6D54"/>
    <w:rsid w:val="006C72CD"/>
    <w:rsid w:val="006C758A"/>
    <w:rsid w:val="006C76A0"/>
    <w:rsid w:val="006C7884"/>
    <w:rsid w:val="006C7CFB"/>
    <w:rsid w:val="006D0A21"/>
    <w:rsid w:val="006D102F"/>
    <w:rsid w:val="006D11D1"/>
    <w:rsid w:val="006D213A"/>
    <w:rsid w:val="006D2481"/>
    <w:rsid w:val="006D2891"/>
    <w:rsid w:val="006D2C84"/>
    <w:rsid w:val="006D2CCF"/>
    <w:rsid w:val="006D3C5D"/>
    <w:rsid w:val="006D4407"/>
    <w:rsid w:val="006D4B1D"/>
    <w:rsid w:val="006D5046"/>
    <w:rsid w:val="006D58DF"/>
    <w:rsid w:val="006D62F8"/>
    <w:rsid w:val="006D696E"/>
    <w:rsid w:val="006D6DF9"/>
    <w:rsid w:val="006D6F82"/>
    <w:rsid w:val="006D6F97"/>
    <w:rsid w:val="006D71BC"/>
    <w:rsid w:val="006D7B44"/>
    <w:rsid w:val="006E09AF"/>
    <w:rsid w:val="006E1231"/>
    <w:rsid w:val="006E1273"/>
    <w:rsid w:val="006E2A76"/>
    <w:rsid w:val="006E2BDA"/>
    <w:rsid w:val="006E2E5E"/>
    <w:rsid w:val="006E3593"/>
    <w:rsid w:val="006E3622"/>
    <w:rsid w:val="006E3FF9"/>
    <w:rsid w:val="006E4050"/>
    <w:rsid w:val="006E40E1"/>
    <w:rsid w:val="006E453A"/>
    <w:rsid w:val="006E46AB"/>
    <w:rsid w:val="006E4BFA"/>
    <w:rsid w:val="006E59A9"/>
    <w:rsid w:val="006E5C76"/>
    <w:rsid w:val="006E5D38"/>
    <w:rsid w:val="006E6260"/>
    <w:rsid w:val="006E6D33"/>
    <w:rsid w:val="006E72E4"/>
    <w:rsid w:val="006E7EBA"/>
    <w:rsid w:val="006F020C"/>
    <w:rsid w:val="006F0301"/>
    <w:rsid w:val="006F03B1"/>
    <w:rsid w:val="006F0679"/>
    <w:rsid w:val="006F0A31"/>
    <w:rsid w:val="006F0E3E"/>
    <w:rsid w:val="006F0F5A"/>
    <w:rsid w:val="006F1E76"/>
    <w:rsid w:val="006F29B4"/>
    <w:rsid w:val="006F3023"/>
    <w:rsid w:val="006F33F7"/>
    <w:rsid w:val="006F3579"/>
    <w:rsid w:val="006F3789"/>
    <w:rsid w:val="006F39D0"/>
    <w:rsid w:val="006F4589"/>
    <w:rsid w:val="006F470F"/>
    <w:rsid w:val="006F49AA"/>
    <w:rsid w:val="006F6414"/>
    <w:rsid w:val="006F658C"/>
    <w:rsid w:val="006F6AD2"/>
    <w:rsid w:val="006F6D58"/>
    <w:rsid w:val="006F7E59"/>
    <w:rsid w:val="0070059F"/>
    <w:rsid w:val="00700FA9"/>
    <w:rsid w:val="007013B2"/>
    <w:rsid w:val="007013D7"/>
    <w:rsid w:val="00701473"/>
    <w:rsid w:val="0070164E"/>
    <w:rsid w:val="00701DAD"/>
    <w:rsid w:val="00701FE8"/>
    <w:rsid w:val="00702312"/>
    <w:rsid w:val="00702496"/>
    <w:rsid w:val="00702971"/>
    <w:rsid w:val="00702F52"/>
    <w:rsid w:val="0070300B"/>
    <w:rsid w:val="007031DD"/>
    <w:rsid w:val="00703381"/>
    <w:rsid w:val="00703A84"/>
    <w:rsid w:val="00704A4C"/>
    <w:rsid w:val="00705028"/>
    <w:rsid w:val="00705098"/>
    <w:rsid w:val="007050BA"/>
    <w:rsid w:val="00706281"/>
    <w:rsid w:val="00706EE0"/>
    <w:rsid w:val="007071E5"/>
    <w:rsid w:val="007072A7"/>
    <w:rsid w:val="0070782D"/>
    <w:rsid w:val="00707AF5"/>
    <w:rsid w:val="00711085"/>
    <w:rsid w:val="00711139"/>
    <w:rsid w:val="007115AF"/>
    <w:rsid w:val="00711902"/>
    <w:rsid w:val="00711BD0"/>
    <w:rsid w:val="00712032"/>
    <w:rsid w:val="00712D67"/>
    <w:rsid w:val="007130D3"/>
    <w:rsid w:val="0071312C"/>
    <w:rsid w:val="0071375E"/>
    <w:rsid w:val="00713A99"/>
    <w:rsid w:val="00713E5D"/>
    <w:rsid w:val="00713E61"/>
    <w:rsid w:val="007141D7"/>
    <w:rsid w:val="00714228"/>
    <w:rsid w:val="0071426B"/>
    <w:rsid w:val="00715069"/>
    <w:rsid w:val="0071529C"/>
    <w:rsid w:val="00715597"/>
    <w:rsid w:val="007156E0"/>
    <w:rsid w:val="00715766"/>
    <w:rsid w:val="00715FDC"/>
    <w:rsid w:val="007164CF"/>
    <w:rsid w:val="00716963"/>
    <w:rsid w:val="007169BB"/>
    <w:rsid w:val="00716CE5"/>
    <w:rsid w:val="00716FD7"/>
    <w:rsid w:val="00717880"/>
    <w:rsid w:val="00717925"/>
    <w:rsid w:val="00717D47"/>
    <w:rsid w:val="0072044E"/>
    <w:rsid w:val="0072045B"/>
    <w:rsid w:val="007204F3"/>
    <w:rsid w:val="00720C52"/>
    <w:rsid w:val="00721423"/>
    <w:rsid w:val="00721546"/>
    <w:rsid w:val="00721605"/>
    <w:rsid w:val="00721DAE"/>
    <w:rsid w:val="00721FA0"/>
    <w:rsid w:val="007221EB"/>
    <w:rsid w:val="0072275B"/>
    <w:rsid w:val="00722861"/>
    <w:rsid w:val="007228E6"/>
    <w:rsid w:val="00723286"/>
    <w:rsid w:val="00723514"/>
    <w:rsid w:val="00723796"/>
    <w:rsid w:val="00724AB6"/>
    <w:rsid w:val="00724E5F"/>
    <w:rsid w:val="00725173"/>
    <w:rsid w:val="007255AA"/>
    <w:rsid w:val="00725741"/>
    <w:rsid w:val="00726036"/>
    <w:rsid w:val="00726974"/>
    <w:rsid w:val="007269B7"/>
    <w:rsid w:val="00726E3B"/>
    <w:rsid w:val="00727907"/>
    <w:rsid w:val="00727A03"/>
    <w:rsid w:val="00730053"/>
    <w:rsid w:val="00730433"/>
    <w:rsid w:val="007307D1"/>
    <w:rsid w:val="00730A15"/>
    <w:rsid w:val="007311B2"/>
    <w:rsid w:val="0073170E"/>
    <w:rsid w:val="00731A14"/>
    <w:rsid w:val="00731AE2"/>
    <w:rsid w:val="0073218A"/>
    <w:rsid w:val="00732224"/>
    <w:rsid w:val="0073238B"/>
    <w:rsid w:val="007324F6"/>
    <w:rsid w:val="00732A33"/>
    <w:rsid w:val="00732AE4"/>
    <w:rsid w:val="00732CDB"/>
    <w:rsid w:val="00732DD5"/>
    <w:rsid w:val="007334F0"/>
    <w:rsid w:val="00733506"/>
    <w:rsid w:val="00733DA4"/>
    <w:rsid w:val="0073490C"/>
    <w:rsid w:val="00734E53"/>
    <w:rsid w:val="007352DD"/>
    <w:rsid w:val="00735550"/>
    <w:rsid w:val="0073564E"/>
    <w:rsid w:val="00735AA0"/>
    <w:rsid w:val="00735EA5"/>
    <w:rsid w:val="0073616C"/>
    <w:rsid w:val="0073625E"/>
    <w:rsid w:val="007364BE"/>
    <w:rsid w:val="0073661D"/>
    <w:rsid w:val="0073707B"/>
    <w:rsid w:val="007400E2"/>
    <w:rsid w:val="00740106"/>
    <w:rsid w:val="00740979"/>
    <w:rsid w:val="007414B4"/>
    <w:rsid w:val="0074165E"/>
    <w:rsid w:val="00741BDB"/>
    <w:rsid w:val="00742777"/>
    <w:rsid w:val="00743073"/>
    <w:rsid w:val="00743C38"/>
    <w:rsid w:val="00743F72"/>
    <w:rsid w:val="0074424E"/>
    <w:rsid w:val="007447E7"/>
    <w:rsid w:val="00744C1D"/>
    <w:rsid w:val="0074522E"/>
    <w:rsid w:val="00745E0A"/>
    <w:rsid w:val="00746A7A"/>
    <w:rsid w:val="00746B53"/>
    <w:rsid w:val="007470DF"/>
    <w:rsid w:val="0074722C"/>
    <w:rsid w:val="0074758D"/>
    <w:rsid w:val="0074780E"/>
    <w:rsid w:val="00747961"/>
    <w:rsid w:val="00747A53"/>
    <w:rsid w:val="00747D4F"/>
    <w:rsid w:val="00747DB7"/>
    <w:rsid w:val="00750383"/>
    <w:rsid w:val="007508CF"/>
    <w:rsid w:val="00750CF3"/>
    <w:rsid w:val="00750E5E"/>
    <w:rsid w:val="0075157E"/>
    <w:rsid w:val="00751E0A"/>
    <w:rsid w:val="007524B9"/>
    <w:rsid w:val="0075304A"/>
    <w:rsid w:val="00753304"/>
    <w:rsid w:val="007541C5"/>
    <w:rsid w:val="007547DD"/>
    <w:rsid w:val="00754ABE"/>
    <w:rsid w:val="00754ADA"/>
    <w:rsid w:val="007551DA"/>
    <w:rsid w:val="007551E7"/>
    <w:rsid w:val="007553B4"/>
    <w:rsid w:val="00755A3D"/>
    <w:rsid w:val="00755A92"/>
    <w:rsid w:val="00755AC9"/>
    <w:rsid w:val="00755E7D"/>
    <w:rsid w:val="00756D5B"/>
    <w:rsid w:val="00756FAD"/>
    <w:rsid w:val="007573D5"/>
    <w:rsid w:val="00757FBB"/>
    <w:rsid w:val="0076009F"/>
    <w:rsid w:val="007613A9"/>
    <w:rsid w:val="007614B2"/>
    <w:rsid w:val="0076247D"/>
    <w:rsid w:val="00762A90"/>
    <w:rsid w:val="00762C6E"/>
    <w:rsid w:val="007630E0"/>
    <w:rsid w:val="007636C7"/>
    <w:rsid w:val="00764768"/>
    <w:rsid w:val="00764D76"/>
    <w:rsid w:val="00765128"/>
    <w:rsid w:val="00766087"/>
    <w:rsid w:val="0076624E"/>
    <w:rsid w:val="0076659B"/>
    <w:rsid w:val="007666A8"/>
    <w:rsid w:val="00766FB4"/>
    <w:rsid w:val="0077015C"/>
    <w:rsid w:val="007702F1"/>
    <w:rsid w:val="00770822"/>
    <w:rsid w:val="00770DB8"/>
    <w:rsid w:val="0077118E"/>
    <w:rsid w:val="00771231"/>
    <w:rsid w:val="007717B2"/>
    <w:rsid w:val="00771BFE"/>
    <w:rsid w:val="00771E74"/>
    <w:rsid w:val="007726C6"/>
    <w:rsid w:val="007727B8"/>
    <w:rsid w:val="00772E2E"/>
    <w:rsid w:val="00773217"/>
    <w:rsid w:val="007732C6"/>
    <w:rsid w:val="007735A9"/>
    <w:rsid w:val="00774274"/>
    <w:rsid w:val="00774DF9"/>
    <w:rsid w:val="007751B8"/>
    <w:rsid w:val="00775382"/>
    <w:rsid w:val="007759C1"/>
    <w:rsid w:val="007760CD"/>
    <w:rsid w:val="0077642F"/>
    <w:rsid w:val="00776543"/>
    <w:rsid w:val="00776807"/>
    <w:rsid w:val="00776A3C"/>
    <w:rsid w:val="00776D4B"/>
    <w:rsid w:val="007776A8"/>
    <w:rsid w:val="0077789B"/>
    <w:rsid w:val="0078030F"/>
    <w:rsid w:val="0078062F"/>
    <w:rsid w:val="00780719"/>
    <w:rsid w:val="00780906"/>
    <w:rsid w:val="00780BC6"/>
    <w:rsid w:val="00780E1C"/>
    <w:rsid w:val="00781B1E"/>
    <w:rsid w:val="00782210"/>
    <w:rsid w:val="007827E7"/>
    <w:rsid w:val="00782CC1"/>
    <w:rsid w:val="00782F58"/>
    <w:rsid w:val="007838E4"/>
    <w:rsid w:val="00783A08"/>
    <w:rsid w:val="00783DBE"/>
    <w:rsid w:val="00783E2E"/>
    <w:rsid w:val="00783EF9"/>
    <w:rsid w:val="00783FF3"/>
    <w:rsid w:val="00784089"/>
    <w:rsid w:val="007849F5"/>
    <w:rsid w:val="00784A24"/>
    <w:rsid w:val="00784C26"/>
    <w:rsid w:val="007858CB"/>
    <w:rsid w:val="0078596F"/>
    <w:rsid w:val="00785BD6"/>
    <w:rsid w:val="00786019"/>
    <w:rsid w:val="0078608E"/>
    <w:rsid w:val="0078719F"/>
    <w:rsid w:val="00787358"/>
    <w:rsid w:val="007901EC"/>
    <w:rsid w:val="00790B92"/>
    <w:rsid w:val="00790E8C"/>
    <w:rsid w:val="00790F58"/>
    <w:rsid w:val="00791325"/>
    <w:rsid w:val="007915B5"/>
    <w:rsid w:val="0079163D"/>
    <w:rsid w:val="0079187F"/>
    <w:rsid w:val="00791A0C"/>
    <w:rsid w:val="00791FDC"/>
    <w:rsid w:val="007925F3"/>
    <w:rsid w:val="00792743"/>
    <w:rsid w:val="00793055"/>
    <w:rsid w:val="007931A4"/>
    <w:rsid w:val="00793863"/>
    <w:rsid w:val="00793A69"/>
    <w:rsid w:val="00793BD8"/>
    <w:rsid w:val="0079423A"/>
    <w:rsid w:val="007944F1"/>
    <w:rsid w:val="0079471E"/>
    <w:rsid w:val="0079517F"/>
    <w:rsid w:val="007955C7"/>
    <w:rsid w:val="00795714"/>
    <w:rsid w:val="00795E21"/>
    <w:rsid w:val="0079618F"/>
    <w:rsid w:val="007961CC"/>
    <w:rsid w:val="00796553"/>
    <w:rsid w:val="00796582"/>
    <w:rsid w:val="0079669D"/>
    <w:rsid w:val="0079705D"/>
    <w:rsid w:val="00797448"/>
    <w:rsid w:val="007A0347"/>
    <w:rsid w:val="007A0675"/>
    <w:rsid w:val="007A0C14"/>
    <w:rsid w:val="007A1125"/>
    <w:rsid w:val="007A1457"/>
    <w:rsid w:val="007A18CA"/>
    <w:rsid w:val="007A1FFE"/>
    <w:rsid w:val="007A2711"/>
    <w:rsid w:val="007A357A"/>
    <w:rsid w:val="007A3DA0"/>
    <w:rsid w:val="007A4AB1"/>
    <w:rsid w:val="007A5CF0"/>
    <w:rsid w:val="007A6150"/>
    <w:rsid w:val="007A6720"/>
    <w:rsid w:val="007A6DBA"/>
    <w:rsid w:val="007A6FD3"/>
    <w:rsid w:val="007A6FE2"/>
    <w:rsid w:val="007B00D0"/>
    <w:rsid w:val="007B0928"/>
    <w:rsid w:val="007B0C86"/>
    <w:rsid w:val="007B1806"/>
    <w:rsid w:val="007B1924"/>
    <w:rsid w:val="007B1BAE"/>
    <w:rsid w:val="007B1ED4"/>
    <w:rsid w:val="007B1FA2"/>
    <w:rsid w:val="007B2301"/>
    <w:rsid w:val="007B2779"/>
    <w:rsid w:val="007B2958"/>
    <w:rsid w:val="007B2E2F"/>
    <w:rsid w:val="007B3A66"/>
    <w:rsid w:val="007B3AE7"/>
    <w:rsid w:val="007B3D55"/>
    <w:rsid w:val="007B3DF9"/>
    <w:rsid w:val="007B3E5B"/>
    <w:rsid w:val="007B4774"/>
    <w:rsid w:val="007B48DC"/>
    <w:rsid w:val="007B4911"/>
    <w:rsid w:val="007B4D32"/>
    <w:rsid w:val="007B4E09"/>
    <w:rsid w:val="007B4E5F"/>
    <w:rsid w:val="007B5300"/>
    <w:rsid w:val="007B54A3"/>
    <w:rsid w:val="007B5C28"/>
    <w:rsid w:val="007B5CCF"/>
    <w:rsid w:val="007B70B8"/>
    <w:rsid w:val="007B74FB"/>
    <w:rsid w:val="007B76BE"/>
    <w:rsid w:val="007B7716"/>
    <w:rsid w:val="007B7945"/>
    <w:rsid w:val="007C051C"/>
    <w:rsid w:val="007C090B"/>
    <w:rsid w:val="007C0BCC"/>
    <w:rsid w:val="007C0D43"/>
    <w:rsid w:val="007C0F93"/>
    <w:rsid w:val="007C1892"/>
    <w:rsid w:val="007C1CE3"/>
    <w:rsid w:val="007C256B"/>
    <w:rsid w:val="007C2A2F"/>
    <w:rsid w:val="007C2AFF"/>
    <w:rsid w:val="007C3795"/>
    <w:rsid w:val="007C5036"/>
    <w:rsid w:val="007C5C0B"/>
    <w:rsid w:val="007C6058"/>
    <w:rsid w:val="007C6067"/>
    <w:rsid w:val="007C66AA"/>
    <w:rsid w:val="007C7368"/>
    <w:rsid w:val="007C74ED"/>
    <w:rsid w:val="007C77A2"/>
    <w:rsid w:val="007D0D75"/>
    <w:rsid w:val="007D1154"/>
    <w:rsid w:val="007D1525"/>
    <w:rsid w:val="007D156A"/>
    <w:rsid w:val="007D17BD"/>
    <w:rsid w:val="007D20C9"/>
    <w:rsid w:val="007D2533"/>
    <w:rsid w:val="007D261D"/>
    <w:rsid w:val="007D28E1"/>
    <w:rsid w:val="007D2C96"/>
    <w:rsid w:val="007D2CF3"/>
    <w:rsid w:val="007D2D51"/>
    <w:rsid w:val="007D3438"/>
    <w:rsid w:val="007D3453"/>
    <w:rsid w:val="007D36E4"/>
    <w:rsid w:val="007D3F62"/>
    <w:rsid w:val="007D3F6D"/>
    <w:rsid w:val="007D4324"/>
    <w:rsid w:val="007D4478"/>
    <w:rsid w:val="007D55E6"/>
    <w:rsid w:val="007D5690"/>
    <w:rsid w:val="007D5863"/>
    <w:rsid w:val="007D5920"/>
    <w:rsid w:val="007D5D2F"/>
    <w:rsid w:val="007D6267"/>
    <w:rsid w:val="007D6679"/>
    <w:rsid w:val="007D6DB6"/>
    <w:rsid w:val="007D6F1F"/>
    <w:rsid w:val="007D74B2"/>
    <w:rsid w:val="007D77F9"/>
    <w:rsid w:val="007D7834"/>
    <w:rsid w:val="007D7855"/>
    <w:rsid w:val="007D7F0D"/>
    <w:rsid w:val="007E0211"/>
    <w:rsid w:val="007E0300"/>
    <w:rsid w:val="007E0AB7"/>
    <w:rsid w:val="007E177B"/>
    <w:rsid w:val="007E1D43"/>
    <w:rsid w:val="007E1DFB"/>
    <w:rsid w:val="007E1E2C"/>
    <w:rsid w:val="007E2BA0"/>
    <w:rsid w:val="007E2C2F"/>
    <w:rsid w:val="007E2E19"/>
    <w:rsid w:val="007E31E8"/>
    <w:rsid w:val="007E3583"/>
    <w:rsid w:val="007E3607"/>
    <w:rsid w:val="007E380F"/>
    <w:rsid w:val="007E39A5"/>
    <w:rsid w:val="007E3C74"/>
    <w:rsid w:val="007E3DB5"/>
    <w:rsid w:val="007E3ECD"/>
    <w:rsid w:val="007E3FAB"/>
    <w:rsid w:val="007E56CA"/>
    <w:rsid w:val="007E5909"/>
    <w:rsid w:val="007E5A73"/>
    <w:rsid w:val="007E616A"/>
    <w:rsid w:val="007E667B"/>
    <w:rsid w:val="007E70F7"/>
    <w:rsid w:val="007E7262"/>
    <w:rsid w:val="007F0081"/>
    <w:rsid w:val="007F0D0D"/>
    <w:rsid w:val="007F0F9D"/>
    <w:rsid w:val="007F10B5"/>
    <w:rsid w:val="007F13A3"/>
    <w:rsid w:val="007F1500"/>
    <w:rsid w:val="007F15C2"/>
    <w:rsid w:val="007F1C1B"/>
    <w:rsid w:val="007F2324"/>
    <w:rsid w:val="007F24E1"/>
    <w:rsid w:val="007F2E31"/>
    <w:rsid w:val="007F3A05"/>
    <w:rsid w:val="007F404A"/>
    <w:rsid w:val="007F4190"/>
    <w:rsid w:val="007F458E"/>
    <w:rsid w:val="007F4ADE"/>
    <w:rsid w:val="007F4B19"/>
    <w:rsid w:val="007F4EBF"/>
    <w:rsid w:val="007F5133"/>
    <w:rsid w:val="007F5BAA"/>
    <w:rsid w:val="007F603A"/>
    <w:rsid w:val="007F6391"/>
    <w:rsid w:val="007F6F0D"/>
    <w:rsid w:val="007F6F11"/>
    <w:rsid w:val="007F7220"/>
    <w:rsid w:val="007F724A"/>
    <w:rsid w:val="007F735A"/>
    <w:rsid w:val="007F780E"/>
    <w:rsid w:val="007F7843"/>
    <w:rsid w:val="007F7AB4"/>
    <w:rsid w:val="008000EC"/>
    <w:rsid w:val="00800E5D"/>
    <w:rsid w:val="0080150A"/>
    <w:rsid w:val="00802115"/>
    <w:rsid w:val="0080215F"/>
    <w:rsid w:val="0080236E"/>
    <w:rsid w:val="00802953"/>
    <w:rsid w:val="00802B3B"/>
    <w:rsid w:val="00802EF8"/>
    <w:rsid w:val="00803779"/>
    <w:rsid w:val="008049FB"/>
    <w:rsid w:val="00805632"/>
    <w:rsid w:val="008056A1"/>
    <w:rsid w:val="008056DC"/>
    <w:rsid w:val="00805AC7"/>
    <w:rsid w:val="008069EB"/>
    <w:rsid w:val="00806E5F"/>
    <w:rsid w:val="00806E8D"/>
    <w:rsid w:val="00807393"/>
    <w:rsid w:val="00807AF8"/>
    <w:rsid w:val="00807D2E"/>
    <w:rsid w:val="00807E5F"/>
    <w:rsid w:val="008100D3"/>
    <w:rsid w:val="00810930"/>
    <w:rsid w:val="0081115E"/>
    <w:rsid w:val="00811DC7"/>
    <w:rsid w:val="00811EED"/>
    <w:rsid w:val="0081217E"/>
    <w:rsid w:val="008133C5"/>
    <w:rsid w:val="00814087"/>
    <w:rsid w:val="00814677"/>
    <w:rsid w:val="00815782"/>
    <w:rsid w:val="00815A3B"/>
    <w:rsid w:val="00816572"/>
    <w:rsid w:val="0081672C"/>
    <w:rsid w:val="00816D27"/>
    <w:rsid w:val="00816F12"/>
    <w:rsid w:val="0081711F"/>
    <w:rsid w:val="008173AF"/>
    <w:rsid w:val="0081771B"/>
    <w:rsid w:val="00817826"/>
    <w:rsid w:val="00817DE9"/>
    <w:rsid w:val="008200D2"/>
    <w:rsid w:val="0082023A"/>
    <w:rsid w:val="00820285"/>
    <w:rsid w:val="00820D7B"/>
    <w:rsid w:val="0082120B"/>
    <w:rsid w:val="008214A9"/>
    <w:rsid w:val="0082186E"/>
    <w:rsid w:val="00821EF7"/>
    <w:rsid w:val="008225D5"/>
    <w:rsid w:val="008232BB"/>
    <w:rsid w:val="0082340C"/>
    <w:rsid w:val="008242B3"/>
    <w:rsid w:val="00824647"/>
    <w:rsid w:val="008248DC"/>
    <w:rsid w:val="00824AA0"/>
    <w:rsid w:val="00824AF3"/>
    <w:rsid w:val="00824D61"/>
    <w:rsid w:val="00824EE2"/>
    <w:rsid w:val="00824F66"/>
    <w:rsid w:val="008251E5"/>
    <w:rsid w:val="00825C04"/>
    <w:rsid w:val="00825E64"/>
    <w:rsid w:val="008260B3"/>
    <w:rsid w:val="00826287"/>
    <w:rsid w:val="00826944"/>
    <w:rsid w:val="00826AF0"/>
    <w:rsid w:val="00826CE2"/>
    <w:rsid w:val="00826EC4"/>
    <w:rsid w:val="0082700F"/>
    <w:rsid w:val="008276AC"/>
    <w:rsid w:val="00827765"/>
    <w:rsid w:val="008277EE"/>
    <w:rsid w:val="008279A1"/>
    <w:rsid w:val="00827E84"/>
    <w:rsid w:val="0083039E"/>
    <w:rsid w:val="0083056F"/>
    <w:rsid w:val="0083084F"/>
    <w:rsid w:val="00830B27"/>
    <w:rsid w:val="00830BCE"/>
    <w:rsid w:val="00830C39"/>
    <w:rsid w:val="00830FC4"/>
    <w:rsid w:val="008310B6"/>
    <w:rsid w:val="00831127"/>
    <w:rsid w:val="008313C5"/>
    <w:rsid w:val="00831C40"/>
    <w:rsid w:val="00831E5E"/>
    <w:rsid w:val="00831E62"/>
    <w:rsid w:val="008322FB"/>
    <w:rsid w:val="00832436"/>
    <w:rsid w:val="00832635"/>
    <w:rsid w:val="00832B84"/>
    <w:rsid w:val="00832EAA"/>
    <w:rsid w:val="00833530"/>
    <w:rsid w:val="008338D5"/>
    <w:rsid w:val="00833E71"/>
    <w:rsid w:val="0083445E"/>
    <w:rsid w:val="00834506"/>
    <w:rsid w:val="00834B3B"/>
    <w:rsid w:val="00834C3A"/>
    <w:rsid w:val="00834EC2"/>
    <w:rsid w:val="008354EF"/>
    <w:rsid w:val="008357E5"/>
    <w:rsid w:val="0083592F"/>
    <w:rsid w:val="008359F1"/>
    <w:rsid w:val="00835A12"/>
    <w:rsid w:val="00835F3C"/>
    <w:rsid w:val="00835FD6"/>
    <w:rsid w:val="008365CC"/>
    <w:rsid w:val="00836794"/>
    <w:rsid w:val="008367FD"/>
    <w:rsid w:val="00836BEA"/>
    <w:rsid w:val="00836DC3"/>
    <w:rsid w:val="00837687"/>
    <w:rsid w:val="00840B10"/>
    <w:rsid w:val="008410AF"/>
    <w:rsid w:val="008413FF"/>
    <w:rsid w:val="00841612"/>
    <w:rsid w:val="00841951"/>
    <w:rsid w:val="00842838"/>
    <w:rsid w:val="0084293F"/>
    <w:rsid w:val="00842BD3"/>
    <w:rsid w:val="00843158"/>
    <w:rsid w:val="008432CA"/>
    <w:rsid w:val="0084336C"/>
    <w:rsid w:val="00843425"/>
    <w:rsid w:val="00843764"/>
    <w:rsid w:val="008438BB"/>
    <w:rsid w:val="00843C1E"/>
    <w:rsid w:val="00844936"/>
    <w:rsid w:val="00844E6D"/>
    <w:rsid w:val="00845A6E"/>
    <w:rsid w:val="0084600F"/>
    <w:rsid w:val="0084648C"/>
    <w:rsid w:val="00846802"/>
    <w:rsid w:val="00846856"/>
    <w:rsid w:val="00846D2A"/>
    <w:rsid w:val="008476CB"/>
    <w:rsid w:val="00847833"/>
    <w:rsid w:val="0085016E"/>
    <w:rsid w:val="008504DA"/>
    <w:rsid w:val="008508B4"/>
    <w:rsid w:val="00850922"/>
    <w:rsid w:val="00850BC8"/>
    <w:rsid w:val="008512AA"/>
    <w:rsid w:val="00851564"/>
    <w:rsid w:val="0085156C"/>
    <w:rsid w:val="00851DF2"/>
    <w:rsid w:val="008527C3"/>
    <w:rsid w:val="00852FEF"/>
    <w:rsid w:val="00853345"/>
    <w:rsid w:val="0085373D"/>
    <w:rsid w:val="00853F8A"/>
    <w:rsid w:val="00855513"/>
    <w:rsid w:val="00855759"/>
    <w:rsid w:val="008557FC"/>
    <w:rsid w:val="008558F2"/>
    <w:rsid w:val="00856186"/>
    <w:rsid w:val="00856339"/>
    <w:rsid w:val="00856D5C"/>
    <w:rsid w:val="008570D5"/>
    <w:rsid w:val="00857331"/>
    <w:rsid w:val="00860893"/>
    <w:rsid w:val="00860A26"/>
    <w:rsid w:val="00861A7F"/>
    <w:rsid w:val="00861E24"/>
    <w:rsid w:val="00861E95"/>
    <w:rsid w:val="0086253E"/>
    <w:rsid w:val="00863B2F"/>
    <w:rsid w:val="00863F2F"/>
    <w:rsid w:val="008640BA"/>
    <w:rsid w:val="00864209"/>
    <w:rsid w:val="008651CD"/>
    <w:rsid w:val="008660EC"/>
    <w:rsid w:val="00866222"/>
    <w:rsid w:val="008664D7"/>
    <w:rsid w:val="0086674D"/>
    <w:rsid w:val="008668B7"/>
    <w:rsid w:val="008668EE"/>
    <w:rsid w:val="00866A13"/>
    <w:rsid w:val="00866C4F"/>
    <w:rsid w:val="00866EFE"/>
    <w:rsid w:val="008671F7"/>
    <w:rsid w:val="00867302"/>
    <w:rsid w:val="00867405"/>
    <w:rsid w:val="00867410"/>
    <w:rsid w:val="00867E9E"/>
    <w:rsid w:val="00867F31"/>
    <w:rsid w:val="008707E1"/>
    <w:rsid w:val="008708E8"/>
    <w:rsid w:val="00870D98"/>
    <w:rsid w:val="00871996"/>
    <w:rsid w:val="00871EF6"/>
    <w:rsid w:val="0087210B"/>
    <w:rsid w:val="008726EA"/>
    <w:rsid w:val="00872AF4"/>
    <w:rsid w:val="0087302C"/>
    <w:rsid w:val="00873571"/>
    <w:rsid w:val="0087374B"/>
    <w:rsid w:val="00873849"/>
    <w:rsid w:val="00873975"/>
    <w:rsid w:val="00873D75"/>
    <w:rsid w:val="00874009"/>
    <w:rsid w:val="00874655"/>
    <w:rsid w:val="008746AA"/>
    <w:rsid w:val="00874BA6"/>
    <w:rsid w:val="0087642E"/>
    <w:rsid w:val="008767DA"/>
    <w:rsid w:val="00876E99"/>
    <w:rsid w:val="008774DB"/>
    <w:rsid w:val="0087795C"/>
    <w:rsid w:val="00877B8C"/>
    <w:rsid w:val="00877BCF"/>
    <w:rsid w:val="00880004"/>
    <w:rsid w:val="008800D6"/>
    <w:rsid w:val="0088025A"/>
    <w:rsid w:val="008805E3"/>
    <w:rsid w:val="00880789"/>
    <w:rsid w:val="008807E4"/>
    <w:rsid w:val="00881003"/>
    <w:rsid w:val="00881125"/>
    <w:rsid w:val="008817B7"/>
    <w:rsid w:val="00881824"/>
    <w:rsid w:val="00881B0B"/>
    <w:rsid w:val="00882242"/>
    <w:rsid w:val="008824B9"/>
    <w:rsid w:val="0088315D"/>
    <w:rsid w:val="008831D9"/>
    <w:rsid w:val="00883297"/>
    <w:rsid w:val="008833EA"/>
    <w:rsid w:val="0088388A"/>
    <w:rsid w:val="00883A0A"/>
    <w:rsid w:val="00883C2A"/>
    <w:rsid w:val="00884200"/>
    <w:rsid w:val="00884205"/>
    <w:rsid w:val="00884F3A"/>
    <w:rsid w:val="00885A6F"/>
    <w:rsid w:val="00885D54"/>
    <w:rsid w:val="00885DB1"/>
    <w:rsid w:val="00886496"/>
    <w:rsid w:val="00886AC0"/>
    <w:rsid w:val="00886BB5"/>
    <w:rsid w:val="00886BEA"/>
    <w:rsid w:val="00887143"/>
    <w:rsid w:val="00887959"/>
    <w:rsid w:val="00887A7C"/>
    <w:rsid w:val="00887D20"/>
    <w:rsid w:val="00887DE4"/>
    <w:rsid w:val="0089089F"/>
    <w:rsid w:val="00890D48"/>
    <w:rsid w:val="008925C2"/>
    <w:rsid w:val="00892E1A"/>
    <w:rsid w:val="00892FA2"/>
    <w:rsid w:val="00893D58"/>
    <w:rsid w:val="00894221"/>
    <w:rsid w:val="00894D47"/>
    <w:rsid w:val="008954DD"/>
    <w:rsid w:val="0089603D"/>
    <w:rsid w:val="008961C3"/>
    <w:rsid w:val="008968F6"/>
    <w:rsid w:val="00896EC5"/>
    <w:rsid w:val="00896FCF"/>
    <w:rsid w:val="00897627"/>
    <w:rsid w:val="00897826"/>
    <w:rsid w:val="008978CE"/>
    <w:rsid w:val="00897C12"/>
    <w:rsid w:val="00897C3E"/>
    <w:rsid w:val="00897FEA"/>
    <w:rsid w:val="008A023A"/>
    <w:rsid w:val="008A07F7"/>
    <w:rsid w:val="008A0F7D"/>
    <w:rsid w:val="008A1B9B"/>
    <w:rsid w:val="008A205F"/>
    <w:rsid w:val="008A27A1"/>
    <w:rsid w:val="008A2932"/>
    <w:rsid w:val="008A30F6"/>
    <w:rsid w:val="008A3685"/>
    <w:rsid w:val="008A37FE"/>
    <w:rsid w:val="008A434B"/>
    <w:rsid w:val="008A43F5"/>
    <w:rsid w:val="008A4560"/>
    <w:rsid w:val="008A4AB3"/>
    <w:rsid w:val="008A5091"/>
    <w:rsid w:val="008A5FC7"/>
    <w:rsid w:val="008A6E69"/>
    <w:rsid w:val="008A71AD"/>
    <w:rsid w:val="008A7339"/>
    <w:rsid w:val="008A7BA0"/>
    <w:rsid w:val="008B0028"/>
    <w:rsid w:val="008B02D8"/>
    <w:rsid w:val="008B03DB"/>
    <w:rsid w:val="008B0411"/>
    <w:rsid w:val="008B0893"/>
    <w:rsid w:val="008B0910"/>
    <w:rsid w:val="008B11CD"/>
    <w:rsid w:val="008B1883"/>
    <w:rsid w:val="008B1AB9"/>
    <w:rsid w:val="008B1C6D"/>
    <w:rsid w:val="008B2361"/>
    <w:rsid w:val="008B2A2E"/>
    <w:rsid w:val="008B3FFA"/>
    <w:rsid w:val="008B4407"/>
    <w:rsid w:val="008B4575"/>
    <w:rsid w:val="008B480B"/>
    <w:rsid w:val="008B4B28"/>
    <w:rsid w:val="008B4BB9"/>
    <w:rsid w:val="008B51FF"/>
    <w:rsid w:val="008B56FE"/>
    <w:rsid w:val="008B5BFB"/>
    <w:rsid w:val="008B675A"/>
    <w:rsid w:val="008B67F4"/>
    <w:rsid w:val="008B716D"/>
    <w:rsid w:val="008B7259"/>
    <w:rsid w:val="008B754B"/>
    <w:rsid w:val="008B7A23"/>
    <w:rsid w:val="008B7B42"/>
    <w:rsid w:val="008B7CF5"/>
    <w:rsid w:val="008C0C8B"/>
    <w:rsid w:val="008C0DEE"/>
    <w:rsid w:val="008C100F"/>
    <w:rsid w:val="008C10A8"/>
    <w:rsid w:val="008C1396"/>
    <w:rsid w:val="008C1423"/>
    <w:rsid w:val="008C15DE"/>
    <w:rsid w:val="008C1D0B"/>
    <w:rsid w:val="008C2FB7"/>
    <w:rsid w:val="008C3BFC"/>
    <w:rsid w:val="008C435C"/>
    <w:rsid w:val="008C44E3"/>
    <w:rsid w:val="008C46E6"/>
    <w:rsid w:val="008C4986"/>
    <w:rsid w:val="008C4A66"/>
    <w:rsid w:val="008C4ECF"/>
    <w:rsid w:val="008C55B8"/>
    <w:rsid w:val="008C55C4"/>
    <w:rsid w:val="008C6328"/>
    <w:rsid w:val="008C6D72"/>
    <w:rsid w:val="008C6F68"/>
    <w:rsid w:val="008C7210"/>
    <w:rsid w:val="008C7E97"/>
    <w:rsid w:val="008D049E"/>
    <w:rsid w:val="008D0EC7"/>
    <w:rsid w:val="008D1237"/>
    <w:rsid w:val="008D1263"/>
    <w:rsid w:val="008D12D8"/>
    <w:rsid w:val="008D135E"/>
    <w:rsid w:val="008D1505"/>
    <w:rsid w:val="008D1C08"/>
    <w:rsid w:val="008D1C37"/>
    <w:rsid w:val="008D1E79"/>
    <w:rsid w:val="008D1EC3"/>
    <w:rsid w:val="008D24FD"/>
    <w:rsid w:val="008D2F83"/>
    <w:rsid w:val="008D2FB4"/>
    <w:rsid w:val="008D391D"/>
    <w:rsid w:val="008D3C8E"/>
    <w:rsid w:val="008D4330"/>
    <w:rsid w:val="008D48D3"/>
    <w:rsid w:val="008D4A5E"/>
    <w:rsid w:val="008D4AA6"/>
    <w:rsid w:val="008D4EC2"/>
    <w:rsid w:val="008D5590"/>
    <w:rsid w:val="008D5B2D"/>
    <w:rsid w:val="008D5C5C"/>
    <w:rsid w:val="008D5F42"/>
    <w:rsid w:val="008D5FEA"/>
    <w:rsid w:val="008D67D1"/>
    <w:rsid w:val="008D6952"/>
    <w:rsid w:val="008D6B5A"/>
    <w:rsid w:val="008D7B31"/>
    <w:rsid w:val="008D7D3D"/>
    <w:rsid w:val="008E0550"/>
    <w:rsid w:val="008E05A3"/>
    <w:rsid w:val="008E0845"/>
    <w:rsid w:val="008E08D3"/>
    <w:rsid w:val="008E0F2D"/>
    <w:rsid w:val="008E10FC"/>
    <w:rsid w:val="008E127E"/>
    <w:rsid w:val="008E1664"/>
    <w:rsid w:val="008E18BE"/>
    <w:rsid w:val="008E279F"/>
    <w:rsid w:val="008E28B1"/>
    <w:rsid w:val="008E2AA5"/>
    <w:rsid w:val="008E3483"/>
    <w:rsid w:val="008E3CDE"/>
    <w:rsid w:val="008E4F74"/>
    <w:rsid w:val="008E5488"/>
    <w:rsid w:val="008E54A3"/>
    <w:rsid w:val="008E6754"/>
    <w:rsid w:val="008E6AF3"/>
    <w:rsid w:val="008E72FE"/>
    <w:rsid w:val="008E79DD"/>
    <w:rsid w:val="008F007D"/>
    <w:rsid w:val="008F0D26"/>
    <w:rsid w:val="008F1116"/>
    <w:rsid w:val="008F118A"/>
    <w:rsid w:val="008F14ED"/>
    <w:rsid w:val="008F1593"/>
    <w:rsid w:val="008F161C"/>
    <w:rsid w:val="008F176E"/>
    <w:rsid w:val="008F1DC3"/>
    <w:rsid w:val="008F1FE5"/>
    <w:rsid w:val="008F2CF4"/>
    <w:rsid w:val="008F336E"/>
    <w:rsid w:val="008F3ACD"/>
    <w:rsid w:val="008F40C0"/>
    <w:rsid w:val="008F4633"/>
    <w:rsid w:val="008F56C6"/>
    <w:rsid w:val="008F5F63"/>
    <w:rsid w:val="008F633D"/>
    <w:rsid w:val="008F675D"/>
    <w:rsid w:val="008F6AF2"/>
    <w:rsid w:val="008F73D7"/>
    <w:rsid w:val="008F76AF"/>
    <w:rsid w:val="008F7C03"/>
    <w:rsid w:val="008F7F3D"/>
    <w:rsid w:val="0090070C"/>
    <w:rsid w:val="00900F2B"/>
    <w:rsid w:val="00900FC8"/>
    <w:rsid w:val="0090107B"/>
    <w:rsid w:val="00901475"/>
    <w:rsid w:val="009017A0"/>
    <w:rsid w:val="00901880"/>
    <w:rsid w:val="00901974"/>
    <w:rsid w:val="00901988"/>
    <w:rsid w:val="00901C93"/>
    <w:rsid w:val="0090328C"/>
    <w:rsid w:val="009037CA"/>
    <w:rsid w:val="0090381D"/>
    <w:rsid w:val="0090388A"/>
    <w:rsid w:val="00903AC3"/>
    <w:rsid w:val="00904049"/>
    <w:rsid w:val="009043B8"/>
    <w:rsid w:val="00904763"/>
    <w:rsid w:val="00904AA3"/>
    <w:rsid w:val="00904FA3"/>
    <w:rsid w:val="00904FF4"/>
    <w:rsid w:val="00905044"/>
    <w:rsid w:val="009053E4"/>
    <w:rsid w:val="009058EA"/>
    <w:rsid w:val="0090599F"/>
    <w:rsid w:val="00905D3C"/>
    <w:rsid w:val="00906400"/>
    <w:rsid w:val="00906481"/>
    <w:rsid w:val="009072C9"/>
    <w:rsid w:val="009074C2"/>
    <w:rsid w:val="00907507"/>
    <w:rsid w:val="009076C6"/>
    <w:rsid w:val="00910A8D"/>
    <w:rsid w:val="00910CC4"/>
    <w:rsid w:val="009111B3"/>
    <w:rsid w:val="0091158A"/>
    <w:rsid w:val="00911609"/>
    <w:rsid w:val="009123EC"/>
    <w:rsid w:val="009126E4"/>
    <w:rsid w:val="00914D8B"/>
    <w:rsid w:val="00914D95"/>
    <w:rsid w:val="009150AD"/>
    <w:rsid w:val="009154B1"/>
    <w:rsid w:val="00916185"/>
    <w:rsid w:val="009166F3"/>
    <w:rsid w:val="00916861"/>
    <w:rsid w:val="009169BC"/>
    <w:rsid w:val="009172B2"/>
    <w:rsid w:val="009175DE"/>
    <w:rsid w:val="00921386"/>
    <w:rsid w:val="0092161F"/>
    <w:rsid w:val="0092309C"/>
    <w:rsid w:val="009237FD"/>
    <w:rsid w:val="00923F00"/>
    <w:rsid w:val="00924267"/>
    <w:rsid w:val="0092454A"/>
    <w:rsid w:val="00924763"/>
    <w:rsid w:val="00924DEA"/>
    <w:rsid w:val="009254F8"/>
    <w:rsid w:val="00925688"/>
    <w:rsid w:val="009257DB"/>
    <w:rsid w:val="009266B1"/>
    <w:rsid w:val="00926C7E"/>
    <w:rsid w:val="00926E7E"/>
    <w:rsid w:val="00927277"/>
    <w:rsid w:val="00927A31"/>
    <w:rsid w:val="00930097"/>
    <w:rsid w:val="0093081F"/>
    <w:rsid w:val="00930CD7"/>
    <w:rsid w:val="00930E70"/>
    <w:rsid w:val="00930FAA"/>
    <w:rsid w:val="00931228"/>
    <w:rsid w:val="009312CF"/>
    <w:rsid w:val="009318E2"/>
    <w:rsid w:val="00931A2F"/>
    <w:rsid w:val="00931EAA"/>
    <w:rsid w:val="009320FF"/>
    <w:rsid w:val="00932317"/>
    <w:rsid w:val="009324F2"/>
    <w:rsid w:val="00932C7B"/>
    <w:rsid w:val="00932EAE"/>
    <w:rsid w:val="009334B7"/>
    <w:rsid w:val="0093368D"/>
    <w:rsid w:val="0093372E"/>
    <w:rsid w:val="009337DB"/>
    <w:rsid w:val="009340C5"/>
    <w:rsid w:val="0093449B"/>
    <w:rsid w:val="00934851"/>
    <w:rsid w:val="009348DE"/>
    <w:rsid w:val="00934DA6"/>
    <w:rsid w:val="00934DD6"/>
    <w:rsid w:val="00934FD6"/>
    <w:rsid w:val="00935441"/>
    <w:rsid w:val="00935888"/>
    <w:rsid w:val="00935A80"/>
    <w:rsid w:val="00936D76"/>
    <w:rsid w:val="0093712C"/>
    <w:rsid w:val="00937160"/>
    <w:rsid w:val="00937554"/>
    <w:rsid w:val="0093756E"/>
    <w:rsid w:val="00937765"/>
    <w:rsid w:val="0093793C"/>
    <w:rsid w:val="00937ABA"/>
    <w:rsid w:val="00937AE6"/>
    <w:rsid w:val="00937BE4"/>
    <w:rsid w:val="00937C23"/>
    <w:rsid w:val="009400DA"/>
    <w:rsid w:val="00940510"/>
    <w:rsid w:val="00941198"/>
    <w:rsid w:val="00942341"/>
    <w:rsid w:val="0094239F"/>
    <w:rsid w:val="00943239"/>
    <w:rsid w:val="00943617"/>
    <w:rsid w:val="00943AC6"/>
    <w:rsid w:val="009449E2"/>
    <w:rsid w:val="00944B00"/>
    <w:rsid w:val="00944D55"/>
    <w:rsid w:val="009456A7"/>
    <w:rsid w:val="009456E0"/>
    <w:rsid w:val="00945712"/>
    <w:rsid w:val="00945A26"/>
    <w:rsid w:val="00945F53"/>
    <w:rsid w:val="0094602A"/>
    <w:rsid w:val="00946526"/>
    <w:rsid w:val="009467F7"/>
    <w:rsid w:val="00947302"/>
    <w:rsid w:val="00947BC7"/>
    <w:rsid w:val="00947E28"/>
    <w:rsid w:val="009500A0"/>
    <w:rsid w:val="009502D8"/>
    <w:rsid w:val="00950659"/>
    <w:rsid w:val="0095105D"/>
    <w:rsid w:val="0095105E"/>
    <w:rsid w:val="009510B0"/>
    <w:rsid w:val="00951F46"/>
    <w:rsid w:val="00951F8B"/>
    <w:rsid w:val="00952B2A"/>
    <w:rsid w:val="00952C86"/>
    <w:rsid w:val="00952FF9"/>
    <w:rsid w:val="00953534"/>
    <w:rsid w:val="00953B03"/>
    <w:rsid w:val="00953B28"/>
    <w:rsid w:val="00954024"/>
    <w:rsid w:val="009548DF"/>
    <w:rsid w:val="00954AA9"/>
    <w:rsid w:val="00954B1F"/>
    <w:rsid w:val="00954ED7"/>
    <w:rsid w:val="00955098"/>
    <w:rsid w:val="009552BF"/>
    <w:rsid w:val="00955423"/>
    <w:rsid w:val="00955E32"/>
    <w:rsid w:val="00955EDA"/>
    <w:rsid w:val="00956501"/>
    <w:rsid w:val="0095660D"/>
    <w:rsid w:val="00957046"/>
    <w:rsid w:val="0095726C"/>
    <w:rsid w:val="009573F9"/>
    <w:rsid w:val="00957565"/>
    <w:rsid w:val="00957695"/>
    <w:rsid w:val="00957AF3"/>
    <w:rsid w:val="00957BC2"/>
    <w:rsid w:val="00960547"/>
    <w:rsid w:val="0096056C"/>
    <w:rsid w:val="0096086B"/>
    <w:rsid w:val="009609DF"/>
    <w:rsid w:val="009615DD"/>
    <w:rsid w:val="00961605"/>
    <w:rsid w:val="00961837"/>
    <w:rsid w:val="00961877"/>
    <w:rsid w:val="00961CBE"/>
    <w:rsid w:val="00962659"/>
    <w:rsid w:val="0096286E"/>
    <w:rsid w:val="009629BD"/>
    <w:rsid w:val="00963041"/>
    <w:rsid w:val="0096307B"/>
    <w:rsid w:val="00963148"/>
    <w:rsid w:val="009634F9"/>
    <w:rsid w:val="009637B6"/>
    <w:rsid w:val="00963C9A"/>
    <w:rsid w:val="00963E95"/>
    <w:rsid w:val="00964AA1"/>
    <w:rsid w:val="00964AF5"/>
    <w:rsid w:val="009650ED"/>
    <w:rsid w:val="00965BD4"/>
    <w:rsid w:val="0096634A"/>
    <w:rsid w:val="0096658A"/>
    <w:rsid w:val="00966A38"/>
    <w:rsid w:val="00966D38"/>
    <w:rsid w:val="009678FF"/>
    <w:rsid w:val="00967A02"/>
    <w:rsid w:val="00967AB4"/>
    <w:rsid w:val="00967B4A"/>
    <w:rsid w:val="00967DC0"/>
    <w:rsid w:val="009702F4"/>
    <w:rsid w:val="00970C5E"/>
    <w:rsid w:val="009711C5"/>
    <w:rsid w:val="009712DB"/>
    <w:rsid w:val="00971518"/>
    <w:rsid w:val="00971A1A"/>
    <w:rsid w:val="00971CB6"/>
    <w:rsid w:val="009720DE"/>
    <w:rsid w:val="009738FE"/>
    <w:rsid w:val="00973918"/>
    <w:rsid w:val="00973E27"/>
    <w:rsid w:val="00974A39"/>
    <w:rsid w:val="00974AC0"/>
    <w:rsid w:val="00974AC3"/>
    <w:rsid w:val="00974B1B"/>
    <w:rsid w:val="00974B98"/>
    <w:rsid w:val="009750DB"/>
    <w:rsid w:val="009753AE"/>
    <w:rsid w:val="00975C80"/>
    <w:rsid w:val="0097660E"/>
    <w:rsid w:val="00977F3D"/>
    <w:rsid w:val="009803C8"/>
    <w:rsid w:val="00980435"/>
    <w:rsid w:val="0098046A"/>
    <w:rsid w:val="00980A46"/>
    <w:rsid w:val="00981190"/>
    <w:rsid w:val="00981562"/>
    <w:rsid w:val="0098177E"/>
    <w:rsid w:val="00981D64"/>
    <w:rsid w:val="00982072"/>
    <w:rsid w:val="00982DA2"/>
    <w:rsid w:val="00982E6B"/>
    <w:rsid w:val="00983750"/>
    <w:rsid w:val="00983873"/>
    <w:rsid w:val="009840B9"/>
    <w:rsid w:val="00984F23"/>
    <w:rsid w:val="00985283"/>
    <w:rsid w:val="0098535B"/>
    <w:rsid w:val="00985449"/>
    <w:rsid w:val="00985B3B"/>
    <w:rsid w:val="0098647D"/>
    <w:rsid w:val="00987037"/>
    <w:rsid w:val="009875E3"/>
    <w:rsid w:val="00987750"/>
    <w:rsid w:val="009879E7"/>
    <w:rsid w:val="00987FDD"/>
    <w:rsid w:val="009909D0"/>
    <w:rsid w:val="009913A6"/>
    <w:rsid w:val="009915EF"/>
    <w:rsid w:val="00991727"/>
    <w:rsid w:val="00991919"/>
    <w:rsid w:val="00991AD4"/>
    <w:rsid w:val="00992795"/>
    <w:rsid w:val="00992854"/>
    <w:rsid w:val="00992D34"/>
    <w:rsid w:val="00992F31"/>
    <w:rsid w:val="009930F0"/>
    <w:rsid w:val="00993177"/>
    <w:rsid w:val="00993460"/>
    <w:rsid w:val="00993488"/>
    <w:rsid w:val="00993779"/>
    <w:rsid w:val="00994AC8"/>
    <w:rsid w:val="00994E1B"/>
    <w:rsid w:val="0099547B"/>
    <w:rsid w:val="00995572"/>
    <w:rsid w:val="0099561C"/>
    <w:rsid w:val="009957E6"/>
    <w:rsid w:val="00995EF4"/>
    <w:rsid w:val="00995F44"/>
    <w:rsid w:val="009968F7"/>
    <w:rsid w:val="00996BB7"/>
    <w:rsid w:val="0099706B"/>
    <w:rsid w:val="00997664"/>
    <w:rsid w:val="009976B4"/>
    <w:rsid w:val="00997F94"/>
    <w:rsid w:val="00997FDF"/>
    <w:rsid w:val="009A01C1"/>
    <w:rsid w:val="009A032E"/>
    <w:rsid w:val="009A05DA"/>
    <w:rsid w:val="009A08AD"/>
    <w:rsid w:val="009A0CC5"/>
    <w:rsid w:val="009A14BC"/>
    <w:rsid w:val="009A1F58"/>
    <w:rsid w:val="009A2816"/>
    <w:rsid w:val="009A2A01"/>
    <w:rsid w:val="009A2D7C"/>
    <w:rsid w:val="009A2F9B"/>
    <w:rsid w:val="009A3854"/>
    <w:rsid w:val="009A3A2A"/>
    <w:rsid w:val="009A3CB2"/>
    <w:rsid w:val="009A407C"/>
    <w:rsid w:val="009A4495"/>
    <w:rsid w:val="009A4BEC"/>
    <w:rsid w:val="009A5002"/>
    <w:rsid w:val="009A5BCE"/>
    <w:rsid w:val="009A62CA"/>
    <w:rsid w:val="009A6DEE"/>
    <w:rsid w:val="009A7C7D"/>
    <w:rsid w:val="009A7EA9"/>
    <w:rsid w:val="009B0059"/>
    <w:rsid w:val="009B039E"/>
    <w:rsid w:val="009B0FEE"/>
    <w:rsid w:val="009B1123"/>
    <w:rsid w:val="009B15A1"/>
    <w:rsid w:val="009B1F1E"/>
    <w:rsid w:val="009B290C"/>
    <w:rsid w:val="009B2C87"/>
    <w:rsid w:val="009B39C0"/>
    <w:rsid w:val="009B3B6E"/>
    <w:rsid w:val="009B3DF5"/>
    <w:rsid w:val="009B3EBF"/>
    <w:rsid w:val="009B44E5"/>
    <w:rsid w:val="009B590A"/>
    <w:rsid w:val="009B5E8A"/>
    <w:rsid w:val="009B6736"/>
    <w:rsid w:val="009B6BAC"/>
    <w:rsid w:val="009B6E1A"/>
    <w:rsid w:val="009B7135"/>
    <w:rsid w:val="009B73DD"/>
    <w:rsid w:val="009B774D"/>
    <w:rsid w:val="009B7A1D"/>
    <w:rsid w:val="009B7A9D"/>
    <w:rsid w:val="009B7BC9"/>
    <w:rsid w:val="009B7C41"/>
    <w:rsid w:val="009C0C3A"/>
    <w:rsid w:val="009C0E90"/>
    <w:rsid w:val="009C0FD3"/>
    <w:rsid w:val="009C18A9"/>
    <w:rsid w:val="009C1AC5"/>
    <w:rsid w:val="009C1B54"/>
    <w:rsid w:val="009C209C"/>
    <w:rsid w:val="009C20A4"/>
    <w:rsid w:val="009C2425"/>
    <w:rsid w:val="009C2434"/>
    <w:rsid w:val="009C28EE"/>
    <w:rsid w:val="009C2AAA"/>
    <w:rsid w:val="009C353C"/>
    <w:rsid w:val="009C3947"/>
    <w:rsid w:val="009C3BE0"/>
    <w:rsid w:val="009C5183"/>
    <w:rsid w:val="009C5228"/>
    <w:rsid w:val="009C564B"/>
    <w:rsid w:val="009C5B09"/>
    <w:rsid w:val="009C5C09"/>
    <w:rsid w:val="009C6713"/>
    <w:rsid w:val="009C69FD"/>
    <w:rsid w:val="009C7214"/>
    <w:rsid w:val="009C74C2"/>
    <w:rsid w:val="009C7A73"/>
    <w:rsid w:val="009C7F3A"/>
    <w:rsid w:val="009D01A6"/>
    <w:rsid w:val="009D08E9"/>
    <w:rsid w:val="009D0AC1"/>
    <w:rsid w:val="009D0FDA"/>
    <w:rsid w:val="009D133D"/>
    <w:rsid w:val="009D1470"/>
    <w:rsid w:val="009D1B7F"/>
    <w:rsid w:val="009D1D82"/>
    <w:rsid w:val="009D2057"/>
    <w:rsid w:val="009D2901"/>
    <w:rsid w:val="009D2ED8"/>
    <w:rsid w:val="009D31E0"/>
    <w:rsid w:val="009D328B"/>
    <w:rsid w:val="009D3753"/>
    <w:rsid w:val="009D3B10"/>
    <w:rsid w:val="009D3D0B"/>
    <w:rsid w:val="009D427C"/>
    <w:rsid w:val="009D4337"/>
    <w:rsid w:val="009D46D7"/>
    <w:rsid w:val="009D4ABA"/>
    <w:rsid w:val="009D4B87"/>
    <w:rsid w:val="009D4F15"/>
    <w:rsid w:val="009D5FEB"/>
    <w:rsid w:val="009D6830"/>
    <w:rsid w:val="009D6D5F"/>
    <w:rsid w:val="009D6EE5"/>
    <w:rsid w:val="009D7D8C"/>
    <w:rsid w:val="009E04EE"/>
    <w:rsid w:val="009E0640"/>
    <w:rsid w:val="009E0727"/>
    <w:rsid w:val="009E0A7E"/>
    <w:rsid w:val="009E0AC6"/>
    <w:rsid w:val="009E0C85"/>
    <w:rsid w:val="009E131F"/>
    <w:rsid w:val="009E1754"/>
    <w:rsid w:val="009E1D86"/>
    <w:rsid w:val="009E2166"/>
    <w:rsid w:val="009E2884"/>
    <w:rsid w:val="009E2A55"/>
    <w:rsid w:val="009E2CC3"/>
    <w:rsid w:val="009E3B2D"/>
    <w:rsid w:val="009E3E63"/>
    <w:rsid w:val="009E466B"/>
    <w:rsid w:val="009E4926"/>
    <w:rsid w:val="009E4A2F"/>
    <w:rsid w:val="009E4FB5"/>
    <w:rsid w:val="009E562B"/>
    <w:rsid w:val="009E569D"/>
    <w:rsid w:val="009E61EE"/>
    <w:rsid w:val="009E63DF"/>
    <w:rsid w:val="009E6D5B"/>
    <w:rsid w:val="009E71D1"/>
    <w:rsid w:val="009E7892"/>
    <w:rsid w:val="009F0055"/>
    <w:rsid w:val="009F0177"/>
    <w:rsid w:val="009F07CC"/>
    <w:rsid w:val="009F0D93"/>
    <w:rsid w:val="009F0E95"/>
    <w:rsid w:val="009F1010"/>
    <w:rsid w:val="009F156F"/>
    <w:rsid w:val="009F18CE"/>
    <w:rsid w:val="009F1AC4"/>
    <w:rsid w:val="009F1D27"/>
    <w:rsid w:val="009F24C3"/>
    <w:rsid w:val="009F26AA"/>
    <w:rsid w:val="009F2959"/>
    <w:rsid w:val="009F2D6E"/>
    <w:rsid w:val="009F3E0F"/>
    <w:rsid w:val="009F4892"/>
    <w:rsid w:val="009F4AF8"/>
    <w:rsid w:val="009F549C"/>
    <w:rsid w:val="009F5570"/>
    <w:rsid w:val="009F5625"/>
    <w:rsid w:val="009F57FD"/>
    <w:rsid w:val="009F5E16"/>
    <w:rsid w:val="009F6700"/>
    <w:rsid w:val="009F6A30"/>
    <w:rsid w:val="009F6EA4"/>
    <w:rsid w:val="009F6EB4"/>
    <w:rsid w:val="009F778C"/>
    <w:rsid w:val="00A003F9"/>
    <w:rsid w:val="00A00528"/>
    <w:rsid w:val="00A00C8B"/>
    <w:rsid w:val="00A012A5"/>
    <w:rsid w:val="00A022B1"/>
    <w:rsid w:val="00A02425"/>
    <w:rsid w:val="00A0254F"/>
    <w:rsid w:val="00A02F59"/>
    <w:rsid w:val="00A03A76"/>
    <w:rsid w:val="00A042E8"/>
    <w:rsid w:val="00A0433D"/>
    <w:rsid w:val="00A0437D"/>
    <w:rsid w:val="00A0446E"/>
    <w:rsid w:val="00A045A8"/>
    <w:rsid w:val="00A04C0C"/>
    <w:rsid w:val="00A04E02"/>
    <w:rsid w:val="00A051F2"/>
    <w:rsid w:val="00A054A9"/>
    <w:rsid w:val="00A05B99"/>
    <w:rsid w:val="00A05BF9"/>
    <w:rsid w:val="00A05D21"/>
    <w:rsid w:val="00A05E31"/>
    <w:rsid w:val="00A06496"/>
    <w:rsid w:val="00A068C3"/>
    <w:rsid w:val="00A06A89"/>
    <w:rsid w:val="00A06BD1"/>
    <w:rsid w:val="00A073D7"/>
    <w:rsid w:val="00A10277"/>
    <w:rsid w:val="00A10355"/>
    <w:rsid w:val="00A104B5"/>
    <w:rsid w:val="00A106C2"/>
    <w:rsid w:val="00A107D5"/>
    <w:rsid w:val="00A10859"/>
    <w:rsid w:val="00A11089"/>
    <w:rsid w:val="00A12007"/>
    <w:rsid w:val="00A129BF"/>
    <w:rsid w:val="00A12ACE"/>
    <w:rsid w:val="00A12BB6"/>
    <w:rsid w:val="00A12BEE"/>
    <w:rsid w:val="00A12D07"/>
    <w:rsid w:val="00A12F0D"/>
    <w:rsid w:val="00A1312A"/>
    <w:rsid w:val="00A13244"/>
    <w:rsid w:val="00A13598"/>
    <w:rsid w:val="00A135BE"/>
    <w:rsid w:val="00A13AD8"/>
    <w:rsid w:val="00A13BAD"/>
    <w:rsid w:val="00A148C2"/>
    <w:rsid w:val="00A15240"/>
    <w:rsid w:val="00A1556A"/>
    <w:rsid w:val="00A15AFD"/>
    <w:rsid w:val="00A15FA7"/>
    <w:rsid w:val="00A160C5"/>
    <w:rsid w:val="00A16D25"/>
    <w:rsid w:val="00A176D9"/>
    <w:rsid w:val="00A20516"/>
    <w:rsid w:val="00A2075E"/>
    <w:rsid w:val="00A20942"/>
    <w:rsid w:val="00A2136E"/>
    <w:rsid w:val="00A21B87"/>
    <w:rsid w:val="00A21C5F"/>
    <w:rsid w:val="00A21E78"/>
    <w:rsid w:val="00A21EE9"/>
    <w:rsid w:val="00A2289F"/>
    <w:rsid w:val="00A22B06"/>
    <w:rsid w:val="00A22EBC"/>
    <w:rsid w:val="00A24578"/>
    <w:rsid w:val="00A247B4"/>
    <w:rsid w:val="00A25128"/>
    <w:rsid w:val="00A25672"/>
    <w:rsid w:val="00A25DB8"/>
    <w:rsid w:val="00A26575"/>
    <w:rsid w:val="00A26AF8"/>
    <w:rsid w:val="00A26D0E"/>
    <w:rsid w:val="00A30583"/>
    <w:rsid w:val="00A309D0"/>
    <w:rsid w:val="00A31256"/>
    <w:rsid w:val="00A3128C"/>
    <w:rsid w:val="00A313B3"/>
    <w:rsid w:val="00A31EA9"/>
    <w:rsid w:val="00A32310"/>
    <w:rsid w:val="00A323E4"/>
    <w:rsid w:val="00A32789"/>
    <w:rsid w:val="00A32B25"/>
    <w:rsid w:val="00A32B81"/>
    <w:rsid w:val="00A34A5B"/>
    <w:rsid w:val="00A34C74"/>
    <w:rsid w:val="00A34CFA"/>
    <w:rsid w:val="00A3543D"/>
    <w:rsid w:val="00A3554E"/>
    <w:rsid w:val="00A3556D"/>
    <w:rsid w:val="00A35971"/>
    <w:rsid w:val="00A35C98"/>
    <w:rsid w:val="00A36428"/>
    <w:rsid w:val="00A37667"/>
    <w:rsid w:val="00A37794"/>
    <w:rsid w:val="00A37861"/>
    <w:rsid w:val="00A37E7C"/>
    <w:rsid w:val="00A402A3"/>
    <w:rsid w:val="00A40622"/>
    <w:rsid w:val="00A40D90"/>
    <w:rsid w:val="00A40EFB"/>
    <w:rsid w:val="00A4144D"/>
    <w:rsid w:val="00A414E6"/>
    <w:rsid w:val="00A4157D"/>
    <w:rsid w:val="00A419AE"/>
    <w:rsid w:val="00A41A7A"/>
    <w:rsid w:val="00A41D86"/>
    <w:rsid w:val="00A41D96"/>
    <w:rsid w:val="00A42A42"/>
    <w:rsid w:val="00A42CBB"/>
    <w:rsid w:val="00A42F4A"/>
    <w:rsid w:val="00A431DF"/>
    <w:rsid w:val="00A43229"/>
    <w:rsid w:val="00A43A45"/>
    <w:rsid w:val="00A43EDA"/>
    <w:rsid w:val="00A4442F"/>
    <w:rsid w:val="00A44542"/>
    <w:rsid w:val="00A44EC4"/>
    <w:rsid w:val="00A4500C"/>
    <w:rsid w:val="00A451B3"/>
    <w:rsid w:val="00A45314"/>
    <w:rsid w:val="00A4543D"/>
    <w:rsid w:val="00A45888"/>
    <w:rsid w:val="00A4663A"/>
    <w:rsid w:val="00A46A92"/>
    <w:rsid w:val="00A46D22"/>
    <w:rsid w:val="00A472BF"/>
    <w:rsid w:val="00A47779"/>
    <w:rsid w:val="00A4786F"/>
    <w:rsid w:val="00A47BEA"/>
    <w:rsid w:val="00A47D34"/>
    <w:rsid w:val="00A47DE1"/>
    <w:rsid w:val="00A47EF4"/>
    <w:rsid w:val="00A50008"/>
    <w:rsid w:val="00A5046F"/>
    <w:rsid w:val="00A50D66"/>
    <w:rsid w:val="00A51485"/>
    <w:rsid w:val="00A516F2"/>
    <w:rsid w:val="00A51B6D"/>
    <w:rsid w:val="00A51D44"/>
    <w:rsid w:val="00A52861"/>
    <w:rsid w:val="00A52B23"/>
    <w:rsid w:val="00A532B1"/>
    <w:rsid w:val="00A5331A"/>
    <w:rsid w:val="00A533EB"/>
    <w:rsid w:val="00A53691"/>
    <w:rsid w:val="00A53847"/>
    <w:rsid w:val="00A53D5E"/>
    <w:rsid w:val="00A53DC0"/>
    <w:rsid w:val="00A5501F"/>
    <w:rsid w:val="00A5541E"/>
    <w:rsid w:val="00A5584F"/>
    <w:rsid w:val="00A55880"/>
    <w:rsid w:val="00A559CC"/>
    <w:rsid w:val="00A55F03"/>
    <w:rsid w:val="00A56459"/>
    <w:rsid w:val="00A571E4"/>
    <w:rsid w:val="00A574A4"/>
    <w:rsid w:val="00A57B01"/>
    <w:rsid w:val="00A57F24"/>
    <w:rsid w:val="00A601C5"/>
    <w:rsid w:val="00A6041F"/>
    <w:rsid w:val="00A60853"/>
    <w:rsid w:val="00A615E8"/>
    <w:rsid w:val="00A62505"/>
    <w:rsid w:val="00A630FC"/>
    <w:rsid w:val="00A63407"/>
    <w:rsid w:val="00A63B1A"/>
    <w:rsid w:val="00A63FAC"/>
    <w:rsid w:val="00A6552F"/>
    <w:rsid w:val="00A65A9B"/>
    <w:rsid w:val="00A65F42"/>
    <w:rsid w:val="00A66479"/>
    <w:rsid w:val="00A6672D"/>
    <w:rsid w:val="00A6682C"/>
    <w:rsid w:val="00A66FA3"/>
    <w:rsid w:val="00A67179"/>
    <w:rsid w:val="00A67389"/>
    <w:rsid w:val="00A67B6D"/>
    <w:rsid w:val="00A67B9A"/>
    <w:rsid w:val="00A7006B"/>
    <w:rsid w:val="00A70169"/>
    <w:rsid w:val="00A7049C"/>
    <w:rsid w:val="00A70762"/>
    <w:rsid w:val="00A70877"/>
    <w:rsid w:val="00A71140"/>
    <w:rsid w:val="00A714D8"/>
    <w:rsid w:val="00A71658"/>
    <w:rsid w:val="00A717C4"/>
    <w:rsid w:val="00A71FAB"/>
    <w:rsid w:val="00A72073"/>
    <w:rsid w:val="00A72B17"/>
    <w:rsid w:val="00A72DD6"/>
    <w:rsid w:val="00A7319E"/>
    <w:rsid w:val="00A737FA"/>
    <w:rsid w:val="00A73B88"/>
    <w:rsid w:val="00A73E54"/>
    <w:rsid w:val="00A73FE2"/>
    <w:rsid w:val="00A74A64"/>
    <w:rsid w:val="00A74E53"/>
    <w:rsid w:val="00A74F82"/>
    <w:rsid w:val="00A751DC"/>
    <w:rsid w:val="00A752E3"/>
    <w:rsid w:val="00A7585F"/>
    <w:rsid w:val="00A75C88"/>
    <w:rsid w:val="00A75CA7"/>
    <w:rsid w:val="00A76202"/>
    <w:rsid w:val="00A763A4"/>
    <w:rsid w:val="00A76BA2"/>
    <w:rsid w:val="00A77265"/>
    <w:rsid w:val="00A800C6"/>
    <w:rsid w:val="00A80110"/>
    <w:rsid w:val="00A80135"/>
    <w:rsid w:val="00A80548"/>
    <w:rsid w:val="00A81415"/>
    <w:rsid w:val="00A817CD"/>
    <w:rsid w:val="00A81FB2"/>
    <w:rsid w:val="00A82277"/>
    <w:rsid w:val="00A8228E"/>
    <w:rsid w:val="00A82948"/>
    <w:rsid w:val="00A831EB"/>
    <w:rsid w:val="00A832E4"/>
    <w:rsid w:val="00A8368B"/>
    <w:rsid w:val="00A8381C"/>
    <w:rsid w:val="00A83DCD"/>
    <w:rsid w:val="00A842F5"/>
    <w:rsid w:val="00A84B1B"/>
    <w:rsid w:val="00A84C47"/>
    <w:rsid w:val="00A84D74"/>
    <w:rsid w:val="00A854CD"/>
    <w:rsid w:val="00A857AF"/>
    <w:rsid w:val="00A85BBF"/>
    <w:rsid w:val="00A85C2F"/>
    <w:rsid w:val="00A86682"/>
    <w:rsid w:val="00A8697C"/>
    <w:rsid w:val="00A86E83"/>
    <w:rsid w:val="00A8705D"/>
    <w:rsid w:val="00A878A6"/>
    <w:rsid w:val="00A90795"/>
    <w:rsid w:val="00A90BB7"/>
    <w:rsid w:val="00A91284"/>
    <w:rsid w:val="00A91930"/>
    <w:rsid w:val="00A922FF"/>
    <w:rsid w:val="00A92C95"/>
    <w:rsid w:val="00A92E8F"/>
    <w:rsid w:val="00A935BB"/>
    <w:rsid w:val="00A93A1B"/>
    <w:rsid w:val="00A94098"/>
    <w:rsid w:val="00A94B44"/>
    <w:rsid w:val="00A953A9"/>
    <w:rsid w:val="00A956BA"/>
    <w:rsid w:val="00A96AE0"/>
    <w:rsid w:val="00A96FFA"/>
    <w:rsid w:val="00A97575"/>
    <w:rsid w:val="00A977F2"/>
    <w:rsid w:val="00AA00AF"/>
    <w:rsid w:val="00AA019B"/>
    <w:rsid w:val="00AA0A20"/>
    <w:rsid w:val="00AA0B12"/>
    <w:rsid w:val="00AA0C5E"/>
    <w:rsid w:val="00AA0DF3"/>
    <w:rsid w:val="00AA0FC5"/>
    <w:rsid w:val="00AA1361"/>
    <w:rsid w:val="00AA1531"/>
    <w:rsid w:val="00AA17F3"/>
    <w:rsid w:val="00AA1C7E"/>
    <w:rsid w:val="00AA268F"/>
    <w:rsid w:val="00AA2A5A"/>
    <w:rsid w:val="00AA2B6A"/>
    <w:rsid w:val="00AA2FF1"/>
    <w:rsid w:val="00AA34FE"/>
    <w:rsid w:val="00AA373E"/>
    <w:rsid w:val="00AA413C"/>
    <w:rsid w:val="00AA52BC"/>
    <w:rsid w:val="00AA5512"/>
    <w:rsid w:val="00AA5586"/>
    <w:rsid w:val="00AA5BD9"/>
    <w:rsid w:val="00AA61A2"/>
    <w:rsid w:val="00AA6B38"/>
    <w:rsid w:val="00AA76E5"/>
    <w:rsid w:val="00AA7CA2"/>
    <w:rsid w:val="00AA7D69"/>
    <w:rsid w:val="00AB03AF"/>
    <w:rsid w:val="00AB0460"/>
    <w:rsid w:val="00AB0569"/>
    <w:rsid w:val="00AB0594"/>
    <w:rsid w:val="00AB1285"/>
    <w:rsid w:val="00AB175A"/>
    <w:rsid w:val="00AB1B5B"/>
    <w:rsid w:val="00AB2166"/>
    <w:rsid w:val="00AB2316"/>
    <w:rsid w:val="00AB23B1"/>
    <w:rsid w:val="00AB2569"/>
    <w:rsid w:val="00AB3000"/>
    <w:rsid w:val="00AB3491"/>
    <w:rsid w:val="00AB3742"/>
    <w:rsid w:val="00AB3934"/>
    <w:rsid w:val="00AB3977"/>
    <w:rsid w:val="00AB3DC2"/>
    <w:rsid w:val="00AB43D9"/>
    <w:rsid w:val="00AB5C5D"/>
    <w:rsid w:val="00AB5DC8"/>
    <w:rsid w:val="00AB5EFD"/>
    <w:rsid w:val="00AB6439"/>
    <w:rsid w:val="00AB69F6"/>
    <w:rsid w:val="00AB6C7F"/>
    <w:rsid w:val="00AB6CAE"/>
    <w:rsid w:val="00AB71E3"/>
    <w:rsid w:val="00AB790B"/>
    <w:rsid w:val="00AB7AF8"/>
    <w:rsid w:val="00AB7B45"/>
    <w:rsid w:val="00AC025F"/>
    <w:rsid w:val="00AC09AF"/>
    <w:rsid w:val="00AC0AC7"/>
    <w:rsid w:val="00AC0AC8"/>
    <w:rsid w:val="00AC1183"/>
    <w:rsid w:val="00AC134B"/>
    <w:rsid w:val="00AC1372"/>
    <w:rsid w:val="00AC14E4"/>
    <w:rsid w:val="00AC1863"/>
    <w:rsid w:val="00AC2367"/>
    <w:rsid w:val="00AC2B7C"/>
    <w:rsid w:val="00AC2BD9"/>
    <w:rsid w:val="00AC39BF"/>
    <w:rsid w:val="00AC5413"/>
    <w:rsid w:val="00AC5991"/>
    <w:rsid w:val="00AC5D67"/>
    <w:rsid w:val="00AC5E5B"/>
    <w:rsid w:val="00AC5FE0"/>
    <w:rsid w:val="00AC725A"/>
    <w:rsid w:val="00AC7288"/>
    <w:rsid w:val="00AC74F8"/>
    <w:rsid w:val="00AC7D48"/>
    <w:rsid w:val="00AD00E2"/>
    <w:rsid w:val="00AD046A"/>
    <w:rsid w:val="00AD04FD"/>
    <w:rsid w:val="00AD05AF"/>
    <w:rsid w:val="00AD128A"/>
    <w:rsid w:val="00AD12FD"/>
    <w:rsid w:val="00AD1741"/>
    <w:rsid w:val="00AD175C"/>
    <w:rsid w:val="00AD1A92"/>
    <w:rsid w:val="00AD1D21"/>
    <w:rsid w:val="00AD1D60"/>
    <w:rsid w:val="00AD25AD"/>
    <w:rsid w:val="00AD2B82"/>
    <w:rsid w:val="00AD306D"/>
    <w:rsid w:val="00AD330E"/>
    <w:rsid w:val="00AD33CD"/>
    <w:rsid w:val="00AD3C8E"/>
    <w:rsid w:val="00AD3D92"/>
    <w:rsid w:val="00AD40AA"/>
    <w:rsid w:val="00AD4424"/>
    <w:rsid w:val="00AD46C1"/>
    <w:rsid w:val="00AD4D2F"/>
    <w:rsid w:val="00AD4EB4"/>
    <w:rsid w:val="00AD5138"/>
    <w:rsid w:val="00AD5250"/>
    <w:rsid w:val="00AD525A"/>
    <w:rsid w:val="00AD55BA"/>
    <w:rsid w:val="00AD57B2"/>
    <w:rsid w:val="00AD6614"/>
    <w:rsid w:val="00AD6BA0"/>
    <w:rsid w:val="00AD6FCA"/>
    <w:rsid w:val="00AD734D"/>
    <w:rsid w:val="00AD7A32"/>
    <w:rsid w:val="00AD7B5B"/>
    <w:rsid w:val="00AE017B"/>
    <w:rsid w:val="00AE0268"/>
    <w:rsid w:val="00AE0433"/>
    <w:rsid w:val="00AE04E9"/>
    <w:rsid w:val="00AE18A3"/>
    <w:rsid w:val="00AE1BA0"/>
    <w:rsid w:val="00AE21EE"/>
    <w:rsid w:val="00AE29B1"/>
    <w:rsid w:val="00AE2E05"/>
    <w:rsid w:val="00AE2F4F"/>
    <w:rsid w:val="00AE393A"/>
    <w:rsid w:val="00AE3BAC"/>
    <w:rsid w:val="00AE43B8"/>
    <w:rsid w:val="00AE47EC"/>
    <w:rsid w:val="00AE4A99"/>
    <w:rsid w:val="00AE4C77"/>
    <w:rsid w:val="00AE4F5A"/>
    <w:rsid w:val="00AE511B"/>
    <w:rsid w:val="00AE5BBE"/>
    <w:rsid w:val="00AE6577"/>
    <w:rsid w:val="00AE6AED"/>
    <w:rsid w:val="00AE6B16"/>
    <w:rsid w:val="00AE733E"/>
    <w:rsid w:val="00AE778B"/>
    <w:rsid w:val="00AE7DC2"/>
    <w:rsid w:val="00AF0245"/>
    <w:rsid w:val="00AF0472"/>
    <w:rsid w:val="00AF0640"/>
    <w:rsid w:val="00AF0BDE"/>
    <w:rsid w:val="00AF1209"/>
    <w:rsid w:val="00AF14C5"/>
    <w:rsid w:val="00AF1546"/>
    <w:rsid w:val="00AF18DF"/>
    <w:rsid w:val="00AF1A1F"/>
    <w:rsid w:val="00AF1E59"/>
    <w:rsid w:val="00AF1F1D"/>
    <w:rsid w:val="00AF2E38"/>
    <w:rsid w:val="00AF3854"/>
    <w:rsid w:val="00AF3F9F"/>
    <w:rsid w:val="00AF4A5C"/>
    <w:rsid w:val="00AF4E5D"/>
    <w:rsid w:val="00AF5452"/>
    <w:rsid w:val="00AF5533"/>
    <w:rsid w:val="00AF5BBB"/>
    <w:rsid w:val="00AF6571"/>
    <w:rsid w:val="00AF677E"/>
    <w:rsid w:val="00AF6A66"/>
    <w:rsid w:val="00AF7058"/>
    <w:rsid w:val="00AF7291"/>
    <w:rsid w:val="00AF72BC"/>
    <w:rsid w:val="00AF7A07"/>
    <w:rsid w:val="00AF7ABC"/>
    <w:rsid w:val="00B00230"/>
    <w:rsid w:val="00B00AC1"/>
    <w:rsid w:val="00B01260"/>
    <w:rsid w:val="00B0162C"/>
    <w:rsid w:val="00B01D24"/>
    <w:rsid w:val="00B01D29"/>
    <w:rsid w:val="00B025C9"/>
    <w:rsid w:val="00B02F19"/>
    <w:rsid w:val="00B03192"/>
    <w:rsid w:val="00B031F3"/>
    <w:rsid w:val="00B0323D"/>
    <w:rsid w:val="00B035D1"/>
    <w:rsid w:val="00B037FA"/>
    <w:rsid w:val="00B039E9"/>
    <w:rsid w:val="00B042C1"/>
    <w:rsid w:val="00B058E1"/>
    <w:rsid w:val="00B0594B"/>
    <w:rsid w:val="00B05ACF"/>
    <w:rsid w:val="00B06248"/>
    <w:rsid w:val="00B06836"/>
    <w:rsid w:val="00B0683A"/>
    <w:rsid w:val="00B068A7"/>
    <w:rsid w:val="00B06C3B"/>
    <w:rsid w:val="00B06DA1"/>
    <w:rsid w:val="00B077F3"/>
    <w:rsid w:val="00B0797A"/>
    <w:rsid w:val="00B07FE8"/>
    <w:rsid w:val="00B10099"/>
    <w:rsid w:val="00B102A7"/>
    <w:rsid w:val="00B106B9"/>
    <w:rsid w:val="00B110D5"/>
    <w:rsid w:val="00B11152"/>
    <w:rsid w:val="00B11319"/>
    <w:rsid w:val="00B11AF2"/>
    <w:rsid w:val="00B12122"/>
    <w:rsid w:val="00B122EA"/>
    <w:rsid w:val="00B12949"/>
    <w:rsid w:val="00B13197"/>
    <w:rsid w:val="00B13617"/>
    <w:rsid w:val="00B14D93"/>
    <w:rsid w:val="00B14F96"/>
    <w:rsid w:val="00B15374"/>
    <w:rsid w:val="00B153E5"/>
    <w:rsid w:val="00B15452"/>
    <w:rsid w:val="00B15AC3"/>
    <w:rsid w:val="00B15B13"/>
    <w:rsid w:val="00B15B42"/>
    <w:rsid w:val="00B16C1A"/>
    <w:rsid w:val="00B1744F"/>
    <w:rsid w:val="00B17DC3"/>
    <w:rsid w:val="00B20240"/>
    <w:rsid w:val="00B2035C"/>
    <w:rsid w:val="00B20742"/>
    <w:rsid w:val="00B208AB"/>
    <w:rsid w:val="00B214DC"/>
    <w:rsid w:val="00B21865"/>
    <w:rsid w:val="00B218A5"/>
    <w:rsid w:val="00B21D16"/>
    <w:rsid w:val="00B21D22"/>
    <w:rsid w:val="00B21DDB"/>
    <w:rsid w:val="00B21DF4"/>
    <w:rsid w:val="00B22224"/>
    <w:rsid w:val="00B2229D"/>
    <w:rsid w:val="00B22422"/>
    <w:rsid w:val="00B2291B"/>
    <w:rsid w:val="00B229DE"/>
    <w:rsid w:val="00B22B59"/>
    <w:rsid w:val="00B2317E"/>
    <w:rsid w:val="00B23287"/>
    <w:rsid w:val="00B23E3C"/>
    <w:rsid w:val="00B240EE"/>
    <w:rsid w:val="00B24209"/>
    <w:rsid w:val="00B24CC0"/>
    <w:rsid w:val="00B25453"/>
    <w:rsid w:val="00B25632"/>
    <w:rsid w:val="00B25CBF"/>
    <w:rsid w:val="00B25E8A"/>
    <w:rsid w:val="00B26777"/>
    <w:rsid w:val="00B26B86"/>
    <w:rsid w:val="00B2744D"/>
    <w:rsid w:val="00B27855"/>
    <w:rsid w:val="00B27A49"/>
    <w:rsid w:val="00B27BBB"/>
    <w:rsid w:val="00B301D1"/>
    <w:rsid w:val="00B308C5"/>
    <w:rsid w:val="00B30B97"/>
    <w:rsid w:val="00B30C57"/>
    <w:rsid w:val="00B30E5B"/>
    <w:rsid w:val="00B30FFC"/>
    <w:rsid w:val="00B314AD"/>
    <w:rsid w:val="00B317BB"/>
    <w:rsid w:val="00B31B91"/>
    <w:rsid w:val="00B324A5"/>
    <w:rsid w:val="00B328FC"/>
    <w:rsid w:val="00B3296B"/>
    <w:rsid w:val="00B33102"/>
    <w:rsid w:val="00B334CB"/>
    <w:rsid w:val="00B33558"/>
    <w:rsid w:val="00B33BD6"/>
    <w:rsid w:val="00B33C9D"/>
    <w:rsid w:val="00B33DF5"/>
    <w:rsid w:val="00B33E9A"/>
    <w:rsid w:val="00B341BE"/>
    <w:rsid w:val="00B34415"/>
    <w:rsid w:val="00B3483D"/>
    <w:rsid w:val="00B34F23"/>
    <w:rsid w:val="00B34FBD"/>
    <w:rsid w:val="00B3557E"/>
    <w:rsid w:val="00B35F6C"/>
    <w:rsid w:val="00B3608A"/>
    <w:rsid w:val="00B36472"/>
    <w:rsid w:val="00B37164"/>
    <w:rsid w:val="00B375C0"/>
    <w:rsid w:val="00B37611"/>
    <w:rsid w:val="00B37FB9"/>
    <w:rsid w:val="00B400F6"/>
    <w:rsid w:val="00B40E6F"/>
    <w:rsid w:val="00B40F14"/>
    <w:rsid w:val="00B41E9F"/>
    <w:rsid w:val="00B42CBC"/>
    <w:rsid w:val="00B42D2A"/>
    <w:rsid w:val="00B42DD9"/>
    <w:rsid w:val="00B42E84"/>
    <w:rsid w:val="00B4384C"/>
    <w:rsid w:val="00B43B3C"/>
    <w:rsid w:val="00B43FF9"/>
    <w:rsid w:val="00B44FAB"/>
    <w:rsid w:val="00B452A7"/>
    <w:rsid w:val="00B4535D"/>
    <w:rsid w:val="00B45515"/>
    <w:rsid w:val="00B4551C"/>
    <w:rsid w:val="00B455BF"/>
    <w:rsid w:val="00B45DF9"/>
    <w:rsid w:val="00B460AF"/>
    <w:rsid w:val="00B4648A"/>
    <w:rsid w:val="00B464F6"/>
    <w:rsid w:val="00B46A4F"/>
    <w:rsid w:val="00B47601"/>
    <w:rsid w:val="00B47945"/>
    <w:rsid w:val="00B50BDB"/>
    <w:rsid w:val="00B51718"/>
    <w:rsid w:val="00B51866"/>
    <w:rsid w:val="00B51A30"/>
    <w:rsid w:val="00B51C0D"/>
    <w:rsid w:val="00B51ED6"/>
    <w:rsid w:val="00B52010"/>
    <w:rsid w:val="00B523EB"/>
    <w:rsid w:val="00B524FF"/>
    <w:rsid w:val="00B5299D"/>
    <w:rsid w:val="00B52C3C"/>
    <w:rsid w:val="00B53030"/>
    <w:rsid w:val="00B53377"/>
    <w:rsid w:val="00B54079"/>
    <w:rsid w:val="00B5419B"/>
    <w:rsid w:val="00B54710"/>
    <w:rsid w:val="00B5474B"/>
    <w:rsid w:val="00B54890"/>
    <w:rsid w:val="00B54910"/>
    <w:rsid w:val="00B54CC2"/>
    <w:rsid w:val="00B55571"/>
    <w:rsid w:val="00B5558F"/>
    <w:rsid w:val="00B55F2E"/>
    <w:rsid w:val="00B55F64"/>
    <w:rsid w:val="00B568EA"/>
    <w:rsid w:val="00B56F84"/>
    <w:rsid w:val="00B572AC"/>
    <w:rsid w:val="00B574E7"/>
    <w:rsid w:val="00B57632"/>
    <w:rsid w:val="00B6060A"/>
    <w:rsid w:val="00B607F3"/>
    <w:rsid w:val="00B60F14"/>
    <w:rsid w:val="00B60F29"/>
    <w:rsid w:val="00B6108B"/>
    <w:rsid w:val="00B61C4A"/>
    <w:rsid w:val="00B61E19"/>
    <w:rsid w:val="00B62049"/>
    <w:rsid w:val="00B62492"/>
    <w:rsid w:val="00B624B9"/>
    <w:rsid w:val="00B62971"/>
    <w:rsid w:val="00B629A5"/>
    <w:rsid w:val="00B62E17"/>
    <w:rsid w:val="00B63A61"/>
    <w:rsid w:val="00B63B07"/>
    <w:rsid w:val="00B63F6C"/>
    <w:rsid w:val="00B64100"/>
    <w:rsid w:val="00B64488"/>
    <w:rsid w:val="00B646A9"/>
    <w:rsid w:val="00B64D3F"/>
    <w:rsid w:val="00B65895"/>
    <w:rsid w:val="00B658AC"/>
    <w:rsid w:val="00B65BC8"/>
    <w:rsid w:val="00B65BFF"/>
    <w:rsid w:val="00B6611F"/>
    <w:rsid w:val="00B662B2"/>
    <w:rsid w:val="00B66534"/>
    <w:rsid w:val="00B66DB8"/>
    <w:rsid w:val="00B671C6"/>
    <w:rsid w:val="00B6763B"/>
    <w:rsid w:val="00B67CBD"/>
    <w:rsid w:val="00B70789"/>
    <w:rsid w:val="00B70947"/>
    <w:rsid w:val="00B7122C"/>
    <w:rsid w:val="00B71A3F"/>
    <w:rsid w:val="00B7224F"/>
    <w:rsid w:val="00B72455"/>
    <w:rsid w:val="00B72457"/>
    <w:rsid w:val="00B731D2"/>
    <w:rsid w:val="00B735A2"/>
    <w:rsid w:val="00B73819"/>
    <w:rsid w:val="00B74296"/>
    <w:rsid w:val="00B743BC"/>
    <w:rsid w:val="00B745AD"/>
    <w:rsid w:val="00B74720"/>
    <w:rsid w:val="00B74813"/>
    <w:rsid w:val="00B749CC"/>
    <w:rsid w:val="00B74ADF"/>
    <w:rsid w:val="00B74C2C"/>
    <w:rsid w:val="00B74DA9"/>
    <w:rsid w:val="00B75079"/>
    <w:rsid w:val="00B756AF"/>
    <w:rsid w:val="00B75F47"/>
    <w:rsid w:val="00B75F4E"/>
    <w:rsid w:val="00B76AD1"/>
    <w:rsid w:val="00B76DC6"/>
    <w:rsid w:val="00B76F48"/>
    <w:rsid w:val="00B76FB2"/>
    <w:rsid w:val="00B770BC"/>
    <w:rsid w:val="00B775E0"/>
    <w:rsid w:val="00B776E9"/>
    <w:rsid w:val="00B77AF5"/>
    <w:rsid w:val="00B80615"/>
    <w:rsid w:val="00B80BD2"/>
    <w:rsid w:val="00B80F20"/>
    <w:rsid w:val="00B81192"/>
    <w:rsid w:val="00B817A0"/>
    <w:rsid w:val="00B81C40"/>
    <w:rsid w:val="00B8209A"/>
    <w:rsid w:val="00B82835"/>
    <w:rsid w:val="00B82AE4"/>
    <w:rsid w:val="00B82D4F"/>
    <w:rsid w:val="00B831A6"/>
    <w:rsid w:val="00B83260"/>
    <w:rsid w:val="00B83746"/>
    <w:rsid w:val="00B83B27"/>
    <w:rsid w:val="00B84156"/>
    <w:rsid w:val="00B84422"/>
    <w:rsid w:val="00B844AB"/>
    <w:rsid w:val="00B845B1"/>
    <w:rsid w:val="00B84E73"/>
    <w:rsid w:val="00B84E79"/>
    <w:rsid w:val="00B84FCC"/>
    <w:rsid w:val="00B85376"/>
    <w:rsid w:val="00B8576D"/>
    <w:rsid w:val="00B8617B"/>
    <w:rsid w:val="00B868BA"/>
    <w:rsid w:val="00B86A08"/>
    <w:rsid w:val="00B86A54"/>
    <w:rsid w:val="00B87204"/>
    <w:rsid w:val="00B87F85"/>
    <w:rsid w:val="00B9030D"/>
    <w:rsid w:val="00B9127F"/>
    <w:rsid w:val="00B91280"/>
    <w:rsid w:val="00B9132E"/>
    <w:rsid w:val="00B916FB"/>
    <w:rsid w:val="00B91FAE"/>
    <w:rsid w:val="00B921A8"/>
    <w:rsid w:val="00B922A2"/>
    <w:rsid w:val="00B92CD0"/>
    <w:rsid w:val="00B93CEA"/>
    <w:rsid w:val="00B943A8"/>
    <w:rsid w:val="00B94C0D"/>
    <w:rsid w:val="00B94F4E"/>
    <w:rsid w:val="00B957C0"/>
    <w:rsid w:val="00B95F62"/>
    <w:rsid w:val="00B96A14"/>
    <w:rsid w:val="00B96D63"/>
    <w:rsid w:val="00B971B7"/>
    <w:rsid w:val="00BA0D38"/>
    <w:rsid w:val="00BA120E"/>
    <w:rsid w:val="00BA16B4"/>
    <w:rsid w:val="00BA174A"/>
    <w:rsid w:val="00BA199C"/>
    <w:rsid w:val="00BA19F5"/>
    <w:rsid w:val="00BA1DCE"/>
    <w:rsid w:val="00BA1E31"/>
    <w:rsid w:val="00BA2B4D"/>
    <w:rsid w:val="00BA2C03"/>
    <w:rsid w:val="00BA3277"/>
    <w:rsid w:val="00BA353B"/>
    <w:rsid w:val="00BA4072"/>
    <w:rsid w:val="00BA4AEA"/>
    <w:rsid w:val="00BA5C16"/>
    <w:rsid w:val="00BA6392"/>
    <w:rsid w:val="00BA6982"/>
    <w:rsid w:val="00BA6A0A"/>
    <w:rsid w:val="00BA7042"/>
    <w:rsid w:val="00BA764B"/>
    <w:rsid w:val="00BA7C01"/>
    <w:rsid w:val="00BA7C17"/>
    <w:rsid w:val="00BB06C6"/>
    <w:rsid w:val="00BB06FB"/>
    <w:rsid w:val="00BB0C04"/>
    <w:rsid w:val="00BB17F0"/>
    <w:rsid w:val="00BB1992"/>
    <w:rsid w:val="00BB1E8D"/>
    <w:rsid w:val="00BB3442"/>
    <w:rsid w:val="00BB3833"/>
    <w:rsid w:val="00BB3B26"/>
    <w:rsid w:val="00BB3D7C"/>
    <w:rsid w:val="00BB46DA"/>
    <w:rsid w:val="00BB554A"/>
    <w:rsid w:val="00BB56E1"/>
    <w:rsid w:val="00BB5721"/>
    <w:rsid w:val="00BB5E8A"/>
    <w:rsid w:val="00BB5F2F"/>
    <w:rsid w:val="00BB668D"/>
    <w:rsid w:val="00BB737B"/>
    <w:rsid w:val="00BB7DDD"/>
    <w:rsid w:val="00BB7E23"/>
    <w:rsid w:val="00BB7F04"/>
    <w:rsid w:val="00BC039E"/>
    <w:rsid w:val="00BC03D6"/>
    <w:rsid w:val="00BC0494"/>
    <w:rsid w:val="00BC076C"/>
    <w:rsid w:val="00BC0A10"/>
    <w:rsid w:val="00BC0BDB"/>
    <w:rsid w:val="00BC0CCB"/>
    <w:rsid w:val="00BC3736"/>
    <w:rsid w:val="00BC3775"/>
    <w:rsid w:val="00BC3FB3"/>
    <w:rsid w:val="00BC4711"/>
    <w:rsid w:val="00BC4A9A"/>
    <w:rsid w:val="00BC4D4E"/>
    <w:rsid w:val="00BC4F8D"/>
    <w:rsid w:val="00BC526B"/>
    <w:rsid w:val="00BC54D5"/>
    <w:rsid w:val="00BC56BE"/>
    <w:rsid w:val="00BC5941"/>
    <w:rsid w:val="00BC5DA8"/>
    <w:rsid w:val="00BC62B2"/>
    <w:rsid w:val="00BC647F"/>
    <w:rsid w:val="00BC67D7"/>
    <w:rsid w:val="00BC6DB1"/>
    <w:rsid w:val="00BC7289"/>
    <w:rsid w:val="00BC72A9"/>
    <w:rsid w:val="00BC759F"/>
    <w:rsid w:val="00BC7B0A"/>
    <w:rsid w:val="00BC7BD9"/>
    <w:rsid w:val="00BC7CA7"/>
    <w:rsid w:val="00BC7EEE"/>
    <w:rsid w:val="00BD0BD4"/>
    <w:rsid w:val="00BD0C9C"/>
    <w:rsid w:val="00BD0DA5"/>
    <w:rsid w:val="00BD1359"/>
    <w:rsid w:val="00BD1401"/>
    <w:rsid w:val="00BD170F"/>
    <w:rsid w:val="00BD19AE"/>
    <w:rsid w:val="00BD1CDF"/>
    <w:rsid w:val="00BD2122"/>
    <w:rsid w:val="00BD3057"/>
    <w:rsid w:val="00BD374C"/>
    <w:rsid w:val="00BD3B8F"/>
    <w:rsid w:val="00BD435B"/>
    <w:rsid w:val="00BD43AE"/>
    <w:rsid w:val="00BD4F3A"/>
    <w:rsid w:val="00BD5250"/>
    <w:rsid w:val="00BD535E"/>
    <w:rsid w:val="00BD5711"/>
    <w:rsid w:val="00BD5BEA"/>
    <w:rsid w:val="00BD5CB5"/>
    <w:rsid w:val="00BD5D8E"/>
    <w:rsid w:val="00BD6646"/>
    <w:rsid w:val="00BD675D"/>
    <w:rsid w:val="00BD6811"/>
    <w:rsid w:val="00BD6EA0"/>
    <w:rsid w:val="00BD748A"/>
    <w:rsid w:val="00BD78BA"/>
    <w:rsid w:val="00BD7D5E"/>
    <w:rsid w:val="00BE0762"/>
    <w:rsid w:val="00BE0848"/>
    <w:rsid w:val="00BE09B0"/>
    <w:rsid w:val="00BE14EF"/>
    <w:rsid w:val="00BE188B"/>
    <w:rsid w:val="00BE18E7"/>
    <w:rsid w:val="00BE2AA9"/>
    <w:rsid w:val="00BE3042"/>
    <w:rsid w:val="00BE30FE"/>
    <w:rsid w:val="00BE3302"/>
    <w:rsid w:val="00BE3AE1"/>
    <w:rsid w:val="00BE3B90"/>
    <w:rsid w:val="00BE41EC"/>
    <w:rsid w:val="00BE465A"/>
    <w:rsid w:val="00BE4978"/>
    <w:rsid w:val="00BE4B7A"/>
    <w:rsid w:val="00BE4E31"/>
    <w:rsid w:val="00BE5020"/>
    <w:rsid w:val="00BE50FE"/>
    <w:rsid w:val="00BE54EA"/>
    <w:rsid w:val="00BE55A8"/>
    <w:rsid w:val="00BE5958"/>
    <w:rsid w:val="00BE67E4"/>
    <w:rsid w:val="00BE6CC1"/>
    <w:rsid w:val="00BE6D87"/>
    <w:rsid w:val="00BE74D8"/>
    <w:rsid w:val="00BF010E"/>
    <w:rsid w:val="00BF071D"/>
    <w:rsid w:val="00BF0EB8"/>
    <w:rsid w:val="00BF1581"/>
    <w:rsid w:val="00BF1698"/>
    <w:rsid w:val="00BF190A"/>
    <w:rsid w:val="00BF1F78"/>
    <w:rsid w:val="00BF247D"/>
    <w:rsid w:val="00BF26FA"/>
    <w:rsid w:val="00BF3558"/>
    <w:rsid w:val="00BF434F"/>
    <w:rsid w:val="00BF4AE4"/>
    <w:rsid w:val="00BF4B8D"/>
    <w:rsid w:val="00BF511E"/>
    <w:rsid w:val="00BF5609"/>
    <w:rsid w:val="00BF57DA"/>
    <w:rsid w:val="00BF5B7F"/>
    <w:rsid w:val="00BF5B9B"/>
    <w:rsid w:val="00BF6CB5"/>
    <w:rsid w:val="00BF71A9"/>
    <w:rsid w:val="00BF766A"/>
    <w:rsid w:val="00BF76BB"/>
    <w:rsid w:val="00BF7705"/>
    <w:rsid w:val="00C0167D"/>
    <w:rsid w:val="00C01DA0"/>
    <w:rsid w:val="00C01E1C"/>
    <w:rsid w:val="00C02126"/>
    <w:rsid w:val="00C02154"/>
    <w:rsid w:val="00C02E48"/>
    <w:rsid w:val="00C0349E"/>
    <w:rsid w:val="00C03661"/>
    <w:rsid w:val="00C03881"/>
    <w:rsid w:val="00C03B7C"/>
    <w:rsid w:val="00C03C29"/>
    <w:rsid w:val="00C042ED"/>
    <w:rsid w:val="00C04390"/>
    <w:rsid w:val="00C04C0B"/>
    <w:rsid w:val="00C05130"/>
    <w:rsid w:val="00C052DD"/>
    <w:rsid w:val="00C0597C"/>
    <w:rsid w:val="00C05D4E"/>
    <w:rsid w:val="00C06F79"/>
    <w:rsid w:val="00C075CC"/>
    <w:rsid w:val="00C077B4"/>
    <w:rsid w:val="00C07A9E"/>
    <w:rsid w:val="00C1023B"/>
    <w:rsid w:val="00C10733"/>
    <w:rsid w:val="00C10A2B"/>
    <w:rsid w:val="00C10CB1"/>
    <w:rsid w:val="00C115F3"/>
    <w:rsid w:val="00C1185A"/>
    <w:rsid w:val="00C121DA"/>
    <w:rsid w:val="00C12555"/>
    <w:rsid w:val="00C12656"/>
    <w:rsid w:val="00C12724"/>
    <w:rsid w:val="00C12C1D"/>
    <w:rsid w:val="00C12CFE"/>
    <w:rsid w:val="00C12FE7"/>
    <w:rsid w:val="00C131F8"/>
    <w:rsid w:val="00C1372F"/>
    <w:rsid w:val="00C138D6"/>
    <w:rsid w:val="00C14552"/>
    <w:rsid w:val="00C149A9"/>
    <w:rsid w:val="00C1522E"/>
    <w:rsid w:val="00C15D47"/>
    <w:rsid w:val="00C15D89"/>
    <w:rsid w:val="00C1600B"/>
    <w:rsid w:val="00C162C9"/>
    <w:rsid w:val="00C165D3"/>
    <w:rsid w:val="00C168C2"/>
    <w:rsid w:val="00C170C3"/>
    <w:rsid w:val="00C170E2"/>
    <w:rsid w:val="00C17606"/>
    <w:rsid w:val="00C176CE"/>
    <w:rsid w:val="00C17FB5"/>
    <w:rsid w:val="00C202B2"/>
    <w:rsid w:val="00C20686"/>
    <w:rsid w:val="00C209C9"/>
    <w:rsid w:val="00C20B84"/>
    <w:rsid w:val="00C20D1B"/>
    <w:rsid w:val="00C21010"/>
    <w:rsid w:val="00C21113"/>
    <w:rsid w:val="00C215C7"/>
    <w:rsid w:val="00C21DB5"/>
    <w:rsid w:val="00C21E8C"/>
    <w:rsid w:val="00C21EAB"/>
    <w:rsid w:val="00C221B4"/>
    <w:rsid w:val="00C22726"/>
    <w:rsid w:val="00C2286A"/>
    <w:rsid w:val="00C22A57"/>
    <w:rsid w:val="00C23159"/>
    <w:rsid w:val="00C232D9"/>
    <w:rsid w:val="00C23A29"/>
    <w:rsid w:val="00C23AF4"/>
    <w:rsid w:val="00C241BC"/>
    <w:rsid w:val="00C24424"/>
    <w:rsid w:val="00C25DE4"/>
    <w:rsid w:val="00C263F1"/>
    <w:rsid w:val="00C26647"/>
    <w:rsid w:val="00C26955"/>
    <w:rsid w:val="00C26DE6"/>
    <w:rsid w:val="00C26E06"/>
    <w:rsid w:val="00C27163"/>
    <w:rsid w:val="00C276E7"/>
    <w:rsid w:val="00C27852"/>
    <w:rsid w:val="00C279C2"/>
    <w:rsid w:val="00C27E93"/>
    <w:rsid w:val="00C27EF9"/>
    <w:rsid w:val="00C3018F"/>
    <w:rsid w:val="00C30671"/>
    <w:rsid w:val="00C307A8"/>
    <w:rsid w:val="00C30935"/>
    <w:rsid w:val="00C30AF7"/>
    <w:rsid w:val="00C31113"/>
    <w:rsid w:val="00C31C19"/>
    <w:rsid w:val="00C31D9A"/>
    <w:rsid w:val="00C31F32"/>
    <w:rsid w:val="00C32116"/>
    <w:rsid w:val="00C321E1"/>
    <w:rsid w:val="00C32263"/>
    <w:rsid w:val="00C32682"/>
    <w:rsid w:val="00C32A37"/>
    <w:rsid w:val="00C33032"/>
    <w:rsid w:val="00C3305A"/>
    <w:rsid w:val="00C33D13"/>
    <w:rsid w:val="00C3435C"/>
    <w:rsid w:val="00C353D7"/>
    <w:rsid w:val="00C355B1"/>
    <w:rsid w:val="00C358A3"/>
    <w:rsid w:val="00C35B48"/>
    <w:rsid w:val="00C36764"/>
    <w:rsid w:val="00C36F94"/>
    <w:rsid w:val="00C36FD4"/>
    <w:rsid w:val="00C37945"/>
    <w:rsid w:val="00C4023C"/>
    <w:rsid w:val="00C404CD"/>
    <w:rsid w:val="00C40578"/>
    <w:rsid w:val="00C40627"/>
    <w:rsid w:val="00C40D6F"/>
    <w:rsid w:val="00C41651"/>
    <w:rsid w:val="00C41DC0"/>
    <w:rsid w:val="00C4210E"/>
    <w:rsid w:val="00C42260"/>
    <w:rsid w:val="00C42351"/>
    <w:rsid w:val="00C42F21"/>
    <w:rsid w:val="00C4354F"/>
    <w:rsid w:val="00C435FC"/>
    <w:rsid w:val="00C43788"/>
    <w:rsid w:val="00C4399F"/>
    <w:rsid w:val="00C43DEA"/>
    <w:rsid w:val="00C449B5"/>
    <w:rsid w:val="00C44BB3"/>
    <w:rsid w:val="00C44CCB"/>
    <w:rsid w:val="00C44CDF"/>
    <w:rsid w:val="00C44CF7"/>
    <w:rsid w:val="00C451E0"/>
    <w:rsid w:val="00C466C9"/>
    <w:rsid w:val="00C467C2"/>
    <w:rsid w:val="00C4691B"/>
    <w:rsid w:val="00C4744A"/>
    <w:rsid w:val="00C477DC"/>
    <w:rsid w:val="00C47A71"/>
    <w:rsid w:val="00C47E31"/>
    <w:rsid w:val="00C47EBF"/>
    <w:rsid w:val="00C5065D"/>
    <w:rsid w:val="00C5079D"/>
    <w:rsid w:val="00C5251D"/>
    <w:rsid w:val="00C5302A"/>
    <w:rsid w:val="00C53260"/>
    <w:rsid w:val="00C53439"/>
    <w:rsid w:val="00C535D7"/>
    <w:rsid w:val="00C538D3"/>
    <w:rsid w:val="00C53E04"/>
    <w:rsid w:val="00C54126"/>
    <w:rsid w:val="00C542D1"/>
    <w:rsid w:val="00C545FF"/>
    <w:rsid w:val="00C5470A"/>
    <w:rsid w:val="00C5470E"/>
    <w:rsid w:val="00C554BB"/>
    <w:rsid w:val="00C55A88"/>
    <w:rsid w:val="00C55C94"/>
    <w:rsid w:val="00C55D41"/>
    <w:rsid w:val="00C564F0"/>
    <w:rsid w:val="00C56630"/>
    <w:rsid w:val="00C5672E"/>
    <w:rsid w:val="00C5682C"/>
    <w:rsid w:val="00C569D3"/>
    <w:rsid w:val="00C56E38"/>
    <w:rsid w:val="00C57300"/>
    <w:rsid w:val="00C577C8"/>
    <w:rsid w:val="00C577E1"/>
    <w:rsid w:val="00C5786A"/>
    <w:rsid w:val="00C57DE2"/>
    <w:rsid w:val="00C6020C"/>
    <w:rsid w:val="00C602AA"/>
    <w:rsid w:val="00C61498"/>
    <w:rsid w:val="00C617E5"/>
    <w:rsid w:val="00C61A87"/>
    <w:rsid w:val="00C61B2A"/>
    <w:rsid w:val="00C620CC"/>
    <w:rsid w:val="00C62186"/>
    <w:rsid w:val="00C621A3"/>
    <w:rsid w:val="00C62280"/>
    <w:rsid w:val="00C62352"/>
    <w:rsid w:val="00C633A1"/>
    <w:rsid w:val="00C6375E"/>
    <w:rsid w:val="00C63E30"/>
    <w:rsid w:val="00C63FEE"/>
    <w:rsid w:val="00C64166"/>
    <w:rsid w:val="00C65170"/>
    <w:rsid w:val="00C656B7"/>
    <w:rsid w:val="00C656F5"/>
    <w:rsid w:val="00C65882"/>
    <w:rsid w:val="00C65C61"/>
    <w:rsid w:val="00C661B2"/>
    <w:rsid w:val="00C665DF"/>
    <w:rsid w:val="00C667C7"/>
    <w:rsid w:val="00C668B4"/>
    <w:rsid w:val="00C70240"/>
    <w:rsid w:val="00C70749"/>
    <w:rsid w:val="00C70959"/>
    <w:rsid w:val="00C709A5"/>
    <w:rsid w:val="00C70D28"/>
    <w:rsid w:val="00C71766"/>
    <w:rsid w:val="00C71919"/>
    <w:rsid w:val="00C71B1F"/>
    <w:rsid w:val="00C71F6B"/>
    <w:rsid w:val="00C7222F"/>
    <w:rsid w:val="00C7261E"/>
    <w:rsid w:val="00C726EE"/>
    <w:rsid w:val="00C734BC"/>
    <w:rsid w:val="00C73967"/>
    <w:rsid w:val="00C73A70"/>
    <w:rsid w:val="00C73DDE"/>
    <w:rsid w:val="00C7452C"/>
    <w:rsid w:val="00C74670"/>
    <w:rsid w:val="00C749AD"/>
    <w:rsid w:val="00C74D00"/>
    <w:rsid w:val="00C759C8"/>
    <w:rsid w:val="00C75A76"/>
    <w:rsid w:val="00C75A7D"/>
    <w:rsid w:val="00C76B61"/>
    <w:rsid w:val="00C76BD4"/>
    <w:rsid w:val="00C76C6E"/>
    <w:rsid w:val="00C76CAD"/>
    <w:rsid w:val="00C76FA8"/>
    <w:rsid w:val="00C77666"/>
    <w:rsid w:val="00C8006E"/>
    <w:rsid w:val="00C80088"/>
    <w:rsid w:val="00C807DF"/>
    <w:rsid w:val="00C808DC"/>
    <w:rsid w:val="00C80D61"/>
    <w:rsid w:val="00C81500"/>
    <w:rsid w:val="00C815A8"/>
    <w:rsid w:val="00C81E20"/>
    <w:rsid w:val="00C835A3"/>
    <w:rsid w:val="00C8398B"/>
    <w:rsid w:val="00C83E93"/>
    <w:rsid w:val="00C83ECC"/>
    <w:rsid w:val="00C83F2D"/>
    <w:rsid w:val="00C84208"/>
    <w:rsid w:val="00C84877"/>
    <w:rsid w:val="00C84AA2"/>
    <w:rsid w:val="00C85468"/>
    <w:rsid w:val="00C85B54"/>
    <w:rsid w:val="00C85E70"/>
    <w:rsid w:val="00C85FBE"/>
    <w:rsid w:val="00C8643A"/>
    <w:rsid w:val="00C869CF"/>
    <w:rsid w:val="00C86EF0"/>
    <w:rsid w:val="00C87D8F"/>
    <w:rsid w:val="00C906DA"/>
    <w:rsid w:val="00C908CD"/>
    <w:rsid w:val="00C909F6"/>
    <w:rsid w:val="00C91011"/>
    <w:rsid w:val="00C91A12"/>
    <w:rsid w:val="00C91AE5"/>
    <w:rsid w:val="00C92878"/>
    <w:rsid w:val="00C92ED8"/>
    <w:rsid w:val="00C931E2"/>
    <w:rsid w:val="00C93417"/>
    <w:rsid w:val="00C94023"/>
    <w:rsid w:val="00C94076"/>
    <w:rsid w:val="00C94F1A"/>
    <w:rsid w:val="00C95237"/>
    <w:rsid w:val="00C958A0"/>
    <w:rsid w:val="00C9680D"/>
    <w:rsid w:val="00C96EBF"/>
    <w:rsid w:val="00C971E8"/>
    <w:rsid w:val="00C9725C"/>
    <w:rsid w:val="00C975AA"/>
    <w:rsid w:val="00C9795D"/>
    <w:rsid w:val="00C97C6D"/>
    <w:rsid w:val="00CA0280"/>
    <w:rsid w:val="00CA0678"/>
    <w:rsid w:val="00CA0784"/>
    <w:rsid w:val="00CA083B"/>
    <w:rsid w:val="00CA09F5"/>
    <w:rsid w:val="00CA0C4B"/>
    <w:rsid w:val="00CA115D"/>
    <w:rsid w:val="00CA1EC6"/>
    <w:rsid w:val="00CA243D"/>
    <w:rsid w:val="00CA29B3"/>
    <w:rsid w:val="00CA2B78"/>
    <w:rsid w:val="00CA2D1C"/>
    <w:rsid w:val="00CA32DB"/>
    <w:rsid w:val="00CA3904"/>
    <w:rsid w:val="00CA3B5B"/>
    <w:rsid w:val="00CA3E6B"/>
    <w:rsid w:val="00CA427C"/>
    <w:rsid w:val="00CA45A8"/>
    <w:rsid w:val="00CA5274"/>
    <w:rsid w:val="00CA579B"/>
    <w:rsid w:val="00CA649D"/>
    <w:rsid w:val="00CA669F"/>
    <w:rsid w:val="00CA6816"/>
    <w:rsid w:val="00CA7281"/>
    <w:rsid w:val="00CA76F8"/>
    <w:rsid w:val="00CA7727"/>
    <w:rsid w:val="00CA7A02"/>
    <w:rsid w:val="00CA7A80"/>
    <w:rsid w:val="00CB0800"/>
    <w:rsid w:val="00CB0970"/>
    <w:rsid w:val="00CB0DED"/>
    <w:rsid w:val="00CB136A"/>
    <w:rsid w:val="00CB18EC"/>
    <w:rsid w:val="00CB1ACD"/>
    <w:rsid w:val="00CB1E16"/>
    <w:rsid w:val="00CB1E93"/>
    <w:rsid w:val="00CB1ED8"/>
    <w:rsid w:val="00CB1F1D"/>
    <w:rsid w:val="00CB20ED"/>
    <w:rsid w:val="00CB2226"/>
    <w:rsid w:val="00CB2432"/>
    <w:rsid w:val="00CB2505"/>
    <w:rsid w:val="00CB399E"/>
    <w:rsid w:val="00CB4E6D"/>
    <w:rsid w:val="00CB50AC"/>
    <w:rsid w:val="00CB5B6B"/>
    <w:rsid w:val="00CB678E"/>
    <w:rsid w:val="00CB74D9"/>
    <w:rsid w:val="00CB764F"/>
    <w:rsid w:val="00CB7EB4"/>
    <w:rsid w:val="00CC0062"/>
    <w:rsid w:val="00CC0198"/>
    <w:rsid w:val="00CC0483"/>
    <w:rsid w:val="00CC0A68"/>
    <w:rsid w:val="00CC0E90"/>
    <w:rsid w:val="00CC0EB0"/>
    <w:rsid w:val="00CC0F18"/>
    <w:rsid w:val="00CC0FA8"/>
    <w:rsid w:val="00CC11F7"/>
    <w:rsid w:val="00CC2017"/>
    <w:rsid w:val="00CC2678"/>
    <w:rsid w:val="00CC2925"/>
    <w:rsid w:val="00CC2F4D"/>
    <w:rsid w:val="00CC37C9"/>
    <w:rsid w:val="00CC3992"/>
    <w:rsid w:val="00CC3A9A"/>
    <w:rsid w:val="00CC3B19"/>
    <w:rsid w:val="00CC3C87"/>
    <w:rsid w:val="00CC3F1A"/>
    <w:rsid w:val="00CC3FCB"/>
    <w:rsid w:val="00CC430A"/>
    <w:rsid w:val="00CC44D4"/>
    <w:rsid w:val="00CC46F9"/>
    <w:rsid w:val="00CC4E44"/>
    <w:rsid w:val="00CC5E67"/>
    <w:rsid w:val="00CC6417"/>
    <w:rsid w:val="00CC65D1"/>
    <w:rsid w:val="00CC65EC"/>
    <w:rsid w:val="00CC6623"/>
    <w:rsid w:val="00CC6C8B"/>
    <w:rsid w:val="00CC7606"/>
    <w:rsid w:val="00CC76FF"/>
    <w:rsid w:val="00CC7821"/>
    <w:rsid w:val="00CC7CF2"/>
    <w:rsid w:val="00CD01AD"/>
    <w:rsid w:val="00CD061B"/>
    <w:rsid w:val="00CD074D"/>
    <w:rsid w:val="00CD0E38"/>
    <w:rsid w:val="00CD0FDB"/>
    <w:rsid w:val="00CD1A2A"/>
    <w:rsid w:val="00CD1EB7"/>
    <w:rsid w:val="00CD2AFC"/>
    <w:rsid w:val="00CD31A0"/>
    <w:rsid w:val="00CD333E"/>
    <w:rsid w:val="00CD33B1"/>
    <w:rsid w:val="00CD37B0"/>
    <w:rsid w:val="00CD3846"/>
    <w:rsid w:val="00CD385E"/>
    <w:rsid w:val="00CD3A99"/>
    <w:rsid w:val="00CD4542"/>
    <w:rsid w:val="00CD511A"/>
    <w:rsid w:val="00CD5175"/>
    <w:rsid w:val="00CD51DB"/>
    <w:rsid w:val="00CD53E6"/>
    <w:rsid w:val="00CD568F"/>
    <w:rsid w:val="00CD57D2"/>
    <w:rsid w:val="00CD5C90"/>
    <w:rsid w:val="00CD5D90"/>
    <w:rsid w:val="00CD5EE3"/>
    <w:rsid w:val="00CD62A6"/>
    <w:rsid w:val="00CD6B5C"/>
    <w:rsid w:val="00CD6F20"/>
    <w:rsid w:val="00CD6FB7"/>
    <w:rsid w:val="00CD703C"/>
    <w:rsid w:val="00CD7B3C"/>
    <w:rsid w:val="00CD7E9D"/>
    <w:rsid w:val="00CE0759"/>
    <w:rsid w:val="00CE085F"/>
    <w:rsid w:val="00CE0AAD"/>
    <w:rsid w:val="00CE192D"/>
    <w:rsid w:val="00CE1C9D"/>
    <w:rsid w:val="00CE2642"/>
    <w:rsid w:val="00CE3553"/>
    <w:rsid w:val="00CE3735"/>
    <w:rsid w:val="00CE441B"/>
    <w:rsid w:val="00CE4549"/>
    <w:rsid w:val="00CE488D"/>
    <w:rsid w:val="00CE4B43"/>
    <w:rsid w:val="00CE4C10"/>
    <w:rsid w:val="00CE4EFC"/>
    <w:rsid w:val="00CE579E"/>
    <w:rsid w:val="00CE5885"/>
    <w:rsid w:val="00CE5948"/>
    <w:rsid w:val="00CE6400"/>
    <w:rsid w:val="00CE64D6"/>
    <w:rsid w:val="00CE6823"/>
    <w:rsid w:val="00CE6A0A"/>
    <w:rsid w:val="00CE757B"/>
    <w:rsid w:val="00CE7DF8"/>
    <w:rsid w:val="00CF03A1"/>
    <w:rsid w:val="00CF0D72"/>
    <w:rsid w:val="00CF0FBD"/>
    <w:rsid w:val="00CF12B8"/>
    <w:rsid w:val="00CF12F3"/>
    <w:rsid w:val="00CF156C"/>
    <w:rsid w:val="00CF166A"/>
    <w:rsid w:val="00CF181E"/>
    <w:rsid w:val="00CF1A47"/>
    <w:rsid w:val="00CF1D44"/>
    <w:rsid w:val="00CF229F"/>
    <w:rsid w:val="00CF2448"/>
    <w:rsid w:val="00CF2584"/>
    <w:rsid w:val="00CF2F48"/>
    <w:rsid w:val="00CF2FAC"/>
    <w:rsid w:val="00CF399F"/>
    <w:rsid w:val="00CF4446"/>
    <w:rsid w:val="00CF4568"/>
    <w:rsid w:val="00CF4F4F"/>
    <w:rsid w:val="00CF4FA9"/>
    <w:rsid w:val="00CF5C15"/>
    <w:rsid w:val="00CF6459"/>
    <w:rsid w:val="00CF675E"/>
    <w:rsid w:val="00CF68CE"/>
    <w:rsid w:val="00CF6A09"/>
    <w:rsid w:val="00CF6CBA"/>
    <w:rsid w:val="00CF7427"/>
    <w:rsid w:val="00CF7718"/>
    <w:rsid w:val="00D00389"/>
    <w:rsid w:val="00D00569"/>
    <w:rsid w:val="00D00573"/>
    <w:rsid w:val="00D00993"/>
    <w:rsid w:val="00D00E98"/>
    <w:rsid w:val="00D01196"/>
    <w:rsid w:val="00D013F7"/>
    <w:rsid w:val="00D015BE"/>
    <w:rsid w:val="00D01D13"/>
    <w:rsid w:val="00D032F4"/>
    <w:rsid w:val="00D03C5B"/>
    <w:rsid w:val="00D03F9F"/>
    <w:rsid w:val="00D040F0"/>
    <w:rsid w:val="00D0473A"/>
    <w:rsid w:val="00D059CB"/>
    <w:rsid w:val="00D05A52"/>
    <w:rsid w:val="00D063E1"/>
    <w:rsid w:val="00D06877"/>
    <w:rsid w:val="00D06A0B"/>
    <w:rsid w:val="00D077B6"/>
    <w:rsid w:val="00D07945"/>
    <w:rsid w:val="00D101D7"/>
    <w:rsid w:val="00D102A7"/>
    <w:rsid w:val="00D10B58"/>
    <w:rsid w:val="00D114DE"/>
    <w:rsid w:val="00D116D3"/>
    <w:rsid w:val="00D11F9C"/>
    <w:rsid w:val="00D1275C"/>
    <w:rsid w:val="00D1288A"/>
    <w:rsid w:val="00D12AB3"/>
    <w:rsid w:val="00D13755"/>
    <w:rsid w:val="00D13D32"/>
    <w:rsid w:val="00D13D8D"/>
    <w:rsid w:val="00D146C6"/>
    <w:rsid w:val="00D14739"/>
    <w:rsid w:val="00D149D3"/>
    <w:rsid w:val="00D15473"/>
    <w:rsid w:val="00D15ED6"/>
    <w:rsid w:val="00D15FD7"/>
    <w:rsid w:val="00D162CA"/>
    <w:rsid w:val="00D16F74"/>
    <w:rsid w:val="00D170A2"/>
    <w:rsid w:val="00D1730E"/>
    <w:rsid w:val="00D17A10"/>
    <w:rsid w:val="00D17ED8"/>
    <w:rsid w:val="00D20C11"/>
    <w:rsid w:val="00D20D06"/>
    <w:rsid w:val="00D21067"/>
    <w:rsid w:val="00D21447"/>
    <w:rsid w:val="00D2184C"/>
    <w:rsid w:val="00D220A3"/>
    <w:rsid w:val="00D22813"/>
    <w:rsid w:val="00D2363E"/>
    <w:rsid w:val="00D2390B"/>
    <w:rsid w:val="00D23EF8"/>
    <w:rsid w:val="00D2501F"/>
    <w:rsid w:val="00D25B76"/>
    <w:rsid w:val="00D26045"/>
    <w:rsid w:val="00D26FB0"/>
    <w:rsid w:val="00D2719C"/>
    <w:rsid w:val="00D27D76"/>
    <w:rsid w:val="00D306D1"/>
    <w:rsid w:val="00D30DC6"/>
    <w:rsid w:val="00D30ED3"/>
    <w:rsid w:val="00D30F97"/>
    <w:rsid w:val="00D31418"/>
    <w:rsid w:val="00D31E26"/>
    <w:rsid w:val="00D3251D"/>
    <w:rsid w:val="00D33169"/>
    <w:rsid w:val="00D331D9"/>
    <w:rsid w:val="00D333B8"/>
    <w:rsid w:val="00D33B6C"/>
    <w:rsid w:val="00D33DF9"/>
    <w:rsid w:val="00D3437D"/>
    <w:rsid w:val="00D34397"/>
    <w:rsid w:val="00D3486C"/>
    <w:rsid w:val="00D353F4"/>
    <w:rsid w:val="00D357B5"/>
    <w:rsid w:val="00D35CE5"/>
    <w:rsid w:val="00D35F64"/>
    <w:rsid w:val="00D36B60"/>
    <w:rsid w:val="00D36C72"/>
    <w:rsid w:val="00D3750C"/>
    <w:rsid w:val="00D3762B"/>
    <w:rsid w:val="00D376BC"/>
    <w:rsid w:val="00D37787"/>
    <w:rsid w:val="00D37AD3"/>
    <w:rsid w:val="00D37D02"/>
    <w:rsid w:val="00D37D0B"/>
    <w:rsid w:val="00D37D42"/>
    <w:rsid w:val="00D400AC"/>
    <w:rsid w:val="00D400CD"/>
    <w:rsid w:val="00D40C2E"/>
    <w:rsid w:val="00D40E80"/>
    <w:rsid w:val="00D4103B"/>
    <w:rsid w:val="00D4190F"/>
    <w:rsid w:val="00D41F3E"/>
    <w:rsid w:val="00D42BF5"/>
    <w:rsid w:val="00D43232"/>
    <w:rsid w:val="00D43798"/>
    <w:rsid w:val="00D43F84"/>
    <w:rsid w:val="00D44792"/>
    <w:rsid w:val="00D44877"/>
    <w:rsid w:val="00D44EA3"/>
    <w:rsid w:val="00D461C2"/>
    <w:rsid w:val="00D463F9"/>
    <w:rsid w:val="00D464C4"/>
    <w:rsid w:val="00D468B2"/>
    <w:rsid w:val="00D468E9"/>
    <w:rsid w:val="00D46D7D"/>
    <w:rsid w:val="00D47163"/>
    <w:rsid w:val="00D472C1"/>
    <w:rsid w:val="00D47497"/>
    <w:rsid w:val="00D47B8B"/>
    <w:rsid w:val="00D5041D"/>
    <w:rsid w:val="00D51221"/>
    <w:rsid w:val="00D5136B"/>
    <w:rsid w:val="00D5186A"/>
    <w:rsid w:val="00D52251"/>
    <w:rsid w:val="00D523AD"/>
    <w:rsid w:val="00D52D53"/>
    <w:rsid w:val="00D52EDC"/>
    <w:rsid w:val="00D5332F"/>
    <w:rsid w:val="00D53627"/>
    <w:rsid w:val="00D5362D"/>
    <w:rsid w:val="00D53F88"/>
    <w:rsid w:val="00D545BD"/>
    <w:rsid w:val="00D54A56"/>
    <w:rsid w:val="00D54CB8"/>
    <w:rsid w:val="00D54D1A"/>
    <w:rsid w:val="00D552B6"/>
    <w:rsid w:val="00D552FC"/>
    <w:rsid w:val="00D5550A"/>
    <w:rsid w:val="00D55AAA"/>
    <w:rsid w:val="00D55D25"/>
    <w:rsid w:val="00D560A2"/>
    <w:rsid w:val="00D56577"/>
    <w:rsid w:val="00D567C6"/>
    <w:rsid w:val="00D56928"/>
    <w:rsid w:val="00D56B5D"/>
    <w:rsid w:val="00D5737C"/>
    <w:rsid w:val="00D57662"/>
    <w:rsid w:val="00D57680"/>
    <w:rsid w:val="00D57B4A"/>
    <w:rsid w:val="00D6005A"/>
    <w:rsid w:val="00D60508"/>
    <w:rsid w:val="00D60F01"/>
    <w:rsid w:val="00D61765"/>
    <w:rsid w:val="00D61969"/>
    <w:rsid w:val="00D6197C"/>
    <w:rsid w:val="00D6202A"/>
    <w:rsid w:val="00D622BC"/>
    <w:rsid w:val="00D622C9"/>
    <w:rsid w:val="00D622DE"/>
    <w:rsid w:val="00D628CC"/>
    <w:rsid w:val="00D62C17"/>
    <w:rsid w:val="00D62C34"/>
    <w:rsid w:val="00D62F2D"/>
    <w:rsid w:val="00D63023"/>
    <w:rsid w:val="00D632BA"/>
    <w:rsid w:val="00D63510"/>
    <w:rsid w:val="00D636EA"/>
    <w:rsid w:val="00D63793"/>
    <w:rsid w:val="00D6451B"/>
    <w:rsid w:val="00D647BE"/>
    <w:rsid w:val="00D65073"/>
    <w:rsid w:val="00D65456"/>
    <w:rsid w:val="00D660B4"/>
    <w:rsid w:val="00D664A7"/>
    <w:rsid w:val="00D6664B"/>
    <w:rsid w:val="00D67608"/>
    <w:rsid w:val="00D70498"/>
    <w:rsid w:val="00D70971"/>
    <w:rsid w:val="00D70F34"/>
    <w:rsid w:val="00D70F64"/>
    <w:rsid w:val="00D71114"/>
    <w:rsid w:val="00D71BB5"/>
    <w:rsid w:val="00D71C38"/>
    <w:rsid w:val="00D723BE"/>
    <w:rsid w:val="00D72AC3"/>
    <w:rsid w:val="00D731CA"/>
    <w:rsid w:val="00D73611"/>
    <w:rsid w:val="00D73741"/>
    <w:rsid w:val="00D73FAE"/>
    <w:rsid w:val="00D741BB"/>
    <w:rsid w:val="00D741E2"/>
    <w:rsid w:val="00D7442A"/>
    <w:rsid w:val="00D74E3A"/>
    <w:rsid w:val="00D758DA"/>
    <w:rsid w:val="00D76B5D"/>
    <w:rsid w:val="00D770A1"/>
    <w:rsid w:val="00D77319"/>
    <w:rsid w:val="00D7788F"/>
    <w:rsid w:val="00D77D7A"/>
    <w:rsid w:val="00D8316F"/>
    <w:rsid w:val="00D83456"/>
    <w:rsid w:val="00D8353F"/>
    <w:rsid w:val="00D84FAE"/>
    <w:rsid w:val="00D850C8"/>
    <w:rsid w:val="00D85E17"/>
    <w:rsid w:val="00D8623B"/>
    <w:rsid w:val="00D862DA"/>
    <w:rsid w:val="00D864F0"/>
    <w:rsid w:val="00D872BD"/>
    <w:rsid w:val="00D875D2"/>
    <w:rsid w:val="00D87992"/>
    <w:rsid w:val="00D87E54"/>
    <w:rsid w:val="00D90038"/>
    <w:rsid w:val="00D90539"/>
    <w:rsid w:val="00D905C4"/>
    <w:rsid w:val="00D9076C"/>
    <w:rsid w:val="00D90810"/>
    <w:rsid w:val="00D91484"/>
    <w:rsid w:val="00D91C12"/>
    <w:rsid w:val="00D9206A"/>
    <w:rsid w:val="00D9253E"/>
    <w:rsid w:val="00D92A81"/>
    <w:rsid w:val="00D92DDA"/>
    <w:rsid w:val="00D92F2D"/>
    <w:rsid w:val="00D93063"/>
    <w:rsid w:val="00D93164"/>
    <w:rsid w:val="00D9322C"/>
    <w:rsid w:val="00D93318"/>
    <w:rsid w:val="00D93353"/>
    <w:rsid w:val="00D935DC"/>
    <w:rsid w:val="00D935EC"/>
    <w:rsid w:val="00D942D5"/>
    <w:rsid w:val="00D949F2"/>
    <w:rsid w:val="00D94C1F"/>
    <w:rsid w:val="00D95831"/>
    <w:rsid w:val="00D962F3"/>
    <w:rsid w:val="00D96514"/>
    <w:rsid w:val="00D96863"/>
    <w:rsid w:val="00D969B1"/>
    <w:rsid w:val="00D96C5B"/>
    <w:rsid w:val="00D96CC0"/>
    <w:rsid w:val="00D96D0C"/>
    <w:rsid w:val="00D9788B"/>
    <w:rsid w:val="00D97C23"/>
    <w:rsid w:val="00D97C28"/>
    <w:rsid w:val="00D97E63"/>
    <w:rsid w:val="00DA098E"/>
    <w:rsid w:val="00DA16BA"/>
    <w:rsid w:val="00DA171B"/>
    <w:rsid w:val="00DA1EB3"/>
    <w:rsid w:val="00DA2219"/>
    <w:rsid w:val="00DA2503"/>
    <w:rsid w:val="00DA377A"/>
    <w:rsid w:val="00DA3A75"/>
    <w:rsid w:val="00DA5568"/>
    <w:rsid w:val="00DA5B7A"/>
    <w:rsid w:val="00DA6427"/>
    <w:rsid w:val="00DA65D9"/>
    <w:rsid w:val="00DA6B13"/>
    <w:rsid w:val="00DA7551"/>
    <w:rsid w:val="00DA7579"/>
    <w:rsid w:val="00DB0349"/>
    <w:rsid w:val="00DB0535"/>
    <w:rsid w:val="00DB079D"/>
    <w:rsid w:val="00DB0D4F"/>
    <w:rsid w:val="00DB0E1E"/>
    <w:rsid w:val="00DB0FED"/>
    <w:rsid w:val="00DB122A"/>
    <w:rsid w:val="00DB2D57"/>
    <w:rsid w:val="00DB4235"/>
    <w:rsid w:val="00DB4266"/>
    <w:rsid w:val="00DB4D50"/>
    <w:rsid w:val="00DB58C2"/>
    <w:rsid w:val="00DB5B90"/>
    <w:rsid w:val="00DB619E"/>
    <w:rsid w:val="00DB6262"/>
    <w:rsid w:val="00DB664A"/>
    <w:rsid w:val="00DB6D67"/>
    <w:rsid w:val="00DB7302"/>
    <w:rsid w:val="00DB75DC"/>
    <w:rsid w:val="00DB7C61"/>
    <w:rsid w:val="00DB7CFE"/>
    <w:rsid w:val="00DC00D1"/>
    <w:rsid w:val="00DC0AF8"/>
    <w:rsid w:val="00DC0B7C"/>
    <w:rsid w:val="00DC0DA6"/>
    <w:rsid w:val="00DC1264"/>
    <w:rsid w:val="00DC157D"/>
    <w:rsid w:val="00DC19B1"/>
    <w:rsid w:val="00DC2093"/>
    <w:rsid w:val="00DC28A0"/>
    <w:rsid w:val="00DC2B28"/>
    <w:rsid w:val="00DC3ED0"/>
    <w:rsid w:val="00DC3FE7"/>
    <w:rsid w:val="00DC4064"/>
    <w:rsid w:val="00DC442B"/>
    <w:rsid w:val="00DC4511"/>
    <w:rsid w:val="00DC482A"/>
    <w:rsid w:val="00DC4AE4"/>
    <w:rsid w:val="00DC5C22"/>
    <w:rsid w:val="00DC5F6E"/>
    <w:rsid w:val="00DC6667"/>
    <w:rsid w:val="00DC6999"/>
    <w:rsid w:val="00DC75AE"/>
    <w:rsid w:val="00DC76C9"/>
    <w:rsid w:val="00DC7779"/>
    <w:rsid w:val="00DC7939"/>
    <w:rsid w:val="00DC7BE5"/>
    <w:rsid w:val="00DC7C6C"/>
    <w:rsid w:val="00DC7EF5"/>
    <w:rsid w:val="00DD017C"/>
    <w:rsid w:val="00DD0C98"/>
    <w:rsid w:val="00DD122E"/>
    <w:rsid w:val="00DD1499"/>
    <w:rsid w:val="00DD1A66"/>
    <w:rsid w:val="00DD2287"/>
    <w:rsid w:val="00DD2B43"/>
    <w:rsid w:val="00DD3925"/>
    <w:rsid w:val="00DD39CB"/>
    <w:rsid w:val="00DD39D7"/>
    <w:rsid w:val="00DD4EBA"/>
    <w:rsid w:val="00DD53C6"/>
    <w:rsid w:val="00DD5911"/>
    <w:rsid w:val="00DD5DEC"/>
    <w:rsid w:val="00DD6292"/>
    <w:rsid w:val="00DD6A60"/>
    <w:rsid w:val="00DD6D4F"/>
    <w:rsid w:val="00DD6E0E"/>
    <w:rsid w:val="00DD75A8"/>
    <w:rsid w:val="00DD7656"/>
    <w:rsid w:val="00DE044D"/>
    <w:rsid w:val="00DE072E"/>
    <w:rsid w:val="00DE0A4E"/>
    <w:rsid w:val="00DE0BDE"/>
    <w:rsid w:val="00DE0F69"/>
    <w:rsid w:val="00DE1000"/>
    <w:rsid w:val="00DE131A"/>
    <w:rsid w:val="00DE1400"/>
    <w:rsid w:val="00DE1955"/>
    <w:rsid w:val="00DE23AC"/>
    <w:rsid w:val="00DE26D5"/>
    <w:rsid w:val="00DE274C"/>
    <w:rsid w:val="00DE3549"/>
    <w:rsid w:val="00DE452C"/>
    <w:rsid w:val="00DE54CD"/>
    <w:rsid w:val="00DE5579"/>
    <w:rsid w:val="00DE5E8F"/>
    <w:rsid w:val="00DE6565"/>
    <w:rsid w:val="00DE68A9"/>
    <w:rsid w:val="00DE6CB2"/>
    <w:rsid w:val="00DE74DC"/>
    <w:rsid w:val="00DE7D3E"/>
    <w:rsid w:val="00DF0518"/>
    <w:rsid w:val="00DF06A5"/>
    <w:rsid w:val="00DF0809"/>
    <w:rsid w:val="00DF0CB7"/>
    <w:rsid w:val="00DF11E2"/>
    <w:rsid w:val="00DF12B3"/>
    <w:rsid w:val="00DF15C8"/>
    <w:rsid w:val="00DF199B"/>
    <w:rsid w:val="00DF1A15"/>
    <w:rsid w:val="00DF1E5A"/>
    <w:rsid w:val="00DF2D22"/>
    <w:rsid w:val="00DF2DFF"/>
    <w:rsid w:val="00DF2F5F"/>
    <w:rsid w:val="00DF3554"/>
    <w:rsid w:val="00DF3D73"/>
    <w:rsid w:val="00DF4573"/>
    <w:rsid w:val="00DF5005"/>
    <w:rsid w:val="00DF565B"/>
    <w:rsid w:val="00DF567B"/>
    <w:rsid w:val="00DF6125"/>
    <w:rsid w:val="00DF621F"/>
    <w:rsid w:val="00DF6829"/>
    <w:rsid w:val="00DF6C1A"/>
    <w:rsid w:val="00DF748B"/>
    <w:rsid w:val="00DF78ED"/>
    <w:rsid w:val="00DF7B5F"/>
    <w:rsid w:val="00DF7C6C"/>
    <w:rsid w:val="00E0023F"/>
    <w:rsid w:val="00E008F3"/>
    <w:rsid w:val="00E010ED"/>
    <w:rsid w:val="00E01148"/>
    <w:rsid w:val="00E019CC"/>
    <w:rsid w:val="00E0206E"/>
    <w:rsid w:val="00E02551"/>
    <w:rsid w:val="00E02DAE"/>
    <w:rsid w:val="00E031B6"/>
    <w:rsid w:val="00E034A0"/>
    <w:rsid w:val="00E03A49"/>
    <w:rsid w:val="00E03D44"/>
    <w:rsid w:val="00E03E15"/>
    <w:rsid w:val="00E0405C"/>
    <w:rsid w:val="00E04509"/>
    <w:rsid w:val="00E04A31"/>
    <w:rsid w:val="00E04A5A"/>
    <w:rsid w:val="00E0594A"/>
    <w:rsid w:val="00E05B0C"/>
    <w:rsid w:val="00E05C4A"/>
    <w:rsid w:val="00E06469"/>
    <w:rsid w:val="00E0742F"/>
    <w:rsid w:val="00E076A2"/>
    <w:rsid w:val="00E07A15"/>
    <w:rsid w:val="00E10A39"/>
    <w:rsid w:val="00E11294"/>
    <w:rsid w:val="00E11345"/>
    <w:rsid w:val="00E11355"/>
    <w:rsid w:val="00E11528"/>
    <w:rsid w:val="00E11D05"/>
    <w:rsid w:val="00E121CC"/>
    <w:rsid w:val="00E121F5"/>
    <w:rsid w:val="00E1226E"/>
    <w:rsid w:val="00E132E4"/>
    <w:rsid w:val="00E13870"/>
    <w:rsid w:val="00E14A9C"/>
    <w:rsid w:val="00E14E09"/>
    <w:rsid w:val="00E167EA"/>
    <w:rsid w:val="00E16B9D"/>
    <w:rsid w:val="00E16FBF"/>
    <w:rsid w:val="00E170BA"/>
    <w:rsid w:val="00E1745B"/>
    <w:rsid w:val="00E1767A"/>
    <w:rsid w:val="00E1772C"/>
    <w:rsid w:val="00E17C1C"/>
    <w:rsid w:val="00E17D74"/>
    <w:rsid w:val="00E17EA4"/>
    <w:rsid w:val="00E17EC8"/>
    <w:rsid w:val="00E17F5B"/>
    <w:rsid w:val="00E203D8"/>
    <w:rsid w:val="00E20AA6"/>
    <w:rsid w:val="00E234B7"/>
    <w:rsid w:val="00E24303"/>
    <w:rsid w:val="00E244C1"/>
    <w:rsid w:val="00E24639"/>
    <w:rsid w:val="00E24847"/>
    <w:rsid w:val="00E24A51"/>
    <w:rsid w:val="00E24A90"/>
    <w:rsid w:val="00E24A94"/>
    <w:rsid w:val="00E24F67"/>
    <w:rsid w:val="00E25392"/>
    <w:rsid w:val="00E25DAA"/>
    <w:rsid w:val="00E25EF3"/>
    <w:rsid w:val="00E25F68"/>
    <w:rsid w:val="00E2652C"/>
    <w:rsid w:val="00E266EA"/>
    <w:rsid w:val="00E27E15"/>
    <w:rsid w:val="00E27E71"/>
    <w:rsid w:val="00E30000"/>
    <w:rsid w:val="00E300DD"/>
    <w:rsid w:val="00E30E89"/>
    <w:rsid w:val="00E30F6F"/>
    <w:rsid w:val="00E310CC"/>
    <w:rsid w:val="00E312AA"/>
    <w:rsid w:val="00E312AB"/>
    <w:rsid w:val="00E3144F"/>
    <w:rsid w:val="00E31702"/>
    <w:rsid w:val="00E319EF"/>
    <w:rsid w:val="00E31C2B"/>
    <w:rsid w:val="00E32625"/>
    <w:rsid w:val="00E32971"/>
    <w:rsid w:val="00E339A9"/>
    <w:rsid w:val="00E33BBA"/>
    <w:rsid w:val="00E33D64"/>
    <w:rsid w:val="00E345FC"/>
    <w:rsid w:val="00E35100"/>
    <w:rsid w:val="00E35193"/>
    <w:rsid w:val="00E352F1"/>
    <w:rsid w:val="00E353F1"/>
    <w:rsid w:val="00E3564C"/>
    <w:rsid w:val="00E35D3C"/>
    <w:rsid w:val="00E360E6"/>
    <w:rsid w:val="00E36B3B"/>
    <w:rsid w:val="00E37227"/>
    <w:rsid w:val="00E376B4"/>
    <w:rsid w:val="00E377DF"/>
    <w:rsid w:val="00E378A8"/>
    <w:rsid w:val="00E37E01"/>
    <w:rsid w:val="00E37EFD"/>
    <w:rsid w:val="00E400EE"/>
    <w:rsid w:val="00E4042E"/>
    <w:rsid w:val="00E40441"/>
    <w:rsid w:val="00E40DF9"/>
    <w:rsid w:val="00E40F42"/>
    <w:rsid w:val="00E4139C"/>
    <w:rsid w:val="00E41437"/>
    <w:rsid w:val="00E4145F"/>
    <w:rsid w:val="00E41548"/>
    <w:rsid w:val="00E418C0"/>
    <w:rsid w:val="00E4199B"/>
    <w:rsid w:val="00E42179"/>
    <w:rsid w:val="00E4261A"/>
    <w:rsid w:val="00E429C8"/>
    <w:rsid w:val="00E42A9F"/>
    <w:rsid w:val="00E42BFE"/>
    <w:rsid w:val="00E43671"/>
    <w:rsid w:val="00E43679"/>
    <w:rsid w:val="00E443C1"/>
    <w:rsid w:val="00E44753"/>
    <w:rsid w:val="00E4483D"/>
    <w:rsid w:val="00E4487C"/>
    <w:rsid w:val="00E44B17"/>
    <w:rsid w:val="00E44C26"/>
    <w:rsid w:val="00E45753"/>
    <w:rsid w:val="00E457AD"/>
    <w:rsid w:val="00E45C86"/>
    <w:rsid w:val="00E46198"/>
    <w:rsid w:val="00E4631C"/>
    <w:rsid w:val="00E46493"/>
    <w:rsid w:val="00E4666E"/>
    <w:rsid w:val="00E46A59"/>
    <w:rsid w:val="00E46B40"/>
    <w:rsid w:val="00E46D99"/>
    <w:rsid w:val="00E47084"/>
    <w:rsid w:val="00E471BB"/>
    <w:rsid w:val="00E47859"/>
    <w:rsid w:val="00E47DA5"/>
    <w:rsid w:val="00E47DAE"/>
    <w:rsid w:val="00E47E55"/>
    <w:rsid w:val="00E50112"/>
    <w:rsid w:val="00E50190"/>
    <w:rsid w:val="00E50276"/>
    <w:rsid w:val="00E50419"/>
    <w:rsid w:val="00E50968"/>
    <w:rsid w:val="00E50BBD"/>
    <w:rsid w:val="00E50F21"/>
    <w:rsid w:val="00E51107"/>
    <w:rsid w:val="00E52089"/>
    <w:rsid w:val="00E5223C"/>
    <w:rsid w:val="00E522EF"/>
    <w:rsid w:val="00E52626"/>
    <w:rsid w:val="00E526A4"/>
    <w:rsid w:val="00E5289C"/>
    <w:rsid w:val="00E52B5A"/>
    <w:rsid w:val="00E52E3B"/>
    <w:rsid w:val="00E535CE"/>
    <w:rsid w:val="00E53731"/>
    <w:rsid w:val="00E53B7B"/>
    <w:rsid w:val="00E54217"/>
    <w:rsid w:val="00E54576"/>
    <w:rsid w:val="00E5481A"/>
    <w:rsid w:val="00E54A74"/>
    <w:rsid w:val="00E5584E"/>
    <w:rsid w:val="00E55ABF"/>
    <w:rsid w:val="00E55AF9"/>
    <w:rsid w:val="00E56463"/>
    <w:rsid w:val="00E564FB"/>
    <w:rsid w:val="00E56776"/>
    <w:rsid w:val="00E56C51"/>
    <w:rsid w:val="00E56F7C"/>
    <w:rsid w:val="00E572A2"/>
    <w:rsid w:val="00E57D65"/>
    <w:rsid w:val="00E57DA1"/>
    <w:rsid w:val="00E605FE"/>
    <w:rsid w:val="00E60AAE"/>
    <w:rsid w:val="00E60FFB"/>
    <w:rsid w:val="00E61828"/>
    <w:rsid w:val="00E61AEC"/>
    <w:rsid w:val="00E61D2F"/>
    <w:rsid w:val="00E61D67"/>
    <w:rsid w:val="00E6381C"/>
    <w:rsid w:val="00E63C01"/>
    <w:rsid w:val="00E64FC8"/>
    <w:rsid w:val="00E652F2"/>
    <w:rsid w:val="00E659AA"/>
    <w:rsid w:val="00E65BA0"/>
    <w:rsid w:val="00E65F6F"/>
    <w:rsid w:val="00E6650D"/>
    <w:rsid w:val="00E66594"/>
    <w:rsid w:val="00E66D7A"/>
    <w:rsid w:val="00E66FC5"/>
    <w:rsid w:val="00E66FC7"/>
    <w:rsid w:val="00E67124"/>
    <w:rsid w:val="00E675CF"/>
    <w:rsid w:val="00E701C5"/>
    <w:rsid w:val="00E701D5"/>
    <w:rsid w:val="00E7045E"/>
    <w:rsid w:val="00E70462"/>
    <w:rsid w:val="00E70E21"/>
    <w:rsid w:val="00E70EE0"/>
    <w:rsid w:val="00E713C6"/>
    <w:rsid w:val="00E71E3B"/>
    <w:rsid w:val="00E7206E"/>
    <w:rsid w:val="00E72ABC"/>
    <w:rsid w:val="00E72AC3"/>
    <w:rsid w:val="00E7359A"/>
    <w:rsid w:val="00E73821"/>
    <w:rsid w:val="00E73EDB"/>
    <w:rsid w:val="00E742B7"/>
    <w:rsid w:val="00E7453A"/>
    <w:rsid w:val="00E74778"/>
    <w:rsid w:val="00E74C5C"/>
    <w:rsid w:val="00E75071"/>
    <w:rsid w:val="00E7608E"/>
    <w:rsid w:val="00E779E1"/>
    <w:rsid w:val="00E8057B"/>
    <w:rsid w:val="00E80642"/>
    <w:rsid w:val="00E809FD"/>
    <w:rsid w:val="00E80C49"/>
    <w:rsid w:val="00E81663"/>
    <w:rsid w:val="00E81F73"/>
    <w:rsid w:val="00E820F2"/>
    <w:rsid w:val="00E82111"/>
    <w:rsid w:val="00E8270E"/>
    <w:rsid w:val="00E82946"/>
    <w:rsid w:val="00E82A49"/>
    <w:rsid w:val="00E8335C"/>
    <w:rsid w:val="00E85796"/>
    <w:rsid w:val="00E85890"/>
    <w:rsid w:val="00E85D3B"/>
    <w:rsid w:val="00E85D3E"/>
    <w:rsid w:val="00E86005"/>
    <w:rsid w:val="00E86CBA"/>
    <w:rsid w:val="00E86E3E"/>
    <w:rsid w:val="00E86FDC"/>
    <w:rsid w:val="00E873C6"/>
    <w:rsid w:val="00E87592"/>
    <w:rsid w:val="00E875BB"/>
    <w:rsid w:val="00E87653"/>
    <w:rsid w:val="00E87E98"/>
    <w:rsid w:val="00E904CF"/>
    <w:rsid w:val="00E90718"/>
    <w:rsid w:val="00E90A44"/>
    <w:rsid w:val="00E90BDD"/>
    <w:rsid w:val="00E90EBC"/>
    <w:rsid w:val="00E91215"/>
    <w:rsid w:val="00E9155E"/>
    <w:rsid w:val="00E92035"/>
    <w:rsid w:val="00E9249C"/>
    <w:rsid w:val="00E924C4"/>
    <w:rsid w:val="00E92660"/>
    <w:rsid w:val="00E93252"/>
    <w:rsid w:val="00E93FD0"/>
    <w:rsid w:val="00E9436C"/>
    <w:rsid w:val="00E94DD4"/>
    <w:rsid w:val="00E9505B"/>
    <w:rsid w:val="00E95167"/>
    <w:rsid w:val="00E96EA2"/>
    <w:rsid w:val="00E97057"/>
    <w:rsid w:val="00E97381"/>
    <w:rsid w:val="00E973F5"/>
    <w:rsid w:val="00E9755D"/>
    <w:rsid w:val="00E97FC3"/>
    <w:rsid w:val="00EA019A"/>
    <w:rsid w:val="00EA028B"/>
    <w:rsid w:val="00EA0732"/>
    <w:rsid w:val="00EA0D39"/>
    <w:rsid w:val="00EA1406"/>
    <w:rsid w:val="00EA26AB"/>
    <w:rsid w:val="00EA31EC"/>
    <w:rsid w:val="00EA3E29"/>
    <w:rsid w:val="00EA3F85"/>
    <w:rsid w:val="00EA3FCC"/>
    <w:rsid w:val="00EA4FC3"/>
    <w:rsid w:val="00EA51A0"/>
    <w:rsid w:val="00EA5D54"/>
    <w:rsid w:val="00EA5E9D"/>
    <w:rsid w:val="00EA6972"/>
    <w:rsid w:val="00EA6A38"/>
    <w:rsid w:val="00EA6BAD"/>
    <w:rsid w:val="00EA705B"/>
    <w:rsid w:val="00EA71FB"/>
    <w:rsid w:val="00EA77BE"/>
    <w:rsid w:val="00EA7D0C"/>
    <w:rsid w:val="00EB04DF"/>
    <w:rsid w:val="00EB056D"/>
    <w:rsid w:val="00EB0B90"/>
    <w:rsid w:val="00EB0F8E"/>
    <w:rsid w:val="00EB10DD"/>
    <w:rsid w:val="00EB1BAF"/>
    <w:rsid w:val="00EB31F5"/>
    <w:rsid w:val="00EB3CBA"/>
    <w:rsid w:val="00EB3FDD"/>
    <w:rsid w:val="00EB41E9"/>
    <w:rsid w:val="00EB42F1"/>
    <w:rsid w:val="00EB44B0"/>
    <w:rsid w:val="00EB4556"/>
    <w:rsid w:val="00EB5EBC"/>
    <w:rsid w:val="00EB6225"/>
    <w:rsid w:val="00EB642F"/>
    <w:rsid w:val="00EB6688"/>
    <w:rsid w:val="00EB66C7"/>
    <w:rsid w:val="00EB679B"/>
    <w:rsid w:val="00EB6CAB"/>
    <w:rsid w:val="00EB70D7"/>
    <w:rsid w:val="00EB726F"/>
    <w:rsid w:val="00EB75B2"/>
    <w:rsid w:val="00EB7904"/>
    <w:rsid w:val="00EB7B1A"/>
    <w:rsid w:val="00EB7E95"/>
    <w:rsid w:val="00EC01E2"/>
    <w:rsid w:val="00EC01F7"/>
    <w:rsid w:val="00EC079A"/>
    <w:rsid w:val="00EC18AB"/>
    <w:rsid w:val="00EC1A43"/>
    <w:rsid w:val="00EC2068"/>
    <w:rsid w:val="00EC2252"/>
    <w:rsid w:val="00EC26DA"/>
    <w:rsid w:val="00EC28DC"/>
    <w:rsid w:val="00EC28F7"/>
    <w:rsid w:val="00EC2D76"/>
    <w:rsid w:val="00EC2F20"/>
    <w:rsid w:val="00EC32A7"/>
    <w:rsid w:val="00EC4AAB"/>
    <w:rsid w:val="00EC4D2B"/>
    <w:rsid w:val="00EC54F8"/>
    <w:rsid w:val="00EC55FF"/>
    <w:rsid w:val="00EC577A"/>
    <w:rsid w:val="00EC59E9"/>
    <w:rsid w:val="00EC5D15"/>
    <w:rsid w:val="00EC61C0"/>
    <w:rsid w:val="00EC666C"/>
    <w:rsid w:val="00EC6783"/>
    <w:rsid w:val="00EC6CF9"/>
    <w:rsid w:val="00EC6F2A"/>
    <w:rsid w:val="00EC75FE"/>
    <w:rsid w:val="00EC76AE"/>
    <w:rsid w:val="00EC79B0"/>
    <w:rsid w:val="00EC7BBC"/>
    <w:rsid w:val="00EC7CBC"/>
    <w:rsid w:val="00EC7D73"/>
    <w:rsid w:val="00ED0006"/>
    <w:rsid w:val="00ED02C2"/>
    <w:rsid w:val="00ED0F8B"/>
    <w:rsid w:val="00ED129C"/>
    <w:rsid w:val="00ED12C3"/>
    <w:rsid w:val="00ED1B59"/>
    <w:rsid w:val="00ED1B7E"/>
    <w:rsid w:val="00ED2400"/>
    <w:rsid w:val="00ED274C"/>
    <w:rsid w:val="00ED32CB"/>
    <w:rsid w:val="00ED3307"/>
    <w:rsid w:val="00ED3916"/>
    <w:rsid w:val="00ED39F1"/>
    <w:rsid w:val="00ED3AC7"/>
    <w:rsid w:val="00ED3B7C"/>
    <w:rsid w:val="00ED3E15"/>
    <w:rsid w:val="00ED3FA6"/>
    <w:rsid w:val="00ED483D"/>
    <w:rsid w:val="00ED4FE9"/>
    <w:rsid w:val="00ED5778"/>
    <w:rsid w:val="00ED5DC2"/>
    <w:rsid w:val="00ED5FFB"/>
    <w:rsid w:val="00ED6DF6"/>
    <w:rsid w:val="00ED7522"/>
    <w:rsid w:val="00ED7803"/>
    <w:rsid w:val="00ED7EBB"/>
    <w:rsid w:val="00EE0FC2"/>
    <w:rsid w:val="00EE0FC6"/>
    <w:rsid w:val="00EE1087"/>
    <w:rsid w:val="00EE1252"/>
    <w:rsid w:val="00EE1639"/>
    <w:rsid w:val="00EE1A0A"/>
    <w:rsid w:val="00EE20AA"/>
    <w:rsid w:val="00EE260A"/>
    <w:rsid w:val="00EE2BFA"/>
    <w:rsid w:val="00EE2D25"/>
    <w:rsid w:val="00EE2E18"/>
    <w:rsid w:val="00EE2EA8"/>
    <w:rsid w:val="00EE3588"/>
    <w:rsid w:val="00EE3861"/>
    <w:rsid w:val="00EE3970"/>
    <w:rsid w:val="00EE3974"/>
    <w:rsid w:val="00EE3F6E"/>
    <w:rsid w:val="00EE46C2"/>
    <w:rsid w:val="00EE47FF"/>
    <w:rsid w:val="00EE4843"/>
    <w:rsid w:val="00EE48FE"/>
    <w:rsid w:val="00EE4925"/>
    <w:rsid w:val="00EE4E9A"/>
    <w:rsid w:val="00EE4ED1"/>
    <w:rsid w:val="00EE55EA"/>
    <w:rsid w:val="00EE5F33"/>
    <w:rsid w:val="00EE6003"/>
    <w:rsid w:val="00EE64F6"/>
    <w:rsid w:val="00EE738E"/>
    <w:rsid w:val="00EE7911"/>
    <w:rsid w:val="00EF034E"/>
    <w:rsid w:val="00EF0D4E"/>
    <w:rsid w:val="00EF0F75"/>
    <w:rsid w:val="00EF16AA"/>
    <w:rsid w:val="00EF18CD"/>
    <w:rsid w:val="00EF1F21"/>
    <w:rsid w:val="00EF2004"/>
    <w:rsid w:val="00EF2384"/>
    <w:rsid w:val="00EF2CDF"/>
    <w:rsid w:val="00EF330B"/>
    <w:rsid w:val="00EF34FB"/>
    <w:rsid w:val="00EF3C38"/>
    <w:rsid w:val="00EF426F"/>
    <w:rsid w:val="00EF53A4"/>
    <w:rsid w:val="00EF558A"/>
    <w:rsid w:val="00EF5954"/>
    <w:rsid w:val="00EF5B80"/>
    <w:rsid w:val="00EF6337"/>
    <w:rsid w:val="00EF6FC8"/>
    <w:rsid w:val="00EF722F"/>
    <w:rsid w:val="00EF7308"/>
    <w:rsid w:val="00EF7453"/>
    <w:rsid w:val="00EF764F"/>
    <w:rsid w:val="00EF7974"/>
    <w:rsid w:val="00EF7A50"/>
    <w:rsid w:val="00EF7BAF"/>
    <w:rsid w:val="00EF7F99"/>
    <w:rsid w:val="00F0077E"/>
    <w:rsid w:val="00F008E7"/>
    <w:rsid w:val="00F01476"/>
    <w:rsid w:val="00F015D6"/>
    <w:rsid w:val="00F0174D"/>
    <w:rsid w:val="00F0182D"/>
    <w:rsid w:val="00F01A21"/>
    <w:rsid w:val="00F01CAC"/>
    <w:rsid w:val="00F01DA2"/>
    <w:rsid w:val="00F01E3A"/>
    <w:rsid w:val="00F028A2"/>
    <w:rsid w:val="00F02C99"/>
    <w:rsid w:val="00F03E78"/>
    <w:rsid w:val="00F03F11"/>
    <w:rsid w:val="00F03F35"/>
    <w:rsid w:val="00F04E65"/>
    <w:rsid w:val="00F057C9"/>
    <w:rsid w:val="00F05B79"/>
    <w:rsid w:val="00F05C11"/>
    <w:rsid w:val="00F05F03"/>
    <w:rsid w:val="00F05FA8"/>
    <w:rsid w:val="00F06904"/>
    <w:rsid w:val="00F06BA3"/>
    <w:rsid w:val="00F06C7D"/>
    <w:rsid w:val="00F06EE1"/>
    <w:rsid w:val="00F074D4"/>
    <w:rsid w:val="00F0799F"/>
    <w:rsid w:val="00F07DA9"/>
    <w:rsid w:val="00F07E22"/>
    <w:rsid w:val="00F1018F"/>
    <w:rsid w:val="00F10FA1"/>
    <w:rsid w:val="00F10FCC"/>
    <w:rsid w:val="00F10FE3"/>
    <w:rsid w:val="00F11386"/>
    <w:rsid w:val="00F11836"/>
    <w:rsid w:val="00F1255D"/>
    <w:rsid w:val="00F12D7C"/>
    <w:rsid w:val="00F12E4F"/>
    <w:rsid w:val="00F12F21"/>
    <w:rsid w:val="00F135F9"/>
    <w:rsid w:val="00F13717"/>
    <w:rsid w:val="00F13F5F"/>
    <w:rsid w:val="00F14771"/>
    <w:rsid w:val="00F148CB"/>
    <w:rsid w:val="00F14B35"/>
    <w:rsid w:val="00F15061"/>
    <w:rsid w:val="00F152ED"/>
    <w:rsid w:val="00F154D0"/>
    <w:rsid w:val="00F156B9"/>
    <w:rsid w:val="00F157ED"/>
    <w:rsid w:val="00F158F9"/>
    <w:rsid w:val="00F15A57"/>
    <w:rsid w:val="00F15FCA"/>
    <w:rsid w:val="00F15FDF"/>
    <w:rsid w:val="00F1631F"/>
    <w:rsid w:val="00F16894"/>
    <w:rsid w:val="00F178AE"/>
    <w:rsid w:val="00F20D10"/>
    <w:rsid w:val="00F211AD"/>
    <w:rsid w:val="00F21CE0"/>
    <w:rsid w:val="00F21D10"/>
    <w:rsid w:val="00F21D3E"/>
    <w:rsid w:val="00F222C7"/>
    <w:rsid w:val="00F22402"/>
    <w:rsid w:val="00F227CA"/>
    <w:rsid w:val="00F22E8B"/>
    <w:rsid w:val="00F234F3"/>
    <w:rsid w:val="00F23B0F"/>
    <w:rsid w:val="00F24EA6"/>
    <w:rsid w:val="00F2531D"/>
    <w:rsid w:val="00F2534E"/>
    <w:rsid w:val="00F2582D"/>
    <w:rsid w:val="00F265A9"/>
    <w:rsid w:val="00F265F6"/>
    <w:rsid w:val="00F2678B"/>
    <w:rsid w:val="00F27039"/>
    <w:rsid w:val="00F27813"/>
    <w:rsid w:val="00F27F47"/>
    <w:rsid w:val="00F27F76"/>
    <w:rsid w:val="00F3009A"/>
    <w:rsid w:val="00F30453"/>
    <w:rsid w:val="00F30892"/>
    <w:rsid w:val="00F3091B"/>
    <w:rsid w:val="00F31359"/>
    <w:rsid w:val="00F3186A"/>
    <w:rsid w:val="00F31B4D"/>
    <w:rsid w:val="00F32281"/>
    <w:rsid w:val="00F32355"/>
    <w:rsid w:val="00F32519"/>
    <w:rsid w:val="00F326CD"/>
    <w:rsid w:val="00F327C3"/>
    <w:rsid w:val="00F3296A"/>
    <w:rsid w:val="00F3362D"/>
    <w:rsid w:val="00F33740"/>
    <w:rsid w:val="00F33962"/>
    <w:rsid w:val="00F34042"/>
    <w:rsid w:val="00F34452"/>
    <w:rsid w:val="00F34E84"/>
    <w:rsid w:val="00F35713"/>
    <w:rsid w:val="00F357A0"/>
    <w:rsid w:val="00F36062"/>
    <w:rsid w:val="00F364CB"/>
    <w:rsid w:val="00F36A05"/>
    <w:rsid w:val="00F36D2D"/>
    <w:rsid w:val="00F378B6"/>
    <w:rsid w:val="00F37967"/>
    <w:rsid w:val="00F408E9"/>
    <w:rsid w:val="00F410AA"/>
    <w:rsid w:val="00F4122C"/>
    <w:rsid w:val="00F42266"/>
    <w:rsid w:val="00F428FD"/>
    <w:rsid w:val="00F4354D"/>
    <w:rsid w:val="00F43651"/>
    <w:rsid w:val="00F43E3F"/>
    <w:rsid w:val="00F43FF3"/>
    <w:rsid w:val="00F447B2"/>
    <w:rsid w:val="00F44B64"/>
    <w:rsid w:val="00F44CB2"/>
    <w:rsid w:val="00F44DE7"/>
    <w:rsid w:val="00F45175"/>
    <w:rsid w:val="00F45217"/>
    <w:rsid w:val="00F4599E"/>
    <w:rsid w:val="00F45C4F"/>
    <w:rsid w:val="00F45C9A"/>
    <w:rsid w:val="00F47436"/>
    <w:rsid w:val="00F47AA1"/>
    <w:rsid w:val="00F47B99"/>
    <w:rsid w:val="00F47F81"/>
    <w:rsid w:val="00F5017D"/>
    <w:rsid w:val="00F50914"/>
    <w:rsid w:val="00F5124B"/>
    <w:rsid w:val="00F52623"/>
    <w:rsid w:val="00F52DE5"/>
    <w:rsid w:val="00F52F79"/>
    <w:rsid w:val="00F531CB"/>
    <w:rsid w:val="00F53305"/>
    <w:rsid w:val="00F533A9"/>
    <w:rsid w:val="00F53699"/>
    <w:rsid w:val="00F5456E"/>
    <w:rsid w:val="00F54757"/>
    <w:rsid w:val="00F54A04"/>
    <w:rsid w:val="00F54D18"/>
    <w:rsid w:val="00F5518B"/>
    <w:rsid w:val="00F55486"/>
    <w:rsid w:val="00F562D8"/>
    <w:rsid w:val="00F568FA"/>
    <w:rsid w:val="00F5698F"/>
    <w:rsid w:val="00F578C9"/>
    <w:rsid w:val="00F600EB"/>
    <w:rsid w:val="00F60D07"/>
    <w:rsid w:val="00F60E57"/>
    <w:rsid w:val="00F612B9"/>
    <w:rsid w:val="00F6185A"/>
    <w:rsid w:val="00F61B7C"/>
    <w:rsid w:val="00F61C9F"/>
    <w:rsid w:val="00F61DB1"/>
    <w:rsid w:val="00F6203F"/>
    <w:rsid w:val="00F6242B"/>
    <w:rsid w:val="00F627EC"/>
    <w:rsid w:val="00F62A0E"/>
    <w:rsid w:val="00F63165"/>
    <w:rsid w:val="00F6320D"/>
    <w:rsid w:val="00F63C48"/>
    <w:rsid w:val="00F6451C"/>
    <w:rsid w:val="00F64560"/>
    <w:rsid w:val="00F646A2"/>
    <w:rsid w:val="00F658F9"/>
    <w:rsid w:val="00F65BAC"/>
    <w:rsid w:val="00F66372"/>
    <w:rsid w:val="00F667CA"/>
    <w:rsid w:val="00F66A63"/>
    <w:rsid w:val="00F672F8"/>
    <w:rsid w:val="00F675EA"/>
    <w:rsid w:val="00F67D40"/>
    <w:rsid w:val="00F706C0"/>
    <w:rsid w:val="00F706E0"/>
    <w:rsid w:val="00F70743"/>
    <w:rsid w:val="00F709B4"/>
    <w:rsid w:val="00F7105C"/>
    <w:rsid w:val="00F710F2"/>
    <w:rsid w:val="00F714A0"/>
    <w:rsid w:val="00F71A6A"/>
    <w:rsid w:val="00F71FB9"/>
    <w:rsid w:val="00F723B2"/>
    <w:rsid w:val="00F723C7"/>
    <w:rsid w:val="00F72AE0"/>
    <w:rsid w:val="00F72BC1"/>
    <w:rsid w:val="00F72C49"/>
    <w:rsid w:val="00F72F3C"/>
    <w:rsid w:val="00F73552"/>
    <w:rsid w:val="00F73561"/>
    <w:rsid w:val="00F73AAC"/>
    <w:rsid w:val="00F73D18"/>
    <w:rsid w:val="00F741DC"/>
    <w:rsid w:val="00F74205"/>
    <w:rsid w:val="00F745B7"/>
    <w:rsid w:val="00F749BF"/>
    <w:rsid w:val="00F74A1A"/>
    <w:rsid w:val="00F7531B"/>
    <w:rsid w:val="00F7597F"/>
    <w:rsid w:val="00F75ADE"/>
    <w:rsid w:val="00F75B80"/>
    <w:rsid w:val="00F75BE5"/>
    <w:rsid w:val="00F75C42"/>
    <w:rsid w:val="00F763D1"/>
    <w:rsid w:val="00F767ED"/>
    <w:rsid w:val="00F7695E"/>
    <w:rsid w:val="00F76B6B"/>
    <w:rsid w:val="00F76D9E"/>
    <w:rsid w:val="00F76EE2"/>
    <w:rsid w:val="00F77109"/>
    <w:rsid w:val="00F771FA"/>
    <w:rsid w:val="00F772CA"/>
    <w:rsid w:val="00F77767"/>
    <w:rsid w:val="00F80388"/>
    <w:rsid w:val="00F808AD"/>
    <w:rsid w:val="00F80A61"/>
    <w:rsid w:val="00F8163B"/>
    <w:rsid w:val="00F8192F"/>
    <w:rsid w:val="00F81AFC"/>
    <w:rsid w:val="00F81B32"/>
    <w:rsid w:val="00F81B77"/>
    <w:rsid w:val="00F82CB1"/>
    <w:rsid w:val="00F83188"/>
    <w:rsid w:val="00F83C16"/>
    <w:rsid w:val="00F83C60"/>
    <w:rsid w:val="00F8425E"/>
    <w:rsid w:val="00F845AB"/>
    <w:rsid w:val="00F84736"/>
    <w:rsid w:val="00F84C61"/>
    <w:rsid w:val="00F84DD0"/>
    <w:rsid w:val="00F84DE4"/>
    <w:rsid w:val="00F851A5"/>
    <w:rsid w:val="00F85DF5"/>
    <w:rsid w:val="00F85FFC"/>
    <w:rsid w:val="00F8683D"/>
    <w:rsid w:val="00F86C6C"/>
    <w:rsid w:val="00F87048"/>
    <w:rsid w:val="00F87822"/>
    <w:rsid w:val="00F90BDE"/>
    <w:rsid w:val="00F914AC"/>
    <w:rsid w:val="00F916D8"/>
    <w:rsid w:val="00F922AE"/>
    <w:rsid w:val="00F933DF"/>
    <w:rsid w:val="00F9347F"/>
    <w:rsid w:val="00F94742"/>
    <w:rsid w:val="00F9475A"/>
    <w:rsid w:val="00F94C69"/>
    <w:rsid w:val="00F95563"/>
    <w:rsid w:val="00F95609"/>
    <w:rsid w:val="00F95C6A"/>
    <w:rsid w:val="00F96218"/>
    <w:rsid w:val="00F96ED3"/>
    <w:rsid w:val="00F974C4"/>
    <w:rsid w:val="00F977C2"/>
    <w:rsid w:val="00FA011E"/>
    <w:rsid w:val="00FA0835"/>
    <w:rsid w:val="00FA08F6"/>
    <w:rsid w:val="00FA0D07"/>
    <w:rsid w:val="00FA0E21"/>
    <w:rsid w:val="00FA1001"/>
    <w:rsid w:val="00FA1012"/>
    <w:rsid w:val="00FA112D"/>
    <w:rsid w:val="00FA143C"/>
    <w:rsid w:val="00FA1694"/>
    <w:rsid w:val="00FA1A68"/>
    <w:rsid w:val="00FA1E93"/>
    <w:rsid w:val="00FA1F8D"/>
    <w:rsid w:val="00FA21FC"/>
    <w:rsid w:val="00FA39EB"/>
    <w:rsid w:val="00FA453B"/>
    <w:rsid w:val="00FA48A7"/>
    <w:rsid w:val="00FA5A01"/>
    <w:rsid w:val="00FA6E78"/>
    <w:rsid w:val="00FA7247"/>
    <w:rsid w:val="00FA747F"/>
    <w:rsid w:val="00FB0736"/>
    <w:rsid w:val="00FB11D9"/>
    <w:rsid w:val="00FB20DB"/>
    <w:rsid w:val="00FB33D2"/>
    <w:rsid w:val="00FB37DB"/>
    <w:rsid w:val="00FB381A"/>
    <w:rsid w:val="00FB3D3E"/>
    <w:rsid w:val="00FB3F45"/>
    <w:rsid w:val="00FB442D"/>
    <w:rsid w:val="00FB4593"/>
    <w:rsid w:val="00FB4B6B"/>
    <w:rsid w:val="00FB687C"/>
    <w:rsid w:val="00FB6EF9"/>
    <w:rsid w:val="00FB6FF4"/>
    <w:rsid w:val="00FB7342"/>
    <w:rsid w:val="00FB7D41"/>
    <w:rsid w:val="00FB7DBC"/>
    <w:rsid w:val="00FB7E43"/>
    <w:rsid w:val="00FB7FD6"/>
    <w:rsid w:val="00FC0ACA"/>
    <w:rsid w:val="00FC0D41"/>
    <w:rsid w:val="00FC1187"/>
    <w:rsid w:val="00FC168D"/>
    <w:rsid w:val="00FC175F"/>
    <w:rsid w:val="00FC1C7B"/>
    <w:rsid w:val="00FC1D73"/>
    <w:rsid w:val="00FC33E8"/>
    <w:rsid w:val="00FC3649"/>
    <w:rsid w:val="00FC3808"/>
    <w:rsid w:val="00FC4265"/>
    <w:rsid w:val="00FC42D9"/>
    <w:rsid w:val="00FC434B"/>
    <w:rsid w:val="00FC46E8"/>
    <w:rsid w:val="00FC496E"/>
    <w:rsid w:val="00FC4A28"/>
    <w:rsid w:val="00FC4B87"/>
    <w:rsid w:val="00FC500D"/>
    <w:rsid w:val="00FC56F6"/>
    <w:rsid w:val="00FC5A85"/>
    <w:rsid w:val="00FC5D63"/>
    <w:rsid w:val="00FC69FA"/>
    <w:rsid w:val="00FC6D10"/>
    <w:rsid w:val="00FC6F16"/>
    <w:rsid w:val="00FC7463"/>
    <w:rsid w:val="00FC7D4E"/>
    <w:rsid w:val="00FC7ECD"/>
    <w:rsid w:val="00FD02A6"/>
    <w:rsid w:val="00FD0777"/>
    <w:rsid w:val="00FD079B"/>
    <w:rsid w:val="00FD129E"/>
    <w:rsid w:val="00FD1327"/>
    <w:rsid w:val="00FD2003"/>
    <w:rsid w:val="00FD280B"/>
    <w:rsid w:val="00FD2B2E"/>
    <w:rsid w:val="00FD2C3D"/>
    <w:rsid w:val="00FD3E2F"/>
    <w:rsid w:val="00FD3F09"/>
    <w:rsid w:val="00FD5832"/>
    <w:rsid w:val="00FD5C67"/>
    <w:rsid w:val="00FD65CC"/>
    <w:rsid w:val="00FD6CA7"/>
    <w:rsid w:val="00FD6DC2"/>
    <w:rsid w:val="00FD7311"/>
    <w:rsid w:val="00FD735A"/>
    <w:rsid w:val="00FD7817"/>
    <w:rsid w:val="00FD7BE7"/>
    <w:rsid w:val="00FD7C53"/>
    <w:rsid w:val="00FD7FE7"/>
    <w:rsid w:val="00FE02DF"/>
    <w:rsid w:val="00FE034B"/>
    <w:rsid w:val="00FE05F8"/>
    <w:rsid w:val="00FE0DB5"/>
    <w:rsid w:val="00FE0F92"/>
    <w:rsid w:val="00FE1088"/>
    <w:rsid w:val="00FE19E3"/>
    <w:rsid w:val="00FE1C07"/>
    <w:rsid w:val="00FE2347"/>
    <w:rsid w:val="00FE288C"/>
    <w:rsid w:val="00FE295B"/>
    <w:rsid w:val="00FE295F"/>
    <w:rsid w:val="00FE2998"/>
    <w:rsid w:val="00FE2A46"/>
    <w:rsid w:val="00FE2BE0"/>
    <w:rsid w:val="00FE2BFA"/>
    <w:rsid w:val="00FE2DB5"/>
    <w:rsid w:val="00FE2EF5"/>
    <w:rsid w:val="00FE30F9"/>
    <w:rsid w:val="00FE368C"/>
    <w:rsid w:val="00FE3C26"/>
    <w:rsid w:val="00FE4063"/>
    <w:rsid w:val="00FE502E"/>
    <w:rsid w:val="00FE591C"/>
    <w:rsid w:val="00FE5C72"/>
    <w:rsid w:val="00FE65E9"/>
    <w:rsid w:val="00FE6BED"/>
    <w:rsid w:val="00FE6E31"/>
    <w:rsid w:val="00FE7EFF"/>
    <w:rsid w:val="00FF032C"/>
    <w:rsid w:val="00FF0913"/>
    <w:rsid w:val="00FF094A"/>
    <w:rsid w:val="00FF0C57"/>
    <w:rsid w:val="00FF0D63"/>
    <w:rsid w:val="00FF10A5"/>
    <w:rsid w:val="00FF1233"/>
    <w:rsid w:val="00FF1956"/>
    <w:rsid w:val="00FF3ADD"/>
    <w:rsid w:val="00FF3B7C"/>
    <w:rsid w:val="00FF4518"/>
    <w:rsid w:val="00FF4700"/>
    <w:rsid w:val="00FF474E"/>
    <w:rsid w:val="00FF4C00"/>
    <w:rsid w:val="00FF4EA2"/>
    <w:rsid w:val="00FF506D"/>
    <w:rsid w:val="00FF51AF"/>
    <w:rsid w:val="00FF5239"/>
    <w:rsid w:val="00FF529D"/>
    <w:rsid w:val="00FF5B2F"/>
    <w:rsid w:val="00FF6ABD"/>
    <w:rsid w:val="00FF6EA9"/>
    <w:rsid w:val="00FF7229"/>
    <w:rsid w:val="00FF76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4721FB"/>
    <w:pPr>
      <w:tabs>
        <w:tab w:val="clear" w:pos="357"/>
      </w:tabs>
    </w:pPr>
    <w:rPr>
      <w:b/>
    </w:rPr>
  </w:style>
  <w:style w:type="paragraph" w:customStyle="1" w:styleId="JuHIRoman">
    <w:name w:val="Ju_H_I_Roman"/>
    <w:basedOn w:val="JuHHead"/>
    <w:next w:val="JuPara"/>
    <w:rsid w:val="004721FB"/>
    <w:pPr>
      <w:tabs>
        <w:tab w:val="left" w:pos="357"/>
      </w:tabs>
      <w:spacing w:before="360"/>
      <w:ind w:left="357" w:hanging="357"/>
      <w:outlineLvl w:val="1"/>
    </w:pPr>
    <w:rPr>
      <w:sz w:val="24"/>
    </w:rPr>
  </w:style>
  <w:style w:type="paragraph" w:customStyle="1" w:styleId="JuHHead">
    <w:name w:val="Ju_H_Head"/>
    <w:basedOn w:val="NormalTimesNewRoman"/>
    <w:next w:val="JuPara"/>
    <w:rsid w:val="004721FB"/>
    <w:pPr>
      <w:keepNext/>
      <w:keepLines/>
      <w:spacing w:before="720" w:after="240"/>
      <w:jc w:val="both"/>
      <w:outlineLvl w:val="0"/>
    </w:pPr>
    <w:rPr>
      <w:sz w:val="28"/>
    </w:rPr>
  </w:style>
  <w:style w:type="character" w:customStyle="1" w:styleId="DefaultTimesNewRoman">
    <w:name w:val="Default_TimesNewRoman"/>
    <w:rsid w:val="004721FB"/>
    <w:rPr>
      <w:rFonts w:ascii="Times New Roman" w:hAnsi="Times New Roman"/>
    </w:rPr>
  </w:style>
  <w:style w:type="paragraph" w:customStyle="1" w:styleId="JuPara">
    <w:name w:val="Ju_Para"/>
    <w:basedOn w:val="NormalTimesNewRoman"/>
    <w:link w:val="JuParaChar"/>
    <w:rsid w:val="004721FB"/>
    <w:pPr>
      <w:ind w:firstLine="284"/>
      <w:jc w:val="both"/>
    </w:pPr>
  </w:style>
  <w:style w:type="character" w:customStyle="1" w:styleId="JuParaChar">
    <w:name w:val="Ju_Para Char"/>
    <w:link w:val="JuPara"/>
    <w:rsid w:val="00B921A8"/>
    <w:rPr>
      <w:sz w:val="24"/>
      <w:lang w:val="en-GB" w:eastAsia="fr-FR"/>
    </w:rPr>
  </w:style>
  <w:style w:type="paragraph" w:customStyle="1" w:styleId="OpiPara">
    <w:name w:val="Opi_Para"/>
    <w:basedOn w:val="JuPara"/>
    <w:rsid w:val="004721FB"/>
  </w:style>
  <w:style w:type="paragraph" w:customStyle="1" w:styleId="OpiH1">
    <w:name w:val="Opi_H_1."/>
    <w:basedOn w:val="OpiHA"/>
    <w:next w:val="OpiPara"/>
    <w:rsid w:val="004721FB"/>
    <w:pPr>
      <w:spacing w:before="240" w:after="120"/>
      <w:ind w:left="635"/>
      <w:outlineLvl w:val="2"/>
    </w:pPr>
    <w:rPr>
      <w:b w:val="0"/>
      <w:i/>
    </w:rPr>
  </w:style>
  <w:style w:type="paragraph" w:customStyle="1" w:styleId="OpiHa0">
    <w:name w:val="Opi_H_a"/>
    <w:basedOn w:val="OpiH1"/>
    <w:next w:val="OpiPara"/>
    <w:rsid w:val="004721FB"/>
    <w:pPr>
      <w:ind w:left="833"/>
      <w:outlineLvl w:val="3"/>
    </w:pPr>
    <w:rPr>
      <w:b/>
      <w:i w:val="0"/>
      <w:sz w:val="20"/>
    </w:rPr>
  </w:style>
  <w:style w:type="paragraph" w:customStyle="1" w:styleId="OpiHHead">
    <w:name w:val="Opi_H_Head"/>
    <w:basedOn w:val="JuHHead"/>
    <w:next w:val="OpiPara"/>
    <w:rsid w:val="004721FB"/>
    <w:pPr>
      <w:spacing w:before="0"/>
      <w:jc w:val="center"/>
    </w:pPr>
  </w:style>
  <w:style w:type="paragraph" w:customStyle="1" w:styleId="OpiHi">
    <w:name w:val="Opi_H_i"/>
    <w:basedOn w:val="OpiHa0"/>
    <w:next w:val="OpiPara"/>
    <w:rsid w:val="004721FB"/>
    <w:pPr>
      <w:ind w:left="1037"/>
      <w:outlineLvl w:val="4"/>
    </w:pPr>
    <w:rPr>
      <w:b w:val="0"/>
      <w:i/>
    </w:rPr>
  </w:style>
  <w:style w:type="paragraph" w:styleId="Footer">
    <w:name w:val="footer"/>
    <w:basedOn w:val="NormalTimesNewRoman"/>
    <w:rsid w:val="004721FB"/>
    <w:pPr>
      <w:tabs>
        <w:tab w:val="center" w:pos="3686"/>
        <w:tab w:val="right" w:pos="7371"/>
      </w:tabs>
    </w:pPr>
    <w:rPr>
      <w:sz w:val="18"/>
    </w:rPr>
  </w:style>
  <w:style w:type="paragraph" w:customStyle="1" w:styleId="JuJudges">
    <w:name w:val="Ju_Judges"/>
    <w:basedOn w:val="NormalTimesNewRoman"/>
    <w:link w:val="JuJudgesChar"/>
    <w:rsid w:val="004721FB"/>
    <w:pPr>
      <w:tabs>
        <w:tab w:val="left" w:pos="567"/>
        <w:tab w:val="left" w:pos="1134"/>
      </w:tabs>
    </w:pPr>
  </w:style>
  <w:style w:type="character" w:customStyle="1" w:styleId="JuJudgesChar">
    <w:name w:val="Ju_Judges Char"/>
    <w:link w:val="JuJudges"/>
    <w:locked/>
    <w:rsid w:val="00D15473"/>
    <w:rPr>
      <w:sz w:val="24"/>
      <w:lang w:val="en-GB" w:eastAsia="fr-FR"/>
    </w:rPr>
  </w:style>
  <w:style w:type="paragraph" w:customStyle="1" w:styleId="JuHA">
    <w:name w:val="Ju_H_A"/>
    <w:basedOn w:val="JuHIRoman"/>
    <w:next w:val="JuPara"/>
    <w:link w:val="JuHAChar"/>
    <w:rsid w:val="004721FB"/>
    <w:pPr>
      <w:tabs>
        <w:tab w:val="clear" w:pos="357"/>
        <w:tab w:val="left" w:pos="584"/>
      </w:tabs>
      <w:ind w:left="584" w:hanging="352"/>
      <w:outlineLvl w:val="2"/>
    </w:pPr>
    <w:rPr>
      <w:b/>
    </w:rPr>
  </w:style>
  <w:style w:type="paragraph" w:customStyle="1" w:styleId="JuQuot">
    <w:name w:val="Ju_Quot"/>
    <w:basedOn w:val="JuPara"/>
    <w:link w:val="JuQuotChar"/>
    <w:rsid w:val="004721FB"/>
    <w:pPr>
      <w:spacing w:before="120" w:after="120"/>
      <w:ind w:left="425" w:firstLine="142"/>
    </w:pPr>
    <w:rPr>
      <w:sz w:val="20"/>
    </w:rPr>
  </w:style>
  <w:style w:type="paragraph" w:customStyle="1" w:styleId="JuSigned">
    <w:name w:val="Ju_Signed"/>
    <w:basedOn w:val="NormalTimesNewRoman"/>
    <w:next w:val="JuParaLast"/>
    <w:link w:val="JuSignedChar"/>
    <w:rsid w:val="004721FB"/>
    <w:pPr>
      <w:tabs>
        <w:tab w:val="center" w:pos="851"/>
        <w:tab w:val="center" w:pos="6407"/>
      </w:tabs>
      <w:spacing w:before="720"/>
    </w:pPr>
  </w:style>
  <w:style w:type="paragraph" w:customStyle="1" w:styleId="JuParaLast">
    <w:name w:val="Ju_Para_Last"/>
    <w:basedOn w:val="JuPara"/>
    <w:next w:val="JuPara"/>
    <w:rsid w:val="004721FB"/>
    <w:pPr>
      <w:keepNext/>
      <w:keepLines/>
      <w:spacing w:before="240"/>
    </w:pPr>
  </w:style>
  <w:style w:type="character" w:customStyle="1" w:styleId="JuSignedChar">
    <w:name w:val="Ju_Signed Char"/>
    <w:link w:val="JuSigned"/>
    <w:rsid w:val="000726F6"/>
    <w:rPr>
      <w:sz w:val="24"/>
      <w:lang w:val="en-GB" w:eastAsia="fr-FR"/>
    </w:rPr>
  </w:style>
  <w:style w:type="paragraph" w:customStyle="1" w:styleId="JuCase">
    <w:name w:val="Ju_Case"/>
    <w:basedOn w:val="JuPara"/>
    <w:next w:val="JuPara"/>
    <w:link w:val="JuCaseChar"/>
    <w:rsid w:val="004721FB"/>
    <w:rPr>
      <w:b/>
    </w:rPr>
  </w:style>
  <w:style w:type="character" w:customStyle="1" w:styleId="JuCaseChar">
    <w:name w:val="Ju_Case Char"/>
    <w:link w:val="JuCase"/>
    <w:rsid w:val="00B921A8"/>
    <w:rPr>
      <w:b/>
      <w:sz w:val="24"/>
      <w:lang w:val="en-GB" w:eastAsia="fr-FR"/>
    </w:rPr>
  </w:style>
  <w:style w:type="paragraph" w:customStyle="1" w:styleId="JuList">
    <w:name w:val="Ju_List"/>
    <w:basedOn w:val="JuPara"/>
    <w:link w:val="JuListChar"/>
    <w:rsid w:val="004721FB"/>
    <w:pPr>
      <w:ind w:left="340" w:hanging="340"/>
    </w:pPr>
  </w:style>
  <w:style w:type="character" w:customStyle="1" w:styleId="JuListChar">
    <w:name w:val="Ju_List Char"/>
    <w:link w:val="JuList"/>
    <w:rsid w:val="00930CD7"/>
    <w:rPr>
      <w:sz w:val="24"/>
      <w:lang w:val="en-GB" w:eastAsia="fr-FR"/>
    </w:rPr>
  </w:style>
  <w:style w:type="paragraph" w:customStyle="1" w:styleId="JuHArticle">
    <w:name w:val="Ju_H_Article"/>
    <w:basedOn w:val="JuHa0"/>
    <w:next w:val="JuQuot"/>
    <w:rsid w:val="004721FB"/>
    <w:pPr>
      <w:ind w:left="0" w:firstLine="0"/>
      <w:jc w:val="center"/>
    </w:pPr>
  </w:style>
  <w:style w:type="paragraph" w:customStyle="1" w:styleId="JuHa0">
    <w:name w:val="Ju_H_a"/>
    <w:basedOn w:val="JuH1"/>
    <w:next w:val="JuPara"/>
    <w:rsid w:val="004721FB"/>
    <w:pPr>
      <w:tabs>
        <w:tab w:val="clear" w:pos="731"/>
        <w:tab w:val="left" w:pos="975"/>
      </w:tabs>
      <w:ind w:left="975" w:hanging="340"/>
      <w:outlineLvl w:val="4"/>
    </w:pPr>
    <w:rPr>
      <w:b/>
      <w:i w:val="0"/>
      <w:sz w:val="20"/>
    </w:rPr>
  </w:style>
  <w:style w:type="paragraph" w:customStyle="1" w:styleId="JuH1">
    <w:name w:val="Ju_H_1."/>
    <w:basedOn w:val="JuHA"/>
    <w:next w:val="JuPara"/>
    <w:rsid w:val="004721FB"/>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4721FB"/>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4721FB"/>
  </w:style>
  <w:style w:type="paragraph" w:customStyle="1" w:styleId="OpiTranslation">
    <w:name w:val="Opi_Translation"/>
    <w:basedOn w:val="OpiHHead"/>
    <w:next w:val="OpiPara"/>
    <w:rsid w:val="004721FB"/>
    <w:rPr>
      <w:i/>
      <w:sz w:val="24"/>
    </w:rPr>
  </w:style>
  <w:style w:type="paragraph" w:styleId="FootnoteText">
    <w:name w:val="footnote text"/>
    <w:basedOn w:val="Normal"/>
    <w:link w:val="FootnoteTextChar"/>
    <w:semiHidden/>
    <w:rsid w:val="004721FB"/>
    <w:pPr>
      <w:jc w:val="both"/>
    </w:pPr>
    <w:rPr>
      <w:sz w:val="20"/>
    </w:rPr>
  </w:style>
  <w:style w:type="character" w:styleId="FootnoteReference">
    <w:name w:val="footnote reference"/>
    <w:semiHidden/>
    <w:rsid w:val="004721FB"/>
    <w:rPr>
      <w:vertAlign w:val="superscript"/>
    </w:rPr>
  </w:style>
  <w:style w:type="paragraph" w:customStyle="1" w:styleId="JuHi">
    <w:name w:val="Ju_H_i"/>
    <w:basedOn w:val="JuHa0"/>
    <w:next w:val="JuPara"/>
    <w:rsid w:val="004721FB"/>
    <w:pPr>
      <w:tabs>
        <w:tab w:val="clear" w:pos="975"/>
        <w:tab w:val="left" w:pos="1191"/>
      </w:tabs>
      <w:ind w:left="1190" w:hanging="357"/>
      <w:outlineLvl w:val="5"/>
    </w:pPr>
    <w:rPr>
      <w:b w:val="0"/>
      <w:i/>
    </w:rPr>
  </w:style>
  <w:style w:type="paragraph" w:styleId="Header">
    <w:name w:val="header"/>
    <w:basedOn w:val="NormalTimesNewRoman"/>
    <w:rsid w:val="004721FB"/>
    <w:pPr>
      <w:tabs>
        <w:tab w:val="center" w:pos="3686"/>
        <w:tab w:val="right" w:pos="7371"/>
      </w:tabs>
    </w:pPr>
    <w:rPr>
      <w:sz w:val="18"/>
    </w:rPr>
  </w:style>
  <w:style w:type="character" w:styleId="PageNumber">
    <w:name w:val="page number"/>
    <w:rsid w:val="004721FB"/>
    <w:rPr>
      <w:sz w:val="18"/>
    </w:rPr>
  </w:style>
  <w:style w:type="paragraph" w:customStyle="1" w:styleId="JuH">
    <w:name w:val="Ju_H_–"/>
    <w:basedOn w:val="JuHalpha"/>
    <w:next w:val="JuPara"/>
    <w:rsid w:val="004721FB"/>
    <w:pPr>
      <w:tabs>
        <w:tab w:val="clear" w:pos="1372"/>
      </w:tabs>
      <w:ind w:left="1236" w:firstLine="0"/>
    </w:pPr>
    <w:rPr>
      <w:i/>
    </w:rPr>
  </w:style>
  <w:style w:type="paragraph" w:customStyle="1" w:styleId="JuHalpha">
    <w:name w:val="Ju_H_alpha"/>
    <w:basedOn w:val="JuHi"/>
    <w:next w:val="JuPara"/>
    <w:rsid w:val="004721FB"/>
    <w:pPr>
      <w:tabs>
        <w:tab w:val="clear" w:pos="1191"/>
        <w:tab w:val="left" w:pos="1372"/>
      </w:tabs>
      <w:ind w:left="1373" w:hanging="335"/>
    </w:pPr>
    <w:rPr>
      <w:i w:val="0"/>
    </w:rPr>
  </w:style>
  <w:style w:type="paragraph" w:customStyle="1" w:styleId="JuLista">
    <w:name w:val="Ju_List_a"/>
    <w:basedOn w:val="JuList"/>
    <w:rsid w:val="004721FB"/>
    <w:pPr>
      <w:ind w:left="346" w:firstLine="0"/>
    </w:pPr>
  </w:style>
  <w:style w:type="paragraph" w:customStyle="1" w:styleId="JuListi">
    <w:name w:val="Ju_List_i"/>
    <w:basedOn w:val="JuLista"/>
    <w:rsid w:val="004721FB"/>
    <w:pPr>
      <w:ind w:left="794"/>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customStyle="1" w:styleId="JuInitialled">
    <w:name w:val="Ju_Initialled"/>
    <w:basedOn w:val="JuSigned"/>
    <w:rsid w:val="004721FB"/>
    <w:pPr>
      <w:tabs>
        <w:tab w:val="clear" w:pos="851"/>
      </w:tabs>
      <w:jc w:val="right"/>
    </w:pPr>
  </w:style>
  <w:style w:type="paragraph" w:customStyle="1" w:styleId="JuHeader">
    <w:name w:val="Ju_Header"/>
    <w:basedOn w:val="Header"/>
    <w:rsid w:val="004721FB"/>
  </w:style>
  <w:style w:type="paragraph" w:customStyle="1" w:styleId="DecHTitle">
    <w:name w:val="Dec_H_Title"/>
    <w:basedOn w:val="NormalTimesNewRoman"/>
    <w:rsid w:val="004721FB"/>
    <w:pPr>
      <w:spacing w:after="240"/>
      <w:jc w:val="center"/>
      <w:outlineLvl w:val="0"/>
    </w:pPr>
    <w:rPr>
      <w:sz w:val="28"/>
    </w:rPr>
  </w:style>
  <w:style w:type="paragraph" w:customStyle="1" w:styleId="DecHCase">
    <w:name w:val="Dec_H_Case"/>
    <w:basedOn w:val="DecHTitle"/>
    <w:next w:val="JuPara"/>
    <w:rsid w:val="004721FB"/>
    <w:rPr>
      <w:sz w:val="24"/>
    </w:rPr>
  </w:style>
  <w:style w:type="paragraph" w:customStyle="1" w:styleId="DecList">
    <w:name w:val="Dec_List"/>
    <w:basedOn w:val="NormalTimesNewRoman"/>
    <w:rsid w:val="004721FB"/>
    <w:pPr>
      <w:spacing w:before="240"/>
      <w:ind w:left="284"/>
      <w:jc w:val="both"/>
    </w:pPr>
  </w:style>
  <w:style w:type="paragraph" w:customStyle="1" w:styleId="JuParaSub">
    <w:name w:val="Ju_Para_Sub"/>
    <w:basedOn w:val="JuPara"/>
    <w:rsid w:val="004721FB"/>
    <w:pPr>
      <w:ind w:left="284"/>
    </w:pPr>
    <w:rPr>
      <w:szCs w:val="24"/>
    </w:rPr>
  </w:style>
  <w:style w:type="paragraph" w:customStyle="1" w:styleId="JuQuotSub">
    <w:name w:val="Ju_Quot_Sub"/>
    <w:basedOn w:val="JuQuot"/>
    <w:rsid w:val="004721FB"/>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4721FB"/>
    <w:rPr>
      <w:vertAlign w:val="superscript"/>
    </w:rPr>
  </w:style>
  <w:style w:type="paragraph" w:styleId="EndnoteText">
    <w:name w:val="endnote text"/>
    <w:basedOn w:val="Normal"/>
    <w:semiHidden/>
    <w:rsid w:val="004721FB"/>
    <w:rPr>
      <w:sz w:val="20"/>
    </w:rPr>
  </w:style>
  <w:style w:type="character" w:styleId="FollowedHyperlink">
    <w:name w:val="FollowedHyperlink"/>
    <w:rsid w:val="004721FB"/>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4721FB"/>
  </w:style>
  <w:style w:type="paragraph" w:customStyle="1" w:styleId="OpiQuotSub">
    <w:name w:val="Opi_Quot_Sub"/>
    <w:basedOn w:val="JuQuotSub"/>
    <w:rsid w:val="004721FB"/>
  </w:style>
  <w:style w:type="character" w:styleId="Hyperlink">
    <w:name w:val="Hyperlink"/>
    <w:rsid w:val="004721FB"/>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4721FB"/>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4721FB"/>
    <w:pPr>
      <w:numPr>
        <w:numId w:val="19"/>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4721FB"/>
    <w:rPr>
      <w:sz w:val="24"/>
      <w:lang w:val="en-GB" w:eastAsia="fr-FR"/>
    </w:rPr>
  </w:style>
  <w:style w:type="character" w:customStyle="1" w:styleId="JuITMark">
    <w:name w:val="Ju_ITMark"/>
    <w:rsid w:val="004721FB"/>
    <w:rPr>
      <w:rFonts w:ascii="Times New Roman" w:hAnsi="Times New Roman"/>
      <w:b w:val="0"/>
      <w:i w:val="0"/>
      <w:caps w:val="0"/>
      <w:smallCaps w:val="0"/>
      <w:strike w:val="0"/>
      <w:dstrike w:val="0"/>
      <w:outline w:val="0"/>
      <w:shadow w:val="0"/>
      <w:emboss w:val="0"/>
      <w:imprint w:val="0"/>
      <w:vanish/>
      <w:color w:val="339966"/>
      <w:sz w:val="16"/>
      <w:szCs w:val="16"/>
      <w:u w:val="none"/>
      <w:vertAlign w:val="baseline"/>
      <w:lang w:val="fi-FI"/>
    </w:rPr>
  </w:style>
  <w:style w:type="paragraph" w:customStyle="1" w:styleId="JuTitle">
    <w:name w:val="Ju_Title"/>
    <w:basedOn w:val="JuHHead"/>
    <w:next w:val="JuPara"/>
    <w:rsid w:val="004721FB"/>
    <w:pPr>
      <w:jc w:val="center"/>
    </w:pPr>
    <w:rPr>
      <w:b/>
      <w:caps/>
      <w:sz w:val="24"/>
      <w:szCs w:val="24"/>
      <w:u w:val="single"/>
    </w:rPr>
  </w:style>
  <w:style w:type="character" w:customStyle="1" w:styleId="FootnoteTextChar">
    <w:name w:val="Footnote Text Char"/>
    <w:link w:val="FootnoteText"/>
    <w:semiHidden/>
    <w:rsid w:val="00411230"/>
    <w:rPr>
      <w:lang w:val="en-GB" w:eastAsia="fr-FR"/>
    </w:rPr>
  </w:style>
  <w:style w:type="character" w:customStyle="1" w:styleId="JuQuotChar">
    <w:name w:val="Ju_Quot Char"/>
    <w:basedOn w:val="JuParaChar"/>
    <w:link w:val="JuQuot"/>
    <w:rsid w:val="00411230"/>
    <w:rPr>
      <w:sz w:val="24"/>
      <w:lang w:val="en-GB" w:eastAsia="fr-FR"/>
    </w:rPr>
  </w:style>
  <w:style w:type="character" w:customStyle="1" w:styleId="ju-005fpara-002cleft-002cfirst-0020line-003a-0020-00200-0020cm--char">
    <w:name w:val="ju-005fpara-002cleft-002cfirst-0020line-003a-0020-00200-0020cm--char"/>
    <w:basedOn w:val="DefaultParagraphFont"/>
    <w:rsid w:val="00411230"/>
  </w:style>
  <w:style w:type="character" w:customStyle="1" w:styleId="ju-005fpara-0020char--char">
    <w:name w:val="ju-005fpara-0020char--char"/>
    <w:basedOn w:val="DefaultParagraphFont"/>
    <w:rsid w:val="00411230"/>
  </w:style>
  <w:style w:type="paragraph" w:customStyle="1" w:styleId="normal0">
    <w:name w:val="normal"/>
    <w:basedOn w:val="Normal"/>
    <w:rsid w:val="00411230"/>
    <w:pPr>
      <w:suppressAutoHyphens w:val="0"/>
      <w:spacing w:before="100" w:beforeAutospacing="1" w:after="100" w:afterAutospacing="1"/>
    </w:pPr>
    <w:rPr>
      <w:szCs w:val="24"/>
      <w:lang w:val="fr-FR"/>
    </w:rPr>
  </w:style>
  <w:style w:type="character" w:customStyle="1" w:styleId="normal--char">
    <w:name w:val="normal--char"/>
    <w:basedOn w:val="DefaultParagraphFont"/>
    <w:rsid w:val="00411230"/>
  </w:style>
  <w:style w:type="paragraph" w:styleId="NormalWeb">
    <w:name w:val="Normal (Web)"/>
    <w:basedOn w:val="Normal"/>
    <w:rsid w:val="00602CF9"/>
    <w:pPr>
      <w:suppressAutoHyphens w:val="0"/>
      <w:spacing w:before="100" w:beforeAutospacing="1" w:after="100" w:afterAutospacing="1"/>
    </w:pPr>
    <w:rPr>
      <w:szCs w:val="24"/>
      <w:lang w:eastAsia="en-GB"/>
    </w:rPr>
  </w:style>
  <w:style w:type="character" w:customStyle="1" w:styleId="wordhighlighted">
    <w:name w:val="wordhighlighted"/>
    <w:basedOn w:val="DefaultParagraphFont"/>
    <w:rsid w:val="00602CF9"/>
  </w:style>
  <w:style w:type="paragraph" w:customStyle="1" w:styleId="s8293e77f">
    <w:name w:val="s8293e77f"/>
    <w:basedOn w:val="Normal"/>
    <w:rsid w:val="002E6338"/>
    <w:pPr>
      <w:suppressAutoHyphens w:val="0"/>
      <w:spacing w:before="100" w:beforeAutospacing="1" w:after="100" w:afterAutospacing="1"/>
    </w:pPr>
    <w:rPr>
      <w:szCs w:val="24"/>
      <w:lang w:eastAsia="en-GB"/>
    </w:rPr>
  </w:style>
  <w:style w:type="character" w:customStyle="1" w:styleId="s7d2086b4">
    <w:name w:val="s7d2086b4"/>
    <w:basedOn w:val="DefaultParagraphFont"/>
    <w:rsid w:val="002E6338"/>
  </w:style>
  <w:style w:type="paragraph" w:customStyle="1" w:styleId="s30eec3f8">
    <w:name w:val="s30eec3f8"/>
    <w:basedOn w:val="Normal"/>
    <w:rsid w:val="002E6338"/>
    <w:pPr>
      <w:suppressAutoHyphens w:val="0"/>
      <w:spacing w:before="100" w:beforeAutospacing="1" w:after="100" w:afterAutospacing="1"/>
    </w:pPr>
    <w:rPr>
      <w:szCs w:val="24"/>
      <w:lang w:eastAsia="en-GB"/>
    </w:rPr>
  </w:style>
  <w:style w:type="character" w:customStyle="1" w:styleId="sb8d990e2">
    <w:name w:val="sb8d990e2"/>
    <w:basedOn w:val="DefaultParagraphFont"/>
    <w:rsid w:val="002E6338"/>
  </w:style>
  <w:style w:type="character" w:customStyle="1" w:styleId="s6b621b36">
    <w:name w:val="s6b621b36"/>
    <w:basedOn w:val="DefaultParagraphFont"/>
    <w:rsid w:val="002E6338"/>
  </w:style>
  <w:style w:type="paragraph" w:customStyle="1" w:styleId="s82ac4f2">
    <w:name w:val="s82ac4f2"/>
    <w:basedOn w:val="Normal"/>
    <w:rsid w:val="00C36FD4"/>
    <w:pPr>
      <w:suppressAutoHyphens w:val="0"/>
      <w:spacing w:before="100" w:beforeAutospacing="1" w:after="100" w:afterAutospacing="1"/>
    </w:pPr>
    <w:rPr>
      <w:szCs w:val="24"/>
      <w:lang w:eastAsia="en-GB"/>
    </w:rPr>
  </w:style>
  <w:style w:type="paragraph" w:customStyle="1" w:styleId="s9e9b0cd7">
    <w:name w:val="s9e9b0cd7"/>
    <w:basedOn w:val="Normal"/>
    <w:rsid w:val="00C36FD4"/>
    <w:pPr>
      <w:suppressAutoHyphens w:val="0"/>
      <w:spacing w:before="100" w:beforeAutospacing="1" w:after="100" w:afterAutospacing="1"/>
    </w:pPr>
    <w:rPr>
      <w:szCs w:val="24"/>
      <w:lang w:eastAsia="en-GB"/>
    </w:rPr>
  </w:style>
  <w:style w:type="character" w:customStyle="1" w:styleId="sfbbfee58">
    <w:name w:val="sfbbfee58"/>
    <w:basedOn w:val="DefaultParagraphFont"/>
    <w:rsid w:val="00C36FD4"/>
  </w:style>
  <w:style w:type="paragraph" w:customStyle="1" w:styleId="spip">
    <w:name w:val="spip"/>
    <w:basedOn w:val="Normal"/>
    <w:rsid w:val="006A06BD"/>
    <w:pPr>
      <w:suppressAutoHyphens w:val="0"/>
      <w:spacing w:before="100" w:beforeAutospacing="1" w:after="100" w:afterAutospacing="1"/>
    </w:pPr>
    <w:rPr>
      <w:szCs w:val="24"/>
      <w:lang w:eastAsia="en-GB"/>
    </w:rPr>
  </w:style>
  <w:style w:type="character" w:customStyle="1" w:styleId="JuParaCar">
    <w:name w:val="Ju_Para Car"/>
    <w:rsid w:val="00B7224F"/>
    <w:rPr>
      <w:sz w:val="24"/>
      <w:lang w:val="en-GB" w:eastAsia="en-US" w:bidi="ar-SA"/>
    </w:rPr>
  </w:style>
  <w:style w:type="character" w:customStyle="1" w:styleId="hps">
    <w:name w:val="hps"/>
    <w:basedOn w:val="DefaultParagraphFont"/>
    <w:rsid w:val="002E4F81"/>
  </w:style>
  <w:style w:type="character" w:customStyle="1" w:styleId="hpsatn">
    <w:name w:val="hps atn"/>
    <w:basedOn w:val="DefaultParagraphFont"/>
    <w:rsid w:val="002E4F81"/>
  </w:style>
  <w:style w:type="paragraph" w:customStyle="1" w:styleId="sca42dbec">
    <w:name w:val="sca42dbec"/>
    <w:basedOn w:val="Normal"/>
    <w:rsid w:val="00846802"/>
    <w:pPr>
      <w:suppressAutoHyphens w:val="0"/>
      <w:spacing w:before="100" w:beforeAutospacing="1" w:after="100" w:afterAutospacing="1"/>
    </w:pPr>
    <w:rPr>
      <w:szCs w:val="24"/>
      <w:lang w:eastAsia="en-GB"/>
    </w:rPr>
  </w:style>
  <w:style w:type="character" w:customStyle="1" w:styleId="document-linkheadline">
    <w:name w:val="document-link headline"/>
    <w:basedOn w:val="DefaultParagraphFont"/>
    <w:rsid w:val="00363EDA"/>
  </w:style>
  <w:style w:type="character" w:customStyle="1" w:styleId="summarytext">
    <w:name w:val="summarytext"/>
    <w:basedOn w:val="DefaultParagraphFont"/>
    <w:rsid w:val="00363EDA"/>
  </w:style>
  <w:style w:type="character" w:customStyle="1" w:styleId="column01">
    <w:name w:val="column01"/>
    <w:basedOn w:val="DefaultParagraphFont"/>
    <w:rsid w:val="00363EDA"/>
  </w:style>
  <w:style w:type="character" w:customStyle="1" w:styleId="fulltext">
    <w:name w:val="fulltext"/>
    <w:basedOn w:val="DefaultParagraphFont"/>
    <w:rsid w:val="00363EDA"/>
  </w:style>
  <w:style w:type="character" w:customStyle="1" w:styleId="column03">
    <w:name w:val="column03"/>
    <w:basedOn w:val="DefaultParagraphFont"/>
    <w:rsid w:val="00363EDA"/>
  </w:style>
  <w:style w:type="character" w:customStyle="1" w:styleId="column04">
    <w:name w:val="column04"/>
    <w:basedOn w:val="DefaultParagraphFont"/>
    <w:rsid w:val="00363EDA"/>
  </w:style>
  <w:style w:type="paragraph" w:customStyle="1" w:styleId="se5d6d4c3">
    <w:name w:val="se5d6d4c3"/>
    <w:basedOn w:val="Normal"/>
    <w:rsid w:val="008833EA"/>
    <w:pPr>
      <w:suppressAutoHyphens w:val="0"/>
      <w:spacing w:before="100" w:beforeAutospacing="1" w:after="100" w:afterAutospacing="1"/>
    </w:pPr>
    <w:rPr>
      <w:szCs w:val="24"/>
      <w:lang w:eastAsia="en-GB"/>
    </w:rPr>
  </w:style>
  <w:style w:type="character" w:customStyle="1" w:styleId="sdfc50a6a">
    <w:name w:val="sdfc50a6a"/>
    <w:basedOn w:val="DefaultParagraphFont"/>
    <w:rsid w:val="008833EA"/>
  </w:style>
  <w:style w:type="paragraph" w:customStyle="1" w:styleId="s1b0a731">
    <w:name w:val="s1b0a731"/>
    <w:basedOn w:val="Normal"/>
    <w:rsid w:val="008833EA"/>
    <w:pPr>
      <w:suppressAutoHyphens w:val="0"/>
      <w:spacing w:before="100" w:beforeAutospacing="1" w:after="100" w:afterAutospacing="1"/>
    </w:pPr>
    <w:rPr>
      <w:szCs w:val="24"/>
      <w:lang w:eastAsia="en-GB"/>
    </w:rPr>
  </w:style>
  <w:style w:type="paragraph" w:customStyle="1" w:styleId="sfbc7db00">
    <w:name w:val="sfbc7db00"/>
    <w:basedOn w:val="Normal"/>
    <w:rsid w:val="008833EA"/>
    <w:pPr>
      <w:suppressAutoHyphens w:val="0"/>
      <w:spacing w:before="100" w:beforeAutospacing="1" w:after="100" w:afterAutospacing="1"/>
    </w:pPr>
    <w:rPr>
      <w:szCs w:val="24"/>
      <w:lang w:eastAsia="en-GB"/>
    </w:rPr>
  </w:style>
  <w:style w:type="character" w:customStyle="1" w:styleId="s1a844bc0">
    <w:name w:val="s1a844bc0"/>
    <w:basedOn w:val="DefaultParagraphFont"/>
    <w:rsid w:val="00A854CD"/>
  </w:style>
  <w:style w:type="character" w:customStyle="1" w:styleId="JuParaChar1">
    <w:name w:val="Ju_Para Char1"/>
    <w:rsid w:val="00C65170"/>
    <w:rPr>
      <w:sz w:val="24"/>
      <w:lang w:val="en-GB" w:eastAsia="fr-FR" w:bidi="ar-SA"/>
    </w:rPr>
  </w:style>
  <w:style w:type="character" w:customStyle="1" w:styleId="ju-005fpara--char">
    <w:name w:val="ju-005fpara--char"/>
    <w:basedOn w:val="DefaultParagraphFont"/>
    <w:rsid w:val="00C65170"/>
  </w:style>
  <w:style w:type="paragraph" w:customStyle="1" w:styleId="s70227c73">
    <w:name w:val="s70227c73"/>
    <w:basedOn w:val="Normal"/>
    <w:rsid w:val="00F763D1"/>
    <w:pPr>
      <w:suppressAutoHyphens w:val="0"/>
      <w:spacing w:before="100" w:beforeAutospacing="1" w:after="100" w:afterAutospacing="1"/>
    </w:pPr>
    <w:rPr>
      <w:szCs w:val="24"/>
      <w:lang w:eastAsia="en-GB"/>
    </w:rPr>
  </w:style>
  <w:style w:type="paragraph" w:customStyle="1" w:styleId="sd31a6d7b">
    <w:name w:val="sd31a6d7b"/>
    <w:basedOn w:val="Normal"/>
    <w:rsid w:val="00FF51AF"/>
    <w:pPr>
      <w:suppressAutoHyphens w:val="0"/>
      <w:spacing w:before="100" w:beforeAutospacing="1" w:after="100" w:afterAutospacing="1"/>
    </w:pPr>
    <w:rPr>
      <w:szCs w:val="24"/>
      <w:lang w:eastAsia="en-GB"/>
    </w:rPr>
  </w:style>
  <w:style w:type="paragraph" w:customStyle="1" w:styleId="sb81d10f0">
    <w:name w:val="sb81d10f0"/>
    <w:basedOn w:val="Normal"/>
    <w:rsid w:val="001A7AEC"/>
    <w:pPr>
      <w:suppressAutoHyphens w:val="0"/>
      <w:spacing w:before="100" w:beforeAutospacing="1" w:after="100" w:afterAutospacing="1"/>
    </w:pPr>
    <w:rPr>
      <w:szCs w:val="24"/>
      <w:lang w:eastAsia="en-GB"/>
    </w:rPr>
  </w:style>
  <w:style w:type="paragraph" w:customStyle="1" w:styleId="jupara0">
    <w:name w:val="jupara"/>
    <w:basedOn w:val="Normal"/>
    <w:rsid w:val="009615DD"/>
    <w:pPr>
      <w:suppressAutoHyphens w:val="0"/>
      <w:spacing w:before="100" w:beforeAutospacing="1" w:after="100" w:afterAutospacing="1"/>
    </w:pPr>
    <w:rPr>
      <w:szCs w:val="24"/>
      <w:lang w:eastAsia="en-GB"/>
    </w:rPr>
  </w:style>
  <w:style w:type="paragraph" w:customStyle="1" w:styleId="s30ccf494">
    <w:name w:val="s30ccf494"/>
    <w:basedOn w:val="Normal"/>
    <w:rsid w:val="007C0F93"/>
    <w:pPr>
      <w:suppressAutoHyphens w:val="0"/>
      <w:spacing w:before="100" w:beforeAutospacing="1" w:after="100" w:afterAutospacing="1"/>
    </w:pPr>
    <w:rPr>
      <w:szCs w:val="24"/>
      <w:lang w:eastAsia="en-GB"/>
    </w:rPr>
  </w:style>
  <w:style w:type="character" w:customStyle="1" w:styleId="s32a37344">
    <w:name w:val="s32a37344"/>
    <w:basedOn w:val="DefaultParagraphFont"/>
    <w:rsid w:val="007C0F93"/>
  </w:style>
  <w:style w:type="character" w:customStyle="1" w:styleId="sf8bfa2bc">
    <w:name w:val="sf8bfa2bc"/>
    <w:basedOn w:val="DefaultParagraphFont"/>
    <w:rsid w:val="008F76AF"/>
  </w:style>
  <w:style w:type="paragraph" w:customStyle="1" w:styleId="s269b7f08">
    <w:name w:val="s269b7f08"/>
    <w:basedOn w:val="Normal"/>
    <w:rsid w:val="00B0162C"/>
    <w:pPr>
      <w:suppressAutoHyphens w:val="0"/>
      <w:spacing w:before="100" w:beforeAutospacing="1" w:after="100" w:afterAutospacing="1"/>
    </w:pPr>
    <w:rPr>
      <w:szCs w:val="24"/>
      <w:lang w:eastAsia="en-GB"/>
    </w:rPr>
  </w:style>
  <w:style w:type="character" w:customStyle="1" w:styleId="sf6541cea">
    <w:name w:val="sf6541cea"/>
    <w:basedOn w:val="DefaultParagraphFont"/>
    <w:rsid w:val="00B0162C"/>
  </w:style>
  <w:style w:type="paragraph" w:customStyle="1" w:styleId="s8b146764">
    <w:name w:val="s8b146764"/>
    <w:basedOn w:val="Normal"/>
    <w:rsid w:val="007C6067"/>
    <w:pPr>
      <w:suppressAutoHyphens w:val="0"/>
      <w:spacing w:before="100" w:beforeAutospacing="1" w:after="100" w:afterAutospacing="1"/>
    </w:pPr>
    <w:rPr>
      <w:szCs w:val="24"/>
      <w:lang w:eastAsia="en-GB"/>
    </w:rPr>
  </w:style>
  <w:style w:type="paragraph" w:customStyle="1" w:styleId="sfbc7db8c">
    <w:name w:val="sfbc7db8c"/>
    <w:basedOn w:val="Normal"/>
    <w:rsid w:val="00C05D4E"/>
    <w:pPr>
      <w:suppressAutoHyphens w:val="0"/>
      <w:spacing w:before="100" w:beforeAutospacing="1" w:after="100" w:afterAutospacing="1"/>
    </w:pPr>
    <w:rPr>
      <w:szCs w:val="24"/>
      <w:lang w:eastAsia="en-GB"/>
    </w:rPr>
  </w:style>
  <w:style w:type="character" w:styleId="Emphasis">
    <w:name w:val="Emphasis"/>
    <w:qFormat/>
    <w:rsid w:val="00D770A1"/>
    <w:rPr>
      <w:i/>
      <w:iCs/>
    </w:rPr>
  </w:style>
  <w:style w:type="paragraph" w:customStyle="1" w:styleId="yiv496513270msonormal">
    <w:name w:val="yiv496513270msonormal"/>
    <w:basedOn w:val="Normal"/>
    <w:rsid w:val="00690E3E"/>
    <w:pPr>
      <w:suppressAutoHyphens w:val="0"/>
      <w:spacing w:before="100" w:beforeAutospacing="1" w:after="100" w:afterAutospacing="1"/>
    </w:pPr>
    <w:rPr>
      <w:szCs w:val="24"/>
      <w:lang w:eastAsia="en-GB"/>
    </w:rPr>
  </w:style>
  <w:style w:type="paragraph" w:customStyle="1" w:styleId="yiv1827305928msonormal">
    <w:name w:val="yiv1827305928msonormal"/>
    <w:basedOn w:val="Normal"/>
    <w:rsid w:val="007541C5"/>
    <w:pPr>
      <w:suppressAutoHyphens w:val="0"/>
      <w:spacing w:before="100" w:beforeAutospacing="1" w:after="100" w:afterAutospacing="1"/>
    </w:pPr>
    <w:rPr>
      <w:szCs w:val="24"/>
      <w:lang w:eastAsia="en-GB"/>
    </w:rPr>
  </w:style>
  <w:style w:type="paragraph" w:customStyle="1" w:styleId="s3e6e194">
    <w:name w:val="s3e6e194"/>
    <w:basedOn w:val="Normal"/>
    <w:rsid w:val="003E0B61"/>
    <w:pPr>
      <w:suppressAutoHyphens w:val="0"/>
      <w:spacing w:before="100" w:beforeAutospacing="1" w:after="100" w:afterAutospacing="1"/>
    </w:pPr>
    <w:rPr>
      <w:szCs w:val="24"/>
      <w:lang w:eastAsia="en-GB"/>
    </w:rPr>
  </w:style>
  <w:style w:type="character" w:customStyle="1" w:styleId="s23c0e944">
    <w:name w:val="s23c0e944"/>
    <w:basedOn w:val="DefaultParagraphFont"/>
    <w:rsid w:val="00DB0349"/>
  </w:style>
  <w:style w:type="paragraph" w:customStyle="1" w:styleId="Default">
    <w:name w:val="Default"/>
    <w:rsid w:val="00793BD8"/>
    <w:pPr>
      <w:autoSpaceDE w:val="0"/>
      <w:autoSpaceDN w:val="0"/>
      <w:adjustRightInd w:val="0"/>
    </w:pPr>
    <w:rPr>
      <w:color w:val="000000"/>
      <w:sz w:val="24"/>
      <w:szCs w:val="24"/>
      <w:lang w:val="en-GB" w:eastAsia="en-GB"/>
    </w:rPr>
  </w:style>
  <w:style w:type="paragraph" w:customStyle="1" w:styleId="yiv1030997157msonormal">
    <w:name w:val="yiv1030997157msonormal"/>
    <w:basedOn w:val="Normal"/>
    <w:rsid w:val="00985449"/>
    <w:pPr>
      <w:suppressAutoHyphens w:val="0"/>
      <w:spacing w:before="100" w:beforeAutospacing="1" w:after="100" w:afterAutospacing="1"/>
    </w:pPr>
    <w:rPr>
      <w:szCs w:val="24"/>
      <w:lang w:eastAsia="en-GB"/>
    </w:rPr>
  </w:style>
  <w:style w:type="paragraph" w:customStyle="1" w:styleId="s30ce897">
    <w:name w:val="s30ce897"/>
    <w:basedOn w:val="Normal"/>
    <w:rsid w:val="0073490C"/>
    <w:pPr>
      <w:suppressAutoHyphens w:val="0"/>
      <w:spacing w:before="100" w:beforeAutospacing="1" w:after="100" w:afterAutospacing="1"/>
    </w:pPr>
    <w:rPr>
      <w:szCs w:val="24"/>
      <w:lang w:eastAsia="en-GB"/>
    </w:rPr>
  </w:style>
  <w:style w:type="character" w:customStyle="1" w:styleId="JuHAChar">
    <w:name w:val="Ju_H_A Char"/>
    <w:link w:val="JuHA"/>
    <w:rsid w:val="00076563"/>
    <w:rPr>
      <w:b/>
      <w:sz w:val="24"/>
      <w:lang w:val="en-GB" w:eastAsia="fr-FR"/>
    </w:rPr>
  </w:style>
  <w:style w:type="character" w:customStyle="1" w:styleId="CommentTextChar">
    <w:name w:val="Comment Text Char"/>
    <w:link w:val="CommentText"/>
    <w:semiHidden/>
    <w:rsid w:val="00434080"/>
    <w:rPr>
      <w:lang w:val="en-GB" w:eastAsia="fr-FR"/>
    </w:rPr>
  </w:style>
  <w:style w:type="paragraph" w:customStyle="1" w:styleId="jucase0">
    <w:name w:val="jucase"/>
    <w:basedOn w:val="Normal"/>
    <w:rsid w:val="000A2574"/>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7982">
      <w:bodyDiv w:val="1"/>
      <w:marLeft w:val="0"/>
      <w:marRight w:val="0"/>
      <w:marTop w:val="0"/>
      <w:marBottom w:val="0"/>
      <w:divBdr>
        <w:top w:val="none" w:sz="0" w:space="0" w:color="auto"/>
        <w:left w:val="none" w:sz="0" w:space="0" w:color="auto"/>
        <w:bottom w:val="none" w:sz="0" w:space="0" w:color="auto"/>
        <w:right w:val="none" w:sz="0" w:space="0" w:color="auto"/>
      </w:divBdr>
      <w:divsChild>
        <w:div w:id="1551772348">
          <w:marLeft w:val="0"/>
          <w:marRight w:val="0"/>
          <w:marTop w:val="0"/>
          <w:marBottom w:val="0"/>
          <w:divBdr>
            <w:top w:val="none" w:sz="0" w:space="0" w:color="auto"/>
            <w:left w:val="none" w:sz="0" w:space="0" w:color="auto"/>
            <w:bottom w:val="none" w:sz="0" w:space="0" w:color="auto"/>
            <w:right w:val="none" w:sz="0" w:space="0" w:color="auto"/>
          </w:divBdr>
          <w:divsChild>
            <w:div w:id="1731004389">
              <w:marLeft w:val="0"/>
              <w:marRight w:val="0"/>
              <w:marTop w:val="0"/>
              <w:marBottom w:val="0"/>
              <w:divBdr>
                <w:top w:val="none" w:sz="0" w:space="0" w:color="auto"/>
                <w:left w:val="none" w:sz="0" w:space="0" w:color="auto"/>
                <w:bottom w:val="none" w:sz="0" w:space="0" w:color="auto"/>
                <w:right w:val="none" w:sz="0" w:space="0" w:color="auto"/>
              </w:divBdr>
              <w:divsChild>
                <w:div w:id="1460299586">
                  <w:marLeft w:val="0"/>
                  <w:marRight w:val="0"/>
                  <w:marTop w:val="0"/>
                  <w:marBottom w:val="0"/>
                  <w:divBdr>
                    <w:top w:val="none" w:sz="0" w:space="0" w:color="auto"/>
                    <w:left w:val="none" w:sz="0" w:space="0" w:color="auto"/>
                    <w:bottom w:val="none" w:sz="0" w:space="0" w:color="auto"/>
                    <w:right w:val="none" w:sz="0" w:space="0" w:color="auto"/>
                  </w:divBdr>
                  <w:divsChild>
                    <w:div w:id="1305042439">
                      <w:marLeft w:val="0"/>
                      <w:marRight w:val="0"/>
                      <w:marTop w:val="0"/>
                      <w:marBottom w:val="0"/>
                      <w:divBdr>
                        <w:top w:val="none" w:sz="0" w:space="0" w:color="auto"/>
                        <w:left w:val="none" w:sz="0" w:space="0" w:color="auto"/>
                        <w:bottom w:val="none" w:sz="0" w:space="0" w:color="auto"/>
                        <w:right w:val="none" w:sz="0" w:space="0" w:color="auto"/>
                      </w:divBdr>
                      <w:divsChild>
                        <w:div w:id="581261777">
                          <w:marLeft w:val="0"/>
                          <w:marRight w:val="0"/>
                          <w:marTop w:val="0"/>
                          <w:marBottom w:val="0"/>
                          <w:divBdr>
                            <w:top w:val="none" w:sz="0" w:space="0" w:color="auto"/>
                            <w:left w:val="none" w:sz="0" w:space="0" w:color="auto"/>
                            <w:bottom w:val="none" w:sz="0" w:space="0" w:color="auto"/>
                            <w:right w:val="none" w:sz="0" w:space="0" w:color="auto"/>
                          </w:divBdr>
                          <w:divsChild>
                            <w:div w:id="98573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7550">
      <w:bodyDiv w:val="1"/>
      <w:marLeft w:val="0"/>
      <w:marRight w:val="0"/>
      <w:marTop w:val="0"/>
      <w:marBottom w:val="0"/>
      <w:divBdr>
        <w:top w:val="none" w:sz="0" w:space="0" w:color="auto"/>
        <w:left w:val="none" w:sz="0" w:space="0" w:color="auto"/>
        <w:bottom w:val="none" w:sz="0" w:space="0" w:color="auto"/>
        <w:right w:val="none" w:sz="0" w:space="0" w:color="auto"/>
      </w:divBdr>
      <w:divsChild>
        <w:div w:id="571937019">
          <w:marLeft w:val="0"/>
          <w:marRight w:val="0"/>
          <w:marTop w:val="0"/>
          <w:marBottom w:val="0"/>
          <w:divBdr>
            <w:top w:val="none" w:sz="0" w:space="0" w:color="auto"/>
            <w:left w:val="none" w:sz="0" w:space="0" w:color="auto"/>
            <w:bottom w:val="none" w:sz="0" w:space="0" w:color="auto"/>
            <w:right w:val="none" w:sz="0" w:space="0" w:color="auto"/>
          </w:divBdr>
          <w:divsChild>
            <w:div w:id="797993095">
              <w:marLeft w:val="0"/>
              <w:marRight w:val="0"/>
              <w:marTop w:val="0"/>
              <w:marBottom w:val="0"/>
              <w:divBdr>
                <w:top w:val="none" w:sz="0" w:space="0" w:color="auto"/>
                <w:left w:val="none" w:sz="0" w:space="0" w:color="auto"/>
                <w:bottom w:val="none" w:sz="0" w:space="0" w:color="auto"/>
                <w:right w:val="none" w:sz="0" w:space="0" w:color="auto"/>
              </w:divBdr>
              <w:divsChild>
                <w:div w:id="2124423385">
                  <w:marLeft w:val="0"/>
                  <w:marRight w:val="0"/>
                  <w:marTop w:val="0"/>
                  <w:marBottom w:val="0"/>
                  <w:divBdr>
                    <w:top w:val="none" w:sz="0" w:space="0" w:color="auto"/>
                    <w:left w:val="none" w:sz="0" w:space="0" w:color="auto"/>
                    <w:bottom w:val="none" w:sz="0" w:space="0" w:color="auto"/>
                    <w:right w:val="none" w:sz="0" w:space="0" w:color="auto"/>
                  </w:divBdr>
                  <w:divsChild>
                    <w:div w:id="608201515">
                      <w:marLeft w:val="0"/>
                      <w:marRight w:val="0"/>
                      <w:marTop w:val="0"/>
                      <w:marBottom w:val="0"/>
                      <w:divBdr>
                        <w:top w:val="none" w:sz="0" w:space="0" w:color="auto"/>
                        <w:left w:val="none" w:sz="0" w:space="0" w:color="auto"/>
                        <w:bottom w:val="none" w:sz="0" w:space="0" w:color="auto"/>
                        <w:right w:val="none" w:sz="0" w:space="0" w:color="auto"/>
                      </w:divBdr>
                      <w:divsChild>
                        <w:div w:id="858665314">
                          <w:marLeft w:val="0"/>
                          <w:marRight w:val="0"/>
                          <w:marTop w:val="0"/>
                          <w:marBottom w:val="0"/>
                          <w:divBdr>
                            <w:top w:val="none" w:sz="0" w:space="0" w:color="auto"/>
                            <w:left w:val="none" w:sz="0" w:space="0" w:color="auto"/>
                            <w:bottom w:val="none" w:sz="0" w:space="0" w:color="auto"/>
                            <w:right w:val="none" w:sz="0" w:space="0" w:color="auto"/>
                          </w:divBdr>
                          <w:divsChild>
                            <w:div w:id="96674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5219">
      <w:bodyDiv w:val="1"/>
      <w:marLeft w:val="0"/>
      <w:marRight w:val="0"/>
      <w:marTop w:val="0"/>
      <w:marBottom w:val="0"/>
      <w:divBdr>
        <w:top w:val="none" w:sz="0" w:space="0" w:color="auto"/>
        <w:left w:val="none" w:sz="0" w:space="0" w:color="auto"/>
        <w:bottom w:val="none" w:sz="0" w:space="0" w:color="auto"/>
        <w:right w:val="none" w:sz="0" w:space="0" w:color="auto"/>
      </w:divBdr>
      <w:divsChild>
        <w:div w:id="185993740">
          <w:marLeft w:val="0"/>
          <w:marRight w:val="0"/>
          <w:marTop w:val="0"/>
          <w:marBottom w:val="0"/>
          <w:divBdr>
            <w:top w:val="none" w:sz="0" w:space="0" w:color="auto"/>
            <w:left w:val="none" w:sz="0" w:space="0" w:color="auto"/>
            <w:bottom w:val="none" w:sz="0" w:space="0" w:color="auto"/>
            <w:right w:val="none" w:sz="0" w:space="0" w:color="auto"/>
          </w:divBdr>
          <w:divsChild>
            <w:div w:id="278807450">
              <w:marLeft w:val="0"/>
              <w:marRight w:val="0"/>
              <w:marTop w:val="0"/>
              <w:marBottom w:val="0"/>
              <w:divBdr>
                <w:top w:val="none" w:sz="0" w:space="0" w:color="auto"/>
                <w:left w:val="none" w:sz="0" w:space="0" w:color="auto"/>
                <w:bottom w:val="none" w:sz="0" w:space="0" w:color="auto"/>
                <w:right w:val="none" w:sz="0" w:space="0" w:color="auto"/>
              </w:divBdr>
              <w:divsChild>
                <w:div w:id="1851286175">
                  <w:marLeft w:val="0"/>
                  <w:marRight w:val="0"/>
                  <w:marTop w:val="0"/>
                  <w:marBottom w:val="0"/>
                  <w:divBdr>
                    <w:top w:val="none" w:sz="0" w:space="0" w:color="auto"/>
                    <w:left w:val="none" w:sz="0" w:space="0" w:color="auto"/>
                    <w:bottom w:val="none" w:sz="0" w:space="0" w:color="auto"/>
                    <w:right w:val="none" w:sz="0" w:space="0" w:color="auto"/>
                  </w:divBdr>
                  <w:divsChild>
                    <w:div w:id="1488665397">
                      <w:marLeft w:val="0"/>
                      <w:marRight w:val="0"/>
                      <w:marTop w:val="0"/>
                      <w:marBottom w:val="0"/>
                      <w:divBdr>
                        <w:top w:val="none" w:sz="0" w:space="0" w:color="auto"/>
                        <w:left w:val="none" w:sz="0" w:space="0" w:color="auto"/>
                        <w:bottom w:val="none" w:sz="0" w:space="0" w:color="auto"/>
                        <w:right w:val="none" w:sz="0" w:space="0" w:color="auto"/>
                      </w:divBdr>
                      <w:divsChild>
                        <w:div w:id="466363977">
                          <w:marLeft w:val="0"/>
                          <w:marRight w:val="0"/>
                          <w:marTop w:val="0"/>
                          <w:marBottom w:val="0"/>
                          <w:divBdr>
                            <w:top w:val="none" w:sz="0" w:space="0" w:color="auto"/>
                            <w:left w:val="none" w:sz="0" w:space="0" w:color="auto"/>
                            <w:bottom w:val="none" w:sz="0" w:space="0" w:color="auto"/>
                            <w:right w:val="none" w:sz="0" w:space="0" w:color="auto"/>
                          </w:divBdr>
                          <w:divsChild>
                            <w:div w:id="12390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1035">
      <w:bodyDiv w:val="1"/>
      <w:marLeft w:val="0"/>
      <w:marRight w:val="0"/>
      <w:marTop w:val="0"/>
      <w:marBottom w:val="0"/>
      <w:divBdr>
        <w:top w:val="none" w:sz="0" w:space="0" w:color="auto"/>
        <w:left w:val="none" w:sz="0" w:space="0" w:color="auto"/>
        <w:bottom w:val="none" w:sz="0" w:space="0" w:color="auto"/>
        <w:right w:val="none" w:sz="0" w:space="0" w:color="auto"/>
      </w:divBdr>
      <w:divsChild>
        <w:div w:id="732124793">
          <w:marLeft w:val="0"/>
          <w:marRight w:val="0"/>
          <w:marTop w:val="0"/>
          <w:marBottom w:val="0"/>
          <w:divBdr>
            <w:top w:val="none" w:sz="0" w:space="0" w:color="auto"/>
            <w:left w:val="none" w:sz="0" w:space="0" w:color="auto"/>
            <w:bottom w:val="none" w:sz="0" w:space="0" w:color="auto"/>
            <w:right w:val="none" w:sz="0" w:space="0" w:color="auto"/>
          </w:divBdr>
          <w:divsChild>
            <w:div w:id="1980761206">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33887843">
                      <w:marLeft w:val="0"/>
                      <w:marRight w:val="0"/>
                      <w:marTop w:val="0"/>
                      <w:marBottom w:val="0"/>
                      <w:divBdr>
                        <w:top w:val="none" w:sz="0" w:space="0" w:color="auto"/>
                        <w:left w:val="none" w:sz="0" w:space="0" w:color="auto"/>
                        <w:bottom w:val="none" w:sz="0" w:space="0" w:color="auto"/>
                        <w:right w:val="none" w:sz="0" w:space="0" w:color="auto"/>
                      </w:divBdr>
                      <w:divsChild>
                        <w:div w:id="772212156">
                          <w:marLeft w:val="0"/>
                          <w:marRight w:val="0"/>
                          <w:marTop w:val="0"/>
                          <w:marBottom w:val="0"/>
                          <w:divBdr>
                            <w:top w:val="none" w:sz="0" w:space="0" w:color="auto"/>
                            <w:left w:val="none" w:sz="0" w:space="0" w:color="auto"/>
                            <w:bottom w:val="none" w:sz="0" w:space="0" w:color="auto"/>
                            <w:right w:val="none" w:sz="0" w:space="0" w:color="auto"/>
                          </w:divBdr>
                          <w:divsChild>
                            <w:div w:id="146250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7437">
      <w:bodyDiv w:val="1"/>
      <w:marLeft w:val="0"/>
      <w:marRight w:val="0"/>
      <w:marTop w:val="0"/>
      <w:marBottom w:val="0"/>
      <w:divBdr>
        <w:top w:val="none" w:sz="0" w:space="0" w:color="auto"/>
        <w:left w:val="none" w:sz="0" w:space="0" w:color="auto"/>
        <w:bottom w:val="none" w:sz="0" w:space="0" w:color="auto"/>
        <w:right w:val="none" w:sz="0" w:space="0" w:color="auto"/>
      </w:divBdr>
      <w:divsChild>
        <w:div w:id="1451775946">
          <w:marLeft w:val="0"/>
          <w:marRight w:val="0"/>
          <w:marTop w:val="0"/>
          <w:marBottom w:val="0"/>
          <w:divBdr>
            <w:top w:val="none" w:sz="0" w:space="0" w:color="auto"/>
            <w:left w:val="none" w:sz="0" w:space="0" w:color="auto"/>
            <w:bottom w:val="none" w:sz="0" w:space="0" w:color="auto"/>
            <w:right w:val="none" w:sz="0" w:space="0" w:color="auto"/>
          </w:divBdr>
          <w:divsChild>
            <w:div w:id="1716347826">
              <w:marLeft w:val="0"/>
              <w:marRight w:val="0"/>
              <w:marTop w:val="0"/>
              <w:marBottom w:val="0"/>
              <w:divBdr>
                <w:top w:val="none" w:sz="0" w:space="0" w:color="auto"/>
                <w:left w:val="none" w:sz="0" w:space="0" w:color="auto"/>
                <w:bottom w:val="none" w:sz="0" w:space="0" w:color="auto"/>
                <w:right w:val="none" w:sz="0" w:space="0" w:color="auto"/>
              </w:divBdr>
              <w:divsChild>
                <w:div w:id="1618557652">
                  <w:marLeft w:val="0"/>
                  <w:marRight w:val="0"/>
                  <w:marTop w:val="0"/>
                  <w:marBottom w:val="0"/>
                  <w:divBdr>
                    <w:top w:val="none" w:sz="0" w:space="0" w:color="auto"/>
                    <w:left w:val="none" w:sz="0" w:space="0" w:color="auto"/>
                    <w:bottom w:val="none" w:sz="0" w:space="0" w:color="auto"/>
                    <w:right w:val="none" w:sz="0" w:space="0" w:color="auto"/>
                  </w:divBdr>
                  <w:divsChild>
                    <w:div w:id="1186482620">
                      <w:marLeft w:val="0"/>
                      <w:marRight w:val="0"/>
                      <w:marTop w:val="0"/>
                      <w:marBottom w:val="0"/>
                      <w:divBdr>
                        <w:top w:val="none" w:sz="0" w:space="0" w:color="auto"/>
                        <w:left w:val="none" w:sz="0" w:space="0" w:color="auto"/>
                        <w:bottom w:val="none" w:sz="0" w:space="0" w:color="auto"/>
                        <w:right w:val="none" w:sz="0" w:space="0" w:color="auto"/>
                      </w:divBdr>
                      <w:divsChild>
                        <w:div w:id="2020889404">
                          <w:marLeft w:val="0"/>
                          <w:marRight w:val="0"/>
                          <w:marTop w:val="0"/>
                          <w:marBottom w:val="0"/>
                          <w:divBdr>
                            <w:top w:val="none" w:sz="0" w:space="0" w:color="auto"/>
                            <w:left w:val="none" w:sz="0" w:space="0" w:color="auto"/>
                            <w:bottom w:val="none" w:sz="0" w:space="0" w:color="auto"/>
                            <w:right w:val="none" w:sz="0" w:space="0" w:color="auto"/>
                          </w:divBdr>
                          <w:divsChild>
                            <w:div w:id="172644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533786">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2">
          <w:marLeft w:val="0"/>
          <w:marRight w:val="0"/>
          <w:marTop w:val="0"/>
          <w:marBottom w:val="0"/>
          <w:divBdr>
            <w:top w:val="none" w:sz="0" w:space="0" w:color="auto"/>
            <w:left w:val="none" w:sz="0" w:space="0" w:color="auto"/>
            <w:bottom w:val="none" w:sz="0" w:space="0" w:color="auto"/>
            <w:right w:val="none" w:sz="0" w:space="0" w:color="auto"/>
          </w:divBdr>
          <w:divsChild>
            <w:div w:id="698896234">
              <w:marLeft w:val="0"/>
              <w:marRight w:val="0"/>
              <w:marTop w:val="0"/>
              <w:marBottom w:val="0"/>
              <w:divBdr>
                <w:top w:val="none" w:sz="0" w:space="0" w:color="auto"/>
                <w:left w:val="none" w:sz="0" w:space="0" w:color="auto"/>
                <w:bottom w:val="none" w:sz="0" w:space="0" w:color="auto"/>
                <w:right w:val="none" w:sz="0" w:space="0" w:color="auto"/>
              </w:divBdr>
              <w:divsChild>
                <w:div w:id="1855026475">
                  <w:marLeft w:val="0"/>
                  <w:marRight w:val="0"/>
                  <w:marTop w:val="0"/>
                  <w:marBottom w:val="0"/>
                  <w:divBdr>
                    <w:top w:val="none" w:sz="0" w:space="0" w:color="auto"/>
                    <w:left w:val="none" w:sz="0" w:space="0" w:color="auto"/>
                    <w:bottom w:val="none" w:sz="0" w:space="0" w:color="auto"/>
                    <w:right w:val="none" w:sz="0" w:space="0" w:color="auto"/>
                  </w:divBdr>
                  <w:divsChild>
                    <w:div w:id="998919807">
                      <w:marLeft w:val="0"/>
                      <w:marRight w:val="0"/>
                      <w:marTop w:val="0"/>
                      <w:marBottom w:val="0"/>
                      <w:divBdr>
                        <w:top w:val="none" w:sz="0" w:space="0" w:color="auto"/>
                        <w:left w:val="none" w:sz="0" w:space="0" w:color="auto"/>
                        <w:bottom w:val="none" w:sz="0" w:space="0" w:color="auto"/>
                        <w:right w:val="none" w:sz="0" w:space="0" w:color="auto"/>
                      </w:divBdr>
                      <w:divsChild>
                        <w:div w:id="1520192045">
                          <w:marLeft w:val="0"/>
                          <w:marRight w:val="0"/>
                          <w:marTop w:val="0"/>
                          <w:marBottom w:val="0"/>
                          <w:divBdr>
                            <w:top w:val="none" w:sz="0" w:space="0" w:color="auto"/>
                            <w:left w:val="none" w:sz="0" w:space="0" w:color="auto"/>
                            <w:bottom w:val="none" w:sz="0" w:space="0" w:color="auto"/>
                            <w:right w:val="none" w:sz="0" w:space="0" w:color="auto"/>
                          </w:divBdr>
                          <w:divsChild>
                            <w:div w:id="3040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27270">
      <w:bodyDiv w:val="1"/>
      <w:marLeft w:val="0"/>
      <w:marRight w:val="0"/>
      <w:marTop w:val="0"/>
      <w:marBottom w:val="0"/>
      <w:divBdr>
        <w:top w:val="none" w:sz="0" w:space="0" w:color="auto"/>
        <w:left w:val="none" w:sz="0" w:space="0" w:color="auto"/>
        <w:bottom w:val="none" w:sz="0" w:space="0" w:color="auto"/>
        <w:right w:val="none" w:sz="0" w:space="0" w:color="auto"/>
      </w:divBdr>
      <w:divsChild>
        <w:div w:id="84961711">
          <w:marLeft w:val="0"/>
          <w:marRight w:val="0"/>
          <w:marTop w:val="0"/>
          <w:marBottom w:val="0"/>
          <w:divBdr>
            <w:top w:val="none" w:sz="0" w:space="0" w:color="auto"/>
            <w:left w:val="none" w:sz="0" w:space="0" w:color="auto"/>
            <w:bottom w:val="none" w:sz="0" w:space="0" w:color="auto"/>
            <w:right w:val="none" w:sz="0" w:space="0" w:color="auto"/>
          </w:divBdr>
          <w:divsChild>
            <w:div w:id="1703090338">
              <w:marLeft w:val="2150"/>
              <w:marRight w:val="0"/>
              <w:marTop w:val="0"/>
              <w:marBottom w:val="0"/>
              <w:divBdr>
                <w:top w:val="none" w:sz="0" w:space="0" w:color="auto"/>
                <w:left w:val="none" w:sz="0" w:space="0" w:color="auto"/>
                <w:bottom w:val="none" w:sz="0" w:space="0" w:color="auto"/>
                <w:right w:val="none" w:sz="0" w:space="0" w:color="auto"/>
              </w:divBdr>
              <w:divsChild>
                <w:div w:id="1314410664">
                  <w:marLeft w:val="60"/>
                  <w:marRight w:val="0"/>
                  <w:marTop w:val="0"/>
                  <w:marBottom w:val="0"/>
                  <w:divBdr>
                    <w:top w:val="single" w:sz="4" w:space="0" w:color="EEEEEE"/>
                    <w:left w:val="none" w:sz="0" w:space="0" w:color="auto"/>
                    <w:bottom w:val="none" w:sz="0" w:space="0" w:color="auto"/>
                    <w:right w:val="none" w:sz="0" w:space="0" w:color="auto"/>
                  </w:divBdr>
                  <w:divsChild>
                    <w:div w:id="1840270063">
                      <w:marLeft w:val="0"/>
                      <w:marRight w:val="0"/>
                      <w:marTop w:val="0"/>
                      <w:marBottom w:val="0"/>
                      <w:divBdr>
                        <w:top w:val="none" w:sz="0" w:space="0" w:color="auto"/>
                        <w:left w:val="none" w:sz="0" w:space="0" w:color="auto"/>
                        <w:bottom w:val="none" w:sz="0" w:space="0" w:color="auto"/>
                        <w:right w:val="none" w:sz="0" w:space="0" w:color="auto"/>
                      </w:divBdr>
                      <w:divsChild>
                        <w:div w:id="1644459766">
                          <w:marLeft w:val="0"/>
                          <w:marRight w:val="0"/>
                          <w:marTop w:val="0"/>
                          <w:marBottom w:val="0"/>
                          <w:divBdr>
                            <w:top w:val="none" w:sz="0" w:space="0" w:color="auto"/>
                            <w:left w:val="none" w:sz="0" w:space="0" w:color="auto"/>
                            <w:bottom w:val="single" w:sz="4" w:space="8" w:color="E4E4E4"/>
                            <w:right w:val="none" w:sz="0" w:space="0" w:color="auto"/>
                          </w:divBdr>
                        </w:div>
                      </w:divsChild>
                    </w:div>
                  </w:divsChild>
                </w:div>
              </w:divsChild>
            </w:div>
          </w:divsChild>
        </w:div>
      </w:divsChild>
    </w:div>
    <w:div w:id="52898083">
      <w:bodyDiv w:val="1"/>
      <w:marLeft w:val="0"/>
      <w:marRight w:val="0"/>
      <w:marTop w:val="0"/>
      <w:marBottom w:val="0"/>
      <w:divBdr>
        <w:top w:val="none" w:sz="0" w:space="0" w:color="auto"/>
        <w:left w:val="none" w:sz="0" w:space="0" w:color="auto"/>
        <w:bottom w:val="none" w:sz="0" w:space="0" w:color="auto"/>
        <w:right w:val="none" w:sz="0" w:space="0" w:color="auto"/>
      </w:divBdr>
      <w:divsChild>
        <w:div w:id="1097479438">
          <w:marLeft w:val="3"/>
          <w:marRight w:val="3"/>
          <w:marTop w:val="0"/>
          <w:marBottom w:val="0"/>
          <w:divBdr>
            <w:top w:val="single" w:sz="4" w:space="0" w:color="112449"/>
            <w:left w:val="single" w:sz="4" w:space="0" w:color="112449"/>
            <w:bottom w:val="single" w:sz="4" w:space="0" w:color="112449"/>
            <w:right w:val="single" w:sz="4" w:space="0" w:color="112449"/>
          </w:divBdr>
          <w:divsChild>
            <w:div w:id="709381330">
              <w:marLeft w:val="3"/>
              <w:marRight w:val="3"/>
              <w:marTop w:val="0"/>
              <w:marBottom w:val="0"/>
              <w:divBdr>
                <w:top w:val="single" w:sz="4" w:space="0" w:color="112449"/>
                <w:left w:val="single" w:sz="4" w:space="0" w:color="112449"/>
                <w:bottom w:val="single" w:sz="4" w:space="0" w:color="112449"/>
                <w:right w:val="single" w:sz="4" w:space="0" w:color="112449"/>
              </w:divBdr>
              <w:divsChild>
                <w:div w:id="9442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46230">
      <w:bodyDiv w:val="1"/>
      <w:marLeft w:val="0"/>
      <w:marRight w:val="0"/>
      <w:marTop w:val="0"/>
      <w:marBottom w:val="0"/>
      <w:divBdr>
        <w:top w:val="none" w:sz="0" w:space="0" w:color="auto"/>
        <w:left w:val="none" w:sz="0" w:space="0" w:color="auto"/>
        <w:bottom w:val="none" w:sz="0" w:space="0" w:color="auto"/>
        <w:right w:val="none" w:sz="0" w:space="0" w:color="auto"/>
      </w:divBdr>
      <w:divsChild>
        <w:div w:id="2012755922">
          <w:marLeft w:val="0"/>
          <w:marRight w:val="0"/>
          <w:marTop w:val="0"/>
          <w:marBottom w:val="0"/>
          <w:divBdr>
            <w:top w:val="none" w:sz="0" w:space="0" w:color="auto"/>
            <w:left w:val="none" w:sz="0" w:space="0" w:color="auto"/>
            <w:bottom w:val="none" w:sz="0" w:space="0" w:color="auto"/>
            <w:right w:val="none" w:sz="0" w:space="0" w:color="auto"/>
          </w:divBdr>
          <w:divsChild>
            <w:div w:id="10886266">
              <w:marLeft w:val="0"/>
              <w:marRight w:val="0"/>
              <w:marTop w:val="0"/>
              <w:marBottom w:val="0"/>
              <w:divBdr>
                <w:top w:val="none" w:sz="0" w:space="0" w:color="auto"/>
                <w:left w:val="none" w:sz="0" w:space="0" w:color="auto"/>
                <w:bottom w:val="none" w:sz="0" w:space="0" w:color="auto"/>
                <w:right w:val="none" w:sz="0" w:space="0" w:color="auto"/>
              </w:divBdr>
              <w:divsChild>
                <w:div w:id="408385080">
                  <w:marLeft w:val="0"/>
                  <w:marRight w:val="0"/>
                  <w:marTop w:val="0"/>
                  <w:marBottom w:val="0"/>
                  <w:divBdr>
                    <w:top w:val="none" w:sz="0" w:space="0" w:color="auto"/>
                    <w:left w:val="none" w:sz="0" w:space="0" w:color="auto"/>
                    <w:bottom w:val="none" w:sz="0" w:space="0" w:color="auto"/>
                    <w:right w:val="none" w:sz="0" w:space="0" w:color="auto"/>
                  </w:divBdr>
                  <w:divsChild>
                    <w:div w:id="1397701670">
                      <w:marLeft w:val="0"/>
                      <w:marRight w:val="0"/>
                      <w:marTop w:val="0"/>
                      <w:marBottom w:val="0"/>
                      <w:divBdr>
                        <w:top w:val="none" w:sz="0" w:space="0" w:color="auto"/>
                        <w:left w:val="none" w:sz="0" w:space="0" w:color="auto"/>
                        <w:bottom w:val="none" w:sz="0" w:space="0" w:color="auto"/>
                        <w:right w:val="none" w:sz="0" w:space="0" w:color="auto"/>
                      </w:divBdr>
                      <w:divsChild>
                        <w:div w:id="1108701461">
                          <w:marLeft w:val="0"/>
                          <w:marRight w:val="0"/>
                          <w:marTop w:val="0"/>
                          <w:marBottom w:val="0"/>
                          <w:divBdr>
                            <w:top w:val="none" w:sz="0" w:space="0" w:color="auto"/>
                            <w:left w:val="none" w:sz="0" w:space="0" w:color="auto"/>
                            <w:bottom w:val="none" w:sz="0" w:space="0" w:color="auto"/>
                            <w:right w:val="none" w:sz="0" w:space="0" w:color="auto"/>
                          </w:divBdr>
                          <w:divsChild>
                            <w:div w:id="885989302">
                              <w:marLeft w:val="0"/>
                              <w:marRight w:val="0"/>
                              <w:marTop w:val="0"/>
                              <w:marBottom w:val="0"/>
                              <w:divBdr>
                                <w:top w:val="none" w:sz="0" w:space="0" w:color="auto"/>
                                <w:left w:val="none" w:sz="0" w:space="0" w:color="auto"/>
                                <w:bottom w:val="none" w:sz="0" w:space="0" w:color="auto"/>
                                <w:right w:val="none" w:sz="0" w:space="0" w:color="auto"/>
                              </w:divBdr>
                              <w:divsChild>
                                <w:div w:id="330257899">
                                  <w:marLeft w:val="0"/>
                                  <w:marRight w:val="0"/>
                                  <w:marTop w:val="0"/>
                                  <w:marBottom w:val="0"/>
                                  <w:divBdr>
                                    <w:top w:val="single" w:sz="8" w:space="3" w:color="auto"/>
                                    <w:left w:val="none" w:sz="0" w:space="0" w:color="auto"/>
                                    <w:bottom w:val="none" w:sz="0" w:space="0" w:color="auto"/>
                                    <w:right w:val="none" w:sz="0" w:space="0" w:color="auto"/>
                                  </w:divBdr>
                                </w:div>
                              </w:divsChild>
                            </w:div>
                            <w:div w:id="1142455740">
                              <w:marLeft w:val="0"/>
                              <w:marRight w:val="0"/>
                              <w:marTop w:val="0"/>
                              <w:marBottom w:val="0"/>
                              <w:divBdr>
                                <w:top w:val="none" w:sz="0" w:space="0" w:color="auto"/>
                                <w:left w:val="none" w:sz="0" w:space="0" w:color="auto"/>
                                <w:bottom w:val="none" w:sz="0" w:space="0" w:color="auto"/>
                                <w:right w:val="none" w:sz="0" w:space="0" w:color="auto"/>
                              </w:divBdr>
                              <w:divsChild>
                                <w:div w:id="380910721">
                                  <w:marLeft w:val="0"/>
                                  <w:marRight w:val="0"/>
                                  <w:marTop w:val="0"/>
                                  <w:marBottom w:val="0"/>
                                  <w:divBdr>
                                    <w:top w:val="none" w:sz="0" w:space="0" w:color="auto"/>
                                    <w:left w:val="none" w:sz="0" w:space="0" w:color="auto"/>
                                    <w:bottom w:val="none" w:sz="0" w:space="0" w:color="auto"/>
                                    <w:right w:val="none" w:sz="0" w:space="0" w:color="auto"/>
                                  </w:divBdr>
                                </w:div>
                                <w:div w:id="98993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55918">
      <w:bodyDiv w:val="1"/>
      <w:marLeft w:val="0"/>
      <w:marRight w:val="0"/>
      <w:marTop w:val="0"/>
      <w:marBottom w:val="0"/>
      <w:divBdr>
        <w:top w:val="none" w:sz="0" w:space="0" w:color="auto"/>
        <w:left w:val="none" w:sz="0" w:space="0" w:color="auto"/>
        <w:bottom w:val="none" w:sz="0" w:space="0" w:color="auto"/>
        <w:right w:val="none" w:sz="0" w:space="0" w:color="auto"/>
      </w:divBdr>
      <w:divsChild>
        <w:div w:id="2039816501">
          <w:marLeft w:val="0"/>
          <w:marRight w:val="0"/>
          <w:marTop w:val="0"/>
          <w:marBottom w:val="0"/>
          <w:divBdr>
            <w:top w:val="none" w:sz="0" w:space="0" w:color="auto"/>
            <w:left w:val="none" w:sz="0" w:space="0" w:color="auto"/>
            <w:bottom w:val="none" w:sz="0" w:space="0" w:color="auto"/>
            <w:right w:val="none" w:sz="0" w:space="0" w:color="auto"/>
          </w:divBdr>
          <w:divsChild>
            <w:div w:id="1697072710">
              <w:marLeft w:val="0"/>
              <w:marRight w:val="0"/>
              <w:marTop w:val="0"/>
              <w:marBottom w:val="0"/>
              <w:divBdr>
                <w:top w:val="none" w:sz="0" w:space="0" w:color="auto"/>
                <w:left w:val="none" w:sz="0" w:space="0" w:color="auto"/>
                <w:bottom w:val="none" w:sz="0" w:space="0" w:color="auto"/>
                <w:right w:val="none" w:sz="0" w:space="0" w:color="auto"/>
              </w:divBdr>
              <w:divsChild>
                <w:div w:id="2069179731">
                  <w:marLeft w:val="0"/>
                  <w:marRight w:val="0"/>
                  <w:marTop w:val="0"/>
                  <w:marBottom w:val="0"/>
                  <w:divBdr>
                    <w:top w:val="none" w:sz="0" w:space="0" w:color="auto"/>
                    <w:left w:val="none" w:sz="0" w:space="0" w:color="auto"/>
                    <w:bottom w:val="none" w:sz="0" w:space="0" w:color="auto"/>
                    <w:right w:val="none" w:sz="0" w:space="0" w:color="auto"/>
                  </w:divBdr>
                  <w:divsChild>
                    <w:div w:id="2047024690">
                      <w:marLeft w:val="0"/>
                      <w:marRight w:val="0"/>
                      <w:marTop w:val="0"/>
                      <w:marBottom w:val="0"/>
                      <w:divBdr>
                        <w:top w:val="none" w:sz="0" w:space="0" w:color="auto"/>
                        <w:left w:val="none" w:sz="0" w:space="0" w:color="auto"/>
                        <w:bottom w:val="none" w:sz="0" w:space="0" w:color="auto"/>
                        <w:right w:val="none" w:sz="0" w:space="0" w:color="auto"/>
                      </w:divBdr>
                      <w:divsChild>
                        <w:div w:id="888220975">
                          <w:marLeft w:val="0"/>
                          <w:marRight w:val="0"/>
                          <w:marTop w:val="0"/>
                          <w:marBottom w:val="0"/>
                          <w:divBdr>
                            <w:top w:val="none" w:sz="0" w:space="0" w:color="auto"/>
                            <w:left w:val="none" w:sz="0" w:space="0" w:color="auto"/>
                            <w:bottom w:val="none" w:sz="0" w:space="0" w:color="auto"/>
                            <w:right w:val="none" w:sz="0" w:space="0" w:color="auto"/>
                          </w:divBdr>
                          <w:divsChild>
                            <w:div w:id="17242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27962">
      <w:bodyDiv w:val="1"/>
      <w:marLeft w:val="0"/>
      <w:marRight w:val="0"/>
      <w:marTop w:val="0"/>
      <w:marBottom w:val="0"/>
      <w:divBdr>
        <w:top w:val="none" w:sz="0" w:space="0" w:color="auto"/>
        <w:left w:val="none" w:sz="0" w:space="0" w:color="auto"/>
        <w:bottom w:val="none" w:sz="0" w:space="0" w:color="auto"/>
        <w:right w:val="none" w:sz="0" w:space="0" w:color="auto"/>
      </w:divBdr>
      <w:divsChild>
        <w:div w:id="177426324">
          <w:marLeft w:val="0"/>
          <w:marRight w:val="0"/>
          <w:marTop w:val="0"/>
          <w:marBottom w:val="0"/>
          <w:divBdr>
            <w:top w:val="none" w:sz="0" w:space="0" w:color="auto"/>
            <w:left w:val="none" w:sz="0" w:space="0" w:color="auto"/>
            <w:bottom w:val="none" w:sz="0" w:space="0" w:color="auto"/>
            <w:right w:val="none" w:sz="0" w:space="0" w:color="auto"/>
          </w:divBdr>
          <w:divsChild>
            <w:div w:id="1981304624">
              <w:marLeft w:val="0"/>
              <w:marRight w:val="0"/>
              <w:marTop w:val="0"/>
              <w:marBottom w:val="0"/>
              <w:divBdr>
                <w:top w:val="none" w:sz="0" w:space="0" w:color="auto"/>
                <w:left w:val="none" w:sz="0" w:space="0" w:color="auto"/>
                <w:bottom w:val="none" w:sz="0" w:space="0" w:color="auto"/>
                <w:right w:val="none" w:sz="0" w:space="0" w:color="auto"/>
              </w:divBdr>
              <w:divsChild>
                <w:div w:id="1294287439">
                  <w:marLeft w:val="0"/>
                  <w:marRight w:val="0"/>
                  <w:marTop w:val="0"/>
                  <w:marBottom w:val="0"/>
                  <w:divBdr>
                    <w:top w:val="none" w:sz="0" w:space="0" w:color="auto"/>
                    <w:left w:val="none" w:sz="0" w:space="0" w:color="auto"/>
                    <w:bottom w:val="none" w:sz="0" w:space="0" w:color="auto"/>
                    <w:right w:val="none" w:sz="0" w:space="0" w:color="auto"/>
                  </w:divBdr>
                  <w:divsChild>
                    <w:div w:id="169952483">
                      <w:marLeft w:val="0"/>
                      <w:marRight w:val="0"/>
                      <w:marTop w:val="0"/>
                      <w:marBottom w:val="0"/>
                      <w:divBdr>
                        <w:top w:val="none" w:sz="0" w:space="0" w:color="auto"/>
                        <w:left w:val="none" w:sz="0" w:space="0" w:color="auto"/>
                        <w:bottom w:val="none" w:sz="0" w:space="0" w:color="auto"/>
                        <w:right w:val="none" w:sz="0" w:space="0" w:color="auto"/>
                      </w:divBdr>
                      <w:divsChild>
                        <w:div w:id="858859616">
                          <w:marLeft w:val="0"/>
                          <w:marRight w:val="0"/>
                          <w:marTop w:val="0"/>
                          <w:marBottom w:val="0"/>
                          <w:divBdr>
                            <w:top w:val="none" w:sz="0" w:space="0" w:color="auto"/>
                            <w:left w:val="none" w:sz="0" w:space="0" w:color="auto"/>
                            <w:bottom w:val="none" w:sz="0" w:space="0" w:color="auto"/>
                            <w:right w:val="none" w:sz="0" w:space="0" w:color="auto"/>
                          </w:divBdr>
                          <w:divsChild>
                            <w:div w:id="1660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4123">
      <w:bodyDiv w:val="1"/>
      <w:marLeft w:val="0"/>
      <w:marRight w:val="0"/>
      <w:marTop w:val="0"/>
      <w:marBottom w:val="0"/>
      <w:divBdr>
        <w:top w:val="none" w:sz="0" w:space="0" w:color="auto"/>
        <w:left w:val="none" w:sz="0" w:space="0" w:color="auto"/>
        <w:bottom w:val="none" w:sz="0" w:space="0" w:color="auto"/>
        <w:right w:val="none" w:sz="0" w:space="0" w:color="auto"/>
      </w:divBdr>
      <w:divsChild>
        <w:div w:id="384179642">
          <w:marLeft w:val="0"/>
          <w:marRight w:val="0"/>
          <w:marTop w:val="0"/>
          <w:marBottom w:val="0"/>
          <w:divBdr>
            <w:top w:val="none" w:sz="0" w:space="0" w:color="auto"/>
            <w:left w:val="none" w:sz="0" w:space="0" w:color="auto"/>
            <w:bottom w:val="none" w:sz="0" w:space="0" w:color="auto"/>
            <w:right w:val="none" w:sz="0" w:space="0" w:color="auto"/>
          </w:divBdr>
          <w:divsChild>
            <w:div w:id="2056541531">
              <w:marLeft w:val="0"/>
              <w:marRight w:val="0"/>
              <w:marTop w:val="0"/>
              <w:marBottom w:val="0"/>
              <w:divBdr>
                <w:top w:val="none" w:sz="0" w:space="0" w:color="auto"/>
                <w:left w:val="none" w:sz="0" w:space="0" w:color="auto"/>
                <w:bottom w:val="none" w:sz="0" w:space="0" w:color="auto"/>
                <w:right w:val="none" w:sz="0" w:space="0" w:color="auto"/>
              </w:divBdr>
              <w:divsChild>
                <w:div w:id="2058816586">
                  <w:marLeft w:val="0"/>
                  <w:marRight w:val="0"/>
                  <w:marTop w:val="0"/>
                  <w:marBottom w:val="0"/>
                  <w:divBdr>
                    <w:top w:val="none" w:sz="0" w:space="0" w:color="auto"/>
                    <w:left w:val="none" w:sz="0" w:space="0" w:color="auto"/>
                    <w:bottom w:val="none" w:sz="0" w:space="0" w:color="auto"/>
                    <w:right w:val="none" w:sz="0" w:space="0" w:color="auto"/>
                  </w:divBdr>
                  <w:divsChild>
                    <w:div w:id="2086031152">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49519">
      <w:bodyDiv w:val="1"/>
      <w:marLeft w:val="0"/>
      <w:marRight w:val="0"/>
      <w:marTop w:val="0"/>
      <w:marBottom w:val="0"/>
      <w:divBdr>
        <w:top w:val="none" w:sz="0" w:space="0" w:color="auto"/>
        <w:left w:val="none" w:sz="0" w:space="0" w:color="auto"/>
        <w:bottom w:val="none" w:sz="0" w:space="0" w:color="auto"/>
        <w:right w:val="none" w:sz="0" w:space="0" w:color="auto"/>
      </w:divBdr>
      <w:divsChild>
        <w:div w:id="2113013263">
          <w:marLeft w:val="0"/>
          <w:marRight w:val="0"/>
          <w:marTop w:val="0"/>
          <w:marBottom w:val="0"/>
          <w:divBdr>
            <w:top w:val="none" w:sz="0" w:space="0" w:color="auto"/>
            <w:left w:val="none" w:sz="0" w:space="0" w:color="auto"/>
            <w:bottom w:val="none" w:sz="0" w:space="0" w:color="auto"/>
            <w:right w:val="none" w:sz="0" w:space="0" w:color="auto"/>
          </w:divBdr>
          <w:divsChild>
            <w:div w:id="1249076838">
              <w:marLeft w:val="0"/>
              <w:marRight w:val="0"/>
              <w:marTop w:val="0"/>
              <w:marBottom w:val="0"/>
              <w:divBdr>
                <w:top w:val="none" w:sz="0" w:space="0" w:color="auto"/>
                <w:left w:val="none" w:sz="0" w:space="0" w:color="auto"/>
                <w:bottom w:val="none" w:sz="0" w:space="0" w:color="auto"/>
                <w:right w:val="none" w:sz="0" w:space="0" w:color="auto"/>
              </w:divBdr>
              <w:divsChild>
                <w:div w:id="486167443">
                  <w:marLeft w:val="0"/>
                  <w:marRight w:val="0"/>
                  <w:marTop w:val="0"/>
                  <w:marBottom w:val="0"/>
                  <w:divBdr>
                    <w:top w:val="none" w:sz="0" w:space="0" w:color="auto"/>
                    <w:left w:val="none" w:sz="0" w:space="0" w:color="auto"/>
                    <w:bottom w:val="none" w:sz="0" w:space="0" w:color="auto"/>
                    <w:right w:val="none" w:sz="0" w:space="0" w:color="auto"/>
                  </w:divBdr>
                  <w:divsChild>
                    <w:div w:id="921792160">
                      <w:marLeft w:val="0"/>
                      <w:marRight w:val="0"/>
                      <w:marTop w:val="0"/>
                      <w:marBottom w:val="0"/>
                      <w:divBdr>
                        <w:top w:val="none" w:sz="0" w:space="0" w:color="auto"/>
                        <w:left w:val="none" w:sz="0" w:space="0" w:color="auto"/>
                        <w:bottom w:val="none" w:sz="0" w:space="0" w:color="auto"/>
                        <w:right w:val="none" w:sz="0" w:space="0" w:color="auto"/>
                      </w:divBdr>
                      <w:divsChild>
                        <w:div w:id="2130005542">
                          <w:marLeft w:val="0"/>
                          <w:marRight w:val="0"/>
                          <w:marTop w:val="0"/>
                          <w:marBottom w:val="0"/>
                          <w:divBdr>
                            <w:top w:val="none" w:sz="0" w:space="0" w:color="auto"/>
                            <w:left w:val="none" w:sz="0" w:space="0" w:color="auto"/>
                            <w:bottom w:val="none" w:sz="0" w:space="0" w:color="auto"/>
                            <w:right w:val="none" w:sz="0" w:space="0" w:color="auto"/>
                          </w:divBdr>
                          <w:divsChild>
                            <w:div w:id="1824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00529">
      <w:bodyDiv w:val="1"/>
      <w:marLeft w:val="0"/>
      <w:marRight w:val="0"/>
      <w:marTop w:val="0"/>
      <w:marBottom w:val="0"/>
      <w:divBdr>
        <w:top w:val="none" w:sz="0" w:space="0" w:color="auto"/>
        <w:left w:val="none" w:sz="0" w:space="0" w:color="auto"/>
        <w:bottom w:val="none" w:sz="0" w:space="0" w:color="auto"/>
        <w:right w:val="none" w:sz="0" w:space="0" w:color="auto"/>
      </w:divBdr>
      <w:divsChild>
        <w:div w:id="1445537408">
          <w:marLeft w:val="3"/>
          <w:marRight w:val="3"/>
          <w:marTop w:val="0"/>
          <w:marBottom w:val="0"/>
          <w:divBdr>
            <w:top w:val="single" w:sz="4" w:space="0" w:color="112449"/>
            <w:left w:val="single" w:sz="4" w:space="0" w:color="112449"/>
            <w:bottom w:val="single" w:sz="4" w:space="0" w:color="112449"/>
            <w:right w:val="single" w:sz="4" w:space="0" w:color="112449"/>
          </w:divBdr>
          <w:divsChild>
            <w:div w:id="916863466">
              <w:marLeft w:val="3"/>
              <w:marRight w:val="3"/>
              <w:marTop w:val="0"/>
              <w:marBottom w:val="0"/>
              <w:divBdr>
                <w:top w:val="single" w:sz="4" w:space="0" w:color="112449"/>
                <w:left w:val="single" w:sz="4" w:space="0" w:color="112449"/>
                <w:bottom w:val="single" w:sz="4" w:space="0" w:color="112449"/>
                <w:right w:val="single" w:sz="4" w:space="0" w:color="112449"/>
              </w:divBdr>
              <w:divsChild>
                <w:div w:id="196453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16488">
      <w:bodyDiv w:val="1"/>
      <w:marLeft w:val="0"/>
      <w:marRight w:val="0"/>
      <w:marTop w:val="0"/>
      <w:marBottom w:val="0"/>
      <w:divBdr>
        <w:top w:val="none" w:sz="0" w:space="0" w:color="auto"/>
        <w:left w:val="none" w:sz="0" w:space="0" w:color="auto"/>
        <w:bottom w:val="none" w:sz="0" w:space="0" w:color="auto"/>
        <w:right w:val="none" w:sz="0" w:space="0" w:color="auto"/>
      </w:divBdr>
      <w:divsChild>
        <w:div w:id="775363933">
          <w:marLeft w:val="0"/>
          <w:marRight w:val="0"/>
          <w:marTop w:val="0"/>
          <w:marBottom w:val="0"/>
          <w:divBdr>
            <w:top w:val="none" w:sz="0" w:space="0" w:color="auto"/>
            <w:left w:val="none" w:sz="0" w:space="0" w:color="auto"/>
            <w:bottom w:val="none" w:sz="0" w:space="0" w:color="auto"/>
            <w:right w:val="none" w:sz="0" w:space="0" w:color="auto"/>
          </w:divBdr>
          <w:divsChild>
            <w:div w:id="1441492207">
              <w:marLeft w:val="0"/>
              <w:marRight w:val="0"/>
              <w:marTop w:val="0"/>
              <w:marBottom w:val="0"/>
              <w:divBdr>
                <w:top w:val="none" w:sz="0" w:space="0" w:color="auto"/>
                <w:left w:val="none" w:sz="0" w:space="0" w:color="auto"/>
                <w:bottom w:val="none" w:sz="0" w:space="0" w:color="auto"/>
                <w:right w:val="none" w:sz="0" w:space="0" w:color="auto"/>
              </w:divBdr>
              <w:divsChild>
                <w:div w:id="289289592">
                  <w:marLeft w:val="0"/>
                  <w:marRight w:val="0"/>
                  <w:marTop w:val="0"/>
                  <w:marBottom w:val="0"/>
                  <w:divBdr>
                    <w:top w:val="none" w:sz="0" w:space="0" w:color="auto"/>
                    <w:left w:val="none" w:sz="0" w:space="0" w:color="auto"/>
                    <w:bottom w:val="none" w:sz="0" w:space="0" w:color="auto"/>
                    <w:right w:val="none" w:sz="0" w:space="0" w:color="auto"/>
                  </w:divBdr>
                  <w:divsChild>
                    <w:div w:id="1219124147">
                      <w:marLeft w:val="0"/>
                      <w:marRight w:val="0"/>
                      <w:marTop w:val="0"/>
                      <w:marBottom w:val="0"/>
                      <w:divBdr>
                        <w:top w:val="none" w:sz="0" w:space="0" w:color="auto"/>
                        <w:left w:val="none" w:sz="0" w:space="0" w:color="auto"/>
                        <w:bottom w:val="none" w:sz="0" w:space="0" w:color="auto"/>
                        <w:right w:val="none" w:sz="0" w:space="0" w:color="auto"/>
                      </w:divBdr>
                      <w:divsChild>
                        <w:div w:id="1868565283">
                          <w:marLeft w:val="0"/>
                          <w:marRight w:val="0"/>
                          <w:marTop w:val="0"/>
                          <w:marBottom w:val="0"/>
                          <w:divBdr>
                            <w:top w:val="none" w:sz="0" w:space="0" w:color="auto"/>
                            <w:left w:val="none" w:sz="0" w:space="0" w:color="auto"/>
                            <w:bottom w:val="none" w:sz="0" w:space="0" w:color="auto"/>
                            <w:right w:val="none" w:sz="0" w:space="0" w:color="auto"/>
                          </w:divBdr>
                          <w:divsChild>
                            <w:div w:id="172197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42470">
      <w:bodyDiv w:val="1"/>
      <w:marLeft w:val="0"/>
      <w:marRight w:val="0"/>
      <w:marTop w:val="0"/>
      <w:marBottom w:val="0"/>
      <w:divBdr>
        <w:top w:val="none" w:sz="0" w:space="0" w:color="auto"/>
        <w:left w:val="none" w:sz="0" w:space="0" w:color="auto"/>
        <w:bottom w:val="none" w:sz="0" w:space="0" w:color="auto"/>
        <w:right w:val="none" w:sz="0" w:space="0" w:color="auto"/>
      </w:divBdr>
      <w:divsChild>
        <w:div w:id="1988391621">
          <w:marLeft w:val="0"/>
          <w:marRight w:val="0"/>
          <w:marTop w:val="0"/>
          <w:marBottom w:val="0"/>
          <w:divBdr>
            <w:top w:val="none" w:sz="0" w:space="0" w:color="auto"/>
            <w:left w:val="none" w:sz="0" w:space="0" w:color="auto"/>
            <w:bottom w:val="none" w:sz="0" w:space="0" w:color="auto"/>
            <w:right w:val="none" w:sz="0" w:space="0" w:color="auto"/>
          </w:divBdr>
          <w:divsChild>
            <w:div w:id="1445731833">
              <w:marLeft w:val="0"/>
              <w:marRight w:val="0"/>
              <w:marTop w:val="0"/>
              <w:marBottom w:val="0"/>
              <w:divBdr>
                <w:top w:val="none" w:sz="0" w:space="0" w:color="auto"/>
                <w:left w:val="none" w:sz="0" w:space="0" w:color="auto"/>
                <w:bottom w:val="none" w:sz="0" w:space="0" w:color="auto"/>
                <w:right w:val="none" w:sz="0" w:space="0" w:color="auto"/>
              </w:divBdr>
              <w:divsChild>
                <w:div w:id="1601528464">
                  <w:marLeft w:val="0"/>
                  <w:marRight w:val="0"/>
                  <w:marTop w:val="0"/>
                  <w:marBottom w:val="0"/>
                  <w:divBdr>
                    <w:top w:val="none" w:sz="0" w:space="0" w:color="auto"/>
                    <w:left w:val="none" w:sz="0" w:space="0" w:color="auto"/>
                    <w:bottom w:val="none" w:sz="0" w:space="0" w:color="auto"/>
                    <w:right w:val="none" w:sz="0" w:space="0" w:color="auto"/>
                  </w:divBdr>
                  <w:divsChild>
                    <w:div w:id="1400323983">
                      <w:marLeft w:val="0"/>
                      <w:marRight w:val="0"/>
                      <w:marTop w:val="0"/>
                      <w:marBottom w:val="0"/>
                      <w:divBdr>
                        <w:top w:val="none" w:sz="0" w:space="0" w:color="auto"/>
                        <w:left w:val="none" w:sz="0" w:space="0" w:color="auto"/>
                        <w:bottom w:val="none" w:sz="0" w:space="0" w:color="auto"/>
                        <w:right w:val="none" w:sz="0" w:space="0" w:color="auto"/>
                      </w:divBdr>
                      <w:divsChild>
                        <w:div w:id="1949848490">
                          <w:marLeft w:val="0"/>
                          <w:marRight w:val="0"/>
                          <w:marTop w:val="0"/>
                          <w:marBottom w:val="0"/>
                          <w:divBdr>
                            <w:top w:val="none" w:sz="0" w:space="0" w:color="auto"/>
                            <w:left w:val="none" w:sz="0" w:space="0" w:color="auto"/>
                            <w:bottom w:val="none" w:sz="0" w:space="0" w:color="auto"/>
                            <w:right w:val="none" w:sz="0" w:space="0" w:color="auto"/>
                          </w:divBdr>
                          <w:divsChild>
                            <w:div w:id="211609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46967">
      <w:bodyDiv w:val="1"/>
      <w:marLeft w:val="0"/>
      <w:marRight w:val="0"/>
      <w:marTop w:val="0"/>
      <w:marBottom w:val="0"/>
      <w:divBdr>
        <w:top w:val="none" w:sz="0" w:space="0" w:color="auto"/>
        <w:left w:val="none" w:sz="0" w:space="0" w:color="auto"/>
        <w:bottom w:val="none" w:sz="0" w:space="0" w:color="auto"/>
        <w:right w:val="none" w:sz="0" w:space="0" w:color="auto"/>
      </w:divBdr>
      <w:divsChild>
        <w:div w:id="1738891087">
          <w:marLeft w:val="0"/>
          <w:marRight w:val="0"/>
          <w:marTop w:val="0"/>
          <w:marBottom w:val="0"/>
          <w:divBdr>
            <w:top w:val="none" w:sz="0" w:space="0" w:color="auto"/>
            <w:left w:val="none" w:sz="0" w:space="0" w:color="auto"/>
            <w:bottom w:val="none" w:sz="0" w:space="0" w:color="auto"/>
            <w:right w:val="none" w:sz="0" w:space="0" w:color="auto"/>
          </w:divBdr>
          <w:divsChild>
            <w:div w:id="1950309935">
              <w:marLeft w:val="0"/>
              <w:marRight w:val="0"/>
              <w:marTop w:val="0"/>
              <w:marBottom w:val="0"/>
              <w:divBdr>
                <w:top w:val="none" w:sz="0" w:space="0" w:color="auto"/>
                <w:left w:val="none" w:sz="0" w:space="0" w:color="auto"/>
                <w:bottom w:val="none" w:sz="0" w:space="0" w:color="auto"/>
                <w:right w:val="none" w:sz="0" w:space="0" w:color="auto"/>
              </w:divBdr>
              <w:divsChild>
                <w:div w:id="1829204536">
                  <w:marLeft w:val="0"/>
                  <w:marRight w:val="0"/>
                  <w:marTop w:val="0"/>
                  <w:marBottom w:val="0"/>
                  <w:divBdr>
                    <w:top w:val="none" w:sz="0" w:space="0" w:color="auto"/>
                    <w:left w:val="none" w:sz="0" w:space="0" w:color="auto"/>
                    <w:bottom w:val="none" w:sz="0" w:space="0" w:color="auto"/>
                    <w:right w:val="none" w:sz="0" w:space="0" w:color="auto"/>
                  </w:divBdr>
                  <w:divsChild>
                    <w:div w:id="556552914">
                      <w:marLeft w:val="0"/>
                      <w:marRight w:val="0"/>
                      <w:marTop w:val="0"/>
                      <w:marBottom w:val="0"/>
                      <w:divBdr>
                        <w:top w:val="none" w:sz="0" w:space="0" w:color="auto"/>
                        <w:left w:val="none" w:sz="0" w:space="0" w:color="auto"/>
                        <w:bottom w:val="none" w:sz="0" w:space="0" w:color="auto"/>
                        <w:right w:val="none" w:sz="0" w:space="0" w:color="auto"/>
                      </w:divBdr>
                      <w:divsChild>
                        <w:div w:id="1848717193">
                          <w:marLeft w:val="0"/>
                          <w:marRight w:val="0"/>
                          <w:marTop w:val="0"/>
                          <w:marBottom w:val="0"/>
                          <w:divBdr>
                            <w:top w:val="none" w:sz="0" w:space="0" w:color="auto"/>
                            <w:left w:val="none" w:sz="0" w:space="0" w:color="auto"/>
                            <w:bottom w:val="none" w:sz="0" w:space="0" w:color="auto"/>
                            <w:right w:val="none" w:sz="0" w:space="0" w:color="auto"/>
                          </w:divBdr>
                          <w:divsChild>
                            <w:div w:id="2008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23187">
      <w:bodyDiv w:val="1"/>
      <w:marLeft w:val="0"/>
      <w:marRight w:val="0"/>
      <w:marTop w:val="0"/>
      <w:marBottom w:val="0"/>
      <w:divBdr>
        <w:top w:val="none" w:sz="0" w:space="0" w:color="auto"/>
        <w:left w:val="none" w:sz="0" w:space="0" w:color="auto"/>
        <w:bottom w:val="none" w:sz="0" w:space="0" w:color="auto"/>
        <w:right w:val="none" w:sz="0" w:space="0" w:color="auto"/>
      </w:divBdr>
      <w:divsChild>
        <w:div w:id="90396692">
          <w:marLeft w:val="0"/>
          <w:marRight w:val="0"/>
          <w:marTop w:val="0"/>
          <w:marBottom w:val="0"/>
          <w:divBdr>
            <w:top w:val="none" w:sz="0" w:space="0" w:color="auto"/>
            <w:left w:val="none" w:sz="0" w:space="0" w:color="auto"/>
            <w:bottom w:val="none" w:sz="0" w:space="0" w:color="auto"/>
            <w:right w:val="none" w:sz="0" w:space="0" w:color="auto"/>
          </w:divBdr>
          <w:divsChild>
            <w:div w:id="1314020782">
              <w:marLeft w:val="0"/>
              <w:marRight w:val="0"/>
              <w:marTop w:val="0"/>
              <w:marBottom w:val="0"/>
              <w:divBdr>
                <w:top w:val="none" w:sz="0" w:space="0" w:color="auto"/>
                <w:left w:val="none" w:sz="0" w:space="0" w:color="auto"/>
                <w:bottom w:val="none" w:sz="0" w:space="0" w:color="auto"/>
                <w:right w:val="none" w:sz="0" w:space="0" w:color="auto"/>
              </w:divBdr>
              <w:divsChild>
                <w:div w:id="453787538">
                  <w:marLeft w:val="0"/>
                  <w:marRight w:val="0"/>
                  <w:marTop w:val="0"/>
                  <w:marBottom w:val="0"/>
                  <w:divBdr>
                    <w:top w:val="none" w:sz="0" w:space="0" w:color="auto"/>
                    <w:left w:val="none" w:sz="0" w:space="0" w:color="auto"/>
                    <w:bottom w:val="none" w:sz="0" w:space="0" w:color="auto"/>
                    <w:right w:val="none" w:sz="0" w:space="0" w:color="auto"/>
                  </w:divBdr>
                  <w:divsChild>
                    <w:div w:id="480539563">
                      <w:marLeft w:val="0"/>
                      <w:marRight w:val="0"/>
                      <w:marTop w:val="0"/>
                      <w:marBottom w:val="0"/>
                      <w:divBdr>
                        <w:top w:val="none" w:sz="0" w:space="0" w:color="auto"/>
                        <w:left w:val="none" w:sz="0" w:space="0" w:color="auto"/>
                        <w:bottom w:val="none" w:sz="0" w:space="0" w:color="auto"/>
                        <w:right w:val="none" w:sz="0" w:space="0" w:color="auto"/>
                      </w:divBdr>
                      <w:divsChild>
                        <w:div w:id="1117988300">
                          <w:marLeft w:val="0"/>
                          <w:marRight w:val="0"/>
                          <w:marTop w:val="0"/>
                          <w:marBottom w:val="0"/>
                          <w:divBdr>
                            <w:top w:val="none" w:sz="0" w:space="0" w:color="auto"/>
                            <w:left w:val="none" w:sz="0" w:space="0" w:color="auto"/>
                            <w:bottom w:val="none" w:sz="0" w:space="0" w:color="auto"/>
                            <w:right w:val="none" w:sz="0" w:space="0" w:color="auto"/>
                          </w:divBdr>
                          <w:divsChild>
                            <w:div w:id="155183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03786">
      <w:bodyDiv w:val="1"/>
      <w:marLeft w:val="0"/>
      <w:marRight w:val="0"/>
      <w:marTop w:val="0"/>
      <w:marBottom w:val="0"/>
      <w:divBdr>
        <w:top w:val="none" w:sz="0" w:space="0" w:color="auto"/>
        <w:left w:val="none" w:sz="0" w:space="0" w:color="auto"/>
        <w:bottom w:val="none" w:sz="0" w:space="0" w:color="auto"/>
        <w:right w:val="none" w:sz="0" w:space="0" w:color="auto"/>
      </w:divBdr>
      <w:divsChild>
        <w:div w:id="1840388318">
          <w:marLeft w:val="0"/>
          <w:marRight w:val="0"/>
          <w:marTop w:val="0"/>
          <w:marBottom w:val="0"/>
          <w:divBdr>
            <w:top w:val="none" w:sz="0" w:space="0" w:color="auto"/>
            <w:left w:val="none" w:sz="0" w:space="0" w:color="auto"/>
            <w:bottom w:val="none" w:sz="0" w:space="0" w:color="auto"/>
            <w:right w:val="none" w:sz="0" w:space="0" w:color="auto"/>
          </w:divBdr>
          <w:divsChild>
            <w:div w:id="793256942">
              <w:marLeft w:val="0"/>
              <w:marRight w:val="0"/>
              <w:marTop w:val="0"/>
              <w:marBottom w:val="0"/>
              <w:divBdr>
                <w:top w:val="none" w:sz="0" w:space="0" w:color="auto"/>
                <w:left w:val="none" w:sz="0" w:space="0" w:color="auto"/>
                <w:bottom w:val="none" w:sz="0" w:space="0" w:color="auto"/>
                <w:right w:val="none" w:sz="0" w:space="0" w:color="auto"/>
              </w:divBdr>
              <w:divsChild>
                <w:div w:id="948586362">
                  <w:marLeft w:val="0"/>
                  <w:marRight w:val="0"/>
                  <w:marTop w:val="0"/>
                  <w:marBottom w:val="0"/>
                  <w:divBdr>
                    <w:top w:val="none" w:sz="0" w:space="0" w:color="auto"/>
                    <w:left w:val="none" w:sz="0" w:space="0" w:color="auto"/>
                    <w:bottom w:val="none" w:sz="0" w:space="0" w:color="auto"/>
                    <w:right w:val="none" w:sz="0" w:space="0" w:color="auto"/>
                  </w:divBdr>
                  <w:divsChild>
                    <w:div w:id="170340313">
                      <w:marLeft w:val="0"/>
                      <w:marRight w:val="0"/>
                      <w:marTop w:val="0"/>
                      <w:marBottom w:val="0"/>
                      <w:divBdr>
                        <w:top w:val="none" w:sz="0" w:space="0" w:color="auto"/>
                        <w:left w:val="none" w:sz="0" w:space="0" w:color="auto"/>
                        <w:bottom w:val="none" w:sz="0" w:space="0" w:color="auto"/>
                        <w:right w:val="none" w:sz="0" w:space="0" w:color="auto"/>
                      </w:divBdr>
                      <w:divsChild>
                        <w:div w:id="1003750467">
                          <w:marLeft w:val="0"/>
                          <w:marRight w:val="0"/>
                          <w:marTop w:val="0"/>
                          <w:marBottom w:val="0"/>
                          <w:divBdr>
                            <w:top w:val="none" w:sz="0" w:space="0" w:color="auto"/>
                            <w:left w:val="none" w:sz="0" w:space="0" w:color="auto"/>
                            <w:bottom w:val="none" w:sz="0" w:space="0" w:color="auto"/>
                            <w:right w:val="none" w:sz="0" w:space="0" w:color="auto"/>
                          </w:divBdr>
                          <w:divsChild>
                            <w:div w:id="20705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3238">
      <w:bodyDiv w:val="1"/>
      <w:marLeft w:val="0"/>
      <w:marRight w:val="0"/>
      <w:marTop w:val="0"/>
      <w:marBottom w:val="0"/>
      <w:divBdr>
        <w:top w:val="none" w:sz="0" w:space="0" w:color="auto"/>
        <w:left w:val="none" w:sz="0" w:space="0" w:color="auto"/>
        <w:bottom w:val="none" w:sz="0" w:space="0" w:color="auto"/>
        <w:right w:val="none" w:sz="0" w:space="0" w:color="auto"/>
      </w:divBdr>
    </w:div>
    <w:div w:id="210384228">
      <w:bodyDiv w:val="1"/>
      <w:marLeft w:val="0"/>
      <w:marRight w:val="0"/>
      <w:marTop w:val="0"/>
      <w:marBottom w:val="0"/>
      <w:divBdr>
        <w:top w:val="none" w:sz="0" w:space="0" w:color="auto"/>
        <w:left w:val="none" w:sz="0" w:space="0" w:color="auto"/>
        <w:bottom w:val="none" w:sz="0" w:space="0" w:color="auto"/>
        <w:right w:val="none" w:sz="0" w:space="0" w:color="auto"/>
      </w:divBdr>
    </w:div>
    <w:div w:id="210575310">
      <w:bodyDiv w:val="1"/>
      <w:marLeft w:val="0"/>
      <w:marRight w:val="0"/>
      <w:marTop w:val="0"/>
      <w:marBottom w:val="0"/>
      <w:divBdr>
        <w:top w:val="none" w:sz="0" w:space="0" w:color="auto"/>
        <w:left w:val="none" w:sz="0" w:space="0" w:color="auto"/>
        <w:bottom w:val="none" w:sz="0" w:space="0" w:color="auto"/>
        <w:right w:val="none" w:sz="0" w:space="0" w:color="auto"/>
      </w:divBdr>
      <w:divsChild>
        <w:div w:id="2142335194">
          <w:marLeft w:val="0"/>
          <w:marRight w:val="0"/>
          <w:marTop w:val="0"/>
          <w:marBottom w:val="0"/>
          <w:divBdr>
            <w:top w:val="none" w:sz="0" w:space="0" w:color="auto"/>
            <w:left w:val="none" w:sz="0" w:space="0" w:color="auto"/>
            <w:bottom w:val="none" w:sz="0" w:space="0" w:color="auto"/>
            <w:right w:val="none" w:sz="0" w:space="0" w:color="auto"/>
          </w:divBdr>
          <w:divsChild>
            <w:div w:id="849418208">
              <w:marLeft w:val="0"/>
              <w:marRight w:val="0"/>
              <w:marTop w:val="0"/>
              <w:marBottom w:val="0"/>
              <w:divBdr>
                <w:top w:val="none" w:sz="0" w:space="0" w:color="auto"/>
                <w:left w:val="none" w:sz="0" w:space="0" w:color="auto"/>
                <w:bottom w:val="none" w:sz="0" w:space="0" w:color="auto"/>
                <w:right w:val="none" w:sz="0" w:space="0" w:color="auto"/>
              </w:divBdr>
              <w:divsChild>
                <w:div w:id="527373982">
                  <w:marLeft w:val="0"/>
                  <w:marRight w:val="0"/>
                  <w:marTop w:val="0"/>
                  <w:marBottom w:val="0"/>
                  <w:divBdr>
                    <w:top w:val="none" w:sz="0" w:space="0" w:color="auto"/>
                    <w:left w:val="none" w:sz="0" w:space="0" w:color="auto"/>
                    <w:bottom w:val="none" w:sz="0" w:space="0" w:color="auto"/>
                    <w:right w:val="none" w:sz="0" w:space="0" w:color="auto"/>
                  </w:divBdr>
                  <w:divsChild>
                    <w:div w:id="1836460446">
                      <w:marLeft w:val="0"/>
                      <w:marRight w:val="0"/>
                      <w:marTop w:val="0"/>
                      <w:marBottom w:val="0"/>
                      <w:divBdr>
                        <w:top w:val="none" w:sz="0" w:space="0" w:color="auto"/>
                        <w:left w:val="none" w:sz="0" w:space="0" w:color="auto"/>
                        <w:bottom w:val="none" w:sz="0" w:space="0" w:color="auto"/>
                        <w:right w:val="none" w:sz="0" w:space="0" w:color="auto"/>
                      </w:divBdr>
                      <w:divsChild>
                        <w:div w:id="265161548">
                          <w:marLeft w:val="0"/>
                          <w:marRight w:val="0"/>
                          <w:marTop w:val="0"/>
                          <w:marBottom w:val="0"/>
                          <w:divBdr>
                            <w:top w:val="none" w:sz="0" w:space="0" w:color="auto"/>
                            <w:left w:val="none" w:sz="0" w:space="0" w:color="auto"/>
                            <w:bottom w:val="none" w:sz="0" w:space="0" w:color="auto"/>
                            <w:right w:val="none" w:sz="0" w:space="0" w:color="auto"/>
                          </w:divBdr>
                          <w:divsChild>
                            <w:div w:id="14898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09578">
      <w:bodyDiv w:val="1"/>
      <w:marLeft w:val="0"/>
      <w:marRight w:val="0"/>
      <w:marTop w:val="0"/>
      <w:marBottom w:val="0"/>
      <w:divBdr>
        <w:top w:val="none" w:sz="0" w:space="0" w:color="auto"/>
        <w:left w:val="none" w:sz="0" w:space="0" w:color="auto"/>
        <w:bottom w:val="none" w:sz="0" w:space="0" w:color="auto"/>
        <w:right w:val="none" w:sz="0" w:space="0" w:color="auto"/>
      </w:divBdr>
      <w:divsChild>
        <w:div w:id="1683358220">
          <w:marLeft w:val="0"/>
          <w:marRight w:val="0"/>
          <w:marTop w:val="0"/>
          <w:marBottom w:val="0"/>
          <w:divBdr>
            <w:top w:val="none" w:sz="0" w:space="0" w:color="auto"/>
            <w:left w:val="none" w:sz="0" w:space="0" w:color="auto"/>
            <w:bottom w:val="none" w:sz="0" w:space="0" w:color="auto"/>
            <w:right w:val="none" w:sz="0" w:space="0" w:color="auto"/>
          </w:divBdr>
          <w:divsChild>
            <w:div w:id="738751225">
              <w:marLeft w:val="0"/>
              <w:marRight w:val="0"/>
              <w:marTop w:val="0"/>
              <w:marBottom w:val="0"/>
              <w:divBdr>
                <w:top w:val="none" w:sz="0" w:space="0" w:color="auto"/>
                <w:left w:val="none" w:sz="0" w:space="0" w:color="auto"/>
                <w:bottom w:val="none" w:sz="0" w:space="0" w:color="auto"/>
                <w:right w:val="none" w:sz="0" w:space="0" w:color="auto"/>
              </w:divBdr>
              <w:divsChild>
                <w:div w:id="1201553570">
                  <w:marLeft w:val="0"/>
                  <w:marRight w:val="0"/>
                  <w:marTop w:val="0"/>
                  <w:marBottom w:val="0"/>
                  <w:divBdr>
                    <w:top w:val="none" w:sz="0" w:space="0" w:color="auto"/>
                    <w:left w:val="none" w:sz="0" w:space="0" w:color="auto"/>
                    <w:bottom w:val="none" w:sz="0" w:space="0" w:color="auto"/>
                    <w:right w:val="none" w:sz="0" w:space="0" w:color="auto"/>
                  </w:divBdr>
                  <w:divsChild>
                    <w:div w:id="660960579">
                      <w:marLeft w:val="0"/>
                      <w:marRight w:val="0"/>
                      <w:marTop w:val="0"/>
                      <w:marBottom w:val="0"/>
                      <w:divBdr>
                        <w:top w:val="none" w:sz="0" w:space="0" w:color="auto"/>
                        <w:left w:val="none" w:sz="0" w:space="0" w:color="auto"/>
                        <w:bottom w:val="none" w:sz="0" w:space="0" w:color="auto"/>
                        <w:right w:val="none" w:sz="0" w:space="0" w:color="auto"/>
                      </w:divBdr>
                      <w:divsChild>
                        <w:div w:id="1952856823">
                          <w:marLeft w:val="0"/>
                          <w:marRight w:val="0"/>
                          <w:marTop w:val="0"/>
                          <w:marBottom w:val="0"/>
                          <w:divBdr>
                            <w:top w:val="none" w:sz="0" w:space="0" w:color="auto"/>
                            <w:left w:val="none" w:sz="0" w:space="0" w:color="auto"/>
                            <w:bottom w:val="none" w:sz="0" w:space="0" w:color="auto"/>
                            <w:right w:val="none" w:sz="0" w:space="0" w:color="auto"/>
                          </w:divBdr>
                          <w:divsChild>
                            <w:div w:id="11699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940277">
      <w:bodyDiv w:val="1"/>
      <w:marLeft w:val="0"/>
      <w:marRight w:val="0"/>
      <w:marTop w:val="0"/>
      <w:marBottom w:val="0"/>
      <w:divBdr>
        <w:top w:val="none" w:sz="0" w:space="0" w:color="auto"/>
        <w:left w:val="none" w:sz="0" w:space="0" w:color="auto"/>
        <w:bottom w:val="none" w:sz="0" w:space="0" w:color="auto"/>
        <w:right w:val="none" w:sz="0" w:space="0" w:color="auto"/>
      </w:divBdr>
      <w:divsChild>
        <w:div w:id="123355514">
          <w:marLeft w:val="0"/>
          <w:marRight w:val="0"/>
          <w:marTop w:val="0"/>
          <w:marBottom w:val="0"/>
          <w:divBdr>
            <w:top w:val="none" w:sz="0" w:space="0" w:color="auto"/>
            <w:left w:val="none" w:sz="0" w:space="0" w:color="auto"/>
            <w:bottom w:val="none" w:sz="0" w:space="0" w:color="auto"/>
            <w:right w:val="none" w:sz="0" w:space="0" w:color="auto"/>
          </w:divBdr>
          <w:divsChild>
            <w:div w:id="1861821139">
              <w:marLeft w:val="0"/>
              <w:marRight w:val="0"/>
              <w:marTop w:val="0"/>
              <w:marBottom w:val="0"/>
              <w:divBdr>
                <w:top w:val="none" w:sz="0" w:space="0" w:color="auto"/>
                <w:left w:val="none" w:sz="0" w:space="0" w:color="auto"/>
                <w:bottom w:val="none" w:sz="0" w:space="0" w:color="auto"/>
                <w:right w:val="none" w:sz="0" w:space="0" w:color="auto"/>
              </w:divBdr>
              <w:divsChild>
                <w:div w:id="138961086">
                  <w:marLeft w:val="0"/>
                  <w:marRight w:val="0"/>
                  <w:marTop w:val="100"/>
                  <w:marBottom w:val="240"/>
                  <w:divBdr>
                    <w:top w:val="none" w:sz="0" w:space="0" w:color="auto"/>
                    <w:left w:val="none" w:sz="0" w:space="0" w:color="auto"/>
                    <w:bottom w:val="none" w:sz="0" w:space="0" w:color="auto"/>
                    <w:right w:val="none" w:sz="0" w:space="0" w:color="auto"/>
                  </w:divBdr>
                </w:div>
                <w:div w:id="350840655">
                  <w:marLeft w:val="0"/>
                  <w:marRight w:val="0"/>
                  <w:marTop w:val="100"/>
                  <w:marBottom w:val="240"/>
                  <w:divBdr>
                    <w:top w:val="none" w:sz="0" w:space="0" w:color="auto"/>
                    <w:left w:val="none" w:sz="0" w:space="0" w:color="auto"/>
                    <w:bottom w:val="none" w:sz="0" w:space="0" w:color="auto"/>
                    <w:right w:val="none" w:sz="0" w:space="0" w:color="auto"/>
                  </w:divBdr>
                </w:div>
                <w:div w:id="1001155914">
                  <w:marLeft w:val="0"/>
                  <w:marRight w:val="0"/>
                  <w:marTop w:val="100"/>
                  <w:marBottom w:val="240"/>
                  <w:divBdr>
                    <w:top w:val="none" w:sz="0" w:space="0" w:color="auto"/>
                    <w:left w:val="none" w:sz="0" w:space="0" w:color="auto"/>
                    <w:bottom w:val="none" w:sz="0" w:space="0" w:color="auto"/>
                    <w:right w:val="none" w:sz="0" w:space="0" w:color="auto"/>
                  </w:divBdr>
                </w:div>
                <w:div w:id="1289240506">
                  <w:marLeft w:val="0"/>
                  <w:marRight w:val="0"/>
                  <w:marTop w:val="100"/>
                  <w:marBottom w:val="240"/>
                  <w:divBdr>
                    <w:top w:val="none" w:sz="0" w:space="0" w:color="auto"/>
                    <w:left w:val="none" w:sz="0" w:space="0" w:color="auto"/>
                    <w:bottom w:val="none" w:sz="0" w:space="0" w:color="auto"/>
                    <w:right w:val="none" w:sz="0" w:space="0" w:color="auto"/>
                  </w:divBdr>
                </w:div>
                <w:div w:id="1705859406">
                  <w:marLeft w:val="0"/>
                  <w:marRight w:val="0"/>
                  <w:marTop w:val="100"/>
                  <w:marBottom w:val="240"/>
                  <w:divBdr>
                    <w:top w:val="none" w:sz="0" w:space="0" w:color="auto"/>
                    <w:left w:val="none" w:sz="0" w:space="0" w:color="auto"/>
                    <w:bottom w:val="none" w:sz="0" w:space="0" w:color="auto"/>
                    <w:right w:val="none" w:sz="0" w:space="0" w:color="auto"/>
                  </w:divBdr>
                </w:div>
                <w:div w:id="1800416830">
                  <w:marLeft w:val="0"/>
                  <w:marRight w:val="0"/>
                  <w:marTop w:val="100"/>
                  <w:marBottom w:val="240"/>
                  <w:divBdr>
                    <w:top w:val="none" w:sz="0" w:space="0" w:color="auto"/>
                    <w:left w:val="none" w:sz="0" w:space="0" w:color="auto"/>
                    <w:bottom w:val="none" w:sz="0" w:space="0" w:color="auto"/>
                    <w:right w:val="none" w:sz="0" w:space="0" w:color="auto"/>
                  </w:divBdr>
                </w:div>
                <w:div w:id="1898972719">
                  <w:marLeft w:val="0"/>
                  <w:marRight w:val="0"/>
                  <w:marTop w:val="100"/>
                  <w:marBottom w:val="240"/>
                  <w:divBdr>
                    <w:top w:val="none" w:sz="0" w:space="0" w:color="auto"/>
                    <w:left w:val="none" w:sz="0" w:space="0" w:color="auto"/>
                    <w:bottom w:val="none" w:sz="0" w:space="0" w:color="auto"/>
                    <w:right w:val="none" w:sz="0" w:space="0" w:color="auto"/>
                  </w:divBdr>
                </w:div>
              </w:divsChild>
            </w:div>
          </w:divsChild>
        </w:div>
      </w:divsChild>
    </w:div>
    <w:div w:id="231890094">
      <w:bodyDiv w:val="1"/>
      <w:marLeft w:val="0"/>
      <w:marRight w:val="0"/>
      <w:marTop w:val="0"/>
      <w:marBottom w:val="0"/>
      <w:divBdr>
        <w:top w:val="none" w:sz="0" w:space="0" w:color="auto"/>
        <w:left w:val="none" w:sz="0" w:space="0" w:color="auto"/>
        <w:bottom w:val="none" w:sz="0" w:space="0" w:color="auto"/>
        <w:right w:val="none" w:sz="0" w:space="0" w:color="auto"/>
      </w:divBdr>
      <w:divsChild>
        <w:div w:id="955331037">
          <w:marLeft w:val="0"/>
          <w:marRight w:val="0"/>
          <w:marTop w:val="0"/>
          <w:marBottom w:val="0"/>
          <w:divBdr>
            <w:top w:val="none" w:sz="0" w:space="0" w:color="auto"/>
            <w:left w:val="none" w:sz="0" w:space="0" w:color="auto"/>
            <w:bottom w:val="none" w:sz="0" w:space="0" w:color="auto"/>
            <w:right w:val="none" w:sz="0" w:space="0" w:color="auto"/>
          </w:divBdr>
          <w:divsChild>
            <w:div w:id="1012148895">
              <w:marLeft w:val="0"/>
              <w:marRight w:val="0"/>
              <w:marTop w:val="0"/>
              <w:marBottom w:val="0"/>
              <w:divBdr>
                <w:top w:val="none" w:sz="0" w:space="0" w:color="auto"/>
                <w:left w:val="none" w:sz="0" w:space="0" w:color="auto"/>
                <w:bottom w:val="none" w:sz="0" w:space="0" w:color="auto"/>
                <w:right w:val="none" w:sz="0" w:space="0" w:color="auto"/>
              </w:divBdr>
              <w:divsChild>
                <w:div w:id="1467091366">
                  <w:marLeft w:val="0"/>
                  <w:marRight w:val="0"/>
                  <w:marTop w:val="0"/>
                  <w:marBottom w:val="0"/>
                  <w:divBdr>
                    <w:top w:val="none" w:sz="0" w:space="0" w:color="auto"/>
                    <w:left w:val="none" w:sz="0" w:space="0" w:color="auto"/>
                    <w:bottom w:val="none" w:sz="0" w:space="0" w:color="auto"/>
                    <w:right w:val="none" w:sz="0" w:space="0" w:color="auto"/>
                  </w:divBdr>
                  <w:divsChild>
                    <w:div w:id="2076469995">
                      <w:marLeft w:val="0"/>
                      <w:marRight w:val="0"/>
                      <w:marTop w:val="0"/>
                      <w:marBottom w:val="0"/>
                      <w:divBdr>
                        <w:top w:val="none" w:sz="0" w:space="0" w:color="auto"/>
                        <w:left w:val="none" w:sz="0" w:space="0" w:color="auto"/>
                        <w:bottom w:val="none" w:sz="0" w:space="0" w:color="auto"/>
                        <w:right w:val="none" w:sz="0" w:space="0" w:color="auto"/>
                      </w:divBdr>
                      <w:divsChild>
                        <w:div w:id="573705263">
                          <w:marLeft w:val="0"/>
                          <w:marRight w:val="0"/>
                          <w:marTop w:val="0"/>
                          <w:marBottom w:val="0"/>
                          <w:divBdr>
                            <w:top w:val="none" w:sz="0" w:space="0" w:color="auto"/>
                            <w:left w:val="none" w:sz="0" w:space="0" w:color="auto"/>
                            <w:bottom w:val="none" w:sz="0" w:space="0" w:color="auto"/>
                            <w:right w:val="none" w:sz="0" w:space="0" w:color="auto"/>
                          </w:divBdr>
                          <w:divsChild>
                            <w:div w:id="170656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863872">
      <w:bodyDiv w:val="1"/>
      <w:marLeft w:val="0"/>
      <w:marRight w:val="0"/>
      <w:marTop w:val="0"/>
      <w:marBottom w:val="0"/>
      <w:divBdr>
        <w:top w:val="none" w:sz="0" w:space="0" w:color="auto"/>
        <w:left w:val="none" w:sz="0" w:space="0" w:color="auto"/>
        <w:bottom w:val="none" w:sz="0" w:space="0" w:color="auto"/>
        <w:right w:val="none" w:sz="0" w:space="0" w:color="auto"/>
      </w:divBdr>
      <w:divsChild>
        <w:div w:id="2064475907">
          <w:marLeft w:val="0"/>
          <w:marRight w:val="0"/>
          <w:marTop w:val="0"/>
          <w:marBottom w:val="0"/>
          <w:divBdr>
            <w:top w:val="none" w:sz="0" w:space="0" w:color="auto"/>
            <w:left w:val="none" w:sz="0" w:space="0" w:color="auto"/>
            <w:bottom w:val="none" w:sz="0" w:space="0" w:color="auto"/>
            <w:right w:val="none" w:sz="0" w:space="0" w:color="auto"/>
          </w:divBdr>
          <w:divsChild>
            <w:div w:id="946237017">
              <w:marLeft w:val="0"/>
              <w:marRight w:val="0"/>
              <w:marTop w:val="0"/>
              <w:marBottom w:val="0"/>
              <w:divBdr>
                <w:top w:val="none" w:sz="0" w:space="0" w:color="auto"/>
                <w:left w:val="none" w:sz="0" w:space="0" w:color="auto"/>
                <w:bottom w:val="none" w:sz="0" w:space="0" w:color="auto"/>
                <w:right w:val="none" w:sz="0" w:space="0" w:color="auto"/>
              </w:divBdr>
              <w:divsChild>
                <w:div w:id="188690677">
                  <w:marLeft w:val="0"/>
                  <w:marRight w:val="0"/>
                  <w:marTop w:val="0"/>
                  <w:marBottom w:val="0"/>
                  <w:divBdr>
                    <w:top w:val="none" w:sz="0" w:space="0" w:color="auto"/>
                    <w:left w:val="none" w:sz="0" w:space="0" w:color="auto"/>
                    <w:bottom w:val="none" w:sz="0" w:space="0" w:color="auto"/>
                    <w:right w:val="none" w:sz="0" w:space="0" w:color="auto"/>
                  </w:divBdr>
                  <w:divsChild>
                    <w:div w:id="454711903">
                      <w:marLeft w:val="0"/>
                      <w:marRight w:val="0"/>
                      <w:marTop w:val="0"/>
                      <w:marBottom w:val="0"/>
                      <w:divBdr>
                        <w:top w:val="none" w:sz="0" w:space="0" w:color="auto"/>
                        <w:left w:val="none" w:sz="0" w:space="0" w:color="auto"/>
                        <w:bottom w:val="none" w:sz="0" w:space="0" w:color="auto"/>
                        <w:right w:val="none" w:sz="0" w:space="0" w:color="auto"/>
                      </w:divBdr>
                      <w:divsChild>
                        <w:div w:id="1875385080">
                          <w:marLeft w:val="0"/>
                          <w:marRight w:val="0"/>
                          <w:marTop w:val="0"/>
                          <w:marBottom w:val="0"/>
                          <w:divBdr>
                            <w:top w:val="none" w:sz="0" w:space="0" w:color="auto"/>
                            <w:left w:val="none" w:sz="0" w:space="0" w:color="auto"/>
                            <w:bottom w:val="none" w:sz="0" w:space="0" w:color="auto"/>
                            <w:right w:val="none" w:sz="0" w:space="0" w:color="auto"/>
                          </w:divBdr>
                          <w:divsChild>
                            <w:div w:id="13097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852655">
      <w:bodyDiv w:val="1"/>
      <w:marLeft w:val="0"/>
      <w:marRight w:val="0"/>
      <w:marTop w:val="0"/>
      <w:marBottom w:val="0"/>
      <w:divBdr>
        <w:top w:val="none" w:sz="0" w:space="0" w:color="auto"/>
        <w:left w:val="none" w:sz="0" w:space="0" w:color="auto"/>
        <w:bottom w:val="none" w:sz="0" w:space="0" w:color="auto"/>
        <w:right w:val="none" w:sz="0" w:space="0" w:color="auto"/>
      </w:divBdr>
      <w:divsChild>
        <w:div w:id="979307414">
          <w:marLeft w:val="0"/>
          <w:marRight w:val="0"/>
          <w:marTop w:val="0"/>
          <w:marBottom w:val="0"/>
          <w:divBdr>
            <w:top w:val="none" w:sz="0" w:space="0" w:color="auto"/>
            <w:left w:val="none" w:sz="0" w:space="0" w:color="auto"/>
            <w:bottom w:val="none" w:sz="0" w:space="0" w:color="auto"/>
            <w:right w:val="none" w:sz="0" w:space="0" w:color="auto"/>
          </w:divBdr>
          <w:divsChild>
            <w:div w:id="2005744809">
              <w:marLeft w:val="0"/>
              <w:marRight w:val="0"/>
              <w:marTop w:val="0"/>
              <w:marBottom w:val="0"/>
              <w:divBdr>
                <w:top w:val="none" w:sz="0" w:space="0" w:color="auto"/>
                <w:left w:val="none" w:sz="0" w:space="0" w:color="auto"/>
                <w:bottom w:val="none" w:sz="0" w:space="0" w:color="auto"/>
                <w:right w:val="none" w:sz="0" w:space="0" w:color="auto"/>
              </w:divBdr>
              <w:divsChild>
                <w:div w:id="1911381392">
                  <w:marLeft w:val="0"/>
                  <w:marRight w:val="0"/>
                  <w:marTop w:val="0"/>
                  <w:marBottom w:val="0"/>
                  <w:divBdr>
                    <w:top w:val="none" w:sz="0" w:space="0" w:color="auto"/>
                    <w:left w:val="none" w:sz="0" w:space="0" w:color="auto"/>
                    <w:bottom w:val="none" w:sz="0" w:space="0" w:color="auto"/>
                    <w:right w:val="none" w:sz="0" w:space="0" w:color="auto"/>
                  </w:divBdr>
                  <w:divsChild>
                    <w:div w:id="180515054">
                      <w:marLeft w:val="0"/>
                      <w:marRight w:val="0"/>
                      <w:marTop w:val="0"/>
                      <w:marBottom w:val="0"/>
                      <w:divBdr>
                        <w:top w:val="none" w:sz="0" w:space="0" w:color="auto"/>
                        <w:left w:val="none" w:sz="0" w:space="0" w:color="auto"/>
                        <w:bottom w:val="none" w:sz="0" w:space="0" w:color="auto"/>
                        <w:right w:val="none" w:sz="0" w:space="0" w:color="auto"/>
                      </w:divBdr>
                      <w:divsChild>
                        <w:div w:id="198200879">
                          <w:marLeft w:val="0"/>
                          <w:marRight w:val="0"/>
                          <w:marTop w:val="0"/>
                          <w:marBottom w:val="0"/>
                          <w:divBdr>
                            <w:top w:val="none" w:sz="0" w:space="0" w:color="auto"/>
                            <w:left w:val="none" w:sz="0" w:space="0" w:color="auto"/>
                            <w:bottom w:val="none" w:sz="0" w:space="0" w:color="auto"/>
                            <w:right w:val="none" w:sz="0" w:space="0" w:color="auto"/>
                          </w:divBdr>
                          <w:divsChild>
                            <w:div w:id="8194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445381">
      <w:bodyDiv w:val="1"/>
      <w:marLeft w:val="0"/>
      <w:marRight w:val="0"/>
      <w:marTop w:val="0"/>
      <w:marBottom w:val="0"/>
      <w:divBdr>
        <w:top w:val="none" w:sz="0" w:space="0" w:color="auto"/>
        <w:left w:val="none" w:sz="0" w:space="0" w:color="auto"/>
        <w:bottom w:val="none" w:sz="0" w:space="0" w:color="auto"/>
        <w:right w:val="none" w:sz="0" w:space="0" w:color="auto"/>
      </w:divBdr>
      <w:divsChild>
        <w:div w:id="644049761">
          <w:marLeft w:val="0"/>
          <w:marRight w:val="0"/>
          <w:marTop w:val="0"/>
          <w:marBottom w:val="0"/>
          <w:divBdr>
            <w:top w:val="none" w:sz="0" w:space="0" w:color="auto"/>
            <w:left w:val="none" w:sz="0" w:space="0" w:color="auto"/>
            <w:bottom w:val="none" w:sz="0" w:space="0" w:color="auto"/>
            <w:right w:val="none" w:sz="0" w:space="0" w:color="auto"/>
          </w:divBdr>
          <w:divsChild>
            <w:div w:id="1521042157">
              <w:marLeft w:val="0"/>
              <w:marRight w:val="0"/>
              <w:marTop w:val="0"/>
              <w:marBottom w:val="0"/>
              <w:divBdr>
                <w:top w:val="none" w:sz="0" w:space="0" w:color="auto"/>
                <w:left w:val="none" w:sz="0" w:space="0" w:color="auto"/>
                <w:bottom w:val="none" w:sz="0" w:space="0" w:color="auto"/>
                <w:right w:val="none" w:sz="0" w:space="0" w:color="auto"/>
              </w:divBdr>
              <w:divsChild>
                <w:div w:id="1242135436">
                  <w:marLeft w:val="0"/>
                  <w:marRight w:val="0"/>
                  <w:marTop w:val="0"/>
                  <w:marBottom w:val="0"/>
                  <w:divBdr>
                    <w:top w:val="none" w:sz="0" w:space="0" w:color="auto"/>
                    <w:left w:val="none" w:sz="0" w:space="0" w:color="auto"/>
                    <w:bottom w:val="none" w:sz="0" w:space="0" w:color="auto"/>
                    <w:right w:val="none" w:sz="0" w:space="0" w:color="auto"/>
                  </w:divBdr>
                  <w:divsChild>
                    <w:div w:id="916791694">
                      <w:marLeft w:val="0"/>
                      <w:marRight w:val="0"/>
                      <w:marTop w:val="0"/>
                      <w:marBottom w:val="0"/>
                      <w:divBdr>
                        <w:top w:val="none" w:sz="0" w:space="0" w:color="auto"/>
                        <w:left w:val="none" w:sz="0" w:space="0" w:color="auto"/>
                        <w:bottom w:val="none" w:sz="0" w:space="0" w:color="auto"/>
                        <w:right w:val="none" w:sz="0" w:space="0" w:color="auto"/>
                      </w:divBdr>
                      <w:divsChild>
                        <w:div w:id="202600684">
                          <w:marLeft w:val="0"/>
                          <w:marRight w:val="0"/>
                          <w:marTop w:val="0"/>
                          <w:marBottom w:val="0"/>
                          <w:divBdr>
                            <w:top w:val="none" w:sz="0" w:space="0" w:color="auto"/>
                            <w:left w:val="none" w:sz="0" w:space="0" w:color="auto"/>
                            <w:bottom w:val="none" w:sz="0" w:space="0" w:color="auto"/>
                            <w:right w:val="none" w:sz="0" w:space="0" w:color="auto"/>
                          </w:divBdr>
                          <w:divsChild>
                            <w:div w:id="1150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11348">
      <w:bodyDiv w:val="1"/>
      <w:marLeft w:val="0"/>
      <w:marRight w:val="0"/>
      <w:marTop w:val="0"/>
      <w:marBottom w:val="0"/>
      <w:divBdr>
        <w:top w:val="none" w:sz="0" w:space="0" w:color="auto"/>
        <w:left w:val="none" w:sz="0" w:space="0" w:color="auto"/>
        <w:bottom w:val="none" w:sz="0" w:space="0" w:color="auto"/>
        <w:right w:val="none" w:sz="0" w:space="0" w:color="auto"/>
      </w:divBdr>
    </w:div>
    <w:div w:id="293099262">
      <w:bodyDiv w:val="1"/>
      <w:marLeft w:val="0"/>
      <w:marRight w:val="0"/>
      <w:marTop w:val="0"/>
      <w:marBottom w:val="0"/>
      <w:divBdr>
        <w:top w:val="none" w:sz="0" w:space="0" w:color="auto"/>
        <w:left w:val="none" w:sz="0" w:space="0" w:color="auto"/>
        <w:bottom w:val="none" w:sz="0" w:space="0" w:color="auto"/>
        <w:right w:val="none" w:sz="0" w:space="0" w:color="auto"/>
      </w:divBdr>
      <w:divsChild>
        <w:div w:id="1115100876">
          <w:marLeft w:val="0"/>
          <w:marRight w:val="0"/>
          <w:marTop w:val="0"/>
          <w:marBottom w:val="0"/>
          <w:divBdr>
            <w:top w:val="none" w:sz="0" w:space="0" w:color="auto"/>
            <w:left w:val="none" w:sz="0" w:space="0" w:color="auto"/>
            <w:bottom w:val="none" w:sz="0" w:space="0" w:color="auto"/>
            <w:right w:val="none" w:sz="0" w:space="0" w:color="auto"/>
          </w:divBdr>
          <w:divsChild>
            <w:div w:id="244187158">
              <w:marLeft w:val="0"/>
              <w:marRight w:val="0"/>
              <w:marTop w:val="0"/>
              <w:marBottom w:val="0"/>
              <w:divBdr>
                <w:top w:val="none" w:sz="0" w:space="0" w:color="auto"/>
                <w:left w:val="none" w:sz="0" w:space="0" w:color="auto"/>
                <w:bottom w:val="none" w:sz="0" w:space="0" w:color="auto"/>
                <w:right w:val="none" w:sz="0" w:space="0" w:color="auto"/>
              </w:divBdr>
              <w:divsChild>
                <w:div w:id="938030978">
                  <w:marLeft w:val="0"/>
                  <w:marRight w:val="0"/>
                  <w:marTop w:val="0"/>
                  <w:marBottom w:val="0"/>
                  <w:divBdr>
                    <w:top w:val="none" w:sz="0" w:space="0" w:color="auto"/>
                    <w:left w:val="none" w:sz="0" w:space="0" w:color="auto"/>
                    <w:bottom w:val="none" w:sz="0" w:space="0" w:color="auto"/>
                    <w:right w:val="none" w:sz="0" w:space="0" w:color="auto"/>
                  </w:divBdr>
                  <w:divsChild>
                    <w:div w:id="1896427955">
                      <w:marLeft w:val="0"/>
                      <w:marRight w:val="0"/>
                      <w:marTop w:val="0"/>
                      <w:marBottom w:val="0"/>
                      <w:divBdr>
                        <w:top w:val="none" w:sz="0" w:space="0" w:color="auto"/>
                        <w:left w:val="none" w:sz="0" w:space="0" w:color="auto"/>
                        <w:bottom w:val="none" w:sz="0" w:space="0" w:color="auto"/>
                        <w:right w:val="none" w:sz="0" w:space="0" w:color="auto"/>
                      </w:divBdr>
                      <w:divsChild>
                        <w:div w:id="486555078">
                          <w:marLeft w:val="0"/>
                          <w:marRight w:val="0"/>
                          <w:marTop w:val="0"/>
                          <w:marBottom w:val="0"/>
                          <w:divBdr>
                            <w:top w:val="none" w:sz="0" w:space="0" w:color="auto"/>
                            <w:left w:val="none" w:sz="0" w:space="0" w:color="auto"/>
                            <w:bottom w:val="none" w:sz="0" w:space="0" w:color="auto"/>
                            <w:right w:val="none" w:sz="0" w:space="0" w:color="auto"/>
                          </w:divBdr>
                          <w:divsChild>
                            <w:div w:id="836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125029">
      <w:bodyDiv w:val="1"/>
      <w:marLeft w:val="0"/>
      <w:marRight w:val="0"/>
      <w:marTop w:val="0"/>
      <w:marBottom w:val="0"/>
      <w:divBdr>
        <w:top w:val="none" w:sz="0" w:space="0" w:color="auto"/>
        <w:left w:val="none" w:sz="0" w:space="0" w:color="auto"/>
        <w:bottom w:val="none" w:sz="0" w:space="0" w:color="auto"/>
        <w:right w:val="none" w:sz="0" w:space="0" w:color="auto"/>
      </w:divBdr>
      <w:divsChild>
        <w:div w:id="1007631244">
          <w:marLeft w:val="0"/>
          <w:marRight w:val="0"/>
          <w:marTop w:val="0"/>
          <w:marBottom w:val="0"/>
          <w:divBdr>
            <w:top w:val="none" w:sz="0" w:space="0" w:color="auto"/>
            <w:left w:val="none" w:sz="0" w:space="0" w:color="auto"/>
            <w:bottom w:val="none" w:sz="0" w:space="0" w:color="auto"/>
            <w:right w:val="none" w:sz="0" w:space="0" w:color="auto"/>
          </w:divBdr>
          <w:divsChild>
            <w:div w:id="639651637">
              <w:marLeft w:val="0"/>
              <w:marRight w:val="0"/>
              <w:marTop w:val="0"/>
              <w:marBottom w:val="0"/>
              <w:divBdr>
                <w:top w:val="none" w:sz="0" w:space="0" w:color="auto"/>
                <w:left w:val="none" w:sz="0" w:space="0" w:color="auto"/>
                <w:bottom w:val="none" w:sz="0" w:space="0" w:color="auto"/>
                <w:right w:val="none" w:sz="0" w:space="0" w:color="auto"/>
              </w:divBdr>
              <w:divsChild>
                <w:div w:id="204559073">
                  <w:marLeft w:val="0"/>
                  <w:marRight w:val="0"/>
                  <w:marTop w:val="0"/>
                  <w:marBottom w:val="0"/>
                  <w:divBdr>
                    <w:top w:val="none" w:sz="0" w:space="0" w:color="auto"/>
                    <w:left w:val="none" w:sz="0" w:space="0" w:color="auto"/>
                    <w:bottom w:val="none" w:sz="0" w:space="0" w:color="auto"/>
                    <w:right w:val="none" w:sz="0" w:space="0" w:color="auto"/>
                  </w:divBdr>
                  <w:divsChild>
                    <w:div w:id="753476848">
                      <w:marLeft w:val="0"/>
                      <w:marRight w:val="0"/>
                      <w:marTop w:val="0"/>
                      <w:marBottom w:val="0"/>
                      <w:divBdr>
                        <w:top w:val="none" w:sz="0" w:space="0" w:color="auto"/>
                        <w:left w:val="none" w:sz="0" w:space="0" w:color="auto"/>
                        <w:bottom w:val="none" w:sz="0" w:space="0" w:color="auto"/>
                        <w:right w:val="none" w:sz="0" w:space="0" w:color="auto"/>
                      </w:divBdr>
                      <w:divsChild>
                        <w:div w:id="1188106552">
                          <w:marLeft w:val="0"/>
                          <w:marRight w:val="0"/>
                          <w:marTop w:val="0"/>
                          <w:marBottom w:val="0"/>
                          <w:divBdr>
                            <w:top w:val="none" w:sz="0" w:space="0" w:color="auto"/>
                            <w:left w:val="none" w:sz="0" w:space="0" w:color="auto"/>
                            <w:bottom w:val="none" w:sz="0" w:space="0" w:color="auto"/>
                            <w:right w:val="none" w:sz="0" w:space="0" w:color="auto"/>
                          </w:divBdr>
                          <w:divsChild>
                            <w:div w:id="178503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77547">
      <w:bodyDiv w:val="1"/>
      <w:marLeft w:val="0"/>
      <w:marRight w:val="0"/>
      <w:marTop w:val="0"/>
      <w:marBottom w:val="0"/>
      <w:divBdr>
        <w:top w:val="none" w:sz="0" w:space="0" w:color="auto"/>
        <w:left w:val="none" w:sz="0" w:space="0" w:color="auto"/>
        <w:bottom w:val="none" w:sz="0" w:space="0" w:color="auto"/>
        <w:right w:val="none" w:sz="0" w:space="0" w:color="auto"/>
      </w:divBdr>
      <w:divsChild>
        <w:div w:id="1951543640">
          <w:marLeft w:val="0"/>
          <w:marRight w:val="0"/>
          <w:marTop w:val="0"/>
          <w:marBottom w:val="0"/>
          <w:divBdr>
            <w:top w:val="none" w:sz="0" w:space="0" w:color="auto"/>
            <w:left w:val="none" w:sz="0" w:space="0" w:color="auto"/>
            <w:bottom w:val="none" w:sz="0" w:space="0" w:color="auto"/>
            <w:right w:val="none" w:sz="0" w:space="0" w:color="auto"/>
          </w:divBdr>
          <w:divsChild>
            <w:div w:id="582179773">
              <w:marLeft w:val="0"/>
              <w:marRight w:val="0"/>
              <w:marTop w:val="0"/>
              <w:marBottom w:val="0"/>
              <w:divBdr>
                <w:top w:val="none" w:sz="0" w:space="0" w:color="auto"/>
                <w:left w:val="none" w:sz="0" w:space="0" w:color="auto"/>
                <w:bottom w:val="none" w:sz="0" w:space="0" w:color="auto"/>
                <w:right w:val="none" w:sz="0" w:space="0" w:color="auto"/>
              </w:divBdr>
              <w:divsChild>
                <w:div w:id="1557665881">
                  <w:marLeft w:val="0"/>
                  <w:marRight w:val="0"/>
                  <w:marTop w:val="0"/>
                  <w:marBottom w:val="0"/>
                  <w:divBdr>
                    <w:top w:val="none" w:sz="0" w:space="0" w:color="auto"/>
                    <w:left w:val="none" w:sz="0" w:space="0" w:color="auto"/>
                    <w:bottom w:val="none" w:sz="0" w:space="0" w:color="auto"/>
                    <w:right w:val="none" w:sz="0" w:space="0" w:color="auto"/>
                  </w:divBdr>
                  <w:divsChild>
                    <w:div w:id="2023387123">
                      <w:marLeft w:val="0"/>
                      <w:marRight w:val="0"/>
                      <w:marTop w:val="0"/>
                      <w:marBottom w:val="0"/>
                      <w:divBdr>
                        <w:top w:val="none" w:sz="0" w:space="0" w:color="auto"/>
                        <w:left w:val="none" w:sz="0" w:space="0" w:color="auto"/>
                        <w:bottom w:val="none" w:sz="0" w:space="0" w:color="auto"/>
                        <w:right w:val="none" w:sz="0" w:space="0" w:color="auto"/>
                      </w:divBdr>
                      <w:divsChild>
                        <w:div w:id="558243812">
                          <w:marLeft w:val="0"/>
                          <w:marRight w:val="0"/>
                          <w:marTop w:val="0"/>
                          <w:marBottom w:val="0"/>
                          <w:divBdr>
                            <w:top w:val="none" w:sz="0" w:space="0" w:color="auto"/>
                            <w:left w:val="none" w:sz="0" w:space="0" w:color="auto"/>
                            <w:bottom w:val="none" w:sz="0" w:space="0" w:color="auto"/>
                            <w:right w:val="none" w:sz="0" w:space="0" w:color="auto"/>
                          </w:divBdr>
                          <w:divsChild>
                            <w:div w:id="4657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225132">
      <w:bodyDiv w:val="1"/>
      <w:marLeft w:val="0"/>
      <w:marRight w:val="0"/>
      <w:marTop w:val="0"/>
      <w:marBottom w:val="0"/>
      <w:divBdr>
        <w:top w:val="none" w:sz="0" w:space="0" w:color="auto"/>
        <w:left w:val="none" w:sz="0" w:space="0" w:color="auto"/>
        <w:bottom w:val="none" w:sz="0" w:space="0" w:color="auto"/>
        <w:right w:val="none" w:sz="0" w:space="0" w:color="auto"/>
      </w:divBdr>
      <w:divsChild>
        <w:div w:id="653412007">
          <w:marLeft w:val="0"/>
          <w:marRight w:val="0"/>
          <w:marTop w:val="0"/>
          <w:marBottom w:val="0"/>
          <w:divBdr>
            <w:top w:val="none" w:sz="0" w:space="0" w:color="auto"/>
            <w:left w:val="none" w:sz="0" w:space="0" w:color="auto"/>
            <w:bottom w:val="none" w:sz="0" w:space="0" w:color="auto"/>
            <w:right w:val="none" w:sz="0" w:space="0" w:color="auto"/>
          </w:divBdr>
          <w:divsChild>
            <w:div w:id="1374844820">
              <w:marLeft w:val="0"/>
              <w:marRight w:val="0"/>
              <w:marTop w:val="0"/>
              <w:marBottom w:val="0"/>
              <w:divBdr>
                <w:top w:val="none" w:sz="0" w:space="0" w:color="auto"/>
                <w:left w:val="none" w:sz="0" w:space="0" w:color="auto"/>
                <w:bottom w:val="none" w:sz="0" w:space="0" w:color="auto"/>
                <w:right w:val="none" w:sz="0" w:space="0" w:color="auto"/>
              </w:divBdr>
              <w:divsChild>
                <w:div w:id="715932378">
                  <w:marLeft w:val="0"/>
                  <w:marRight w:val="0"/>
                  <w:marTop w:val="0"/>
                  <w:marBottom w:val="0"/>
                  <w:divBdr>
                    <w:top w:val="none" w:sz="0" w:space="0" w:color="auto"/>
                    <w:left w:val="none" w:sz="0" w:space="0" w:color="auto"/>
                    <w:bottom w:val="none" w:sz="0" w:space="0" w:color="auto"/>
                    <w:right w:val="none" w:sz="0" w:space="0" w:color="auto"/>
                  </w:divBdr>
                  <w:divsChild>
                    <w:div w:id="1840847848">
                      <w:marLeft w:val="0"/>
                      <w:marRight w:val="0"/>
                      <w:marTop w:val="0"/>
                      <w:marBottom w:val="0"/>
                      <w:divBdr>
                        <w:top w:val="none" w:sz="0" w:space="0" w:color="auto"/>
                        <w:left w:val="none" w:sz="0" w:space="0" w:color="auto"/>
                        <w:bottom w:val="none" w:sz="0" w:space="0" w:color="auto"/>
                        <w:right w:val="none" w:sz="0" w:space="0" w:color="auto"/>
                      </w:divBdr>
                      <w:divsChild>
                        <w:div w:id="1078861699">
                          <w:marLeft w:val="0"/>
                          <w:marRight w:val="0"/>
                          <w:marTop w:val="0"/>
                          <w:marBottom w:val="0"/>
                          <w:divBdr>
                            <w:top w:val="none" w:sz="0" w:space="0" w:color="auto"/>
                            <w:left w:val="none" w:sz="0" w:space="0" w:color="auto"/>
                            <w:bottom w:val="none" w:sz="0" w:space="0" w:color="auto"/>
                            <w:right w:val="none" w:sz="0" w:space="0" w:color="auto"/>
                          </w:divBdr>
                          <w:divsChild>
                            <w:div w:id="20320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399903">
      <w:bodyDiv w:val="1"/>
      <w:marLeft w:val="0"/>
      <w:marRight w:val="0"/>
      <w:marTop w:val="0"/>
      <w:marBottom w:val="0"/>
      <w:divBdr>
        <w:top w:val="none" w:sz="0" w:space="0" w:color="auto"/>
        <w:left w:val="none" w:sz="0" w:space="0" w:color="auto"/>
        <w:bottom w:val="none" w:sz="0" w:space="0" w:color="auto"/>
        <w:right w:val="none" w:sz="0" w:space="0" w:color="auto"/>
      </w:divBdr>
      <w:divsChild>
        <w:div w:id="910970549">
          <w:marLeft w:val="0"/>
          <w:marRight w:val="0"/>
          <w:marTop w:val="0"/>
          <w:marBottom w:val="0"/>
          <w:divBdr>
            <w:top w:val="none" w:sz="0" w:space="0" w:color="auto"/>
            <w:left w:val="none" w:sz="0" w:space="0" w:color="auto"/>
            <w:bottom w:val="none" w:sz="0" w:space="0" w:color="auto"/>
            <w:right w:val="none" w:sz="0" w:space="0" w:color="auto"/>
          </w:divBdr>
          <w:divsChild>
            <w:div w:id="1468203566">
              <w:marLeft w:val="0"/>
              <w:marRight w:val="0"/>
              <w:marTop w:val="0"/>
              <w:marBottom w:val="0"/>
              <w:divBdr>
                <w:top w:val="none" w:sz="0" w:space="0" w:color="auto"/>
                <w:left w:val="none" w:sz="0" w:space="0" w:color="auto"/>
                <w:bottom w:val="none" w:sz="0" w:space="0" w:color="auto"/>
                <w:right w:val="none" w:sz="0" w:space="0" w:color="auto"/>
              </w:divBdr>
              <w:divsChild>
                <w:div w:id="18748339">
                  <w:marLeft w:val="0"/>
                  <w:marRight w:val="0"/>
                  <w:marTop w:val="0"/>
                  <w:marBottom w:val="0"/>
                  <w:divBdr>
                    <w:top w:val="none" w:sz="0" w:space="0" w:color="auto"/>
                    <w:left w:val="none" w:sz="0" w:space="0" w:color="auto"/>
                    <w:bottom w:val="none" w:sz="0" w:space="0" w:color="auto"/>
                    <w:right w:val="none" w:sz="0" w:space="0" w:color="auto"/>
                  </w:divBdr>
                  <w:divsChild>
                    <w:div w:id="1301151787">
                      <w:marLeft w:val="0"/>
                      <w:marRight w:val="0"/>
                      <w:marTop w:val="0"/>
                      <w:marBottom w:val="0"/>
                      <w:divBdr>
                        <w:top w:val="none" w:sz="0" w:space="0" w:color="auto"/>
                        <w:left w:val="none" w:sz="0" w:space="0" w:color="auto"/>
                        <w:bottom w:val="none" w:sz="0" w:space="0" w:color="auto"/>
                        <w:right w:val="none" w:sz="0" w:space="0" w:color="auto"/>
                      </w:divBdr>
                      <w:divsChild>
                        <w:div w:id="292488267">
                          <w:marLeft w:val="0"/>
                          <w:marRight w:val="0"/>
                          <w:marTop w:val="0"/>
                          <w:marBottom w:val="0"/>
                          <w:divBdr>
                            <w:top w:val="none" w:sz="0" w:space="0" w:color="auto"/>
                            <w:left w:val="none" w:sz="0" w:space="0" w:color="auto"/>
                            <w:bottom w:val="none" w:sz="0" w:space="0" w:color="auto"/>
                            <w:right w:val="none" w:sz="0" w:space="0" w:color="auto"/>
                          </w:divBdr>
                          <w:divsChild>
                            <w:div w:id="175081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876749">
      <w:bodyDiv w:val="1"/>
      <w:marLeft w:val="0"/>
      <w:marRight w:val="0"/>
      <w:marTop w:val="0"/>
      <w:marBottom w:val="0"/>
      <w:divBdr>
        <w:top w:val="none" w:sz="0" w:space="0" w:color="auto"/>
        <w:left w:val="none" w:sz="0" w:space="0" w:color="auto"/>
        <w:bottom w:val="none" w:sz="0" w:space="0" w:color="auto"/>
        <w:right w:val="none" w:sz="0" w:space="0" w:color="auto"/>
      </w:divBdr>
      <w:divsChild>
        <w:div w:id="317005389">
          <w:marLeft w:val="0"/>
          <w:marRight w:val="0"/>
          <w:marTop w:val="0"/>
          <w:marBottom w:val="0"/>
          <w:divBdr>
            <w:top w:val="none" w:sz="0" w:space="0" w:color="auto"/>
            <w:left w:val="none" w:sz="0" w:space="0" w:color="auto"/>
            <w:bottom w:val="none" w:sz="0" w:space="0" w:color="auto"/>
            <w:right w:val="none" w:sz="0" w:space="0" w:color="auto"/>
          </w:divBdr>
          <w:divsChild>
            <w:div w:id="56244131">
              <w:marLeft w:val="0"/>
              <w:marRight w:val="0"/>
              <w:marTop w:val="0"/>
              <w:marBottom w:val="0"/>
              <w:divBdr>
                <w:top w:val="none" w:sz="0" w:space="0" w:color="auto"/>
                <w:left w:val="none" w:sz="0" w:space="0" w:color="auto"/>
                <w:bottom w:val="none" w:sz="0" w:space="0" w:color="auto"/>
                <w:right w:val="none" w:sz="0" w:space="0" w:color="auto"/>
              </w:divBdr>
              <w:divsChild>
                <w:div w:id="267347308">
                  <w:marLeft w:val="0"/>
                  <w:marRight w:val="0"/>
                  <w:marTop w:val="0"/>
                  <w:marBottom w:val="0"/>
                  <w:divBdr>
                    <w:top w:val="none" w:sz="0" w:space="0" w:color="auto"/>
                    <w:left w:val="none" w:sz="0" w:space="0" w:color="auto"/>
                    <w:bottom w:val="none" w:sz="0" w:space="0" w:color="auto"/>
                    <w:right w:val="none" w:sz="0" w:space="0" w:color="auto"/>
                  </w:divBdr>
                  <w:divsChild>
                    <w:div w:id="1767774800">
                      <w:marLeft w:val="0"/>
                      <w:marRight w:val="0"/>
                      <w:marTop w:val="0"/>
                      <w:marBottom w:val="0"/>
                      <w:divBdr>
                        <w:top w:val="none" w:sz="0" w:space="0" w:color="auto"/>
                        <w:left w:val="none" w:sz="0" w:space="0" w:color="auto"/>
                        <w:bottom w:val="none" w:sz="0" w:space="0" w:color="auto"/>
                        <w:right w:val="none" w:sz="0" w:space="0" w:color="auto"/>
                      </w:divBdr>
                      <w:divsChild>
                        <w:div w:id="1087965664">
                          <w:marLeft w:val="0"/>
                          <w:marRight w:val="0"/>
                          <w:marTop w:val="0"/>
                          <w:marBottom w:val="0"/>
                          <w:divBdr>
                            <w:top w:val="none" w:sz="0" w:space="0" w:color="auto"/>
                            <w:left w:val="none" w:sz="0" w:space="0" w:color="auto"/>
                            <w:bottom w:val="none" w:sz="0" w:space="0" w:color="auto"/>
                            <w:right w:val="none" w:sz="0" w:space="0" w:color="auto"/>
                          </w:divBdr>
                          <w:divsChild>
                            <w:div w:id="19772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207482">
      <w:bodyDiv w:val="1"/>
      <w:marLeft w:val="0"/>
      <w:marRight w:val="0"/>
      <w:marTop w:val="0"/>
      <w:marBottom w:val="0"/>
      <w:divBdr>
        <w:top w:val="none" w:sz="0" w:space="0" w:color="auto"/>
        <w:left w:val="none" w:sz="0" w:space="0" w:color="auto"/>
        <w:bottom w:val="none" w:sz="0" w:space="0" w:color="auto"/>
        <w:right w:val="none" w:sz="0" w:space="0" w:color="auto"/>
      </w:divBdr>
      <w:divsChild>
        <w:div w:id="1323386041">
          <w:marLeft w:val="0"/>
          <w:marRight w:val="0"/>
          <w:marTop w:val="0"/>
          <w:marBottom w:val="0"/>
          <w:divBdr>
            <w:top w:val="none" w:sz="0" w:space="0" w:color="auto"/>
            <w:left w:val="none" w:sz="0" w:space="0" w:color="auto"/>
            <w:bottom w:val="none" w:sz="0" w:space="0" w:color="auto"/>
            <w:right w:val="none" w:sz="0" w:space="0" w:color="auto"/>
          </w:divBdr>
          <w:divsChild>
            <w:div w:id="142553677">
              <w:marLeft w:val="0"/>
              <w:marRight w:val="0"/>
              <w:marTop w:val="0"/>
              <w:marBottom w:val="0"/>
              <w:divBdr>
                <w:top w:val="none" w:sz="0" w:space="0" w:color="auto"/>
                <w:left w:val="none" w:sz="0" w:space="0" w:color="auto"/>
                <w:bottom w:val="none" w:sz="0" w:space="0" w:color="auto"/>
                <w:right w:val="none" w:sz="0" w:space="0" w:color="auto"/>
              </w:divBdr>
              <w:divsChild>
                <w:div w:id="1101102129">
                  <w:marLeft w:val="0"/>
                  <w:marRight w:val="0"/>
                  <w:marTop w:val="0"/>
                  <w:marBottom w:val="0"/>
                  <w:divBdr>
                    <w:top w:val="none" w:sz="0" w:space="0" w:color="auto"/>
                    <w:left w:val="none" w:sz="0" w:space="0" w:color="auto"/>
                    <w:bottom w:val="none" w:sz="0" w:space="0" w:color="auto"/>
                    <w:right w:val="none" w:sz="0" w:space="0" w:color="auto"/>
                  </w:divBdr>
                  <w:divsChild>
                    <w:div w:id="688415215">
                      <w:marLeft w:val="0"/>
                      <w:marRight w:val="0"/>
                      <w:marTop w:val="0"/>
                      <w:marBottom w:val="0"/>
                      <w:divBdr>
                        <w:top w:val="none" w:sz="0" w:space="0" w:color="auto"/>
                        <w:left w:val="none" w:sz="0" w:space="0" w:color="auto"/>
                        <w:bottom w:val="none" w:sz="0" w:space="0" w:color="auto"/>
                        <w:right w:val="none" w:sz="0" w:space="0" w:color="auto"/>
                      </w:divBdr>
                      <w:divsChild>
                        <w:div w:id="1649892800">
                          <w:marLeft w:val="0"/>
                          <w:marRight w:val="0"/>
                          <w:marTop w:val="0"/>
                          <w:marBottom w:val="0"/>
                          <w:divBdr>
                            <w:top w:val="none" w:sz="0" w:space="0" w:color="auto"/>
                            <w:left w:val="none" w:sz="0" w:space="0" w:color="auto"/>
                            <w:bottom w:val="none" w:sz="0" w:space="0" w:color="auto"/>
                            <w:right w:val="none" w:sz="0" w:space="0" w:color="auto"/>
                          </w:divBdr>
                          <w:divsChild>
                            <w:div w:id="4254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706925">
      <w:bodyDiv w:val="1"/>
      <w:marLeft w:val="0"/>
      <w:marRight w:val="0"/>
      <w:marTop w:val="0"/>
      <w:marBottom w:val="0"/>
      <w:divBdr>
        <w:top w:val="none" w:sz="0" w:space="0" w:color="auto"/>
        <w:left w:val="none" w:sz="0" w:space="0" w:color="auto"/>
        <w:bottom w:val="none" w:sz="0" w:space="0" w:color="auto"/>
        <w:right w:val="none" w:sz="0" w:space="0" w:color="auto"/>
      </w:divBdr>
      <w:divsChild>
        <w:div w:id="1803844670">
          <w:marLeft w:val="0"/>
          <w:marRight w:val="0"/>
          <w:marTop w:val="0"/>
          <w:marBottom w:val="0"/>
          <w:divBdr>
            <w:top w:val="none" w:sz="0" w:space="0" w:color="auto"/>
            <w:left w:val="none" w:sz="0" w:space="0" w:color="auto"/>
            <w:bottom w:val="none" w:sz="0" w:space="0" w:color="auto"/>
            <w:right w:val="none" w:sz="0" w:space="0" w:color="auto"/>
          </w:divBdr>
          <w:divsChild>
            <w:div w:id="228226232">
              <w:marLeft w:val="0"/>
              <w:marRight w:val="0"/>
              <w:marTop w:val="0"/>
              <w:marBottom w:val="0"/>
              <w:divBdr>
                <w:top w:val="none" w:sz="0" w:space="0" w:color="auto"/>
                <w:left w:val="none" w:sz="0" w:space="0" w:color="auto"/>
                <w:bottom w:val="none" w:sz="0" w:space="0" w:color="auto"/>
                <w:right w:val="none" w:sz="0" w:space="0" w:color="auto"/>
              </w:divBdr>
              <w:divsChild>
                <w:div w:id="208953027">
                  <w:marLeft w:val="0"/>
                  <w:marRight w:val="0"/>
                  <w:marTop w:val="0"/>
                  <w:marBottom w:val="0"/>
                  <w:divBdr>
                    <w:top w:val="none" w:sz="0" w:space="0" w:color="auto"/>
                    <w:left w:val="none" w:sz="0" w:space="0" w:color="auto"/>
                    <w:bottom w:val="none" w:sz="0" w:space="0" w:color="auto"/>
                    <w:right w:val="none" w:sz="0" w:space="0" w:color="auto"/>
                  </w:divBdr>
                  <w:divsChild>
                    <w:div w:id="469177312">
                      <w:marLeft w:val="0"/>
                      <w:marRight w:val="0"/>
                      <w:marTop w:val="0"/>
                      <w:marBottom w:val="0"/>
                      <w:divBdr>
                        <w:top w:val="none" w:sz="0" w:space="0" w:color="auto"/>
                        <w:left w:val="none" w:sz="0" w:space="0" w:color="auto"/>
                        <w:bottom w:val="none" w:sz="0" w:space="0" w:color="auto"/>
                        <w:right w:val="none" w:sz="0" w:space="0" w:color="auto"/>
                      </w:divBdr>
                      <w:divsChild>
                        <w:div w:id="1257908945">
                          <w:marLeft w:val="0"/>
                          <w:marRight w:val="0"/>
                          <w:marTop w:val="0"/>
                          <w:marBottom w:val="0"/>
                          <w:divBdr>
                            <w:top w:val="none" w:sz="0" w:space="0" w:color="auto"/>
                            <w:left w:val="none" w:sz="0" w:space="0" w:color="auto"/>
                            <w:bottom w:val="none" w:sz="0" w:space="0" w:color="auto"/>
                            <w:right w:val="none" w:sz="0" w:space="0" w:color="auto"/>
                          </w:divBdr>
                          <w:divsChild>
                            <w:div w:id="40383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020313">
      <w:bodyDiv w:val="1"/>
      <w:marLeft w:val="0"/>
      <w:marRight w:val="0"/>
      <w:marTop w:val="0"/>
      <w:marBottom w:val="0"/>
      <w:divBdr>
        <w:top w:val="none" w:sz="0" w:space="0" w:color="auto"/>
        <w:left w:val="none" w:sz="0" w:space="0" w:color="auto"/>
        <w:bottom w:val="none" w:sz="0" w:space="0" w:color="auto"/>
        <w:right w:val="none" w:sz="0" w:space="0" w:color="auto"/>
      </w:divBdr>
      <w:divsChild>
        <w:div w:id="1777821921">
          <w:marLeft w:val="0"/>
          <w:marRight w:val="0"/>
          <w:marTop w:val="0"/>
          <w:marBottom w:val="0"/>
          <w:divBdr>
            <w:top w:val="none" w:sz="0" w:space="0" w:color="auto"/>
            <w:left w:val="none" w:sz="0" w:space="0" w:color="auto"/>
            <w:bottom w:val="none" w:sz="0" w:space="0" w:color="auto"/>
            <w:right w:val="none" w:sz="0" w:space="0" w:color="auto"/>
          </w:divBdr>
          <w:divsChild>
            <w:div w:id="335116269">
              <w:marLeft w:val="0"/>
              <w:marRight w:val="0"/>
              <w:marTop w:val="0"/>
              <w:marBottom w:val="0"/>
              <w:divBdr>
                <w:top w:val="none" w:sz="0" w:space="0" w:color="auto"/>
                <w:left w:val="none" w:sz="0" w:space="0" w:color="auto"/>
                <w:bottom w:val="none" w:sz="0" w:space="0" w:color="auto"/>
                <w:right w:val="none" w:sz="0" w:space="0" w:color="auto"/>
              </w:divBdr>
              <w:divsChild>
                <w:div w:id="1658728562">
                  <w:marLeft w:val="0"/>
                  <w:marRight w:val="0"/>
                  <w:marTop w:val="0"/>
                  <w:marBottom w:val="0"/>
                  <w:divBdr>
                    <w:top w:val="none" w:sz="0" w:space="0" w:color="auto"/>
                    <w:left w:val="none" w:sz="0" w:space="0" w:color="auto"/>
                    <w:bottom w:val="none" w:sz="0" w:space="0" w:color="auto"/>
                    <w:right w:val="none" w:sz="0" w:space="0" w:color="auto"/>
                  </w:divBdr>
                  <w:divsChild>
                    <w:div w:id="336739561">
                      <w:marLeft w:val="0"/>
                      <w:marRight w:val="0"/>
                      <w:marTop w:val="0"/>
                      <w:marBottom w:val="0"/>
                      <w:divBdr>
                        <w:top w:val="none" w:sz="0" w:space="0" w:color="auto"/>
                        <w:left w:val="none" w:sz="0" w:space="0" w:color="auto"/>
                        <w:bottom w:val="none" w:sz="0" w:space="0" w:color="auto"/>
                        <w:right w:val="none" w:sz="0" w:space="0" w:color="auto"/>
                      </w:divBdr>
                      <w:divsChild>
                        <w:div w:id="1579093050">
                          <w:marLeft w:val="0"/>
                          <w:marRight w:val="0"/>
                          <w:marTop w:val="0"/>
                          <w:marBottom w:val="0"/>
                          <w:divBdr>
                            <w:top w:val="none" w:sz="0" w:space="0" w:color="auto"/>
                            <w:left w:val="none" w:sz="0" w:space="0" w:color="auto"/>
                            <w:bottom w:val="none" w:sz="0" w:space="0" w:color="auto"/>
                            <w:right w:val="none" w:sz="0" w:space="0" w:color="auto"/>
                          </w:divBdr>
                          <w:divsChild>
                            <w:div w:id="7671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218704">
      <w:bodyDiv w:val="1"/>
      <w:marLeft w:val="0"/>
      <w:marRight w:val="0"/>
      <w:marTop w:val="0"/>
      <w:marBottom w:val="0"/>
      <w:divBdr>
        <w:top w:val="none" w:sz="0" w:space="0" w:color="auto"/>
        <w:left w:val="none" w:sz="0" w:space="0" w:color="auto"/>
        <w:bottom w:val="none" w:sz="0" w:space="0" w:color="auto"/>
        <w:right w:val="none" w:sz="0" w:space="0" w:color="auto"/>
      </w:divBdr>
      <w:divsChild>
        <w:div w:id="259143411">
          <w:marLeft w:val="0"/>
          <w:marRight w:val="0"/>
          <w:marTop w:val="0"/>
          <w:marBottom w:val="0"/>
          <w:divBdr>
            <w:top w:val="none" w:sz="0" w:space="0" w:color="auto"/>
            <w:left w:val="none" w:sz="0" w:space="0" w:color="auto"/>
            <w:bottom w:val="none" w:sz="0" w:space="0" w:color="auto"/>
            <w:right w:val="none" w:sz="0" w:space="0" w:color="auto"/>
          </w:divBdr>
          <w:divsChild>
            <w:div w:id="1014459793">
              <w:marLeft w:val="0"/>
              <w:marRight w:val="0"/>
              <w:marTop w:val="0"/>
              <w:marBottom w:val="0"/>
              <w:divBdr>
                <w:top w:val="none" w:sz="0" w:space="0" w:color="auto"/>
                <w:left w:val="none" w:sz="0" w:space="0" w:color="auto"/>
                <w:bottom w:val="none" w:sz="0" w:space="0" w:color="auto"/>
                <w:right w:val="none" w:sz="0" w:space="0" w:color="auto"/>
              </w:divBdr>
              <w:divsChild>
                <w:div w:id="1120955067">
                  <w:marLeft w:val="0"/>
                  <w:marRight w:val="0"/>
                  <w:marTop w:val="0"/>
                  <w:marBottom w:val="0"/>
                  <w:divBdr>
                    <w:top w:val="none" w:sz="0" w:space="0" w:color="auto"/>
                    <w:left w:val="none" w:sz="0" w:space="0" w:color="auto"/>
                    <w:bottom w:val="none" w:sz="0" w:space="0" w:color="auto"/>
                    <w:right w:val="none" w:sz="0" w:space="0" w:color="auto"/>
                  </w:divBdr>
                  <w:divsChild>
                    <w:div w:id="28338642">
                      <w:marLeft w:val="0"/>
                      <w:marRight w:val="0"/>
                      <w:marTop w:val="0"/>
                      <w:marBottom w:val="0"/>
                      <w:divBdr>
                        <w:top w:val="none" w:sz="0" w:space="0" w:color="auto"/>
                        <w:left w:val="none" w:sz="0" w:space="0" w:color="auto"/>
                        <w:bottom w:val="none" w:sz="0" w:space="0" w:color="auto"/>
                        <w:right w:val="none" w:sz="0" w:space="0" w:color="auto"/>
                      </w:divBdr>
                      <w:divsChild>
                        <w:div w:id="1225021046">
                          <w:marLeft w:val="0"/>
                          <w:marRight w:val="0"/>
                          <w:marTop w:val="0"/>
                          <w:marBottom w:val="0"/>
                          <w:divBdr>
                            <w:top w:val="none" w:sz="0" w:space="0" w:color="auto"/>
                            <w:left w:val="none" w:sz="0" w:space="0" w:color="auto"/>
                            <w:bottom w:val="none" w:sz="0" w:space="0" w:color="auto"/>
                            <w:right w:val="none" w:sz="0" w:space="0" w:color="auto"/>
                          </w:divBdr>
                          <w:divsChild>
                            <w:div w:id="3851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016941">
      <w:bodyDiv w:val="1"/>
      <w:marLeft w:val="0"/>
      <w:marRight w:val="0"/>
      <w:marTop w:val="0"/>
      <w:marBottom w:val="0"/>
      <w:divBdr>
        <w:top w:val="none" w:sz="0" w:space="0" w:color="auto"/>
        <w:left w:val="none" w:sz="0" w:space="0" w:color="auto"/>
        <w:bottom w:val="none" w:sz="0" w:space="0" w:color="auto"/>
        <w:right w:val="none" w:sz="0" w:space="0" w:color="auto"/>
      </w:divBdr>
      <w:divsChild>
        <w:div w:id="873616194">
          <w:marLeft w:val="0"/>
          <w:marRight w:val="0"/>
          <w:marTop w:val="0"/>
          <w:marBottom w:val="0"/>
          <w:divBdr>
            <w:top w:val="none" w:sz="0" w:space="0" w:color="auto"/>
            <w:left w:val="none" w:sz="0" w:space="0" w:color="auto"/>
            <w:bottom w:val="none" w:sz="0" w:space="0" w:color="auto"/>
            <w:right w:val="none" w:sz="0" w:space="0" w:color="auto"/>
          </w:divBdr>
          <w:divsChild>
            <w:div w:id="868569415">
              <w:marLeft w:val="0"/>
              <w:marRight w:val="0"/>
              <w:marTop w:val="0"/>
              <w:marBottom w:val="0"/>
              <w:divBdr>
                <w:top w:val="none" w:sz="0" w:space="0" w:color="auto"/>
                <w:left w:val="none" w:sz="0" w:space="0" w:color="auto"/>
                <w:bottom w:val="none" w:sz="0" w:space="0" w:color="auto"/>
                <w:right w:val="none" w:sz="0" w:space="0" w:color="auto"/>
              </w:divBdr>
              <w:divsChild>
                <w:div w:id="144049410">
                  <w:marLeft w:val="0"/>
                  <w:marRight w:val="0"/>
                  <w:marTop w:val="0"/>
                  <w:marBottom w:val="0"/>
                  <w:divBdr>
                    <w:top w:val="none" w:sz="0" w:space="0" w:color="auto"/>
                    <w:left w:val="none" w:sz="0" w:space="0" w:color="auto"/>
                    <w:bottom w:val="none" w:sz="0" w:space="0" w:color="auto"/>
                    <w:right w:val="none" w:sz="0" w:space="0" w:color="auto"/>
                  </w:divBdr>
                  <w:divsChild>
                    <w:div w:id="2054377164">
                      <w:marLeft w:val="0"/>
                      <w:marRight w:val="0"/>
                      <w:marTop w:val="0"/>
                      <w:marBottom w:val="0"/>
                      <w:divBdr>
                        <w:top w:val="none" w:sz="0" w:space="0" w:color="auto"/>
                        <w:left w:val="none" w:sz="0" w:space="0" w:color="auto"/>
                        <w:bottom w:val="none" w:sz="0" w:space="0" w:color="auto"/>
                        <w:right w:val="none" w:sz="0" w:space="0" w:color="auto"/>
                      </w:divBdr>
                      <w:divsChild>
                        <w:div w:id="1674146060">
                          <w:marLeft w:val="0"/>
                          <w:marRight w:val="0"/>
                          <w:marTop w:val="0"/>
                          <w:marBottom w:val="0"/>
                          <w:divBdr>
                            <w:top w:val="none" w:sz="0" w:space="0" w:color="auto"/>
                            <w:left w:val="none" w:sz="0" w:space="0" w:color="auto"/>
                            <w:bottom w:val="none" w:sz="0" w:space="0" w:color="auto"/>
                            <w:right w:val="none" w:sz="0" w:space="0" w:color="auto"/>
                          </w:divBdr>
                          <w:divsChild>
                            <w:div w:id="3553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707531">
      <w:bodyDiv w:val="1"/>
      <w:marLeft w:val="0"/>
      <w:marRight w:val="0"/>
      <w:marTop w:val="0"/>
      <w:marBottom w:val="0"/>
      <w:divBdr>
        <w:top w:val="none" w:sz="0" w:space="0" w:color="auto"/>
        <w:left w:val="none" w:sz="0" w:space="0" w:color="auto"/>
        <w:bottom w:val="none" w:sz="0" w:space="0" w:color="auto"/>
        <w:right w:val="none" w:sz="0" w:space="0" w:color="auto"/>
      </w:divBdr>
      <w:divsChild>
        <w:div w:id="373311820">
          <w:marLeft w:val="0"/>
          <w:marRight w:val="0"/>
          <w:marTop w:val="0"/>
          <w:marBottom w:val="0"/>
          <w:divBdr>
            <w:top w:val="none" w:sz="0" w:space="0" w:color="auto"/>
            <w:left w:val="none" w:sz="0" w:space="0" w:color="auto"/>
            <w:bottom w:val="none" w:sz="0" w:space="0" w:color="auto"/>
            <w:right w:val="none" w:sz="0" w:space="0" w:color="auto"/>
          </w:divBdr>
          <w:divsChild>
            <w:div w:id="910239967">
              <w:marLeft w:val="0"/>
              <w:marRight w:val="0"/>
              <w:marTop w:val="0"/>
              <w:marBottom w:val="0"/>
              <w:divBdr>
                <w:top w:val="none" w:sz="0" w:space="0" w:color="auto"/>
                <w:left w:val="none" w:sz="0" w:space="0" w:color="auto"/>
                <w:bottom w:val="none" w:sz="0" w:space="0" w:color="auto"/>
                <w:right w:val="none" w:sz="0" w:space="0" w:color="auto"/>
              </w:divBdr>
              <w:divsChild>
                <w:div w:id="140118338">
                  <w:marLeft w:val="0"/>
                  <w:marRight w:val="0"/>
                  <w:marTop w:val="0"/>
                  <w:marBottom w:val="0"/>
                  <w:divBdr>
                    <w:top w:val="none" w:sz="0" w:space="0" w:color="auto"/>
                    <w:left w:val="none" w:sz="0" w:space="0" w:color="auto"/>
                    <w:bottom w:val="none" w:sz="0" w:space="0" w:color="auto"/>
                    <w:right w:val="none" w:sz="0" w:space="0" w:color="auto"/>
                  </w:divBdr>
                  <w:divsChild>
                    <w:div w:id="1545023685">
                      <w:marLeft w:val="0"/>
                      <w:marRight w:val="0"/>
                      <w:marTop w:val="0"/>
                      <w:marBottom w:val="0"/>
                      <w:divBdr>
                        <w:top w:val="none" w:sz="0" w:space="0" w:color="auto"/>
                        <w:left w:val="none" w:sz="0" w:space="0" w:color="auto"/>
                        <w:bottom w:val="none" w:sz="0" w:space="0" w:color="auto"/>
                        <w:right w:val="none" w:sz="0" w:space="0" w:color="auto"/>
                      </w:divBdr>
                      <w:divsChild>
                        <w:div w:id="723648684">
                          <w:marLeft w:val="0"/>
                          <w:marRight w:val="0"/>
                          <w:marTop w:val="0"/>
                          <w:marBottom w:val="0"/>
                          <w:divBdr>
                            <w:top w:val="none" w:sz="0" w:space="0" w:color="auto"/>
                            <w:left w:val="none" w:sz="0" w:space="0" w:color="auto"/>
                            <w:bottom w:val="none" w:sz="0" w:space="0" w:color="auto"/>
                            <w:right w:val="none" w:sz="0" w:space="0" w:color="auto"/>
                          </w:divBdr>
                          <w:divsChild>
                            <w:div w:id="133006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807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3991">
          <w:marLeft w:val="0"/>
          <w:marRight w:val="0"/>
          <w:marTop w:val="0"/>
          <w:marBottom w:val="0"/>
          <w:divBdr>
            <w:top w:val="none" w:sz="0" w:space="0" w:color="auto"/>
            <w:left w:val="none" w:sz="0" w:space="0" w:color="auto"/>
            <w:bottom w:val="none" w:sz="0" w:space="0" w:color="auto"/>
            <w:right w:val="none" w:sz="0" w:space="0" w:color="auto"/>
          </w:divBdr>
          <w:divsChild>
            <w:div w:id="1273707580">
              <w:marLeft w:val="0"/>
              <w:marRight w:val="0"/>
              <w:marTop w:val="0"/>
              <w:marBottom w:val="0"/>
              <w:divBdr>
                <w:top w:val="none" w:sz="0" w:space="0" w:color="auto"/>
                <w:left w:val="none" w:sz="0" w:space="0" w:color="auto"/>
                <w:bottom w:val="none" w:sz="0" w:space="0" w:color="auto"/>
                <w:right w:val="none" w:sz="0" w:space="0" w:color="auto"/>
              </w:divBdr>
              <w:divsChild>
                <w:div w:id="1394963950">
                  <w:marLeft w:val="0"/>
                  <w:marRight w:val="0"/>
                  <w:marTop w:val="0"/>
                  <w:marBottom w:val="0"/>
                  <w:divBdr>
                    <w:top w:val="none" w:sz="0" w:space="0" w:color="auto"/>
                    <w:left w:val="none" w:sz="0" w:space="0" w:color="auto"/>
                    <w:bottom w:val="none" w:sz="0" w:space="0" w:color="auto"/>
                    <w:right w:val="none" w:sz="0" w:space="0" w:color="auto"/>
                  </w:divBdr>
                  <w:divsChild>
                    <w:div w:id="461968341">
                      <w:marLeft w:val="0"/>
                      <w:marRight w:val="0"/>
                      <w:marTop w:val="0"/>
                      <w:marBottom w:val="0"/>
                      <w:divBdr>
                        <w:top w:val="none" w:sz="0" w:space="0" w:color="auto"/>
                        <w:left w:val="none" w:sz="0" w:space="0" w:color="auto"/>
                        <w:bottom w:val="none" w:sz="0" w:space="0" w:color="auto"/>
                        <w:right w:val="none" w:sz="0" w:space="0" w:color="auto"/>
                      </w:divBdr>
                      <w:divsChild>
                        <w:div w:id="243103533">
                          <w:marLeft w:val="0"/>
                          <w:marRight w:val="0"/>
                          <w:marTop w:val="0"/>
                          <w:marBottom w:val="0"/>
                          <w:divBdr>
                            <w:top w:val="none" w:sz="0" w:space="0" w:color="auto"/>
                            <w:left w:val="none" w:sz="0" w:space="0" w:color="auto"/>
                            <w:bottom w:val="none" w:sz="0" w:space="0" w:color="auto"/>
                            <w:right w:val="none" w:sz="0" w:space="0" w:color="auto"/>
                          </w:divBdr>
                          <w:divsChild>
                            <w:div w:id="12652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29812095">
      <w:bodyDiv w:val="1"/>
      <w:marLeft w:val="0"/>
      <w:marRight w:val="0"/>
      <w:marTop w:val="0"/>
      <w:marBottom w:val="0"/>
      <w:divBdr>
        <w:top w:val="none" w:sz="0" w:space="0" w:color="auto"/>
        <w:left w:val="none" w:sz="0" w:space="0" w:color="auto"/>
        <w:bottom w:val="none" w:sz="0" w:space="0" w:color="auto"/>
        <w:right w:val="none" w:sz="0" w:space="0" w:color="auto"/>
      </w:divBdr>
      <w:divsChild>
        <w:div w:id="1429236878">
          <w:marLeft w:val="0"/>
          <w:marRight w:val="0"/>
          <w:marTop w:val="0"/>
          <w:marBottom w:val="0"/>
          <w:divBdr>
            <w:top w:val="none" w:sz="0" w:space="0" w:color="auto"/>
            <w:left w:val="none" w:sz="0" w:space="0" w:color="auto"/>
            <w:bottom w:val="none" w:sz="0" w:space="0" w:color="auto"/>
            <w:right w:val="none" w:sz="0" w:space="0" w:color="auto"/>
          </w:divBdr>
        </w:div>
      </w:divsChild>
    </w:div>
    <w:div w:id="452142505">
      <w:bodyDiv w:val="1"/>
      <w:marLeft w:val="0"/>
      <w:marRight w:val="0"/>
      <w:marTop w:val="0"/>
      <w:marBottom w:val="0"/>
      <w:divBdr>
        <w:top w:val="none" w:sz="0" w:space="0" w:color="auto"/>
        <w:left w:val="none" w:sz="0" w:space="0" w:color="auto"/>
        <w:bottom w:val="none" w:sz="0" w:space="0" w:color="auto"/>
        <w:right w:val="none" w:sz="0" w:space="0" w:color="auto"/>
      </w:divBdr>
      <w:divsChild>
        <w:div w:id="1711688036">
          <w:marLeft w:val="0"/>
          <w:marRight w:val="0"/>
          <w:marTop w:val="0"/>
          <w:marBottom w:val="0"/>
          <w:divBdr>
            <w:top w:val="none" w:sz="0" w:space="0" w:color="auto"/>
            <w:left w:val="none" w:sz="0" w:space="0" w:color="auto"/>
            <w:bottom w:val="none" w:sz="0" w:space="0" w:color="auto"/>
            <w:right w:val="none" w:sz="0" w:space="0" w:color="auto"/>
          </w:divBdr>
          <w:divsChild>
            <w:div w:id="1808937877">
              <w:marLeft w:val="0"/>
              <w:marRight w:val="0"/>
              <w:marTop w:val="0"/>
              <w:marBottom w:val="0"/>
              <w:divBdr>
                <w:top w:val="none" w:sz="0" w:space="0" w:color="auto"/>
                <w:left w:val="none" w:sz="0" w:space="0" w:color="auto"/>
                <w:bottom w:val="none" w:sz="0" w:space="0" w:color="auto"/>
                <w:right w:val="none" w:sz="0" w:space="0" w:color="auto"/>
              </w:divBdr>
              <w:divsChild>
                <w:div w:id="731732908">
                  <w:marLeft w:val="0"/>
                  <w:marRight w:val="0"/>
                  <w:marTop w:val="0"/>
                  <w:marBottom w:val="0"/>
                  <w:divBdr>
                    <w:top w:val="none" w:sz="0" w:space="0" w:color="auto"/>
                    <w:left w:val="none" w:sz="0" w:space="0" w:color="auto"/>
                    <w:bottom w:val="none" w:sz="0" w:space="0" w:color="auto"/>
                    <w:right w:val="none" w:sz="0" w:space="0" w:color="auto"/>
                  </w:divBdr>
                  <w:divsChild>
                    <w:div w:id="1719551399">
                      <w:marLeft w:val="0"/>
                      <w:marRight w:val="0"/>
                      <w:marTop w:val="0"/>
                      <w:marBottom w:val="0"/>
                      <w:divBdr>
                        <w:top w:val="none" w:sz="0" w:space="0" w:color="auto"/>
                        <w:left w:val="none" w:sz="0" w:space="0" w:color="auto"/>
                        <w:bottom w:val="none" w:sz="0" w:space="0" w:color="auto"/>
                        <w:right w:val="none" w:sz="0" w:space="0" w:color="auto"/>
                      </w:divBdr>
                      <w:divsChild>
                        <w:div w:id="406196204">
                          <w:marLeft w:val="0"/>
                          <w:marRight w:val="0"/>
                          <w:marTop w:val="0"/>
                          <w:marBottom w:val="0"/>
                          <w:divBdr>
                            <w:top w:val="none" w:sz="0" w:space="0" w:color="auto"/>
                            <w:left w:val="none" w:sz="0" w:space="0" w:color="auto"/>
                            <w:bottom w:val="none" w:sz="0" w:space="0" w:color="auto"/>
                            <w:right w:val="none" w:sz="0" w:space="0" w:color="auto"/>
                          </w:divBdr>
                          <w:divsChild>
                            <w:div w:id="83696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605362">
      <w:bodyDiv w:val="1"/>
      <w:marLeft w:val="0"/>
      <w:marRight w:val="0"/>
      <w:marTop w:val="0"/>
      <w:marBottom w:val="0"/>
      <w:divBdr>
        <w:top w:val="none" w:sz="0" w:space="0" w:color="auto"/>
        <w:left w:val="none" w:sz="0" w:space="0" w:color="auto"/>
        <w:bottom w:val="none" w:sz="0" w:space="0" w:color="auto"/>
        <w:right w:val="none" w:sz="0" w:space="0" w:color="auto"/>
      </w:divBdr>
      <w:divsChild>
        <w:div w:id="888492192">
          <w:marLeft w:val="0"/>
          <w:marRight w:val="0"/>
          <w:marTop w:val="0"/>
          <w:marBottom w:val="0"/>
          <w:divBdr>
            <w:top w:val="none" w:sz="0" w:space="0" w:color="auto"/>
            <w:left w:val="none" w:sz="0" w:space="0" w:color="auto"/>
            <w:bottom w:val="none" w:sz="0" w:space="0" w:color="auto"/>
            <w:right w:val="none" w:sz="0" w:space="0" w:color="auto"/>
          </w:divBdr>
          <w:divsChild>
            <w:div w:id="1756512579">
              <w:marLeft w:val="0"/>
              <w:marRight w:val="0"/>
              <w:marTop w:val="0"/>
              <w:marBottom w:val="0"/>
              <w:divBdr>
                <w:top w:val="none" w:sz="0" w:space="0" w:color="auto"/>
                <w:left w:val="none" w:sz="0" w:space="0" w:color="auto"/>
                <w:bottom w:val="none" w:sz="0" w:space="0" w:color="auto"/>
                <w:right w:val="none" w:sz="0" w:space="0" w:color="auto"/>
              </w:divBdr>
              <w:divsChild>
                <w:div w:id="991375896">
                  <w:marLeft w:val="0"/>
                  <w:marRight w:val="0"/>
                  <w:marTop w:val="0"/>
                  <w:marBottom w:val="0"/>
                  <w:divBdr>
                    <w:top w:val="none" w:sz="0" w:space="0" w:color="auto"/>
                    <w:left w:val="none" w:sz="0" w:space="0" w:color="auto"/>
                    <w:bottom w:val="none" w:sz="0" w:space="0" w:color="auto"/>
                    <w:right w:val="none" w:sz="0" w:space="0" w:color="auto"/>
                  </w:divBdr>
                  <w:divsChild>
                    <w:div w:id="153033414">
                      <w:marLeft w:val="0"/>
                      <w:marRight w:val="0"/>
                      <w:marTop w:val="0"/>
                      <w:marBottom w:val="0"/>
                      <w:divBdr>
                        <w:top w:val="none" w:sz="0" w:space="0" w:color="auto"/>
                        <w:left w:val="none" w:sz="0" w:space="0" w:color="auto"/>
                        <w:bottom w:val="none" w:sz="0" w:space="0" w:color="auto"/>
                        <w:right w:val="none" w:sz="0" w:space="0" w:color="auto"/>
                      </w:divBdr>
                      <w:divsChild>
                        <w:div w:id="936643565">
                          <w:marLeft w:val="0"/>
                          <w:marRight w:val="0"/>
                          <w:marTop w:val="0"/>
                          <w:marBottom w:val="0"/>
                          <w:divBdr>
                            <w:top w:val="none" w:sz="0" w:space="0" w:color="auto"/>
                            <w:left w:val="none" w:sz="0" w:space="0" w:color="auto"/>
                            <w:bottom w:val="none" w:sz="0" w:space="0" w:color="auto"/>
                            <w:right w:val="none" w:sz="0" w:space="0" w:color="auto"/>
                          </w:divBdr>
                          <w:divsChild>
                            <w:div w:id="4433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060638">
      <w:bodyDiv w:val="1"/>
      <w:marLeft w:val="0"/>
      <w:marRight w:val="0"/>
      <w:marTop w:val="0"/>
      <w:marBottom w:val="0"/>
      <w:divBdr>
        <w:top w:val="none" w:sz="0" w:space="0" w:color="auto"/>
        <w:left w:val="none" w:sz="0" w:space="0" w:color="auto"/>
        <w:bottom w:val="none" w:sz="0" w:space="0" w:color="auto"/>
        <w:right w:val="none" w:sz="0" w:space="0" w:color="auto"/>
      </w:divBdr>
      <w:divsChild>
        <w:div w:id="312218015">
          <w:marLeft w:val="0"/>
          <w:marRight w:val="0"/>
          <w:marTop w:val="0"/>
          <w:marBottom w:val="0"/>
          <w:divBdr>
            <w:top w:val="none" w:sz="0" w:space="0" w:color="auto"/>
            <w:left w:val="none" w:sz="0" w:space="0" w:color="auto"/>
            <w:bottom w:val="none" w:sz="0" w:space="0" w:color="auto"/>
            <w:right w:val="none" w:sz="0" w:space="0" w:color="auto"/>
          </w:divBdr>
          <w:divsChild>
            <w:div w:id="1601379110">
              <w:marLeft w:val="0"/>
              <w:marRight w:val="0"/>
              <w:marTop w:val="0"/>
              <w:marBottom w:val="0"/>
              <w:divBdr>
                <w:top w:val="none" w:sz="0" w:space="0" w:color="auto"/>
                <w:left w:val="none" w:sz="0" w:space="0" w:color="auto"/>
                <w:bottom w:val="none" w:sz="0" w:space="0" w:color="auto"/>
                <w:right w:val="none" w:sz="0" w:space="0" w:color="auto"/>
              </w:divBdr>
              <w:divsChild>
                <w:div w:id="54546233">
                  <w:marLeft w:val="0"/>
                  <w:marRight w:val="0"/>
                  <w:marTop w:val="0"/>
                  <w:marBottom w:val="0"/>
                  <w:divBdr>
                    <w:top w:val="none" w:sz="0" w:space="0" w:color="auto"/>
                    <w:left w:val="none" w:sz="0" w:space="0" w:color="auto"/>
                    <w:bottom w:val="none" w:sz="0" w:space="0" w:color="auto"/>
                    <w:right w:val="none" w:sz="0" w:space="0" w:color="auto"/>
                  </w:divBdr>
                  <w:divsChild>
                    <w:div w:id="287123909">
                      <w:marLeft w:val="0"/>
                      <w:marRight w:val="0"/>
                      <w:marTop w:val="0"/>
                      <w:marBottom w:val="0"/>
                      <w:divBdr>
                        <w:top w:val="none" w:sz="0" w:space="0" w:color="auto"/>
                        <w:left w:val="none" w:sz="0" w:space="0" w:color="auto"/>
                        <w:bottom w:val="none" w:sz="0" w:space="0" w:color="auto"/>
                        <w:right w:val="none" w:sz="0" w:space="0" w:color="auto"/>
                      </w:divBdr>
                      <w:divsChild>
                        <w:div w:id="1435907253">
                          <w:marLeft w:val="0"/>
                          <w:marRight w:val="0"/>
                          <w:marTop w:val="0"/>
                          <w:marBottom w:val="0"/>
                          <w:divBdr>
                            <w:top w:val="none" w:sz="0" w:space="0" w:color="auto"/>
                            <w:left w:val="none" w:sz="0" w:space="0" w:color="auto"/>
                            <w:bottom w:val="none" w:sz="0" w:space="0" w:color="auto"/>
                            <w:right w:val="none" w:sz="0" w:space="0" w:color="auto"/>
                          </w:divBdr>
                          <w:divsChild>
                            <w:div w:id="18108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779870">
      <w:bodyDiv w:val="1"/>
      <w:marLeft w:val="0"/>
      <w:marRight w:val="0"/>
      <w:marTop w:val="0"/>
      <w:marBottom w:val="0"/>
      <w:divBdr>
        <w:top w:val="none" w:sz="0" w:space="0" w:color="auto"/>
        <w:left w:val="none" w:sz="0" w:space="0" w:color="auto"/>
        <w:bottom w:val="none" w:sz="0" w:space="0" w:color="auto"/>
        <w:right w:val="none" w:sz="0" w:space="0" w:color="auto"/>
      </w:divBdr>
      <w:divsChild>
        <w:div w:id="219563514">
          <w:marLeft w:val="0"/>
          <w:marRight w:val="0"/>
          <w:marTop w:val="0"/>
          <w:marBottom w:val="0"/>
          <w:divBdr>
            <w:top w:val="none" w:sz="0" w:space="0" w:color="auto"/>
            <w:left w:val="none" w:sz="0" w:space="0" w:color="auto"/>
            <w:bottom w:val="none" w:sz="0" w:space="0" w:color="auto"/>
            <w:right w:val="none" w:sz="0" w:space="0" w:color="auto"/>
          </w:divBdr>
          <w:divsChild>
            <w:div w:id="235408982">
              <w:marLeft w:val="0"/>
              <w:marRight w:val="0"/>
              <w:marTop w:val="0"/>
              <w:marBottom w:val="0"/>
              <w:divBdr>
                <w:top w:val="none" w:sz="0" w:space="0" w:color="auto"/>
                <w:left w:val="none" w:sz="0" w:space="0" w:color="auto"/>
                <w:bottom w:val="none" w:sz="0" w:space="0" w:color="auto"/>
                <w:right w:val="none" w:sz="0" w:space="0" w:color="auto"/>
              </w:divBdr>
              <w:divsChild>
                <w:div w:id="1429348108">
                  <w:marLeft w:val="0"/>
                  <w:marRight w:val="0"/>
                  <w:marTop w:val="0"/>
                  <w:marBottom w:val="0"/>
                  <w:divBdr>
                    <w:top w:val="none" w:sz="0" w:space="0" w:color="auto"/>
                    <w:left w:val="none" w:sz="0" w:space="0" w:color="auto"/>
                    <w:bottom w:val="none" w:sz="0" w:space="0" w:color="auto"/>
                    <w:right w:val="none" w:sz="0" w:space="0" w:color="auto"/>
                  </w:divBdr>
                  <w:divsChild>
                    <w:div w:id="1484272532">
                      <w:marLeft w:val="0"/>
                      <w:marRight w:val="0"/>
                      <w:marTop w:val="0"/>
                      <w:marBottom w:val="0"/>
                      <w:divBdr>
                        <w:top w:val="none" w:sz="0" w:space="0" w:color="auto"/>
                        <w:left w:val="none" w:sz="0" w:space="0" w:color="auto"/>
                        <w:bottom w:val="none" w:sz="0" w:space="0" w:color="auto"/>
                        <w:right w:val="none" w:sz="0" w:space="0" w:color="auto"/>
                      </w:divBdr>
                      <w:divsChild>
                        <w:div w:id="1044644770">
                          <w:marLeft w:val="0"/>
                          <w:marRight w:val="0"/>
                          <w:marTop w:val="0"/>
                          <w:marBottom w:val="0"/>
                          <w:divBdr>
                            <w:top w:val="none" w:sz="0" w:space="0" w:color="auto"/>
                            <w:left w:val="none" w:sz="0" w:space="0" w:color="auto"/>
                            <w:bottom w:val="none" w:sz="0" w:space="0" w:color="auto"/>
                            <w:right w:val="none" w:sz="0" w:space="0" w:color="auto"/>
                          </w:divBdr>
                          <w:divsChild>
                            <w:div w:id="206413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9443139">
      <w:bodyDiv w:val="1"/>
      <w:marLeft w:val="0"/>
      <w:marRight w:val="0"/>
      <w:marTop w:val="0"/>
      <w:marBottom w:val="0"/>
      <w:divBdr>
        <w:top w:val="none" w:sz="0" w:space="0" w:color="auto"/>
        <w:left w:val="none" w:sz="0" w:space="0" w:color="auto"/>
        <w:bottom w:val="none" w:sz="0" w:space="0" w:color="auto"/>
        <w:right w:val="none" w:sz="0" w:space="0" w:color="auto"/>
      </w:divBdr>
      <w:divsChild>
        <w:div w:id="1913661146">
          <w:marLeft w:val="0"/>
          <w:marRight w:val="0"/>
          <w:marTop w:val="0"/>
          <w:marBottom w:val="0"/>
          <w:divBdr>
            <w:top w:val="none" w:sz="0" w:space="0" w:color="auto"/>
            <w:left w:val="none" w:sz="0" w:space="0" w:color="auto"/>
            <w:bottom w:val="none" w:sz="0" w:space="0" w:color="auto"/>
            <w:right w:val="none" w:sz="0" w:space="0" w:color="auto"/>
          </w:divBdr>
          <w:divsChild>
            <w:div w:id="708142547">
              <w:marLeft w:val="0"/>
              <w:marRight w:val="0"/>
              <w:marTop w:val="0"/>
              <w:marBottom w:val="0"/>
              <w:divBdr>
                <w:top w:val="none" w:sz="0" w:space="0" w:color="auto"/>
                <w:left w:val="none" w:sz="0" w:space="0" w:color="auto"/>
                <w:bottom w:val="none" w:sz="0" w:space="0" w:color="auto"/>
                <w:right w:val="none" w:sz="0" w:space="0" w:color="auto"/>
              </w:divBdr>
              <w:divsChild>
                <w:div w:id="963736862">
                  <w:marLeft w:val="0"/>
                  <w:marRight w:val="0"/>
                  <w:marTop w:val="0"/>
                  <w:marBottom w:val="0"/>
                  <w:divBdr>
                    <w:top w:val="none" w:sz="0" w:space="0" w:color="auto"/>
                    <w:left w:val="none" w:sz="0" w:space="0" w:color="auto"/>
                    <w:bottom w:val="none" w:sz="0" w:space="0" w:color="auto"/>
                    <w:right w:val="none" w:sz="0" w:space="0" w:color="auto"/>
                  </w:divBdr>
                  <w:divsChild>
                    <w:div w:id="624385822">
                      <w:marLeft w:val="0"/>
                      <w:marRight w:val="0"/>
                      <w:marTop w:val="0"/>
                      <w:marBottom w:val="0"/>
                      <w:divBdr>
                        <w:top w:val="none" w:sz="0" w:space="0" w:color="auto"/>
                        <w:left w:val="none" w:sz="0" w:space="0" w:color="auto"/>
                        <w:bottom w:val="none" w:sz="0" w:space="0" w:color="auto"/>
                        <w:right w:val="none" w:sz="0" w:space="0" w:color="auto"/>
                      </w:divBdr>
                      <w:divsChild>
                        <w:div w:id="1402870730">
                          <w:marLeft w:val="0"/>
                          <w:marRight w:val="0"/>
                          <w:marTop w:val="0"/>
                          <w:marBottom w:val="0"/>
                          <w:divBdr>
                            <w:top w:val="none" w:sz="0" w:space="0" w:color="auto"/>
                            <w:left w:val="none" w:sz="0" w:space="0" w:color="auto"/>
                            <w:bottom w:val="none" w:sz="0" w:space="0" w:color="auto"/>
                            <w:right w:val="none" w:sz="0" w:space="0" w:color="auto"/>
                          </w:divBdr>
                          <w:divsChild>
                            <w:div w:id="28766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6700472">
      <w:bodyDiv w:val="1"/>
      <w:marLeft w:val="0"/>
      <w:marRight w:val="0"/>
      <w:marTop w:val="0"/>
      <w:marBottom w:val="0"/>
      <w:divBdr>
        <w:top w:val="none" w:sz="0" w:space="0" w:color="auto"/>
        <w:left w:val="none" w:sz="0" w:space="0" w:color="auto"/>
        <w:bottom w:val="none" w:sz="0" w:space="0" w:color="auto"/>
        <w:right w:val="none" w:sz="0" w:space="0" w:color="auto"/>
      </w:divBdr>
      <w:divsChild>
        <w:div w:id="936060721">
          <w:marLeft w:val="0"/>
          <w:marRight w:val="0"/>
          <w:marTop w:val="0"/>
          <w:marBottom w:val="0"/>
          <w:divBdr>
            <w:top w:val="none" w:sz="0" w:space="0" w:color="auto"/>
            <w:left w:val="none" w:sz="0" w:space="0" w:color="auto"/>
            <w:bottom w:val="none" w:sz="0" w:space="0" w:color="auto"/>
            <w:right w:val="none" w:sz="0" w:space="0" w:color="auto"/>
          </w:divBdr>
          <w:divsChild>
            <w:div w:id="1111821041">
              <w:marLeft w:val="0"/>
              <w:marRight w:val="0"/>
              <w:marTop w:val="0"/>
              <w:marBottom w:val="0"/>
              <w:divBdr>
                <w:top w:val="none" w:sz="0" w:space="0" w:color="auto"/>
                <w:left w:val="none" w:sz="0" w:space="0" w:color="auto"/>
                <w:bottom w:val="none" w:sz="0" w:space="0" w:color="auto"/>
                <w:right w:val="none" w:sz="0" w:space="0" w:color="auto"/>
              </w:divBdr>
              <w:divsChild>
                <w:div w:id="1928079264">
                  <w:marLeft w:val="0"/>
                  <w:marRight w:val="0"/>
                  <w:marTop w:val="0"/>
                  <w:marBottom w:val="0"/>
                  <w:divBdr>
                    <w:top w:val="none" w:sz="0" w:space="0" w:color="auto"/>
                    <w:left w:val="none" w:sz="0" w:space="0" w:color="auto"/>
                    <w:bottom w:val="none" w:sz="0" w:space="0" w:color="auto"/>
                    <w:right w:val="none" w:sz="0" w:space="0" w:color="auto"/>
                  </w:divBdr>
                  <w:divsChild>
                    <w:div w:id="1656060936">
                      <w:marLeft w:val="0"/>
                      <w:marRight w:val="0"/>
                      <w:marTop w:val="0"/>
                      <w:marBottom w:val="0"/>
                      <w:divBdr>
                        <w:top w:val="none" w:sz="0" w:space="0" w:color="auto"/>
                        <w:left w:val="none" w:sz="0" w:space="0" w:color="auto"/>
                        <w:bottom w:val="none" w:sz="0" w:space="0" w:color="auto"/>
                        <w:right w:val="none" w:sz="0" w:space="0" w:color="auto"/>
                      </w:divBdr>
                      <w:divsChild>
                        <w:div w:id="1446190948">
                          <w:marLeft w:val="0"/>
                          <w:marRight w:val="0"/>
                          <w:marTop w:val="0"/>
                          <w:marBottom w:val="0"/>
                          <w:divBdr>
                            <w:top w:val="none" w:sz="0" w:space="0" w:color="auto"/>
                            <w:left w:val="none" w:sz="0" w:space="0" w:color="auto"/>
                            <w:bottom w:val="none" w:sz="0" w:space="0" w:color="auto"/>
                            <w:right w:val="none" w:sz="0" w:space="0" w:color="auto"/>
                          </w:divBdr>
                          <w:divsChild>
                            <w:div w:id="12996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419975">
      <w:bodyDiv w:val="1"/>
      <w:marLeft w:val="0"/>
      <w:marRight w:val="0"/>
      <w:marTop w:val="0"/>
      <w:marBottom w:val="0"/>
      <w:divBdr>
        <w:top w:val="none" w:sz="0" w:space="0" w:color="auto"/>
        <w:left w:val="none" w:sz="0" w:space="0" w:color="auto"/>
        <w:bottom w:val="none" w:sz="0" w:space="0" w:color="auto"/>
        <w:right w:val="none" w:sz="0" w:space="0" w:color="auto"/>
      </w:divBdr>
      <w:divsChild>
        <w:div w:id="273292674">
          <w:marLeft w:val="0"/>
          <w:marRight w:val="0"/>
          <w:marTop w:val="0"/>
          <w:marBottom w:val="0"/>
          <w:divBdr>
            <w:top w:val="none" w:sz="0" w:space="0" w:color="auto"/>
            <w:left w:val="none" w:sz="0" w:space="0" w:color="auto"/>
            <w:bottom w:val="none" w:sz="0" w:space="0" w:color="auto"/>
            <w:right w:val="none" w:sz="0" w:space="0" w:color="auto"/>
          </w:divBdr>
          <w:divsChild>
            <w:div w:id="1554778236">
              <w:marLeft w:val="0"/>
              <w:marRight w:val="0"/>
              <w:marTop w:val="0"/>
              <w:marBottom w:val="0"/>
              <w:divBdr>
                <w:top w:val="none" w:sz="0" w:space="0" w:color="auto"/>
                <w:left w:val="none" w:sz="0" w:space="0" w:color="auto"/>
                <w:bottom w:val="none" w:sz="0" w:space="0" w:color="auto"/>
                <w:right w:val="none" w:sz="0" w:space="0" w:color="auto"/>
              </w:divBdr>
              <w:divsChild>
                <w:div w:id="1197740532">
                  <w:marLeft w:val="0"/>
                  <w:marRight w:val="0"/>
                  <w:marTop w:val="0"/>
                  <w:marBottom w:val="0"/>
                  <w:divBdr>
                    <w:top w:val="none" w:sz="0" w:space="0" w:color="auto"/>
                    <w:left w:val="none" w:sz="0" w:space="0" w:color="auto"/>
                    <w:bottom w:val="none" w:sz="0" w:space="0" w:color="auto"/>
                    <w:right w:val="none" w:sz="0" w:space="0" w:color="auto"/>
                  </w:divBdr>
                  <w:divsChild>
                    <w:div w:id="1042096272">
                      <w:marLeft w:val="0"/>
                      <w:marRight w:val="0"/>
                      <w:marTop w:val="0"/>
                      <w:marBottom w:val="0"/>
                      <w:divBdr>
                        <w:top w:val="none" w:sz="0" w:space="0" w:color="auto"/>
                        <w:left w:val="none" w:sz="0" w:space="0" w:color="auto"/>
                        <w:bottom w:val="none" w:sz="0" w:space="0" w:color="auto"/>
                        <w:right w:val="none" w:sz="0" w:space="0" w:color="auto"/>
                      </w:divBdr>
                      <w:divsChild>
                        <w:div w:id="750009670">
                          <w:marLeft w:val="0"/>
                          <w:marRight w:val="0"/>
                          <w:marTop w:val="0"/>
                          <w:marBottom w:val="0"/>
                          <w:divBdr>
                            <w:top w:val="none" w:sz="0" w:space="0" w:color="auto"/>
                            <w:left w:val="none" w:sz="0" w:space="0" w:color="auto"/>
                            <w:bottom w:val="none" w:sz="0" w:space="0" w:color="auto"/>
                            <w:right w:val="none" w:sz="0" w:space="0" w:color="auto"/>
                          </w:divBdr>
                          <w:divsChild>
                            <w:div w:id="5757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620387">
      <w:bodyDiv w:val="1"/>
      <w:marLeft w:val="0"/>
      <w:marRight w:val="0"/>
      <w:marTop w:val="0"/>
      <w:marBottom w:val="0"/>
      <w:divBdr>
        <w:top w:val="none" w:sz="0" w:space="0" w:color="auto"/>
        <w:left w:val="none" w:sz="0" w:space="0" w:color="auto"/>
        <w:bottom w:val="none" w:sz="0" w:space="0" w:color="auto"/>
        <w:right w:val="none" w:sz="0" w:space="0" w:color="auto"/>
      </w:divBdr>
      <w:divsChild>
        <w:div w:id="865867928">
          <w:marLeft w:val="0"/>
          <w:marRight w:val="0"/>
          <w:marTop w:val="0"/>
          <w:marBottom w:val="0"/>
          <w:divBdr>
            <w:top w:val="none" w:sz="0" w:space="0" w:color="auto"/>
            <w:left w:val="none" w:sz="0" w:space="0" w:color="auto"/>
            <w:bottom w:val="none" w:sz="0" w:space="0" w:color="auto"/>
            <w:right w:val="none" w:sz="0" w:space="0" w:color="auto"/>
          </w:divBdr>
          <w:divsChild>
            <w:div w:id="850485443">
              <w:marLeft w:val="0"/>
              <w:marRight w:val="0"/>
              <w:marTop w:val="0"/>
              <w:marBottom w:val="0"/>
              <w:divBdr>
                <w:top w:val="none" w:sz="0" w:space="0" w:color="auto"/>
                <w:left w:val="none" w:sz="0" w:space="0" w:color="auto"/>
                <w:bottom w:val="none" w:sz="0" w:space="0" w:color="auto"/>
                <w:right w:val="none" w:sz="0" w:space="0" w:color="auto"/>
              </w:divBdr>
              <w:divsChild>
                <w:div w:id="1817063415">
                  <w:marLeft w:val="0"/>
                  <w:marRight w:val="0"/>
                  <w:marTop w:val="0"/>
                  <w:marBottom w:val="0"/>
                  <w:divBdr>
                    <w:top w:val="none" w:sz="0" w:space="0" w:color="auto"/>
                    <w:left w:val="none" w:sz="0" w:space="0" w:color="auto"/>
                    <w:bottom w:val="none" w:sz="0" w:space="0" w:color="auto"/>
                    <w:right w:val="none" w:sz="0" w:space="0" w:color="auto"/>
                  </w:divBdr>
                  <w:divsChild>
                    <w:div w:id="2132431220">
                      <w:marLeft w:val="0"/>
                      <w:marRight w:val="0"/>
                      <w:marTop w:val="0"/>
                      <w:marBottom w:val="0"/>
                      <w:divBdr>
                        <w:top w:val="none" w:sz="0" w:space="0" w:color="auto"/>
                        <w:left w:val="none" w:sz="0" w:space="0" w:color="auto"/>
                        <w:bottom w:val="none" w:sz="0" w:space="0" w:color="auto"/>
                        <w:right w:val="none" w:sz="0" w:space="0" w:color="auto"/>
                      </w:divBdr>
                      <w:divsChild>
                        <w:div w:id="170528449">
                          <w:marLeft w:val="0"/>
                          <w:marRight w:val="0"/>
                          <w:marTop w:val="0"/>
                          <w:marBottom w:val="0"/>
                          <w:divBdr>
                            <w:top w:val="none" w:sz="0" w:space="0" w:color="auto"/>
                            <w:left w:val="none" w:sz="0" w:space="0" w:color="auto"/>
                            <w:bottom w:val="none" w:sz="0" w:space="0" w:color="auto"/>
                            <w:right w:val="none" w:sz="0" w:space="0" w:color="auto"/>
                          </w:divBdr>
                          <w:divsChild>
                            <w:div w:id="181097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362716">
      <w:bodyDiv w:val="1"/>
      <w:marLeft w:val="0"/>
      <w:marRight w:val="0"/>
      <w:marTop w:val="0"/>
      <w:marBottom w:val="0"/>
      <w:divBdr>
        <w:top w:val="none" w:sz="0" w:space="0" w:color="auto"/>
        <w:left w:val="none" w:sz="0" w:space="0" w:color="auto"/>
        <w:bottom w:val="none" w:sz="0" w:space="0" w:color="auto"/>
        <w:right w:val="none" w:sz="0" w:space="0" w:color="auto"/>
      </w:divBdr>
      <w:divsChild>
        <w:div w:id="541793419">
          <w:marLeft w:val="0"/>
          <w:marRight w:val="0"/>
          <w:marTop w:val="0"/>
          <w:marBottom w:val="0"/>
          <w:divBdr>
            <w:top w:val="none" w:sz="0" w:space="0" w:color="auto"/>
            <w:left w:val="none" w:sz="0" w:space="0" w:color="auto"/>
            <w:bottom w:val="none" w:sz="0" w:space="0" w:color="auto"/>
            <w:right w:val="none" w:sz="0" w:space="0" w:color="auto"/>
          </w:divBdr>
          <w:divsChild>
            <w:div w:id="693073906">
              <w:marLeft w:val="0"/>
              <w:marRight w:val="0"/>
              <w:marTop w:val="0"/>
              <w:marBottom w:val="0"/>
              <w:divBdr>
                <w:top w:val="none" w:sz="0" w:space="0" w:color="auto"/>
                <w:left w:val="none" w:sz="0" w:space="0" w:color="auto"/>
                <w:bottom w:val="none" w:sz="0" w:space="0" w:color="auto"/>
                <w:right w:val="none" w:sz="0" w:space="0" w:color="auto"/>
              </w:divBdr>
              <w:divsChild>
                <w:div w:id="2140873468">
                  <w:marLeft w:val="0"/>
                  <w:marRight w:val="0"/>
                  <w:marTop w:val="0"/>
                  <w:marBottom w:val="0"/>
                  <w:divBdr>
                    <w:top w:val="none" w:sz="0" w:space="0" w:color="auto"/>
                    <w:left w:val="none" w:sz="0" w:space="0" w:color="auto"/>
                    <w:bottom w:val="none" w:sz="0" w:space="0" w:color="auto"/>
                    <w:right w:val="none" w:sz="0" w:space="0" w:color="auto"/>
                  </w:divBdr>
                  <w:divsChild>
                    <w:div w:id="1906523157">
                      <w:marLeft w:val="0"/>
                      <w:marRight w:val="0"/>
                      <w:marTop w:val="0"/>
                      <w:marBottom w:val="0"/>
                      <w:divBdr>
                        <w:top w:val="none" w:sz="0" w:space="0" w:color="auto"/>
                        <w:left w:val="none" w:sz="0" w:space="0" w:color="auto"/>
                        <w:bottom w:val="none" w:sz="0" w:space="0" w:color="auto"/>
                        <w:right w:val="none" w:sz="0" w:space="0" w:color="auto"/>
                      </w:divBdr>
                      <w:divsChild>
                        <w:div w:id="1814758733">
                          <w:marLeft w:val="0"/>
                          <w:marRight w:val="0"/>
                          <w:marTop w:val="0"/>
                          <w:marBottom w:val="0"/>
                          <w:divBdr>
                            <w:top w:val="none" w:sz="0" w:space="0" w:color="auto"/>
                            <w:left w:val="none" w:sz="0" w:space="0" w:color="auto"/>
                            <w:bottom w:val="none" w:sz="0" w:space="0" w:color="auto"/>
                            <w:right w:val="none" w:sz="0" w:space="0" w:color="auto"/>
                          </w:divBdr>
                          <w:divsChild>
                            <w:div w:id="5272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221446">
      <w:bodyDiv w:val="1"/>
      <w:marLeft w:val="0"/>
      <w:marRight w:val="0"/>
      <w:marTop w:val="0"/>
      <w:marBottom w:val="0"/>
      <w:divBdr>
        <w:top w:val="none" w:sz="0" w:space="0" w:color="auto"/>
        <w:left w:val="none" w:sz="0" w:space="0" w:color="auto"/>
        <w:bottom w:val="none" w:sz="0" w:space="0" w:color="auto"/>
        <w:right w:val="none" w:sz="0" w:space="0" w:color="auto"/>
      </w:divBdr>
      <w:divsChild>
        <w:div w:id="1275559342">
          <w:marLeft w:val="0"/>
          <w:marRight w:val="0"/>
          <w:marTop w:val="0"/>
          <w:marBottom w:val="0"/>
          <w:divBdr>
            <w:top w:val="none" w:sz="0" w:space="0" w:color="auto"/>
            <w:left w:val="none" w:sz="0" w:space="0" w:color="auto"/>
            <w:bottom w:val="none" w:sz="0" w:space="0" w:color="auto"/>
            <w:right w:val="none" w:sz="0" w:space="0" w:color="auto"/>
          </w:divBdr>
          <w:divsChild>
            <w:div w:id="1986861170">
              <w:marLeft w:val="0"/>
              <w:marRight w:val="0"/>
              <w:marTop w:val="0"/>
              <w:marBottom w:val="0"/>
              <w:divBdr>
                <w:top w:val="none" w:sz="0" w:space="0" w:color="auto"/>
                <w:left w:val="none" w:sz="0" w:space="0" w:color="auto"/>
                <w:bottom w:val="none" w:sz="0" w:space="0" w:color="auto"/>
                <w:right w:val="none" w:sz="0" w:space="0" w:color="auto"/>
              </w:divBdr>
              <w:divsChild>
                <w:div w:id="1896235643">
                  <w:marLeft w:val="0"/>
                  <w:marRight w:val="0"/>
                  <w:marTop w:val="0"/>
                  <w:marBottom w:val="0"/>
                  <w:divBdr>
                    <w:top w:val="none" w:sz="0" w:space="0" w:color="auto"/>
                    <w:left w:val="none" w:sz="0" w:space="0" w:color="auto"/>
                    <w:bottom w:val="none" w:sz="0" w:space="0" w:color="auto"/>
                    <w:right w:val="none" w:sz="0" w:space="0" w:color="auto"/>
                  </w:divBdr>
                  <w:divsChild>
                    <w:div w:id="553272511">
                      <w:marLeft w:val="0"/>
                      <w:marRight w:val="0"/>
                      <w:marTop w:val="0"/>
                      <w:marBottom w:val="0"/>
                      <w:divBdr>
                        <w:top w:val="none" w:sz="0" w:space="0" w:color="auto"/>
                        <w:left w:val="none" w:sz="0" w:space="0" w:color="auto"/>
                        <w:bottom w:val="none" w:sz="0" w:space="0" w:color="auto"/>
                        <w:right w:val="none" w:sz="0" w:space="0" w:color="auto"/>
                      </w:divBdr>
                      <w:divsChild>
                        <w:div w:id="1682850461">
                          <w:marLeft w:val="0"/>
                          <w:marRight w:val="0"/>
                          <w:marTop w:val="0"/>
                          <w:marBottom w:val="0"/>
                          <w:divBdr>
                            <w:top w:val="none" w:sz="0" w:space="0" w:color="auto"/>
                            <w:left w:val="none" w:sz="0" w:space="0" w:color="auto"/>
                            <w:bottom w:val="none" w:sz="0" w:space="0" w:color="auto"/>
                            <w:right w:val="none" w:sz="0" w:space="0" w:color="auto"/>
                          </w:divBdr>
                          <w:divsChild>
                            <w:div w:id="3777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685219">
      <w:bodyDiv w:val="1"/>
      <w:marLeft w:val="0"/>
      <w:marRight w:val="0"/>
      <w:marTop w:val="0"/>
      <w:marBottom w:val="0"/>
      <w:divBdr>
        <w:top w:val="none" w:sz="0" w:space="0" w:color="auto"/>
        <w:left w:val="none" w:sz="0" w:space="0" w:color="auto"/>
        <w:bottom w:val="none" w:sz="0" w:space="0" w:color="auto"/>
        <w:right w:val="none" w:sz="0" w:space="0" w:color="auto"/>
      </w:divBdr>
    </w:div>
    <w:div w:id="565606549">
      <w:bodyDiv w:val="1"/>
      <w:marLeft w:val="0"/>
      <w:marRight w:val="0"/>
      <w:marTop w:val="0"/>
      <w:marBottom w:val="0"/>
      <w:divBdr>
        <w:top w:val="none" w:sz="0" w:space="0" w:color="auto"/>
        <w:left w:val="none" w:sz="0" w:space="0" w:color="auto"/>
        <w:bottom w:val="none" w:sz="0" w:space="0" w:color="auto"/>
        <w:right w:val="none" w:sz="0" w:space="0" w:color="auto"/>
      </w:divBdr>
      <w:divsChild>
        <w:div w:id="169375907">
          <w:marLeft w:val="0"/>
          <w:marRight w:val="0"/>
          <w:marTop w:val="0"/>
          <w:marBottom w:val="0"/>
          <w:divBdr>
            <w:top w:val="none" w:sz="0" w:space="0" w:color="auto"/>
            <w:left w:val="none" w:sz="0" w:space="0" w:color="auto"/>
            <w:bottom w:val="none" w:sz="0" w:space="0" w:color="auto"/>
            <w:right w:val="none" w:sz="0" w:space="0" w:color="auto"/>
          </w:divBdr>
          <w:divsChild>
            <w:div w:id="1224368208">
              <w:marLeft w:val="0"/>
              <w:marRight w:val="0"/>
              <w:marTop w:val="0"/>
              <w:marBottom w:val="0"/>
              <w:divBdr>
                <w:top w:val="none" w:sz="0" w:space="0" w:color="auto"/>
                <w:left w:val="none" w:sz="0" w:space="0" w:color="auto"/>
                <w:bottom w:val="none" w:sz="0" w:space="0" w:color="auto"/>
                <w:right w:val="none" w:sz="0" w:space="0" w:color="auto"/>
              </w:divBdr>
              <w:divsChild>
                <w:div w:id="2016300957">
                  <w:marLeft w:val="0"/>
                  <w:marRight w:val="0"/>
                  <w:marTop w:val="0"/>
                  <w:marBottom w:val="0"/>
                  <w:divBdr>
                    <w:top w:val="none" w:sz="0" w:space="0" w:color="auto"/>
                    <w:left w:val="none" w:sz="0" w:space="0" w:color="auto"/>
                    <w:bottom w:val="none" w:sz="0" w:space="0" w:color="auto"/>
                    <w:right w:val="none" w:sz="0" w:space="0" w:color="auto"/>
                  </w:divBdr>
                  <w:divsChild>
                    <w:div w:id="415710582">
                      <w:marLeft w:val="0"/>
                      <w:marRight w:val="0"/>
                      <w:marTop w:val="0"/>
                      <w:marBottom w:val="0"/>
                      <w:divBdr>
                        <w:top w:val="none" w:sz="0" w:space="0" w:color="auto"/>
                        <w:left w:val="none" w:sz="0" w:space="0" w:color="auto"/>
                        <w:bottom w:val="none" w:sz="0" w:space="0" w:color="auto"/>
                        <w:right w:val="none" w:sz="0" w:space="0" w:color="auto"/>
                      </w:divBdr>
                      <w:divsChild>
                        <w:div w:id="896665361">
                          <w:marLeft w:val="0"/>
                          <w:marRight w:val="0"/>
                          <w:marTop w:val="0"/>
                          <w:marBottom w:val="0"/>
                          <w:divBdr>
                            <w:top w:val="none" w:sz="0" w:space="0" w:color="auto"/>
                            <w:left w:val="none" w:sz="0" w:space="0" w:color="auto"/>
                            <w:bottom w:val="none" w:sz="0" w:space="0" w:color="auto"/>
                            <w:right w:val="none" w:sz="0" w:space="0" w:color="auto"/>
                          </w:divBdr>
                          <w:divsChild>
                            <w:div w:id="183148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339185">
      <w:bodyDiv w:val="1"/>
      <w:marLeft w:val="0"/>
      <w:marRight w:val="0"/>
      <w:marTop w:val="0"/>
      <w:marBottom w:val="0"/>
      <w:divBdr>
        <w:top w:val="none" w:sz="0" w:space="0" w:color="auto"/>
        <w:left w:val="none" w:sz="0" w:space="0" w:color="auto"/>
        <w:bottom w:val="none" w:sz="0" w:space="0" w:color="auto"/>
        <w:right w:val="none" w:sz="0" w:space="0" w:color="auto"/>
      </w:divBdr>
      <w:divsChild>
        <w:div w:id="1491142911">
          <w:marLeft w:val="0"/>
          <w:marRight w:val="0"/>
          <w:marTop w:val="0"/>
          <w:marBottom w:val="0"/>
          <w:divBdr>
            <w:top w:val="none" w:sz="0" w:space="0" w:color="auto"/>
            <w:left w:val="none" w:sz="0" w:space="0" w:color="auto"/>
            <w:bottom w:val="none" w:sz="0" w:space="0" w:color="auto"/>
            <w:right w:val="none" w:sz="0" w:space="0" w:color="auto"/>
          </w:divBdr>
          <w:divsChild>
            <w:div w:id="155847606">
              <w:marLeft w:val="2150"/>
              <w:marRight w:val="0"/>
              <w:marTop w:val="0"/>
              <w:marBottom w:val="0"/>
              <w:divBdr>
                <w:top w:val="none" w:sz="0" w:space="0" w:color="auto"/>
                <w:left w:val="none" w:sz="0" w:space="0" w:color="auto"/>
                <w:bottom w:val="none" w:sz="0" w:space="0" w:color="auto"/>
                <w:right w:val="none" w:sz="0" w:space="0" w:color="auto"/>
              </w:divBdr>
              <w:divsChild>
                <w:div w:id="1526555805">
                  <w:marLeft w:val="60"/>
                  <w:marRight w:val="0"/>
                  <w:marTop w:val="0"/>
                  <w:marBottom w:val="0"/>
                  <w:divBdr>
                    <w:top w:val="single" w:sz="4" w:space="0" w:color="EEEEEE"/>
                    <w:left w:val="none" w:sz="0" w:space="0" w:color="auto"/>
                    <w:bottom w:val="none" w:sz="0" w:space="0" w:color="auto"/>
                    <w:right w:val="none" w:sz="0" w:space="0" w:color="auto"/>
                  </w:divBdr>
                  <w:divsChild>
                    <w:div w:id="1779792029">
                      <w:marLeft w:val="0"/>
                      <w:marRight w:val="0"/>
                      <w:marTop w:val="0"/>
                      <w:marBottom w:val="0"/>
                      <w:divBdr>
                        <w:top w:val="none" w:sz="0" w:space="0" w:color="auto"/>
                        <w:left w:val="none" w:sz="0" w:space="0" w:color="auto"/>
                        <w:bottom w:val="none" w:sz="0" w:space="0" w:color="auto"/>
                        <w:right w:val="none" w:sz="0" w:space="0" w:color="auto"/>
                      </w:divBdr>
                      <w:divsChild>
                        <w:div w:id="54506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758994">
      <w:bodyDiv w:val="1"/>
      <w:marLeft w:val="0"/>
      <w:marRight w:val="0"/>
      <w:marTop w:val="0"/>
      <w:marBottom w:val="0"/>
      <w:divBdr>
        <w:top w:val="none" w:sz="0" w:space="0" w:color="auto"/>
        <w:left w:val="none" w:sz="0" w:space="0" w:color="auto"/>
        <w:bottom w:val="none" w:sz="0" w:space="0" w:color="auto"/>
        <w:right w:val="none" w:sz="0" w:space="0" w:color="auto"/>
      </w:divBdr>
      <w:divsChild>
        <w:div w:id="517501631">
          <w:marLeft w:val="0"/>
          <w:marRight w:val="0"/>
          <w:marTop w:val="0"/>
          <w:marBottom w:val="0"/>
          <w:divBdr>
            <w:top w:val="none" w:sz="0" w:space="0" w:color="auto"/>
            <w:left w:val="none" w:sz="0" w:space="0" w:color="auto"/>
            <w:bottom w:val="none" w:sz="0" w:space="0" w:color="auto"/>
            <w:right w:val="none" w:sz="0" w:space="0" w:color="auto"/>
          </w:divBdr>
          <w:divsChild>
            <w:div w:id="1222979178">
              <w:marLeft w:val="0"/>
              <w:marRight w:val="0"/>
              <w:marTop w:val="0"/>
              <w:marBottom w:val="0"/>
              <w:divBdr>
                <w:top w:val="none" w:sz="0" w:space="0" w:color="auto"/>
                <w:left w:val="none" w:sz="0" w:space="0" w:color="auto"/>
                <w:bottom w:val="none" w:sz="0" w:space="0" w:color="auto"/>
                <w:right w:val="none" w:sz="0" w:space="0" w:color="auto"/>
              </w:divBdr>
              <w:divsChild>
                <w:div w:id="932471163">
                  <w:marLeft w:val="0"/>
                  <w:marRight w:val="0"/>
                  <w:marTop w:val="0"/>
                  <w:marBottom w:val="0"/>
                  <w:divBdr>
                    <w:top w:val="none" w:sz="0" w:space="0" w:color="auto"/>
                    <w:left w:val="none" w:sz="0" w:space="0" w:color="auto"/>
                    <w:bottom w:val="none" w:sz="0" w:space="0" w:color="auto"/>
                    <w:right w:val="none" w:sz="0" w:space="0" w:color="auto"/>
                  </w:divBdr>
                  <w:divsChild>
                    <w:div w:id="2080328374">
                      <w:marLeft w:val="0"/>
                      <w:marRight w:val="0"/>
                      <w:marTop w:val="0"/>
                      <w:marBottom w:val="0"/>
                      <w:divBdr>
                        <w:top w:val="none" w:sz="0" w:space="0" w:color="auto"/>
                        <w:left w:val="none" w:sz="0" w:space="0" w:color="auto"/>
                        <w:bottom w:val="none" w:sz="0" w:space="0" w:color="auto"/>
                        <w:right w:val="none" w:sz="0" w:space="0" w:color="auto"/>
                      </w:divBdr>
                      <w:divsChild>
                        <w:div w:id="2244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398097">
      <w:bodyDiv w:val="1"/>
      <w:marLeft w:val="0"/>
      <w:marRight w:val="0"/>
      <w:marTop w:val="0"/>
      <w:marBottom w:val="0"/>
      <w:divBdr>
        <w:top w:val="none" w:sz="0" w:space="0" w:color="auto"/>
        <w:left w:val="none" w:sz="0" w:space="0" w:color="auto"/>
        <w:bottom w:val="none" w:sz="0" w:space="0" w:color="auto"/>
        <w:right w:val="none" w:sz="0" w:space="0" w:color="auto"/>
      </w:divBdr>
    </w:div>
    <w:div w:id="597373895">
      <w:bodyDiv w:val="1"/>
      <w:marLeft w:val="0"/>
      <w:marRight w:val="0"/>
      <w:marTop w:val="0"/>
      <w:marBottom w:val="0"/>
      <w:divBdr>
        <w:top w:val="none" w:sz="0" w:space="0" w:color="auto"/>
        <w:left w:val="none" w:sz="0" w:space="0" w:color="auto"/>
        <w:bottom w:val="none" w:sz="0" w:space="0" w:color="auto"/>
        <w:right w:val="none" w:sz="0" w:space="0" w:color="auto"/>
      </w:divBdr>
      <w:divsChild>
        <w:div w:id="928345450">
          <w:marLeft w:val="0"/>
          <w:marRight w:val="0"/>
          <w:marTop w:val="0"/>
          <w:marBottom w:val="0"/>
          <w:divBdr>
            <w:top w:val="none" w:sz="0" w:space="0" w:color="auto"/>
            <w:left w:val="none" w:sz="0" w:space="0" w:color="auto"/>
            <w:bottom w:val="none" w:sz="0" w:space="0" w:color="auto"/>
            <w:right w:val="none" w:sz="0" w:space="0" w:color="auto"/>
          </w:divBdr>
          <w:divsChild>
            <w:div w:id="1458260058">
              <w:marLeft w:val="0"/>
              <w:marRight w:val="0"/>
              <w:marTop w:val="0"/>
              <w:marBottom w:val="0"/>
              <w:divBdr>
                <w:top w:val="none" w:sz="0" w:space="0" w:color="auto"/>
                <w:left w:val="none" w:sz="0" w:space="0" w:color="auto"/>
                <w:bottom w:val="none" w:sz="0" w:space="0" w:color="auto"/>
                <w:right w:val="none" w:sz="0" w:space="0" w:color="auto"/>
              </w:divBdr>
              <w:divsChild>
                <w:div w:id="805927660">
                  <w:marLeft w:val="0"/>
                  <w:marRight w:val="0"/>
                  <w:marTop w:val="0"/>
                  <w:marBottom w:val="0"/>
                  <w:divBdr>
                    <w:top w:val="none" w:sz="0" w:space="0" w:color="auto"/>
                    <w:left w:val="none" w:sz="0" w:space="0" w:color="auto"/>
                    <w:bottom w:val="none" w:sz="0" w:space="0" w:color="auto"/>
                    <w:right w:val="none" w:sz="0" w:space="0" w:color="auto"/>
                  </w:divBdr>
                  <w:divsChild>
                    <w:div w:id="1240824134">
                      <w:marLeft w:val="0"/>
                      <w:marRight w:val="0"/>
                      <w:marTop w:val="0"/>
                      <w:marBottom w:val="0"/>
                      <w:divBdr>
                        <w:top w:val="none" w:sz="0" w:space="0" w:color="auto"/>
                        <w:left w:val="none" w:sz="0" w:space="0" w:color="auto"/>
                        <w:bottom w:val="none" w:sz="0" w:space="0" w:color="auto"/>
                        <w:right w:val="none" w:sz="0" w:space="0" w:color="auto"/>
                      </w:divBdr>
                      <w:divsChild>
                        <w:div w:id="1025836881">
                          <w:marLeft w:val="0"/>
                          <w:marRight w:val="0"/>
                          <w:marTop w:val="0"/>
                          <w:marBottom w:val="0"/>
                          <w:divBdr>
                            <w:top w:val="none" w:sz="0" w:space="0" w:color="auto"/>
                            <w:left w:val="none" w:sz="0" w:space="0" w:color="auto"/>
                            <w:bottom w:val="none" w:sz="0" w:space="0" w:color="auto"/>
                            <w:right w:val="none" w:sz="0" w:space="0" w:color="auto"/>
                          </w:divBdr>
                          <w:divsChild>
                            <w:div w:id="10244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659670">
      <w:bodyDiv w:val="1"/>
      <w:marLeft w:val="0"/>
      <w:marRight w:val="0"/>
      <w:marTop w:val="0"/>
      <w:marBottom w:val="0"/>
      <w:divBdr>
        <w:top w:val="none" w:sz="0" w:space="0" w:color="auto"/>
        <w:left w:val="none" w:sz="0" w:space="0" w:color="auto"/>
        <w:bottom w:val="none" w:sz="0" w:space="0" w:color="auto"/>
        <w:right w:val="none" w:sz="0" w:space="0" w:color="auto"/>
      </w:divBdr>
      <w:divsChild>
        <w:div w:id="996375555">
          <w:marLeft w:val="0"/>
          <w:marRight w:val="0"/>
          <w:marTop w:val="0"/>
          <w:marBottom w:val="0"/>
          <w:divBdr>
            <w:top w:val="none" w:sz="0" w:space="0" w:color="auto"/>
            <w:left w:val="none" w:sz="0" w:space="0" w:color="auto"/>
            <w:bottom w:val="none" w:sz="0" w:space="0" w:color="auto"/>
            <w:right w:val="none" w:sz="0" w:space="0" w:color="auto"/>
          </w:divBdr>
          <w:divsChild>
            <w:div w:id="62073784">
              <w:marLeft w:val="0"/>
              <w:marRight w:val="0"/>
              <w:marTop w:val="0"/>
              <w:marBottom w:val="0"/>
              <w:divBdr>
                <w:top w:val="none" w:sz="0" w:space="0" w:color="auto"/>
                <w:left w:val="none" w:sz="0" w:space="0" w:color="auto"/>
                <w:bottom w:val="none" w:sz="0" w:space="0" w:color="auto"/>
                <w:right w:val="none" w:sz="0" w:space="0" w:color="auto"/>
              </w:divBdr>
              <w:divsChild>
                <w:div w:id="1063870240">
                  <w:marLeft w:val="0"/>
                  <w:marRight w:val="0"/>
                  <w:marTop w:val="0"/>
                  <w:marBottom w:val="0"/>
                  <w:divBdr>
                    <w:top w:val="none" w:sz="0" w:space="0" w:color="auto"/>
                    <w:left w:val="none" w:sz="0" w:space="0" w:color="auto"/>
                    <w:bottom w:val="none" w:sz="0" w:space="0" w:color="auto"/>
                    <w:right w:val="none" w:sz="0" w:space="0" w:color="auto"/>
                  </w:divBdr>
                  <w:divsChild>
                    <w:div w:id="1983075519">
                      <w:marLeft w:val="0"/>
                      <w:marRight w:val="0"/>
                      <w:marTop w:val="0"/>
                      <w:marBottom w:val="0"/>
                      <w:divBdr>
                        <w:top w:val="none" w:sz="0" w:space="0" w:color="auto"/>
                        <w:left w:val="none" w:sz="0" w:space="0" w:color="auto"/>
                        <w:bottom w:val="none" w:sz="0" w:space="0" w:color="auto"/>
                        <w:right w:val="none" w:sz="0" w:space="0" w:color="auto"/>
                      </w:divBdr>
                      <w:divsChild>
                        <w:div w:id="1786853319">
                          <w:marLeft w:val="0"/>
                          <w:marRight w:val="0"/>
                          <w:marTop w:val="0"/>
                          <w:marBottom w:val="0"/>
                          <w:divBdr>
                            <w:top w:val="none" w:sz="0" w:space="0" w:color="auto"/>
                            <w:left w:val="none" w:sz="0" w:space="0" w:color="auto"/>
                            <w:bottom w:val="none" w:sz="0" w:space="0" w:color="auto"/>
                            <w:right w:val="none" w:sz="0" w:space="0" w:color="auto"/>
                          </w:divBdr>
                          <w:divsChild>
                            <w:div w:id="44951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474414">
      <w:bodyDiv w:val="1"/>
      <w:marLeft w:val="0"/>
      <w:marRight w:val="0"/>
      <w:marTop w:val="0"/>
      <w:marBottom w:val="0"/>
      <w:divBdr>
        <w:top w:val="none" w:sz="0" w:space="0" w:color="auto"/>
        <w:left w:val="none" w:sz="0" w:space="0" w:color="auto"/>
        <w:bottom w:val="none" w:sz="0" w:space="0" w:color="auto"/>
        <w:right w:val="none" w:sz="0" w:space="0" w:color="auto"/>
      </w:divBdr>
      <w:divsChild>
        <w:div w:id="155190029">
          <w:marLeft w:val="0"/>
          <w:marRight w:val="0"/>
          <w:marTop w:val="0"/>
          <w:marBottom w:val="0"/>
          <w:divBdr>
            <w:top w:val="none" w:sz="0" w:space="0" w:color="auto"/>
            <w:left w:val="none" w:sz="0" w:space="0" w:color="auto"/>
            <w:bottom w:val="none" w:sz="0" w:space="0" w:color="auto"/>
            <w:right w:val="none" w:sz="0" w:space="0" w:color="auto"/>
          </w:divBdr>
          <w:divsChild>
            <w:div w:id="1530024999">
              <w:marLeft w:val="0"/>
              <w:marRight w:val="0"/>
              <w:marTop w:val="0"/>
              <w:marBottom w:val="0"/>
              <w:divBdr>
                <w:top w:val="none" w:sz="0" w:space="0" w:color="auto"/>
                <w:left w:val="none" w:sz="0" w:space="0" w:color="auto"/>
                <w:bottom w:val="none" w:sz="0" w:space="0" w:color="auto"/>
                <w:right w:val="none" w:sz="0" w:space="0" w:color="auto"/>
              </w:divBdr>
              <w:divsChild>
                <w:div w:id="1797681342">
                  <w:marLeft w:val="0"/>
                  <w:marRight w:val="0"/>
                  <w:marTop w:val="0"/>
                  <w:marBottom w:val="0"/>
                  <w:divBdr>
                    <w:top w:val="none" w:sz="0" w:space="0" w:color="auto"/>
                    <w:left w:val="none" w:sz="0" w:space="0" w:color="auto"/>
                    <w:bottom w:val="none" w:sz="0" w:space="0" w:color="auto"/>
                    <w:right w:val="none" w:sz="0" w:space="0" w:color="auto"/>
                  </w:divBdr>
                  <w:divsChild>
                    <w:div w:id="236090719">
                      <w:marLeft w:val="0"/>
                      <w:marRight w:val="0"/>
                      <w:marTop w:val="0"/>
                      <w:marBottom w:val="0"/>
                      <w:divBdr>
                        <w:top w:val="none" w:sz="0" w:space="0" w:color="auto"/>
                        <w:left w:val="none" w:sz="0" w:space="0" w:color="auto"/>
                        <w:bottom w:val="none" w:sz="0" w:space="0" w:color="auto"/>
                        <w:right w:val="none" w:sz="0" w:space="0" w:color="auto"/>
                      </w:divBdr>
                      <w:divsChild>
                        <w:div w:id="1679699177">
                          <w:marLeft w:val="0"/>
                          <w:marRight w:val="0"/>
                          <w:marTop w:val="0"/>
                          <w:marBottom w:val="0"/>
                          <w:divBdr>
                            <w:top w:val="none" w:sz="0" w:space="0" w:color="auto"/>
                            <w:left w:val="none" w:sz="0" w:space="0" w:color="auto"/>
                            <w:bottom w:val="none" w:sz="0" w:space="0" w:color="auto"/>
                            <w:right w:val="none" w:sz="0" w:space="0" w:color="auto"/>
                          </w:divBdr>
                          <w:divsChild>
                            <w:div w:id="132149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378608">
      <w:bodyDiv w:val="1"/>
      <w:marLeft w:val="0"/>
      <w:marRight w:val="0"/>
      <w:marTop w:val="0"/>
      <w:marBottom w:val="0"/>
      <w:divBdr>
        <w:top w:val="none" w:sz="0" w:space="0" w:color="auto"/>
        <w:left w:val="none" w:sz="0" w:space="0" w:color="auto"/>
        <w:bottom w:val="none" w:sz="0" w:space="0" w:color="auto"/>
        <w:right w:val="none" w:sz="0" w:space="0" w:color="auto"/>
      </w:divBdr>
      <w:divsChild>
        <w:div w:id="1075856246">
          <w:marLeft w:val="0"/>
          <w:marRight w:val="0"/>
          <w:marTop w:val="0"/>
          <w:marBottom w:val="0"/>
          <w:divBdr>
            <w:top w:val="none" w:sz="0" w:space="0" w:color="auto"/>
            <w:left w:val="none" w:sz="0" w:space="0" w:color="auto"/>
            <w:bottom w:val="none" w:sz="0" w:space="0" w:color="auto"/>
            <w:right w:val="none" w:sz="0" w:space="0" w:color="auto"/>
          </w:divBdr>
          <w:divsChild>
            <w:div w:id="1149715315">
              <w:marLeft w:val="0"/>
              <w:marRight w:val="0"/>
              <w:marTop w:val="0"/>
              <w:marBottom w:val="0"/>
              <w:divBdr>
                <w:top w:val="none" w:sz="0" w:space="0" w:color="auto"/>
                <w:left w:val="none" w:sz="0" w:space="0" w:color="auto"/>
                <w:bottom w:val="none" w:sz="0" w:space="0" w:color="auto"/>
                <w:right w:val="none" w:sz="0" w:space="0" w:color="auto"/>
              </w:divBdr>
              <w:divsChild>
                <w:div w:id="1167788091">
                  <w:marLeft w:val="0"/>
                  <w:marRight w:val="0"/>
                  <w:marTop w:val="0"/>
                  <w:marBottom w:val="0"/>
                  <w:divBdr>
                    <w:top w:val="none" w:sz="0" w:space="0" w:color="auto"/>
                    <w:left w:val="none" w:sz="0" w:space="0" w:color="auto"/>
                    <w:bottom w:val="none" w:sz="0" w:space="0" w:color="auto"/>
                    <w:right w:val="none" w:sz="0" w:space="0" w:color="auto"/>
                  </w:divBdr>
                  <w:divsChild>
                    <w:div w:id="1744334991">
                      <w:marLeft w:val="0"/>
                      <w:marRight w:val="0"/>
                      <w:marTop w:val="0"/>
                      <w:marBottom w:val="0"/>
                      <w:divBdr>
                        <w:top w:val="none" w:sz="0" w:space="0" w:color="auto"/>
                        <w:left w:val="none" w:sz="0" w:space="0" w:color="auto"/>
                        <w:bottom w:val="none" w:sz="0" w:space="0" w:color="auto"/>
                        <w:right w:val="none" w:sz="0" w:space="0" w:color="auto"/>
                      </w:divBdr>
                      <w:divsChild>
                        <w:div w:id="776485004">
                          <w:marLeft w:val="0"/>
                          <w:marRight w:val="0"/>
                          <w:marTop w:val="0"/>
                          <w:marBottom w:val="0"/>
                          <w:divBdr>
                            <w:top w:val="none" w:sz="0" w:space="0" w:color="auto"/>
                            <w:left w:val="none" w:sz="0" w:space="0" w:color="auto"/>
                            <w:bottom w:val="none" w:sz="0" w:space="0" w:color="auto"/>
                            <w:right w:val="none" w:sz="0" w:space="0" w:color="auto"/>
                          </w:divBdr>
                          <w:divsChild>
                            <w:div w:id="11545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649847">
      <w:bodyDiv w:val="1"/>
      <w:marLeft w:val="0"/>
      <w:marRight w:val="0"/>
      <w:marTop w:val="0"/>
      <w:marBottom w:val="0"/>
      <w:divBdr>
        <w:top w:val="none" w:sz="0" w:space="0" w:color="auto"/>
        <w:left w:val="none" w:sz="0" w:space="0" w:color="auto"/>
        <w:bottom w:val="none" w:sz="0" w:space="0" w:color="auto"/>
        <w:right w:val="none" w:sz="0" w:space="0" w:color="auto"/>
      </w:divBdr>
    </w:div>
    <w:div w:id="654183422">
      <w:bodyDiv w:val="1"/>
      <w:marLeft w:val="0"/>
      <w:marRight w:val="0"/>
      <w:marTop w:val="0"/>
      <w:marBottom w:val="0"/>
      <w:divBdr>
        <w:top w:val="none" w:sz="0" w:space="0" w:color="auto"/>
        <w:left w:val="none" w:sz="0" w:space="0" w:color="auto"/>
        <w:bottom w:val="none" w:sz="0" w:space="0" w:color="auto"/>
        <w:right w:val="none" w:sz="0" w:space="0" w:color="auto"/>
      </w:divBdr>
      <w:divsChild>
        <w:div w:id="729231241">
          <w:marLeft w:val="0"/>
          <w:marRight w:val="0"/>
          <w:marTop w:val="0"/>
          <w:marBottom w:val="0"/>
          <w:divBdr>
            <w:top w:val="none" w:sz="0" w:space="0" w:color="auto"/>
            <w:left w:val="none" w:sz="0" w:space="0" w:color="auto"/>
            <w:bottom w:val="none" w:sz="0" w:space="0" w:color="auto"/>
            <w:right w:val="none" w:sz="0" w:space="0" w:color="auto"/>
          </w:divBdr>
          <w:divsChild>
            <w:div w:id="205530029">
              <w:marLeft w:val="0"/>
              <w:marRight w:val="0"/>
              <w:marTop w:val="0"/>
              <w:marBottom w:val="0"/>
              <w:divBdr>
                <w:top w:val="none" w:sz="0" w:space="0" w:color="auto"/>
                <w:left w:val="none" w:sz="0" w:space="0" w:color="auto"/>
                <w:bottom w:val="none" w:sz="0" w:space="0" w:color="auto"/>
                <w:right w:val="none" w:sz="0" w:space="0" w:color="auto"/>
              </w:divBdr>
              <w:divsChild>
                <w:div w:id="1714773666">
                  <w:marLeft w:val="0"/>
                  <w:marRight w:val="0"/>
                  <w:marTop w:val="0"/>
                  <w:marBottom w:val="0"/>
                  <w:divBdr>
                    <w:top w:val="none" w:sz="0" w:space="0" w:color="auto"/>
                    <w:left w:val="none" w:sz="0" w:space="0" w:color="auto"/>
                    <w:bottom w:val="none" w:sz="0" w:space="0" w:color="auto"/>
                    <w:right w:val="none" w:sz="0" w:space="0" w:color="auto"/>
                  </w:divBdr>
                  <w:divsChild>
                    <w:div w:id="1184898419">
                      <w:marLeft w:val="0"/>
                      <w:marRight w:val="0"/>
                      <w:marTop w:val="0"/>
                      <w:marBottom w:val="0"/>
                      <w:divBdr>
                        <w:top w:val="none" w:sz="0" w:space="0" w:color="auto"/>
                        <w:left w:val="none" w:sz="0" w:space="0" w:color="auto"/>
                        <w:bottom w:val="none" w:sz="0" w:space="0" w:color="auto"/>
                        <w:right w:val="none" w:sz="0" w:space="0" w:color="auto"/>
                      </w:divBdr>
                      <w:divsChild>
                        <w:div w:id="1544712282">
                          <w:marLeft w:val="0"/>
                          <w:marRight w:val="0"/>
                          <w:marTop w:val="0"/>
                          <w:marBottom w:val="0"/>
                          <w:divBdr>
                            <w:top w:val="none" w:sz="0" w:space="0" w:color="auto"/>
                            <w:left w:val="none" w:sz="0" w:space="0" w:color="auto"/>
                            <w:bottom w:val="none" w:sz="0" w:space="0" w:color="auto"/>
                            <w:right w:val="none" w:sz="0" w:space="0" w:color="auto"/>
                          </w:divBdr>
                          <w:divsChild>
                            <w:div w:id="435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060524">
      <w:bodyDiv w:val="1"/>
      <w:marLeft w:val="0"/>
      <w:marRight w:val="0"/>
      <w:marTop w:val="0"/>
      <w:marBottom w:val="0"/>
      <w:divBdr>
        <w:top w:val="none" w:sz="0" w:space="0" w:color="auto"/>
        <w:left w:val="none" w:sz="0" w:space="0" w:color="auto"/>
        <w:bottom w:val="none" w:sz="0" w:space="0" w:color="auto"/>
        <w:right w:val="none" w:sz="0" w:space="0" w:color="auto"/>
      </w:divBdr>
      <w:divsChild>
        <w:div w:id="243884553">
          <w:marLeft w:val="0"/>
          <w:marRight w:val="0"/>
          <w:marTop w:val="0"/>
          <w:marBottom w:val="0"/>
          <w:divBdr>
            <w:top w:val="none" w:sz="0" w:space="0" w:color="auto"/>
            <w:left w:val="none" w:sz="0" w:space="0" w:color="auto"/>
            <w:bottom w:val="none" w:sz="0" w:space="0" w:color="auto"/>
            <w:right w:val="none" w:sz="0" w:space="0" w:color="auto"/>
          </w:divBdr>
          <w:divsChild>
            <w:div w:id="1935017588">
              <w:marLeft w:val="0"/>
              <w:marRight w:val="0"/>
              <w:marTop w:val="0"/>
              <w:marBottom w:val="0"/>
              <w:divBdr>
                <w:top w:val="none" w:sz="0" w:space="0" w:color="auto"/>
                <w:left w:val="none" w:sz="0" w:space="0" w:color="auto"/>
                <w:bottom w:val="none" w:sz="0" w:space="0" w:color="auto"/>
                <w:right w:val="none" w:sz="0" w:space="0" w:color="auto"/>
              </w:divBdr>
              <w:divsChild>
                <w:div w:id="970555264">
                  <w:marLeft w:val="0"/>
                  <w:marRight w:val="0"/>
                  <w:marTop w:val="0"/>
                  <w:marBottom w:val="0"/>
                  <w:divBdr>
                    <w:top w:val="none" w:sz="0" w:space="0" w:color="auto"/>
                    <w:left w:val="none" w:sz="0" w:space="0" w:color="auto"/>
                    <w:bottom w:val="none" w:sz="0" w:space="0" w:color="auto"/>
                    <w:right w:val="none" w:sz="0" w:space="0" w:color="auto"/>
                  </w:divBdr>
                  <w:divsChild>
                    <w:div w:id="983267595">
                      <w:marLeft w:val="0"/>
                      <w:marRight w:val="0"/>
                      <w:marTop w:val="0"/>
                      <w:marBottom w:val="0"/>
                      <w:divBdr>
                        <w:top w:val="none" w:sz="0" w:space="0" w:color="auto"/>
                        <w:left w:val="none" w:sz="0" w:space="0" w:color="auto"/>
                        <w:bottom w:val="none" w:sz="0" w:space="0" w:color="auto"/>
                        <w:right w:val="none" w:sz="0" w:space="0" w:color="auto"/>
                      </w:divBdr>
                      <w:divsChild>
                        <w:div w:id="1556425599">
                          <w:marLeft w:val="0"/>
                          <w:marRight w:val="0"/>
                          <w:marTop w:val="0"/>
                          <w:marBottom w:val="0"/>
                          <w:divBdr>
                            <w:top w:val="none" w:sz="0" w:space="0" w:color="auto"/>
                            <w:left w:val="none" w:sz="0" w:space="0" w:color="auto"/>
                            <w:bottom w:val="none" w:sz="0" w:space="0" w:color="auto"/>
                            <w:right w:val="none" w:sz="0" w:space="0" w:color="auto"/>
                          </w:divBdr>
                          <w:divsChild>
                            <w:div w:id="15371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416275">
      <w:bodyDiv w:val="1"/>
      <w:marLeft w:val="0"/>
      <w:marRight w:val="0"/>
      <w:marTop w:val="0"/>
      <w:marBottom w:val="0"/>
      <w:divBdr>
        <w:top w:val="none" w:sz="0" w:space="0" w:color="auto"/>
        <w:left w:val="none" w:sz="0" w:space="0" w:color="auto"/>
        <w:bottom w:val="none" w:sz="0" w:space="0" w:color="auto"/>
        <w:right w:val="none" w:sz="0" w:space="0" w:color="auto"/>
      </w:divBdr>
      <w:divsChild>
        <w:div w:id="878319745">
          <w:marLeft w:val="0"/>
          <w:marRight w:val="0"/>
          <w:marTop w:val="0"/>
          <w:marBottom w:val="0"/>
          <w:divBdr>
            <w:top w:val="none" w:sz="0" w:space="0" w:color="auto"/>
            <w:left w:val="none" w:sz="0" w:space="0" w:color="auto"/>
            <w:bottom w:val="none" w:sz="0" w:space="0" w:color="auto"/>
            <w:right w:val="none" w:sz="0" w:space="0" w:color="auto"/>
          </w:divBdr>
          <w:divsChild>
            <w:div w:id="261105655">
              <w:marLeft w:val="0"/>
              <w:marRight w:val="0"/>
              <w:marTop w:val="0"/>
              <w:marBottom w:val="0"/>
              <w:divBdr>
                <w:top w:val="none" w:sz="0" w:space="0" w:color="auto"/>
                <w:left w:val="none" w:sz="0" w:space="0" w:color="auto"/>
                <w:bottom w:val="none" w:sz="0" w:space="0" w:color="auto"/>
                <w:right w:val="none" w:sz="0" w:space="0" w:color="auto"/>
              </w:divBdr>
              <w:divsChild>
                <w:div w:id="1351179885">
                  <w:marLeft w:val="0"/>
                  <w:marRight w:val="0"/>
                  <w:marTop w:val="0"/>
                  <w:marBottom w:val="0"/>
                  <w:divBdr>
                    <w:top w:val="none" w:sz="0" w:space="0" w:color="auto"/>
                    <w:left w:val="none" w:sz="0" w:space="0" w:color="auto"/>
                    <w:bottom w:val="none" w:sz="0" w:space="0" w:color="auto"/>
                    <w:right w:val="none" w:sz="0" w:space="0" w:color="auto"/>
                  </w:divBdr>
                  <w:divsChild>
                    <w:div w:id="1407415183">
                      <w:marLeft w:val="0"/>
                      <w:marRight w:val="0"/>
                      <w:marTop w:val="0"/>
                      <w:marBottom w:val="0"/>
                      <w:divBdr>
                        <w:top w:val="none" w:sz="0" w:space="0" w:color="auto"/>
                        <w:left w:val="none" w:sz="0" w:space="0" w:color="auto"/>
                        <w:bottom w:val="none" w:sz="0" w:space="0" w:color="auto"/>
                        <w:right w:val="none" w:sz="0" w:space="0" w:color="auto"/>
                      </w:divBdr>
                      <w:divsChild>
                        <w:div w:id="878934564">
                          <w:marLeft w:val="0"/>
                          <w:marRight w:val="0"/>
                          <w:marTop w:val="0"/>
                          <w:marBottom w:val="0"/>
                          <w:divBdr>
                            <w:top w:val="none" w:sz="0" w:space="0" w:color="auto"/>
                            <w:left w:val="none" w:sz="0" w:space="0" w:color="auto"/>
                            <w:bottom w:val="none" w:sz="0" w:space="0" w:color="auto"/>
                            <w:right w:val="none" w:sz="0" w:space="0" w:color="auto"/>
                          </w:divBdr>
                          <w:divsChild>
                            <w:div w:id="10311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593133">
      <w:bodyDiv w:val="1"/>
      <w:marLeft w:val="0"/>
      <w:marRight w:val="0"/>
      <w:marTop w:val="0"/>
      <w:marBottom w:val="0"/>
      <w:divBdr>
        <w:top w:val="none" w:sz="0" w:space="0" w:color="auto"/>
        <w:left w:val="none" w:sz="0" w:space="0" w:color="auto"/>
        <w:bottom w:val="none" w:sz="0" w:space="0" w:color="auto"/>
        <w:right w:val="none" w:sz="0" w:space="0" w:color="auto"/>
      </w:divBdr>
      <w:divsChild>
        <w:div w:id="632442263">
          <w:marLeft w:val="0"/>
          <w:marRight w:val="0"/>
          <w:marTop w:val="0"/>
          <w:marBottom w:val="0"/>
          <w:divBdr>
            <w:top w:val="none" w:sz="0" w:space="0" w:color="auto"/>
            <w:left w:val="none" w:sz="0" w:space="0" w:color="auto"/>
            <w:bottom w:val="none" w:sz="0" w:space="0" w:color="auto"/>
            <w:right w:val="none" w:sz="0" w:space="0" w:color="auto"/>
          </w:divBdr>
          <w:divsChild>
            <w:div w:id="1791363887">
              <w:marLeft w:val="0"/>
              <w:marRight w:val="0"/>
              <w:marTop w:val="0"/>
              <w:marBottom w:val="0"/>
              <w:divBdr>
                <w:top w:val="none" w:sz="0" w:space="0" w:color="auto"/>
                <w:left w:val="none" w:sz="0" w:space="0" w:color="auto"/>
                <w:bottom w:val="none" w:sz="0" w:space="0" w:color="auto"/>
                <w:right w:val="none" w:sz="0" w:space="0" w:color="auto"/>
              </w:divBdr>
              <w:divsChild>
                <w:div w:id="27218112">
                  <w:marLeft w:val="0"/>
                  <w:marRight w:val="0"/>
                  <w:marTop w:val="0"/>
                  <w:marBottom w:val="0"/>
                  <w:divBdr>
                    <w:top w:val="none" w:sz="0" w:space="0" w:color="auto"/>
                    <w:left w:val="none" w:sz="0" w:space="0" w:color="auto"/>
                    <w:bottom w:val="none" w:sz="0" w:space="0" w:color="auto"/>
                    <w:right w:val="none" w:sz="0" w:space="0" w:color="auto"/>
                  </w:divBdr>
                  <w:divsChild>
                    <w:div w:id="1722709754">
                      <w:marLeft w:val="0"/>
                      <w:marRight w:val="0"/>
                      <w:marTop w:val="0"/>
                      <w:marBottom w:val="0"/>
                      <w:divBdr>
                        <w:top w:val="none" w:sz="0" w:space="0" w:color="auto"/>
                        <w:left w:val="none" w:sz="0" w:space="0" w:color="auto"/>
                        <w:bottom w:val="none" w:sz="0" w:space="0" w:color="auto"/>
                        <w:right w:val="none" w:sz="0" w:space="0" w:color="auto"/>
                      </w:divBdr>
                      <w:divsChild>
                        <w:div w:id="1763836857">
                          <w:marLeft w:val="0"/>
                          <w:marRight w:val="0"/>
                          <w:marTop w:val="0"/>
                          <w:marBottom w:val="0"/>
                          <w:divBdr>
                            <w:top w:val="none" w:sz="0" w:space="0" w:color="auto"/>
                            <w:left w:val="none" w:sz="0" w:space="0" w:color="auto"/>
                            <w:bottom w:val="none" w:sz="0" w:space="0" w:color="auto"/>
                            <w:right w:val="none" w:sz="0" w:space="0" w:color="auto"/>
                          </w:divBdr>
                          <w:divsChild>
                            <w:div w:id="41362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325748">
      <w:bodyDiv w:val="1"/>
      <w:marLeft w:val="0"/>
      <w:marRight w:val="0"/>
      <w:marTop w:val="0"/>
      <w:marBottom w:val="0"/>
      <w:divBdr>
        <w:top w:val="none" w:sz="0" w:space="0" w:color="auto"/>
        <w:left w:val="none" w:sz="0" w:space="0" w:color="auto"/>
        <w:bottom w:val="none" w:sz="0" w:space="0" w:color="auto"/>
        <w:right w:val="none" w:sz="0" w:space="0" w:color="auto"/>
      </w:divBdr>
      <w:divsChild>
        <w:div w:id="848912919">
          <w:marLeft w:val="0"/>
          <w:marRight w:val="0"/>
          <w:marTop w:val="0"/>
          <w:marBottom w:val="0"/>
          <w:divBdr>
            <w:top w:val="none" w:sz="0" w:space="0" w:color="auto"/>
            <w:left w:val="none" w:sz="0" w:space="0" w:color="auto"/>
            <w:bottom w:val="none" w:sz="0" w:space="0" w:color="auto"/>
            <w:right w:val="none" w:sz="0" w:space="0" w:color="auto"/>
          </w:divBdr>
          <w:divsChild>
            <w:div w:id="10617834">
              <w:marLeft w:val="0"/>
              <w:marRight w:val="0"/>
              <w:marTop w:val="0"/>
              <w:marBottom w:val="0"/>
              <w:divBdr>
                <w:top w:val="none" w:sz="0" w:space="0" w:color="auto"/>
                <w:left w:val="none" w:sz="0" w:space="0" w:color="auto"/>
                <w:bottom w:val="none" w:sz="0" w:space="0" w:color="auto"/>
                <w:right w:val="none" w:sz="0" w:space="0" w:color="auto"/>
              </w:divBdr>
              <w:divsChild>
                <w:div w:id="1884898249">
                  <w:marLeft w:val="0"/>
                  <w:marRight w:val="0"/>
                  <w:marTop w:val="0"/>
                  <w:marBottom w:val="0"/>
                  <w:divBdr>
                    <w:top w:val="none" w:sz="0" w:space="0" w:color="auto"/>
                    <w:left w:val="none" w:sz="0" w:space="0" w:color="auto"/>
                    <w:bottom w:val="none" w:sz="0" w:space="0" w:color="auto"/>
                    <w:right w:val="none" w:sz="0" w:space="0" w:color="auto"/>
                  </w:divBdr>
                  <w:divsChild>
                    <w:div w:id="51199744">
                      <w:marLeft w:val="0"/>
                      <w:marRight w:val="0"/>
                      <w:marTop w:val="0"/>
                      <w:marBottom w:val="0"/>
                      <w:divBdr>
                        <w:top w:val="none" w:sz="0" w:space="0" w:color="auto"/>
                        <w:left w:val="none" w:sz="0" w:space="0" w:color="auto"/>
                        <w:bottom w:val="none" w:sz="0" w:space="0" w:color="auto"/>
                        <w:right w:val="none" w:sz="0" w:space="0" w:color="auto"/>
                      </w:divBdr>
                      <w:divsChild>
                        <w:div w:id="139464602">
                          <w:marLeft w:val="0"/>
                          <w:marRight w:val="0"/>
                          <w:marTop w:val="0"/>
                          <w:marBottom w:val="0"/>
                          <w:divBdr>
                            <w:top w:val="none" w:sz="0" w:space="0" w:color="auto"/>
                            <w:left w:val="none" w:sz="0" w:space="0" w:color="auto"/>
                            <w:bottom w:val="none" w:sz="0" w:space="0" w:color="auto"/>
                            <w:right w:val="none" w:sz="0" w:space="0" w:color="auto"/>
                          </w:divBdr>
                          <w:divsChild>
                            <w:div w:id="9594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838562">
      <w:bodyDiv w:val="1"/>
      <w:marLeft w:val="0"/>
      <w:marRight w:val="0"/>
      <w:marTop w:val="0"/>
      <w:marBottom w:val="0"/>
      <w:divBdr>
        <w:top w:val="none" w:sz="0" w:space="0" w:color="auto"/>
        <w:left w:val="none" w:sz="0" w:space="0" w:color="auto"/>
        <w:bottom w:val="none" w:sz="0" w:space="0" w:color="auto"/>
        <w:right w:val="none" w:sz="0" w:space="0" w:color="auto"/>
      </w:divBdr>
      <w:divsChild>
        <w:div w:id="1406487618">
          <w:marLeft w:val="0"/>
          <w:marRight w:val="0"/>
          <w:marTop w:val="0"/>
          <w:marBottom w:val="0"/>
          <w:divBdr>
            <w:top w:val="none" w:sz="0" w:space="0" w:color="auto"/>
            <w:left w:val="none" w:sz="0" w:space="0" w:color="auto"/>
            <w:bottom w:val="none" w:sz="0" w:space="0" w:color="auto"/>
            <w:right w:val="none" w:sz="0" w:space="0" w:color="auto"/>
          </w:divBdr>
          <w:divsChild>
            <w:div w:id="1354308762">
              <w:marLeft w:val="0"/>
              <w:marRight w:val="0"/>
              <w:marTop w:val="0"/>
              <w:marBottom w:val="0"/>
              <w:divBdr>
                <w:top w:val="none" w:sz="0" w:space="0" w:color="auto"/>
                <w:left w:val="none" w:sz="0" w:space="0" w:color="auto"/>
                <w:bottom w:val="none" w:sz="0" w:space="0" w:color="auto"/>
                <w:right w:val="none" w:sz="0" w:space="0" w:color="auto"/>
              </w:divBdr>
              <w:divsChild>
                <w:div w:id="304430643">
                  <w:marLeft w:val="0"/>
                  <w:marRight w:val="0"/>
                  <w:marTop w:val="0"/>
                  <w:marBottom w:val="0"/>
                  <w:divBdr>
                    <w:top w:val="none" w:sz="0" w:space="0" w:color="auto"/>
                    <w:left w:val="none" w:sz="0" w:space="0" w:color="auto"/>
                    <w:bottom w:val="none" w:sz="0" w:space="0" w:color="auto"/>
                    <w:right w:val="none" w:sz="0" w:space="0" w:color="auto"/>
                  </w:divBdr>
                  <w:divsChild>
                    <w:div w:id="295644851">
                      <w:marLeft w:val="0"/>
                      <w:marRight w:val="0"/>
                      <w:marTop w:val="0"/>
                      <w:marBottom w:val="0"/>
                      <w:divBdr>
                        <w:top w:val="none" w:sz="0" w:space="0" w:color="auto"/>
                        <w:left w:val="none" w:sz="0" w:space="0" w:color="auto"/>
                        <w:bottom w:val="none" w:sz="0" w:space="0" w:color="auto"/>
                        <w:right w:val="none" w:sz="0" w:space="0" w:color="auto"/>
                      </w:divBdr>
                      <w:divsChild>
                        <w:div w:id="1983928146">
                          <w:marLeft w:val="0"/>
                          <w:marRight w:val="0"/>
                          <w:marTop w:val="0"/>
                          <w:marBottom w:val="0"/>
                          <w:divBdr>
                            <w:top w:val="none" w:sz="0" w:space="0" w:color="auto"/>
                            <w:left w:val="none" w:sz="0" w:space="0" w:color="auto"/>
                            <w:bottom w:val="none" w:sz="0" w:space="0" w:color="auto"/>
                            <w:right w:val="none" w:sz="0" w:space="0" w:color="auto"/>
                          </w:divBdr>
                          <w:divsChild>
                            <w:div w:id="1758749976">
                              <w:marLeft w:val="0"/>
                              <w:marRight w:val="0"/>
                              <w:marTop w:val="0"/>
                              <w:marBottom w:val="0"/>
                              <w:divBdr>
                                <w:top w:val="none" w:sz="0" w:space="0" w:color="auto"/>
                                <w:left w:val="none" w:sz="0" w:space="0" w:color="auto"/>
                                <w:bottom w:val="none" w:sz="0" w:space="0" w:color="auto"/>
                                <w:right w:val="none" w:sz="0" w:space="0" w:color="auto"/>
                              </w:divBdr>
                              <w:divsChild>
                                <w:div w:id="195000274">
                                  <w:marLeft w:val="0"/>
                                  <w:marRight w:val="0"/>
                                  <w:marTop w:val="0"/>
                                  <w:marBottom w:val="0"/>
                                  <w:divBdr>
                                    <w:top w:val="none" w:sz="0" w:space="0" w:color="auto"/>
                                    <w:left w:val="none" w:sz="0" w:space="0" w:color="auto"/>
                                    <w:bottom w:val="none" w:sz="0" w:space="0" w:color="auto"/>
                                    <w:right w:val="none" w:sz="0" w:space="0" w:color="auto"/>
                                  </w:divBdr>
                                  <w:divsChild>
                                    <w:div w:id="725614742">
                                      <w:marLeft w:val="0"/>
                                      <w:marRight w:val="0"/>
                                      <w:marTop w:val="0"/>
                                      <w:marBottom w:val="0"/>
                                      <w:divBdr>
                                        <w:top w:val="none" w:sz="0" w:space="0" w:color="auto"/>
                                        <w:left w:val="none" w:sz="0" w:space="0" w:color="auto"/>
                                        <w:bottom w:val="none" w:sz="0" w:space="0" w:color="auto"/>
                                        <w:right w:val="none" w:sz="0" w:space="0" w:color="auto"/>
                                      </w:divBdr>
                                      <w:divsChild>
                                        <w:div w:id="137841830">
                                          <w:marLeft w:val="0"/>
                                          <w:marRight w:val="0"/>
                                          <w:marTop w:val="0"/>
                                          <w:marBottom w:val="0"/>
                                          <w:divBdr>
                                            <w:top w:val="none" w:sz="0" w:space="0" w:color="auto"/>
                                            <w:left w:val="none" w:sz="0" w:space="0" w:color="auto"/>
                                            <w:bottom w:val="none" w:sz="0" w:space="0" w:color="auto"/>
                                            <w:right w:val="none" w:sz="0" w:space="0" w:color="auto"/>
                                          </w:divBdr>
                                          <w:divsChild>
                                            <w:div w:id="252782349">
                                              <w:marLeft w:val="0"/>
                                              <w:marRight w:val="0"/>
                                              <w:marTop w:val="0"/>
                                              <w:marBottom w:val="0"/>
                                              <w:divBdr>
                                                <w:top w:val="none" w:sz="0" w:space="0" w:color="auto"/>
                                                <w:left w:val="none" w:sz="0" w:space="0" w:color="auto"/>
                                                <w:bottom w:val="none" w:sz="0" w:space="0" w:color="auto"/>
                                                <w:right w:val="none" w:sz="0" w:space="0" w:color="auto"/>
                                              </w:divBdr>
                                              <w:divsChild>
                                                <w:div w:id="1901088894">
                                                  <w:marLeft w:val="0"/>
                                                  <w:marRight w:val="0"/>
                                                  <w:marTop w:val="0"/>
                                                  <w:marBottom w:val="0"/>
                                                  <w:divBdr>
                                                    <w:top w:val="none" w:sz="0" w:space="0" w:color="auto"/>
                                                    <w:left w:val="none" w:sz="0" w:space="0" w:color="auto"/>
                                                    <w:bottom w:val="none" w:sz="0" w:space="0" w:color="auto"/>
                                                    <w:right w:val="none" w:sz="0" w:space="0" w:color="auto"/>
                                                  </w:divBdr>
                                                  <w:divsChild>
                                                    <w:div w:id="777605541">
                                                      <w:marLeft w:val="0"/>
                                                      <w:marRight w:val="0"/>
                                                      <w:marTop w:val="0"/>
                                                      <w:marBottom w:val="0"/>
                                                      <w:divBdr>
                                                        <w:top w:val="none" w:sz="0" w:space="0" w:color="auto"/>
                                                        <w:left w:val="none" w:sz="0" w:space="0" w:color="auto"/>
                                                        <w:bottom w:val="none" w:sz="0" w:space="0" w:color="auto"/>
                                                        <w:right w:val="none" w:sz="0" w:space="0" w:color="auto"/>
                                                      </w:divBdr>
                                                    </w:div>
                                                    <w:div w:id="101341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8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5884110">
      <w:bodyDiv w:val="1"/>
      <w:marLeft w:val="0"/>
      <w:marRight w:val="0"/>
      <w:marTop w:val="0"/>
      <w:marBottom w:val="0"/>
      <w:divBdr>
        <w:top w:val="none" w:sz="0" w:space="0" w:color="auto"/>
        <w:left w:val="none" w:sz="0" w:space="0" w:color="auto"/>
        <w:bottom w:val="none" w:sz="0" w:space="0" w:color="auto"/>
        <w:right w:val="none" w:sz="0" w:space="0" w:color="auto"/>
      </w:divBdr>
      <w:divsChild>
        <w:div w:id="1360818075">
          <w:marLeft w:val="0"/>
          <w:marRight w:val="0"/>
          <w:marTop w:val="0"/>
          <w:marBottom w:val="0"/>
          <w:divBdr>
            <w:top w:val="none" w:sz="0" w:space="0" w:color="auto"/>
            <w:left w:val="none" w:sz="0" w:space="0" w:color="auto"/>
            <w:bottom w:val="none" w:sz="0" w:space="0" w:color="auto"/>
            <w:right w:val="none" w:sz="0" w:space="0" w:color="auto"/>
          </w:divBdr>
          <w:divsChild>
            <w:div w:id="1731268961">
              <w:marLeft w:val="0"/>
              <w:marRight w:val="0"/>
              <w:marTop w:val="0"/>
              <w:marBottom w:val="0"/>
              <w:divBdr>
                <w:top w:val="none" w:sz="0" w:space="0" w:color="auto"/>
                <w:left w:val="none" w:sz="0" w:space="0" w:color="auto"/>
                <w:bottom w:val="none" w:sz="0" w:space="0" w:color="auto"/>
                <w:right w:val="none" w:sz="0" w:space="0" w:color="auto"/>
              </w:divBdr>
              <w:divsChild>
                <w:div w:id="802625173">
                  <w:marLeft w:val="0"/>
                  <w:marRight w:val="0"/>
                  <w:marTop w:val="0"/>
                  <w:marBottom w:val="0"/>
                  <w:divBdr>
                    <w:top w:val="none" w:sz="0" w:space="0" w:color="auto"/>
                    <w:left w:val="none" w:sz="0" w:space="0" w:color="auto"/>
                    <w:bottom w:val="none" w:sz="0" w:space="0" w:color="auto"/>
                    <w:right w:val="none" w:sz="0" w:space="0" w:color="auto"/>
                  </w:divBdr>
                  <w:divsChild>
                    <w:div w:id="1946306246">
                      <w:marLeft w:val="0"/>
                      <w:marRight w:val="0"/>
                      <w:marTop w:val="0"/>
                      <w:marBottom w:val="0"/>
                      <w:divBdr>
                        <w:top w:val="none" w:sz="0" w:space="0" w:color="auto"/>
                        <w:left w:val="none" w:sz="0" w:space="0" w:color="auto"/>
                        <w:bottom w:val="none" w:sz="0" w:space="0" w:color="auto"/>
                        <w:right w:val="none" w:sz="0" w:space="0" w:color="auto"/>
                      </w:divBdr>
                      <w:divsChild>
                        <w:div w:id="858548281">
                          <w:marLeft w:val="0"/>
                          <w:marRight w:val="0"/>
                          <w:marTop w:val="0"/>
                          <w:marBottom w:val="0"/>
                          <w:divBdr>
                            <w:top w:val="none" w:sz="0" w:space="0" w:color="auto"/>
                            <w:left w:val="none" w:sz="0" w:space="0" w:color="auto"/>
                            <w:bottom w:val="none" w:sz="0" w:space="0" w:color="auto"/>
                            <w:right w:val="none" w:sz="0" w:space="0" w:color="auto"/>
                          </w:divBdr>
                          <w:divsChild>
                            <w:div w:id="5982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08081">
      <w:bodyDiv w:val="1"/>
      <w:marLeft w:val="0"/>
      <w:marRight w:val="0"/>
      <w:marTop w:val="0"/>
      <w:marBottom w:val="0"/>
      <w:divBdr>
        <w:top w:val="none" w:sz="0" w:space="0" w:color="auto"/>
        <w:left w:val="none" w:sz="0" w:space="0" w:color="auto"/>
        <w:bottom w:val="none" w:sz="0" w:space="0" w:color="auto"/>
        <w:right w:val="none" w:sz="0" w:space="0" w:color="auto"/>
      </w:divBdr>
    </w:div>
    <w:div w:id="768741902">
      <w:bodyDiv w:val="1"/>
      <w:marLeft w:val="0"/>
      <w:marRight w:val="0"/>
      <w:marTop w:val="0"/>
      <w:marBottom w:val="0"/>
      <w:divBdr>
        <w:top w:val="none" w:sz="0" w:space="0" w:color="auto"/>
        <w:left w:val="none" w:sz="0" w:space="0" w:color="auto"/>
        <w:bottom w:val="none" w:sz="0" w:space="0" w:color="auto"/>
        <w:right w:val="none" w:sz="0" w:space="0" w:color="auto"/>
      </w:divBdr>
      <w:divsChild>
        <w:div w:id="399863233">
          <w:marLeft w:val="0"/>
          <w:marRight w:val="0"/>
          <w:marTop w:val="0"/>
          <w:marBottom w:val="0"/>
          <w:divBdr>
            <w:top w:val="none" w:sz="0" w:space="0" w:color="auto"/>
            <w:left w:val="none" w:sz="0" w:space="0" w:color="auto"/>
            <w:bottom w:val="none" w:sz="0" w:space="0" w:color="auto"/>
            <w:right w:val="none" w:sz="0" w:space="0" w:color="auto"/>
          </w:divBdr>
          <w:divsChild>
            <w:div w:id="107313895">
              <w:marLeft w:val="0"/>
              <w:marRight w:val="0"/>
              <w:marTop w:val="0"/>
              <w:marBottom w:val="0"/>
              <w:divBdr>
                <w:top w:val="none" w:sz="0" w:space="0" w:color="auto"/>
                <w:left w:val="none" w:sz="0" w:space="0" w:color="auto"/>
                <w:bottom w:val="none" w:sz="0" w:space="0" w:color="auto"/>
                <w:right w:val="none" w:sz="0" w:space="0" w:color="auto"/>
              </w:divBdr>
              <w:divsChild>
                <w:div w:id="749548584">
                  <w:marLeft w:val="0"/>
                  <w:marRight w:val="0"/>
                  <w:marTop w:val="0"/>
                  <w:marBottom w:val="0"/>
                  <w:divBdr>
                    <w:top w:val="none" w:sz="0" w:space="0" w:color="auto"/>
                    <w:left w:val="none" w:sz="0" w:space="0" w:color="auto"/>
                    <w:bottom w:val="none" w:sz="0" w:space="0" w:color="auto"/>
                    <w:right w:val="none" w:sz="0" w:space="0" w:color="auto"/>
                  </w:divBdr>
                  <w:divsChild>
                    <w:div w:id="948050997">
                      <w:marLeft w:val="0"/>
                      <w:marRight w:val="0"/>
                      <w:marTop w:val="0"/>
                      <w:marBottom w:val="0"/>
                      <w:divBdr>
                        <w:top w:val="none" w:sz="0" w:space="0" w:color="auto"/>
                        <w:left w:val="none" w:sz="0" w:space="0" w:color="auto"/>
                        <w:bottom w:val="none" w:sz="0" w:space="0" w:color="auto"/>
                        <w:right w:val="none" w:sz="0" w:space="0" w:color="auto"/>
                      </w:divBdr>
                      <w:divsChild>
                        <w:div w:id="2079397000">
                          <w:marLeft w:val="0"/>
                          <w:marRight w:val="0"/>
                          <w:marTop w:val="0"/>
                          <w:marBottom w:val="0"/>
                          <w:divBdr>
                            <w:top w:val="none" w:sz="0" w:space="0" w:color="auto"/>
                            <w:left w:val="none" w:sz="0" w:space="0" w:color="auto"/>
                            <w:bottom w:val="none" w:sz="0" w:space="0" w:color="auto"/>
                            <w:right w:val="none" w:sz="0" w:space="0" w:color="auto"/>
                          </w:divBdr>
                          <w:divsChild>
                            <w:div w:id="153407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715272">
      <w:bodyDiv w:val="1"/>
      <w:marLeft w:val="0"/>
      <w:marRight w:val="0"/>
      <w:marTop w:val="0"/>
      <w:marBottom w:val="0"/>
      <w:divBdr>
        <w:top w:val="none" w:sz="0" w:space="0" w:color="auto"/>
        <w:left w:val="none" w:sz="0" w:space="0" w:color="auto"/>
        <w:bottom w:val="none" w:sz="0" w:space="0" w:color="auto"/>
        <w:right w:val="none" w:sz="0" w:space="0" w:color="auto"/>
      </w:divBdr>
      <w:divsChild>
        <w:div w:id="1556046836">
          <w:marLeft w:val="0"/>
          <w:marRight w:val="0"/>
          <w:marTop w:val="0"/>
          <w:marBottom w:val="0"/>
          <w:divBdr>
            <w:top w:val="none" w:sz="0" w:space="0" w:color="auto"/>
            <w:left w:val="none" w:sz="0" w:space="0" w:color="auto"/>
            <w:bottom w:val="none" w:sz="0" w:space="0" w:color="auto"/>
            <w:right w:val="none" w:sz="0" w:space="0" w:color="auto"/>
          </w:divBdr>
          <w:divsChild>
            <w:div w:id="368724893">
              <w:marLeft w:val="0"/>
              <w:marRight w:val="0"/>
              <w:marTop w:val="0"/>
              <w:marBottom w:val="0"/>
              <w:divBdr>
                <w:top w:val="none" w:sz="0" w:space="0" w:color="auto"/>
                <w:left w:val="none" w:sz="0" w:space="0" w:color="auto"/>
                <w:bottom w:val="none" w:sz="0" w:space="0" w:color="auto"/>
                <w:right w:val="none" w:sz="0" w:space="0" w:color="auto"/>
              </w:divBdr>
              <w:divsChild>
                <w:div w:id="1479108319">
                  <w:marLeft w:val="0"/>
                  <w:marRight w:val="0"/>
                  <w:marTop w:val="0"/>
                  <w:marBottom w:val="0"/>
                  <w:divBdr>
                    <w:top w:val="none" w:sz="0" w:space="0" w:color="auto"/>
                    <w:left w:val="none" w:sz="0" w:space="0" w:color="auto"/>
                    <w:bottom w:val="none" w:sz="0" w:space="0" w:color="auto"/>
                    <w:right w:val="none" w:sz="0" w:space="0" w:color="auto"/>
                  </w:divBdr>
                  <w:divsChild>
                    <w:div w:id="1435903311">
                      <w:marLeft w:val="0"/>
                      <w:marRight w:val="0"/>
                      <w:marTop w:val="0"/>
                      <w:marBottom w:val="0"/>
                      <w:divBdr>
                        <w:top w:val="none" w:sz="0" w:space="0" w:color="auto"/>
                        <w:left w:val="none" w:sz="0" w:space="0" w:color="auto"/>
                        <w:bottom w:val="none" w:sz="0" w:space="0" w:color="auto"/>
                        <w:right w:val="none" w:sz="0" w:space="0" w:color="auto"/>
                      </w:divBdr>
                      <w:divsChild>
                        <w:div w:id="788008306">
                          <w:marLeft w:val="0"/>
                          <w:marRight w:val="0"/>
                          <w:marTop w:val="0"/>
                          <w:marBottom w:val="0"/>
                          <w:divBdr>
                            <w:top w:val="none" w:sz="0" w:space="0" w:color="auto"/>
                            <w:left w:val="none" w:sz="0" w:space="0" w:color="auto"/>
                            <w:bottom w:val="none" w:sz="0" w:space="0" w:color="auto"/>
                            <w:right w:val="none" w:sz="0" w:space="0" w:color="auto"/>
                          </w:divBdr>
                          <w:divsChild>
                            <w:div w:id="42762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100307">
      <w:bodyDiv w:val="1"/>
      <w:marLeft w:val="0"/>
      <w:marRight w:val="0"/>
      <w:marTop w:val="0"/>
      <w:marBottom w:val="0"/>
      <w:divBdr>
        <w:top w:val="none" w:sz="0" w:space="0" w:color="auto"/>
        <w:left w:val="none" w:sz="0" w:space="0" w:color="auto"/>
        <w:bottom w:val="none" w:sz="0" w:space="0" w:color="auto"/>
        <w:right w:val="none" w:sz="0" w:space="0" w:color="auto"/>
      </w:divBdr>
      <w:divsChild>
        <w:div w:id="1529222727">
          <w:marLeft w:val="0"/>
          <w:marRight w:val="0"/>
          <w:marTop w:val="0"/>
          <w:marBottom w:val="0"/>
          <w:divBdr>
            <w:top w:val="none" w:sz="0" w:space="0" w:color="auto"/>
            <w:left w:val="none" w:sz="0" w:space="0" w:color="auto"/>
            <w:bottom w:val="none" w:sz="0" w:space="0" w:color="auto"/>
            <w:right w:val="none" w:sz="0" w:space="0" w:color="auto"/>
          </w:divBdr>
          <w:divsChild>
            <w:div w:id="593243692">
              <w:marLeft w:val="0"/>
              <w:marRight w:val="0"/>
              <w:marTop w:val="0"/>
              <w:marBottom w:val="0"/>
              <w:divBdr>
                <w:top w:val="none" w:sz="0" w:space="0" w:color="auto"/>
                <w:left w:val="none" w:sz="0" w:space="0" w:color="auto"/>
                <w:bottom w:val="none" w:sz="0" w:space="0" w:color="auto"/>
                <w:right w:val="none" w:sz="0" w:space="0" w:color="auto"/>
              </w:divBdr>
              <w:divsChild>
                <w:div w:id="2132354378">
                  <w:marLeft w:val="0"/>
                  <w:marRight w:val="0"/>
                  <w:marTop w:val="0"/>
                  <w:marBottom w:val="0"/>
                  <w:divBdr>
                    <w:top w:val="none" w:sz="0" w:space="0" w:color="auto"/>
                    <w:left w:val="none" w:sz="0" w:space="0" w:color="auto"/>
                    <w:bottom w:val="none" w:sz="0" w:space="0" w:color="auto"/>
                    <w:right w:val="none" w:sz="0" w:space="0" w:color="auto"/>
                  </w:divBdr>
                  <w:divsChild>
                    <w:div w:id="604650650">
                      <w:marLeft w:val="0"/>
                      <w:marRight w:val="0"/>
                      <w:marTop w:val="0"/>
                      <w:marBottom w:val="0"/>
                      <w:divBdr>
                        <w:top w:val="none" w:sz="0" w:space="0" w:color="auto"/>
                        <w:left w:val="none" w:sz="0" w:space="0" w:color="auto"/>
                        <w:bottom w:val="none" w:sz="0" w:space="0" w:color="auto"/>
                        <w:right w:val="none" w:sz="0" w:space="0" w:color="auto"/>
                      </w:divBdr>
                      <w:divsChild>
                        <w:div w:id="693502617">
                          <w:marLeft w:val="0"/>
                          <w:marRight w:val="0"/>
                          <w:marTop w:val="0"/>
                          <w:marBottom w:val="0"/>
                          <w:divBdr>
                            <w:top w:val="none" w:sz="0" w:space="0" w:color="auto"/>
                            <w:left w:val="none" w:sz="0" w:space="0" w:color="auto"/>
                            <w:bottom w:val="none" w:sz="0" w:space="0" w:color="auto"/>
                            <w:right w:val="none" w:sz="0" w:space="0" w:color="auto"/>
                          </w:divBdr>
                          <w:divsChild>
                            <w:div w:id="10993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447258">
      <w:marLeft w:val="0"/>
      <w:marRight w:val="0"/>
      <w:marTop w:val="0"/>
      <w:marBottom w:val="0"/>
      <w:divBdr>
        <w:top w:val="single" w:sz="4" w:space="4" w:color="FFFFFF"/>
        <w:left w:val="single" w:sz="4" w:space="5" w:color="FFFFFF"/>
        <w:bottom w:val="single" w:sz="4" w:space="4" w:color="FFFFFF"/>
        <w:right w:val="single" w:sz="4" w:space="5" w:color="FFFFFF"/>
      </w:divBdr>
      <w:divsChild>
        <w:div w:id="31730655">
          <w:marLeft w:val="0"/>
          <w:marRight w:val="0"/>
          <w:marTop w:val="0"/>
          <w:marBottom w:val="0"/>
          <w:divBdr>
            <w:top w:val="none" w:sz="0" w:space="0" w:color="auto"/>
            <w:left w:val="none" w:sz="0" w:space="0" w:color="auto"/>
            <w:bottom w:val="none" w:sz="0" w:space="0" w:color="auto"/>
            <w:right w:val="none" w:sz="0" w:space="0" w:color="auto"/>
          </w:divBdr>
        </w:div>
      </w:divsChild>
    </w:div>
    <w:div w:id="803158584">
      <w:bodyDiv w:val="1"/>
      <w:marLeft w:val="0"/>
      <w:marRight w:val="0"/>
      <w:marTop w:val="0"/>
      <w:marBottom w:val="0"/>
      <w:divBdr>
        <w:top w:val="none" w:sz="0" w:space="0" w:color="auto"/>
        <w:left w:val="none" w:sz="0" w:space="0" w:color="auto"/>
        <w:bottom w:val="none" w:sz="0" w:space="0" w:color="auto"/>
        <w:right w:val="none" w:sz="0" w:space="0" w:color="auto"/>
      </w:divBdr>
      <w:divsChild>
        <w:div w:id="1011833263">
          <w:marLeft w:val="0"/>
          <w:marRight w:val="0"/>
          <w:marTop w:val="0"/>
          <w:marBottom w:val="0"/>
          <w:divBdr>
            <w:top w:val="none" w:sz="0" w:space="0" w:color="auto"/>
            <w:left w:val="none" w:sz="0" w:space="0" w:color="auto"/>
            <w:bottom w:val="none" w:sz="0" w:space="0" w:color="auto"/>
            <w:right w:val="none" w:sz="0" w:space="0" w:color="auto"/>
          </w:divBdr>
          <w:divsChild>
            <w:div w:id="307587281">
              <w:marLeft w:val="0"/>
              <w:marRight w:val="0"/>
              <w:marTop w:val="0"/>
              <w:marBottom w:val="0"/>
              <w:divBdr>
                <w:top w:val="none" w:sz="0" w:space="0" w:color="auto"/>
                <w:left w:val="none" w:sz="0" w:space="0" w:color="auto"/>
                <w:bottom w:val="none" w:sz="0" w:space="0" w:color="auto"/>
                <w:right w:val="none" w:sz="0" w:space="0" w:color="auto"/>
              </w:divBdr>
              <w:divsChild>
                <w:div w:id="163517578">
                  <w:marLeft w:val="0"/>
                  <w:marRight w:val="0"/>
                  <w:marTop w:val="0"/>
                  <w:marBottom w:val="0"/>
                  <w:divBdr>
                    <w:top w:val="none" w:sz="0" w:space="0" w:color="auto"/>
                    <w:left w:val="none" w:sz="0" w:space="0" w:color="auto"/>
                    <w:bottom w:val="none" w:sz="0" w:space="0" w:color="auto"/>
                    <w:right w:val="none" w:sz="0" w:space="0" w:color="auto"/>
                  </w:divBdr>
                  <w:divsChild>
                    <w:div w:id="1990741318">
                      <w:marLeft w:val="0"/>
                      <w:marRight w:val="0"/>
                      <w:marTop w:val="0"/>
                      <w:marBottom w:val="0"/>
                      <w:divBdr>
                        <w:top w:val="none" w:sz="0" w:space="0" w:color="auto"/>
                        <w:left w:val="none" w:sz="0" w:space="0" w:color="auto"/>
                        <w:bottom w:val="none" w:sz="0" w:space="0" w:color="auto"/>
                        <w:right w:val="none" w:sz="0" w:space="0" w:color="auto"/>
                      </w:divBdr>
                      <w:divsChild>
                        <w:div w:id="618951344">
                          <w:marLeft w:val="0"/>
                          <w:marRight w:val="0"/>
                          <w:marTop w:val="0"/>
                          <w:marBottom w:val="0"/>
                          <w:divBdr>
                            <w:top w:val="none" w:sz="0" w:space="0" w:color="auto"/>
                            <w:left w:val="none" w:sz="0" w:space="0" w:color="auto"/>
                            <w:bottom w:val="none" w:sz="0" w:space="0" w:color="auto"/>
                            <w:right w:val="none" w:sz="0" w:space="0" w:color="auto"/>
                          </w:divBdr>
                          <w:divsChild>
                            <w:div w:id="3940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619339">
      <w:bodyDiv w:val="1"/>
      <w:marLeft w:val="0"/>
      <w:marRight w:val="0"/>
      <w:marTop w:val="0"/>
      <w:marBottom w:val="0"/>
      <w:divBdr>
        <w:top w:val="none" w:sz="0" w:space="0" w:color="auto"/>
        <w:left w:val="none" w:sz="0" w:space="0" w:color="auto"/>
        <w:bottom w:val="none" w:sz="0" w:space="0" w:color="auto"/>
        <w:right w:val="none" w:sz="0" w:space="0" w:color="auto"/>
      </w:divBdr>
      <w:divsChild>
        <w:div w:id="1686247407">
          <w:marLeft w:val="0"/>
          <w:marRight w:val="0"/>
          <w:marTop w:val="0"/>
          <w:marBottom w:val="0"/>
          <w:divBdr>
            <w:top w:val="none" w:sz="0" w:space="0" w:color="auto"/>
            <w:left w:val="none" w:sz="0" w:space="0" w:color="auto"/>
            <w:bottom w:val="none" w:sz="0" w:space="0" w:color="auto"/>
            <w:right w:val="none" w:sz="0" w:space="0" w:color="auto"/>
          </w:divBdr>
          <w:divsChild>
            <w:div w:id="1496994424">
              <w:marLeft w:val="0"/>
              <w:marRight w:val="0"/>
              <w:marTop w:val="0"/>
              <w:marBottom w:val="0"/>
              <w:divBdr>
                <w:top w:val="none" w:sz="0" w:space="0" w:color="auto"/>
                <w:left w:val="none" w:sz="0" w:space="0" w:color="auto"/>
                <w:bottom w:val="none" w:sz="0" w:space="0" w:color="auto"/>
                <w:right w:val="none" w:sz="0" w:space="0" w:color="auto"/>
              </w:divBdr>
              <w:divsChild>
                <w:div w:id="1455127606">
                  <w:marLeft w:val="0"/>
                  <w:marRight w:val="0"/>
                  <w:marTop w:val="0"/>
                  <w:marBottom w:val="0"/>
                  <w:divBdr>
                    <w:top w:val="none" w:sz="0" w:space="0" w:color="auto"/>
                    <w:left w:val="none" w:sz="0" w:space="0" w:color="auto"/>
                    <w:bottom w:val="none" w:sz="0" w:space="0" w:color="auto"/>
                    <w:right w:val="none" w:sz="0" w:space="0" w:color="auto"/>
                  </w:divBdr>
                  <w:divsChild>
                    <w:div w:id="47843514">
                      <w:marLeft w:val="0"/>
                      <w:marRight w:val="0"/>
                      <w:marTop w:val="0"/>
                      <w:marBottom w:val="0"/>
                      <w:divBdr>
                        <w:top w:val="none" w:sz="0" w:space="0" w:color="auto"/>
                        <w:left w:val="none" w:sz="0" w:space="0" w:color="auto"/>
                        <w:bottom w:val="none" w:sz="0" w:space="0" w:color="auto"/>
                        <w:right w:val="none" w:sz="0" w:space="0" w:color="auto"/>
                      </w:divBdr>
                      <w:divsChild>
                        <w:div w:id="927614354">
                          <w:marLeft w:val="0"/>
                          <w:marRight w:val="0"/>
                          <w:marTop w:val="0"/>
                          <w:marBottom w:val="0"/>
                          <w:divBdr>
                            <w:top w:val="none" w:sz="0" w:space="0" w:color="auto"/>
                            <w:left w:val="none" w:sz="0" w:space="0" w:color="auto"/>
                            <w:bottom w:val="none" w:sz="0" w:space="0" w:color="auto"/>
                            <w:right w:val="none" w:sz="0" w:space="0" w:color="auto"/>
                          </w:divBdr>
                          <w:divsChild>
                            <w:div w:id="149769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472948">
      <w:bodyDiv w:val="1"/>
      <w:marLeft w:val="0"/>
      <w:marRight w:val="0"/>
      <w:marTop w:val="0"/>
      <w:marBottom w:val="0"/>
      <w:divBdr>
        <w:top w:val="none" w:sz="0" w:space="0" w:color="auto"/>
        <w:left w:val="none" w:sz="0" w:space="0" w:color="auto"/>
        <w:bottom w:val="none" w:sz="0" w:space="0" w:color="auto"/>
        <w:right w:val="none" w:sz="0" w:space="0" w:color="auto"/>
      </w:divBdr>
      <w:divsChild>
        <w:div w:id="321547072">
          <w:marLeft w:val="0"/>
          <w:marRight w:val="0"/>
          <w:marTop w:val="0"/>
          <w:marBottom w:val="0"/>
          <w:divBdr>
            <w:top w:val="none" w:sz="0" w:space="0" w:color="auto"/>
            <w:left w:val="none" w:sz="0" w:space="0" w:color="auto"/>
            <w:bottom w:val="none" w:sz="0" w:space="0" w:color="auto"/>
            <w:right w:val="none" w:sz="0" w:space="0" w:color="auto"/>
          </w:divBdr>
          <w:divsChild>
            <w:div w:id="49423700">
              <w:marLeft w:val="0"/>
              <w:marRight w:val="0"/>
              <w:marTop w:val="0"/>
              <w:marBottom w:val="0"/>
              <w:divBdr>
                <w:top w:val="none" w:sz="0" w:space="0" w:color="auto"/>
                <w:left w:val="none" w:sz="0" w:space="0" w:color="auto"/>
                <w:bottom w:val="none" w:sz="0" w:space="0" w:color="auto"/>
                <w:right w:val="none" w:sz="0" w:space="0" w:color="auto"/>
              </w:divBdr>
              <w:divsChild>
                <w:div w:id="1668558164">
                  <w:marLeft w:val="0"/>
                  <w:marRight w:val="0"/>
                  <w:marTop w:val="0"/>
                  <w:marBottom w:val="0"/>
                  <w:divBdr>
                    <w:top w:val="none" w:sz="0" w:space="0" w:color="auto"/>
                    <w:left w:val="none" w:sz="0" w:space="0" w:color="auto"/>
                    <w:bottom w:val="none" w:sz="0" w:space="0" w:color="auto"/>
                    <w:right w:val="none" w:sz="0" w:space="0" w:color="auto"/>
                  </w:divBdr>
                  <w:divsChild>
                    <w:div w:id="708139987">
                      <w:marLeft w:val="0"/>
                      <w:marRight w:val="0"/>
                      <w:marTop w:val="0"/>
                      <w:marBottom w:val="0"/>
                      <w:divBdr>
                        <w:top w:val="none" w:sz="0" w:space="0" w:color="auto"/>
                        <w:left w:val="none" w:sz="0" w:space="0" w:color="auto"/>
                        <w:bottom w:val="none" w:sz="0" w:space="0" w:color="auto"/>
                        <w:right w:val="none" w:sz="0" w:space="0" w:color="auto"/>
                      </w:divBdr>
                      <w:divsChild>
                        <w:div w:id="1191381167">
                          <w:marLeft w:val="0"/>
                          <w:marRight w:val="0"/>
                          <w:marTop w:val="0"/>
                          <w:marBottom w:val="0"/>
                          <w:divBdr>
                            <w:top w:val="none" w:sz="0" w:space="0" w:color="auto"/>
                            <w:left w:val="none" w:sz="0" w:space="0" w:color="auto"/>
                            <w:bottom w:val="none" w:sz="0" w:space="0" w:color="auto"/>
                            <w:right w:val="none" w:sz="0" w:space="0" w:color="auto"/>
                          </w:divBdr>
                          <w:divsChild>
                            <w:div w:id="936448473">
                              <w:marLeft w:val="0"/>
                              <w:marRight w:val="0"/>
                              <w:marTop w:val="0"/>
                              <w:marBottom w:val="0"/>
                              <w:divBdr>
                                <w:top w:val="none" w:sz="0" w:space="0" w:color="auto"/>
                                <w:left w:val="none" w:sz="0" w:space="0" w:color="auto"/>
                                <w:bottom w:val="none" w:sz="0" w:space="0" w:color="auto"/>
                                <w:right w:val="none" w:sz="0" w:space="0" w:color="auto"/>
                              </w:divBdr>
                              <w:divsChild>
                                <w:div w:id="881131608">
                                  <w:marLeft w:val="0"/>
                                  <w:marRight w:val="0"/>
                                  <w:marTop w:val="0"/>
                                  <w:marBottom w:val="0"/>
                                  <w:divBdr>
                                    <w:top w:val="none" w:sz="0" w:space="0" w:color="auto"/>
                                    <w:left w:val="none" w:sz="0" w:space="0" w:color="auto"/>
                                    <w:bottom w:val="none" w:sz="0" w:space="0" w:color="auto"/>
                                    <w:right w:val="none" w:sz="0" w:space="0" w:color="auto"/>
                                  </w:divBdr>
                                  <w:divsChild>
                                    <w:div w:id="1257321016">
                                      <w:marLeft w:val="0"/>
                                      <w:marRight w:val="0"/>
                                      <w:marTop w:val="0"/>
                                      <w:marBottom w:val="0"/>
                                      <w:divBdr>
                                        <w:top w:val="none" w:sz="0" w:space="0" w:color="auto"/>
                                        <w:left w:val="none" w:sz="0" w:space="0" w:color="auto"/>
                                        <w:bottom w:val="none" w:sz="0" w:space="0" w:color="auto"/>
                                        <w:right w:val="none" w:sz="0" w:space="0" w:color="auto"/>
                                      </w:divBdr>
                                      <w:divsChild>
                                        <w:div w:id="1418139568">
                                          <w:marLeft w:val="0"/>
                                          <w:marRight w:val="0"/>
                                          <w:marTop w:val="0"/>
                                          <w:marBottom w:val="0"/>
                                          <w:divBdr>
                                            <w:top w:val="none" w:sz="0" w:space="0" w:color="auto"/>
                                            <w:left w:val="none" w:sz="0" w:space="0" w:color="auto"/>
                                            <w:bottom w:val="none" w:sz="0" w:space="0" w:color="auto"/>
                                            <w:right w:val="none" w:sz="0" w:space="0" w:color="auto"/>
                                          </w:divBdr>
                                          <w:divsChild>
                                            <w:div w:id="1373189990">
                                              <w:marLeft w:val="0"/>
                                              <w:marRight w:val="0"/>
                                              <w:marTop w:val="0"/>
                                              <w:marBottom w:val="0"/>
                                              <w:divBdr>
                                                <w:top w:val="none" w:sz="0" w:space="0" w:color="auto"/>
                                                <w:left w:val="none" w:sz="0" w:space="0" w:color="auto"/>
                                                <w:bottom w:val="none" w:sz="0" w:space="0" w:color="auto"/>
                                                <w:right w:val="none" w:sz="0" w:space="0" w:color="auto"/>
                                              </w:divBdr>
                                            </w:div>
                                            <w:div w:id="148735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162888">
      <w:bodyDiv w:val="1"/>
      <w:marLeft w:val="0"/>
      <w:marRight w:val="0"/>
      <w:marTop w:val="0"/>
      <w:marBottom w:val="0"/>
      <w:divBdr>
        <w:top w:val="none" w:sz="0" w:space="0" w:color="auto"/>
        <w:left w:val="none" w:sz="0" w:space="0" w:color="auto"/>
        <w:bottom w:val="none" w:sz="0" w:space="0" w:color="auto"/>
        <w:right w:val="none" w:sz="0" w:space="0" w:color="auto"/>
      </w:divBdr>
      <w:divsChild>
        <w:div w:id="556284873">
          <w:marLeft w:val="0"/>
          <w:marRight w:val="0"/>
          <w:marTop w:val="0"/>
          <w:marBottom w:val="0"/>
          <w:divBdr>
            <w:top w:val="none" w:sz="0" w:space="0" w:color="auto"/>
            <w:left w:val="none" w:sz="0" w:space="0" w:color="auto"/>
            <w:bottom w:val="none" w:sz="0" w:space="0" w:color="auto"/>
            <w:right w:val="none" w:sz="0" w:space="0" w:color="auto"/>
          </w:divBdr>
        </w:div>
      </w:divsChild>
    </w:div>
    <w:div w:id="865292795">
      <w:bodyDiv w:val="1"/>
      <w:marLeft w:val="0"/>
      <w:marRight w:val="0"/>
      <w:marTop w:val="0"/>
      <w:marBottom w:val="0"/>
      <w:divBdr>
        <w:top w:val="none" w:sz="0" w:space="0" w:color="auto"/>
        <w:left w:val="none" w:sz="0" w:space="0" w:color="auto"/>
        <w:bottom w:val="none" w:sz="0" w:space="0" w:color="auto"/>
        <w:right w:val="none" w:sz="0" w:space="0" w:color="auto"/>
      </w:divBdr>
      <w:divsChild>
        <w:div w:id="1665626581">
          <w:marLeft w:val="0"/>
          <w:marRight w:val="0"/>
          <w:marTop w:val="0"/>
          <w:marBottom w:val="0"/>
          <w:divBdr>
            <w:top w:val="none" w:sz="0" w:space="0" w:color="auto"/>
            <w:left w:val="none" w:sz="0" w:space="0" w:color="auto"/>
            <w:bottom w:val="none" w:sz="0" w:space="0" w:color="auto"/>
            <w:right w:val="none" w:sz="0" w:space="0" w:color="auto"/>
          </w:divBdr>
          <w:divsChild>
            <w:div w:id="459764626">
              <w:marLeft w:val="0"/>
              <w:marRight w:val="0"/>
              <w:marTop w:val="0"/>
              <w:marBottom w:val="0"/>
              <w:divBdr>
                <w:top w:val="none" w:sz="0" w:space="0" w:color="auto"/>
                <w:left w:val="none" w:sz="0" w:space="0" w:color="auto"/>
                <w:bottom w:val="none" w:sz="0" w:space="0" w:color="auto"/>
                <w:right w:val="none" w:sz="0" w:space="0" w:color="auto"/>
              </w:divBdr>
              <w:divsChild>
                <w:div w:id="64643413">
                  <w:marLeft w:val="0"/>
                  <w:marRight w:val="0"/>
                  <w:marTop w:val="0"/>
                  <w:marBottom w:val="0"/>
                  <w:divBdr>
                    <w:top w:val="none" w:sz="0" w:space="0" w:color="auto"/>
                    <w:left w:val="none" w:sz="0" w:space="0" w:color="auto"/>
                    <w:bottom w:val="none" w:sz="0" w:space="0" w:color="auto"/>
                    <w:right w:val="none" w:sz="0" w:space="0" w:color="auto"/>
                  </w:divBdr>
                  <w:divsChild>
                    <w:div w:id="775096104">
                      <w:marLeft w:val="0"/>
                      <w:marRight w:val="0"/>
                      <w:marTop w:val="0"/>
                      <w:marBottom w:val="0"/>
                      <w:divBdr>
                        <w:top w:val="none" w:sz="0" w:space="0" w:color="auto"/>
                        <w:left w:val="none" w:sz="0" w:space="0" w:color="auto"/>
                        <w:bottom w:val="none" w:sz="0" w:space="0" w:color="auto"/>
                        <w:right w:val="none" w:sz="0" w:space="0" w:color="auto"/>
                      </w:divBdr>
                      <w:divsChild>
                        <w:div w:id="1024359327">
                          <w:marLeft w:val="0"/>
                          <w:marRight w:val="0"/>
                          <w:marTop w:val="0"/>
                          <w:marBottom w:val="0"/>
                          <w:divBdr>
                            <w:top w:val="none" w:sz="0" w:space="0" w:color="auto"/>
                            <w:left w:val="none" w:sz="0" w:space="0" w:color="auto"/>
                            <w:bottom w:val="none" w:sz="0" w:space="0" w:color="auto"/>
                            <w:right w:val="none" w:sz="0" w:space="0" w:color="auto"/>
                          </w:divBdr>
                          <w:divsChild>
                            <w:div w:id="4118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277411">
      <w:bodyDiv w:val="1"/>
      <w:marLeft w:val="0"/>
      <w:marRight w:val="0"/>
      <w:marTop w:val="0"/>
      <w:marBottom w:val="0"/>
      <w:divBdr>
        <w:top w:val="none" w:sz="0" w:space="0" w:color="auto"/>
        <w:left w:val="none" w:sz="0" w:space="0" w:color="auto"/>
        <w:bottom w:val="none" w:sz="0" w:space="0" w:color="auto"/>
        <w:right w:val="none" w:sz="0" w:space="0" w:color="auto"/>
      </w:divBdr>
      <w:divsChild>
        <w:div w:id="1445924559">
          <w:marLeft w:val="0"/>
          <w:marRight w:val="0"/>
          <w:marTop w:val="0"/>
          <w:marBottom w:val="0"/>
          <w:divBdr>
            <w:top w:val="none" w:sz="0" w:space="0" w:color="auto"/>
            <w:left w:val="none" w:sz="0" w:space="0" w:color="auto"/>
            <w:bottom w:val="none" w:sz="0" w:space="0" w:color="auto"/>
            <w:right w:val="none" w:sz="0" w:space="0" w:color="auto"/>
          </w:divBdr>
          <w:divsChild>
            <w:div w:id="465662005">
              <w:marLeft w:val="0"/>
              <w:marRight w:val="0"/>
              <w:marTop w:val="0"/>
              <w:marBottom w:val="0"/>
              <w:divBdr>
                <w:top w:val="none" w:sz="0" w:space="0" w:color="auto"/>
                <w:left w:val="none" w:sz="0" w:space="0" w:color="auto"/>
                <w:bottom w:val="none" w:sz="0" w:space="0" w:color="auto"/>
                <w:right w:val="none" w:sz="0" w:space="0" w:color="auto"/>
              </w:divBdr>
              <w:divsChild>
                <w:div w:id="1971664930">
                  <w:marLeft w:val="0"/>
                  <w:marRight w:val="0"/>
                  <w:marTop w:val="0"/>
                  <w:marBottom w:val="0"/>
                  <w:divBdr>
                    <w:top w:val="none" w:sz="0" w:space="0" w:color="auto"/>
                    <w:left w:val="none" w:sz="0" w:space="0" w:color="auto"/>
                    <w:bottom w:val="none" w:sz="0" w:space="0" w:color="auto"/>
                    <w:right w:val="none" w:sz="0" w:space="0" w:color="auto"/>
                  </w:divBdr>
                  <w:divsChild>
                    <w:div w:id="13968373">
                      <w:marLeft w:val="0"/>
                      <w:marRight w:val="0"/>
                      <w:marTop w:val="0"/>
                      <w:marBottom w:val="0"/>
                      <w:divBdr>
                        <w:top w:val="none" w:sz="0" w:space="0" w:color="auto"/>
                        <w:left w:val="none" w:sz="0" w:space="0" w:color="auto"/>
                        <w:bottom w:val="none" w:sz="0" w:space="0" w:color="auto"/>
                        <w:right w:val="none" w:sz="0" w:space="0" w:color="auto"/>
                      </w:divBdr>
                      <w:divsChild>
                        <w:div w:id="1027482656">
                          <w:marLeft w:val="0"/>
                          <w:marRight w:val="0"/>
                          <w:marTop w:val="0"/>
                          <w:marBottom w:val="0"/>
                          <w:divBdr>
                            <w:top w:val="none" w:sz="0" w:space="0" w:color="auto"/>
                            <w:left w:val="none" w:sz="0" w:space="0" w:color="auto"/>
                            <w:bottom w:val="none" w:sz="0" w:space="0" w:color="auto"/>
                            <w:right w:val="none" w:sz="0" w:space="0" w:color="auto"/>
                          </w:divBdr>
                          <w:divsChild>
                            <w:div w:id="184014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810085">
      <w:bodyDiv w:val="1"/>
      <w:marLeft w:val="0"/>
      <w:marRight w:val="0"/>
      <w:marTop w:val="0"/>
      <w:marBottom w:val="0"/>
      <w:divBdr>
        <w:top w:val="none" w:sz="0" w:space="0" w:color="auto"/>
        <w:left w:val="none" w:sz="0" w:space="0" w:color="auto"/>
        <w:bottom w:val="none" w:sz="0" w:space="0" w:color="auto"/>
        <w:right w:val="none" w:sz="0" w:space="0" w:color="auto"/>
      </w:divBdr>
    </w:div>
    <w:div w:id="921376633">
      <w:bodyDiv w:val="1"/>
      <w:marLeft w:val="0"/>
      <w:marRight w:val="0"/>
      <w:marTop w:val="0"/>
      <w:marBottom w:val="0"/>
      <w:divBdr>
        <w:top w:val="none" w:sz="0" w:space="0" w:color="auto"/>
        <w:left w:val="none" w:sz="0" w:space="0" w:color="auto"/>
        <w:bottom w:val="none" w:sz="0" w:space="0" w:color="auto"/>
        <w:right w:val="none" w:sz="0" w:space="0" w:color="auto"/>
      </w:divBdr>
      <w:divsChild>
        <w:div w:id="102307506">
          <w:marLeft w:val="0"/>
          <w:marRight w:val="0"/>
          <w:marTop w:val="0"/>
          <w:marBottom w:val="0"/>
          <w:divBdr>
            <w:top w:val="none" w:sz="0" w:space="0" w:color="auto"/>
            <w:left w:val="none" w:sz="0" w:space="0" w:color="auto"/>
            <w:bottom w:val="none" w:sz="0" w:space="0" w:color="auto"/>
            <w:right w:val="none" w:sz="0" w:space="0" w:color="auto"/>
          </w:divBdr>
          <w:divsChild>
            <w:div w:id="1631328525">
              <w:marLeft w:val="0"/>
              <w:marRight w:val="0"/>
              <w:marTop w:val="0"/>
              <w:marBottom w:val="0"/>
              <w:divBdr>
                <w:top w:val="none" w:sz="0" w:space="0" w:color="auto"/>
                <w:left w:val="none" w:sz="0" w:space="0" w:color="auto"/>
                <w:bottom w:val="none" w:sz="0" w:space="0" w:color="auto"/>
                <w:right w:val="none" w:sz="0" w:space="0" w:color="auto"/>
              </w:divBdr>
              <w:divsChild>
                <w:div w:id="1096945190">
                  <w:marLeft w:val="0"/>
                  <w:marRight w:val="0"/>
                  <w:marTop w:val="0"/>
                  <w:marBottom w:val="0"/>
                  <w:divBdr>
                    <w:top w:val="none" w:sz="0" w:space="0" w:color="auto"/>
                    <w:left w:val="none" w:sz="0" w:space="0" w:color="auto"/>
                    <w:bottom w:val="none" w:sz="0" w:space="0" w:color="auto"/>
                    <w:right w:val="none" w:sz="0" w:space="0" w:color="auto"/>
                  </w:divBdr>
                  <w:divsChild>
                    <w:div w:id="836388530">
                      <w:marLeft w:val="0"/>
                      <w:marRight w:val="0"/>
                      <w:marTop w:val="0"/>
                      <w:marBottom w:val="0"/>
                      <w:divBdr>
                        <w:top w:val="none" w:sz="0" w:space="0" w:color="auto"/>
                        <w:left w:val="none" w:sz="0" w:space="0" w:color="auto"/>
                        <w:bottom w:val="none" w:sz="0" w:space="0" w:color="auto"/>
                        <w:right w:val="none" w:sz="0" w:space="0" w:color="auto"/>
                      </w:divBdr>
                      <w:divsChild>
                        <w:div w:id="1530485287">
                          <w:marLeft w:val="0"/>
                          <w:marRight w:val="0"/>
                          <w:marTop w:val="0"/>
                          <w:marBottom w:val="0"/>
                          <w:divBdr>
                            <w:top w:val="none" w:sz="0" w:space="0" w:color="auto"/>
                            <w:left w:val="none" w:sz="0" w:space="0" w:color="auto"/>
                            <w:bottom w:val="none" w:sz="0" w:space="0" w:color="auto"/>
                            <w:right w:val="none" w:sz="0" w:space="0" w:color="auto"/>
                          </w:divBdr>
                          <w:divsChild>
                            <w:div w:id="37050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4462394">
      <w:bodyDiv w:val="1"/>
      <w:marLeft w:val="0"/>
      <w:marRight w:val="0"/>
      <w:marTop w:val="0"/>
      <w:marBottom w:val="0"/>
      <w:divBdr>
        <w:top w:val="none" w:sz="0" w:space="0" w:color="auto"/>
        <w:left w:val="none" w:sz="0" w:space="0" w:color="auto"/>
        <w:bottom w:val="none" w:sz="0" w:space="0" w:color="auto"/>
        <w:right w:val="none" w:sz="0" w:space="0" w:color="auto"/>
      </w:divBdr>
      <w:divsChild>
        <w:div w:id="674650139">
          <w:marLeft w:val="0"/>
          <w:marRight w:val="0"/>
          <w:marTop w:val="0"/>
          <w:marBottom w:val="0"/>
          <w:divBdr>
            <w:top w:val="none" w:sz="0" w:space="0" w:color="auto"/>
            <w:left w:val="none" w:sz="0" w:space="0" w:color="auto"/>
            <w:bottom w:val="none" w:sz="0" w:space="0" w:color="auto"/>
            <w:right w:val="none" w:sz="0" w:space="0" w:color="auto"/>
          </w:divBdr>
          <w:divsChild>
            <w:div w:id="1267807347">
              <w:marLeft w:val="0"/>
              <w:marRight w:val="0"/>
              <w:marTop w:val="0"/>
              <w:marBottom w:val="0"/>
              <w:divBdr>
                <w:top w:val="none" w:sz="0" w:space="0" w:color="auto"/>
                <w:left w:val="none" w:sz="0" w:space="0" w:color="auto"/>
                <w:bottom w:val="none" w:sz="0" w:space="0" w:color="auto"/>
                <w:right w:val="none" w:sz="0" w:space="0" w:color="auto"/>
              </w:divBdr>
              <w:divsChild>
                <w:div w:id="1801531447">
                  <w:marLeft w:val="0"/>
                  <w:marRight w:val="0"/>
                  <w:marTop w:val="0"/>
                  <w:marBottom w:val="0"/>
                  <w:divBdr>
                    <w:top w:val="none" w:sz="0" w:space="0" w:color="auto"/>
                    <w:left w:val="none" w:sz="0" w:space="0" w:color="auto"/>
                    <w:bottom w:val="none" w:sz="0" w:space="0" w:color="auto"/>
                    <w:right w:val="none" w:sz="0" w:space="0" w:color="auto"/>
                  </w:divBdr>
                  <w:divsChild>
                    <w:div w:id="969701043">
                      <w:marLeft w:val="0"/>
                      <w:marRight w:val="0"/>
                      <w:marTop w:val="0"/>
                      <w:marBottom w:val="0"/>
                      <w:divBdr>
                        <w:top w:val="none" w:sz="0" w:space="0" w:color="auto"/>
                        <w:left w:val="none" w:sz="0" w:space="0" w:color="auto"/>
                        <w:bottom w:val="none" w:sz="0" w:space="0" w:color="auto"/>
                        <w:right w:val="none" w:sz="0" w:space="0" w:color="auto"/>
                      </w:divBdr>
                      <w:divsChild>
                        <w:div w:id="1106005319">
                          <w:marLeft w:val="0"/>
                          <w:marRight w:val="0"/>
                          <w:marTop w:val="0"/>
                          <w:marBottom w:val="0"/>
                          <w:divBdr>
                            <w:top w:val="none" w:sz="0" w:space="0" w:color="auto"/>
                            <w:left w:val="none" w:sz="0" w:space="0" w:color="auto"/>
                            <w:bottom w:val="none" w:sz="0" w:space="0" w:color="auto"/>
                            <w:right w:val="none" w:sz="0" w:space="0" w:color="auto"/>
                          </w:divBdr>
                          <w:divsChild>
                            <w:div w:id="2524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450683">
      <w:bodyDiv w:val="1"/>
      <w:marLeft w:val="0"/>
      <w:marRight w:val="0"/>
      <w:marTop w:val="0"/>
      <w:marBottom w:val="0"/>
      <w:divBdr>
        <w:top w:val="none" w:sz="0" w:space="0" w:color="auto"/>
        <w:left w:val="none" w:sz="0" w:space="0" w:color="auto"/>
        <w:bottom w:val="none" w:sz="0" w:space="0" w:color="auto"/>
        <w:right w:val="none" w:sz="0" w:space="0" w:color="auto"/>
      </w:divBdr>
      <w:divsChild>
        <w:div w:id="440145422">
          <w:marLeft w:val="0"/>
          <w:marRight w:val="0"/>
          <w:marTop w:val="0"/>
          <w:marBottom w:val="0"/>
          <w:divBdr>
            <w:top w:val="none" w:sz="0" w:space="0" w:color="auto"/>
            <w:left w:val="none" w:sz="0" w:space="0" w:color="auto"/>
            <w:bottom w:val="none" w:sz="0" w:space="0" w:color="auto"/>
            <w:right w:val="none" w:sz="0" w:space="0" w:color="auto"/>
          </w:divBdr>
          <w:divsChild>
            <w:div w:id="447939231">
              <w:marLeft w:val="0"/>
              <w:marRight w:val="0"/>
              <w:marTop w:val="0"/>
              <w:marBottom w:val="0"/>
              <w:divBdr>
                <w:top w:val="none" w:sz="0" w:space="0" w:color="auto"/>
                <w:left w:val="none" w:sz="0" w:space="0" w:color="auto"/>
                <w:bottom w:val="none" w:sz="0" w:space="0" w:color="auto"/>
                <w:right w:val="none" w:sz="0" w:space="0" w:color="auto"/>
              </w:divBdr>
              <w:divsChild>
                <w:div w:id="1581524875">
                  <w:marLeft w:val="0"/>
                  <w:marRight w:val="0"/>
                  <w:marTop w:val="0"/>
                  <w:marBottom w:val="0"/>
                  <w:divBdr>
                    <w:top w:val="none" w:sz="0" w:space="0" w:color="auto"/>
                    <w:left w:val="none" w:sz="0" w:space="0" w:color="auto"/>
                    <w:bottom w:val="none" w:sz="0" w:space="0" w:color="auto"/>
                    <w:right w:val="none" w:sz="0" w:space="0" w:color="auto"/>
                  </w:divBdr>
                  <w:divsChild>
                    <w:div w:id="141391609">
                      <w:marLeft w:val="0"/>
                      <w:marRight w:val="0"/>
                      <w:marTop w:val="0"/>
                      <w:marBottom w:val="0"/>
                      <w:divBdr>
                        <w:top w:val="none" w:sz="0" w:space="0" w:color="auto"/>
                        <w:left w:val="none" w:sz="0" w:space="0" w:color="auto"/>
                        <w:bottom w:val="none" w:sz="0" w:space="0" w:color="auto"/>
                        <w:right w:val="none" w:sz="0" w:space="0" w:color="auto"/>
                      </w:divBdr>
                      <w:divsChild>
                        <w:div w:id="1855993503">
                          <w:marLeft w:val="0"/>
                          <w:marRight w:val="0"/>
                          <w:marTop w:val="0"/>
                          <w:marBottom w:val="0"/>
                          <w:divBdr>
                            <w:top w:val="none" w:sz="0" w:space="0" w:color="auto"/>
                            <w:left w:val="none" w:sz="0" w:space="0" w:color="auto"/>
                            <w:bottom w:val="none" w:sz="0" w:space="0" w:color="auto"/>
                            <w:right w:val="none" w:sz="0" w:space="0" w:color="auto"/>
                          </w:divBdr>
                          <w:divsChild>
                            <w:div w:id="8284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100920">
      <w:bodyDiv w:val="1"/>
      <w:marLeft w:val="0"/>
      <w:marRight w:val="0"/>
      <w:marTop w:val="0"/>
      <w:marBottom w:val="0"/>
      <w:divBdr>
        <w:top w:val="none" w:sz="0" w:space="0" w:color="auto"/>
        <w:left w:val="none" w:sz="0" w:space="0" w:color="auto"/>
        <w:bottom w:val="none" w:sz="0" w:space="0" w:color="auto"/>
        <w:right w:val="none" w:sz="0" w:space="0" w:color="auto"/>
      </w:divBdr>
      <w:divsChild>
        <w:div w:id="1935168382">
          <w:marLeft w:val="0"/>
          <w:marRight w:val="0"/>
          <w:marTop w:val="0"/>
          <w:marBottom w:val="0"/>
          <w:divBdr>
            <w:top w:val="none" w:sz="0" w:space="0" w:color="auto"/>
            <w:left w:val="none" w:sz="0" w:space="0" w:color="auto"/>
            <w:bottom w:val="none" w:sz="0" w:space="0" w:color="auto"/>
            <w:right w:val="none" w:sz="0" w:space="0" w:color="auto"/>
          </w:divBdr>
          <w:divsChild>
            <w:div w:id="1952936190">
              <w:marLeft w:val="2150"/>
              <w:marRight w:val="0"/>
              <w:marTop w:val="0"/>
              <w:marBottom w:val="0"/>
              <w:divBdr>
                <w:top w:val="none" w:sz="0" w:space="0" w:color="auto"/>
                <w:left w:val="none" w:sz="0" w:space="0" w:color="auto"/>
                <w:bottom w:val="none" w:sz="0" w:space="0" w:color="auto"/>
                <w:right w:val="none" w:sz="0" w:space="0" w:color="auto"/>
              </w:divBdr>
              <w:divsChild>
                <w:div w:id="1054083239">
                  <w:marLeft w:val="60"/>
                  <w:marRight w:val="0"/>
                  <w:marTop w:val="0"/>
                  <w:marBottom w:val="0"/>
                  <w:divBdr>
                    <w:top w:val="single" w:sz="4" w:space="0" w:color="EEEEEE"/>
                    <w:left w:val="none" w:sz="0" w:space="0" w:color="auto"/>
                    <w:bottom w:val="none" w:sz="0" w:space="0" w:color="auto"/>
                    <w:right w:val="none" w:sz="0" w:space="0" w:color="auto"/>
                  </w:divBdr>
                  <w:divsChild>
                    <w:div w:id="1835149350">
                      <w:marLeft w:val="0"/>
                      <w:marRight w:val="0"/>
                      <w:marTop w:val="0"/>
                      <w:marBottom w:val="0"/>
                      <w:divBdr>
                        <w:top w:val="none" w:sz="0" w:space="0" w:color="auto"/>
                        <w:left w:val="none" w:sz="0" w:space="0" w:color="auto"/>
                        <w:bottom w:val="none" w:sz="0" w:space="0" w:color="auto"/>
                        <w:right w:val="none" w:sz="0" w:space="0" w:color="auto"/>
                      </w:divBdr>
                      <w:divsChild>
                        <w:div w:id="95525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338939">
      <w:bodyDiv w:val="1"/>
      <w:marLeft w:val="0"/>
      <w:marRight w:val="0"/>
      <w:marTop w:val="0"/>
      <w:marBottom w:val="0"/>
      <w:divBdr>
        <w:top w:val="none" w:sz="0" w:space="0" w:color="auto"/>
        <w:left w:val="none" w:sz="0" w:space="0" w:color="auto"/>
        <w:bottom w:val="none" w:sz="0" w:space="0" w:color="auto"/>
        <w:right w:val="none" w:sz="0" w:space="0" w:color="auto"/>
      </w:divBdr>
      <w:divsChild>
        <w:div w:id="44839974">
          <w:marLeft w:val="3"/>
          <w:marRight w:val="3"/>
          <w:marTop w:val="0"/>
          <w:marBottom w:val="0"/>
          <w:divBdr>
            <w:top w:val="single" w:sz="4" w:space="0" w:color="112449"/>
            <w:left w:val="single" w:sz="4" w:space="0" w:color="112449"/>
            <w:bottom w:val="single" w:sz="4" w:space="0" w:color="112449"/>
            <w:right w:val="single" w:sz="4" w:space="0" w:color="112449"/>
          </w:divBdr>
        </w:div>
      </w:divsChild>
    </w:div>
    <w:div w:id="950623990">
      <w:bodyDiv w:val="1"/>
      <w:marLeft w:val="0"/>
      <w:marRight w:val="0"/>
      <w:marTop w:val="0"/>
      <w:marBottom w:val="0"/>
      <w:divBdr>
        <w:top w:val="none" w:sz="0" w:space="0" w:color="auto"/>
        <w:left w:val="none" w:sz="0" w:space="0" w:color="auto"/>
        <w:bottom w:val="none" w:sz="0" w:space="0" w:color="auto"/>
        <w:right w:val="none" w:sz="0" w:space="0" w:color="auto"/>
      </w:divBdr>
    </w:div>
    <w:div w:id="962855537">
      <w:bodyDiv w:val="1"/>
      <w:marLeft w:val="0"/>
      <w:marRight w:val="0"/>
      <w:marTop w:val="0"/>
      <w:marBottom w:val="0"/>
      <w:divBdr>
        <w:top w:val="none" w:sz="0" w:space="0" w:color="auto"/>
        <w:left w:val="none" w:sz="0" w:space="0" w:color="auto"/>
        <w:bottom w:val="none" w:sz="0" w:space="0" w:color="auto"/>
        <w:right w:val="none" w:sz="0" w:space="0" w:color="auto"/>
      </w:divBdr>
    </w:div>
    <w:div w:id="983656300">
      <w:bodyDiv w:val="1"/>
      <w:marLeft w:val="0"/>
      <w:marRight w:val="0"/>
      <w:marTop w:val="0"/>
      <w:marBottom w:val="0"/>
      <w:divBdr>
        <w:top w:val="none" w:sz="0" w:space="0" w:color="auto"/>
        <w:left w:val="none" w:sz="0" w:space="0" w:color="auto"/>
        <w:bottom w:val="none" w:sz="0" w:space="0" w:color="auto"/>
        <w:right w:val="none" w:sz="0" w:space="0" w:color="auto"/>
      </w:divBdr>
      <w:divsChild>
        <w:div w:id="1119185882">
          <w:marLeft w:val="0"/>
          <w:marRight w:val="0"/>
          <w:marTop w:val="0"/>
          <w:marBottom w:val="0"/>
          <w:divBdr>
            <w:top w:val="none" w:sz="0" w:space="0" w:color="auto"/>
            <w:left w:val="none" w:sz="0" w:space="0" w:color="auto"/>
            <w:bottom w:val="none" w:sz="0" w:space="0" w:color="auto"/>
            <w:right w:val="none" w:sz="0" w:space="0" w:color="auto"/>
          </w:divBdr>
          <w:divsChild>
            <w:div w:id="855509174">
              <w:marLeft w:val="0"/>
              <w:marRight w:val="0"/>
              <w:marTop w:val="0"/>
              <w:marBottom w:val="0"/>
              <w:divBdr>
                <w:top w:val="none" w:sz="0" w:space="0" w:color="auto"/>
                <w:left w:val="none" w:sz="0" w:space="0" w:color="auto"/>
                <w:bottom w:val="none" w:sz="0" w:space="0" w:color="auto"/>
                <w:right w:val="none" w:sz="0" w:space="0" w:color="auto"/>
              </w:divBdr>
              <w:divsChild>
                <w:div w:id="1463384347">
                  <w:marLeft w:val="0"/>
                  <w:marRight w:val="0"/>
                  <w:marTop w:val="0"/>
                  <w:marBottom w:val="0"/>
                  <w:divBdr>
                    <w:top w:val="none" w:sz="0" w:space="0" w:color="auto"/>
                    <w:left w:val="none" w:sz="0" w:space="0" w:color="auto"/>
                    <w:bottom w:val="none" w:sz="0" w:space="0" w:color="auto"/>
                    <w:right w:val="none" w:sz="0" w:space="0" w:color="auto"/>
                  </w:divBdr>
                  <w:divsChild>
                    <w:div w:id="916482441">
                      <w:marLeft w:val="0"/>
                      <w:marRight w:val="0"/>
                      <w:marTop w:val="0"/>
                      <w:marBottom w:val="0"/>
                      <w:divBdr>
                        <w:top w:val="none" w:sz="0" w:space="0" w:color="auto"/>
                        <w:left w:val="none" w:sz="0" w:space="0" w:color="auto"/>
                        <w:bottom w:val="none" w:sz="0" w:space="0" w:color="auto"/>
                        <w:right w:val="none" w:sz="0" w:space="0" w:color="auto"/>
                      </w:divBdr>
                      <w:divsChild>
                        <w:div w:id="297300558">
                          <w:marLeft w:val="0"/>
                          <w:marRight w:val="0"/>
                          <w:marTop w:val="0"/>
                          <w:marBottom w:val="0"/>
                          <w:divBdr>
                            <w:top w:val="none" w:sz="0" w:space="0" w:color="auto"/>
                            <w:left w:val="none" w:sz="0" w:space="0" w:color="auto"/>
                            <w:bottom w:val="none" w:sz="0" w:space="0" w:color="auto"/>
                            <w:right w:val="none" w:sz="0" w:space="0" w:color="auto"/>
                          </w:divBdr>
                          <w:divsChild>
                            <w:div w:id="3436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170275">
      <w:bodyDiv w:val="1"/>
      <w:marLeft w:val="0"/>
      <w:marRight w:val="0"/>
      <w:marTop w:val="0"/>
      <w:marBottom w:val="0"/>
      <w:divBdr>
        <w:top w:val="none" w:sz="0" w:space="0" w:color="auto"/>
        <w:left w:val="none" w:sz="0" w:space="0" w:color="auto"/>
        <w:bottom w:val="none" w:sz="0" w:space="0" w:color="auto"/>
        <w:right w:val="none" w:sz="0" w:space="0" w:color="auto"/>
      </w:divBdr>
      <w:divsChild>
        <w:div w:id="1135373318">
          <w:marLeft w:val="0"/>
          <w:marRight w:val="0"/>
          <w:marTop w:val="0"/>
          <w:marBottom w:val="0"/>
          <w:divBdr>
            <w:top w:val="none" w:sz="0" w:space="0" w:color="auto"/>
            <w:left w:val="none" w:sz="0" w:space="0" w:color="auto"/>
            <w:bottom w:val="none" w:sz="0" w:space="0" w:color="auto"/>
            <w:right w:val="none" w:sz="0" w:space="0" w:color="auto"/>
          </w:divBdr>
          <w:divsChild>
            <w:div w:id="31541635">
              <w:marLeft w:val="0"/>
              <w:marRight w:val="0"/>
              <w:marTop w:val="0"/>
              <w:marBottom w:val="0"/>
              <w:divBdr>
                <w:top w:val="none" w:sz="0" w:space="0" w:color="auto"/>
                <w:left w:val="none" w:sz="0" w:space="0" w:color="auto"/>
                <w:bottom w:val="none" w:sz="0" w:space="0" w:color="auto"/>
                <w:right w:val="none" w:sz="0" w:space="0" w:color="auto"/>
              </w:divBdr>
              <w:divsChild>
                <w:div w:id="946044913">
                  <w:marLeft w:val="0"/>
                  <w:marRight w:val="0"/>
                  <w:marTop w:val="0"/>
                  <w:marBottom w:val="0"/>
                  <w:divBdr>
                    <w:top w:val="none" w:sz="0" w:space="0" w:color="auto"/>
                    <w:left w:val="none" w:sz="0" w:space="0" w:color="auto"/>
                    <w:bottom w:val="none" w:sz="0" w:space="0" w:color="auto"/>
                    <w:right w:val="none" w:sz="0" w:space="0" w:color="auto"/>
                  </w:divBdr>
                  <w:divsChild>
                    <w:div w:id="797916793">
                      <w:marLeft w:val="0"/>
                      <w:marRight w:val="0"/>
                      <w:marTop w:val="0"/>
                      <w:marBottom w:val="0"/>
                      <w:divBdr>
                        <w:top w:val="none" w:sz="0" w:space="0" w:color="auto"/>
                        <w:left w:val="none" w:sz="0" w:space="0" w:color="auto"/>
                        <w:bottom w:val="none" w:sz="0" w:space="0" w:color="auto"/>
                        <w:right w:val="none" w:sz="0" w:space="0" w:color="auto"/>
                      </w:divBdr>
                      <w:divsChild>
                        <w:div w:id="938875490">
                          <w:marLeft w:val="0"/>
                          <w:marRight w:val="0"/>
                          <w:marTop w:val="0"/>
                          <w:marBottom w:val="0"/>
                          <w:divBdr>
                            <w:top w:val="none" w:sz="0" w:space="0" w:color="auto"/>
                            <w:left w:val="none" w:sz="0" w:space="0" w:color="auto"/>
                            <w:bottom w:val="none" w:sz="0" w:space="0" w:color="auto"/>
                            <w:right w:val="none" w:sz="0" w:space="0" w:color="auto"/>
                          </w:divBdr>
                          <w:divsChild>
                            <w:div w:id="211782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351370">
      <w:bodyDiv w:val="1"/>
      <w:marLeft w:val="0"/>
      <w:marRight w:val="0"/>
      <w:marTop w:val="0"/>
      <w:marBottom w:val="0"/>
      <w:divBdr>
        <w:top w:val="none" w:sz="0" w:space="0" w:color="auto"/>
        <w:left w:val="none" w:sz="0" w:space="0" w:color="auto"/>
        <w:bottom w:val="none" w:sz="0" w:space="0" w:color="auto"/>
        <w:right w:val="none" w:sz="0" w:space="0" w:color="auto"/>
      </w:divBdr>
      <w:divsChild>
        <w:div w:id="264853318">
          <w:marLeft w:val="0"/>
          <w:marRight w:val="0"/>
          <w:marTop w:val="0"/>
          <w:marBottom w:val="0"/>
          <w:divBdr>
            <w:top w:val="none" w:sz="0" w:space="0" w:color="auto"/>
            <w:left w:val="none" w:sz="0" w:space="0" w:color="auto"/>
            <w:bottom w:val="none" w:sz="0" w:space="0" w:color="auto"/>
            <w:right w:val="none" w:sz="0" w:space="0" w:color="auto"/>
          </w:divBdr>
          <w:divsChild>
            <w:div w:id="1850555753">
              <w:marLeft w:val="0"/>
              <w:marRight w:val="0"/>
              <w:marTop w:val="0"/>
              <w:marBottom w:val="0"/>
              <w:divBdr>
                <w:top w:val="none" w:sz="0" w:space="0" w:color="auto"/>
                <w:left w:val="none" w:sz="0" w:space="0" w:color="auto"/>
                <w:bottom w:val="none" w:sz="0" w:space="0" w:color="auto"/>
                <w:right w:val="none" w:sz="0" w:space="0" w:color="auto"/>
              </w:divBdr>
              <w:divsChild>
                <w:div w:id="2104570656">
                  <w:marLeft w:val="0"/>
                  <w:marRight w:val="0"/>
                  <w:marTop w:val="0"/>
                  <w:marBottom w:val="0"/>
                  <w:divBdr>
                    <w:top w:val="none" w:sz="0" w:space="0" w:color="auto"/>
                    <w:left w:val="none" w:sz="0" w:space="0" w:color="auto"/>
                    <w:bottom w:val="none" w:sz="0" w:space="0" w:color="auto"/>
                    <w:right w:val="none" w:sz="0" w:space="0" w:color="auto"/>
                  </w:divBdr>
                  <w:divsChild>
                    <w:div w:id="1989095294">
                      <w:marLeft w:val="0"/>
                      <w:marRight w:val="0"/>
                      <w:marTop w:val="0"/>
                      <w:marBottom w:val="0"/>
                      <w:divBdr>
                        <w:top w:val="none" w:sz="0" w:space="0" w:color="auto"/>
                        <w:left w:val="none" w:sz="0" w:space="0" w:color="auto"/>
                        <w:bottom w:val="none" w:sz="0" w:space="0" w:color="auto"/>
                        <w:right w:val="none" w:sz="0" w:space="0" w:color="auto"/>
                      </w:divBdr>
                      <w:divsChild>
                        <w:div w:id="370767076">
                          <w:marLeft w:val="0"/>
                          <w:marRight w:val="0"/>
                          <w:marTop w:val="0"/>
                          <w:marBottom w:val="0"/>
                          <w:divBdr>
                            <w:top w:val="none" w:sz="0" w:space="0" w:color="auto"/>
                            <w:left w:val="none" w:sz="0" w:space="0" w:color="auto"/>
                            <w:bottom w:val="none" w:sz="0" w:space="0" w:color="auto"/>
                            <w:right w:val="none" w:sz="0" w:space="0" w:color="auto"/>
                          </w:divBdr>
                          <w:divsChild>
                            <w:div w:id="183325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188037">
      <w:bodyDiv w:val="1"/>
      <w:marLeft w:val="0"/>
      <w:marRight w:val="0"/>
      <w:marTop w:val="0"/>
      <w:marBottom w:val="0"/>
      <w:divBdr>
        <w:top w:val="none" w:sz="0" w:space="0" w:color="auto"/>
        <w:left w:val="none" w:sz="0" w:space="0" w:color="auto"/>
        <w:bottom w:val="none" w:sz="0" w:space="0" w:color="auto"/>
        <w:right w:val="none" w:sz="0" w:space="0" w:color="auto"/>
      </w:divBdr>
      <w:divsChild>
        <w:div w:id="1434129724">
          <w:marLeft w:val="0"/>
          <w:marRight w:val="0"/>
          <w:marTop w:val="0"/>
          <w:marBottom w:val="0"/>
          <w:divBdr>
            <w:top w:val="none" w:sz="0" w:space="0" w:color="auto"/>
            <w:left w:val="none" w:sz="0" w:space="0" w:color="auto"/>
            <w:bottom w:val="none" w:sz="0" w:space="0" w:color="auto"/>
            <w:right w:val="none" w:sz="0" w:space="0" w:color="auto"/>
          </w:divBdr>
          <w:divsChild>
            <w:div w:id="1850676975">
              <w:marLeft w:val="0"/>
              <w:marRight w:val="0"/>
              <w:marTop w:val="0"/>
              <w:marBottom w:val="0"/>
              <w:divBdr>
                <w:top w:val="none" w:sz="0" w:space="0" w:color="auto"/>
                <w:left w:val="none" w:sz="0" w:space="0" w:color="auto"/>
                <w:bottom w:val="none" w:sz="0" w:space="0" w:color="auto"/>
                <w:right w:val="none" w:sz="0" w:space="0" w:color="auto"/>
              </w:divBdr>
              <w:divsChild>
                <w:div w:id="1394544317">
                  <w:marLeft w:val="0"/>
                  <w:marRight w:val="0"/>
                  <w:marTop w:val="0"/>
                  <w:marBottom w:val="0"/>
                  <w:divBdr>
                    <w:top w:val="none" w:sz="0" w:space="0" w:color="auto"/>
                    <w:left w:val="none" w:sz="0" w:space="0" w:color="auto"/>
                    <w:bottom w:val="none" w:sz="0" w:space="0" w:color="auto"/>
                    <w:right w:val="none" w:sz="0" w:space="0" w:color="auto"/>
                  </w:divBdr>
                  <w:divsChild>
                    <w:div w:id="1875264652">
                      <w:marLeft w:val="0"/>
                      <w:marRight w:val="0"/>
                      <w:marTop w:val="0"/>
                      <w:marBottom w:val="0"/>
                      <w:divBdr>
                        <w:top w:val="none" w:sz="0" w:space="0" w:color="auto"/>
                        <w:left w:val="none" w:sz="0" w:space="0" w:color="auto"/>
                        <w:bottom w:val="none" w:sz="0" w:space="0" w:color="auto"/>
                        <w:right w:val="none" w:sz="0" w:space="0" w:color="auto"/>
                      </w:divBdr>
                      <w:divsChild>
                        <w:div w:id="1329556597">
                          <w:marLeft w:val="0"/>
                          <w:marRight w:val="0"/>
                          <w:marTop w:val="0"/>
                          <w:marBottom w:val="0"/>
                          <w:divBdr>
                            <w:top w:val="none" w:sz="0" w:space="0" w:color="auto"/>
                            <w:left w:val="none" w:sz="0" w:space="0" w:color="auto"/>
                            <w:bottom w:val="none" w:sz="0" w:space="0" w:color="auto"/>
                            <w:right w:val="none" w:sz="0" w:space="0" w:color="auto"/>
                          </w:divBdr>
                          <w:divsChild>
                            <w:div w:id="5484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469966">
      <w:bodyDiv w:val="1"/>
      <w:marLeft w:val="0"/>
      <w:marRight w:val="0"/>
      <w:marTop w:val="0"/>
      <w:marBottom w:val="0"/>
      <w:divBdr>
        <w:top w:val="none" w:sz="0" w:space="0" w:color="auto"/>
        <w:left w:val="none" w:sz="0" w:space="0" w:color="auto"/>
        <w:bottom w:val="none" w:sz="0" w:space="0" w:color="auto"/>
        <w:right w:val="none" w:sz="0" w:space="0" w:color="auto"/>
      </w:divBdr>
    </w:div>
    <w:div w:id="1086272348">
      <w:bodyDiv w:val="1"/>
      <w:marLeft w:val="0"/>
      <w:marRight w:val="0"/>
      <w:marTop w:val="0"/>
      <w:marBottom w:val="0"/>
      <w:divBdr>
        <w:top w:val="none" w:sz="0" w:space="0" w:color="auto"/>
        <w:left w:val="none" w:sz="0" w:space="0" w:color="auto"/>
        <w:bottom w:val="none" w:sz="0" w:space="0" w:color="auto"/>
        <w:right w:val="none" w:sz="0" w:space="0" w:color="auto"/>
      </w:divBdr>
      <w:divsChild>
        <w:div w:id="1001661407">
          <w:marLeft w:val="0"/>
          <w:marRight w:val="0"/>
          <w:marTop w:val="0"/>
          <w:marBottom w:val="0"/>
          <w:divBdr>
            <w:top w:val="none" w:sz="0" w:space="0" w:color="auto"/>
            <w:left w:val="none" w:sz="0" w:space="0" w:color="auto"/>
            <w:bottom w:val="none" w:sz="0" w:space="0" w:color="auto"/>
            <w:right w:val="none" w:sz="0" w:space="0" w:color="auto"/>
          </w:divBdr>
          <w:divsChild>
            <w:div w:id="1661883900">
              <w:marLeft w:val="0"/>
              <w:marRight w:val="0"/>
              <w:marTop w:val="0"/>
              <w:marBottom w:val="0"/>
              <w:divBdr>
                <w:top w:val="none" w:sz="0" w:space="0" w:color="auto"/>
                <w:left w:val="none" w:sz="0" w:space="0" w:color="auto"/>
                <w:bottom w:val="none" w:sz="0" w:space="0" w:color="auto"/>
                <w:right w:val="none" w:sz="0" w:space="0" w:color="auto"/>
              </w:divBdr>
              <w:divsChild>
                <w:div w:id="877931309">
                  <w:marLeft w:val="0"/>
                  <w:marRight w:val="0"/>
                  <w:marTop w:val="0"/>
                  <w:marBottom w:val="0"/>
                  <w:divBdr>
                    <w:top w:val="none" w:sz="0" w:space="0" w:color="auto"/>
                    <w:left w:val="none" w:sz="0" w:space="0" w:color="auto"/>
                    <w:bottom w:val="none" w:sz="0" w:space="0" w:color="auto"/>
                    <w:right w:val="none" w:sz="0" w:space="0" w:color="auto"/>
                  </w:divBdr>
                  <w:divsChild>
                    <w:div w:id="1540825332">
                      <w:marLeft w:val="0"/>
                      <w:marRight w:val="0"/>
                      <w:marTop w:val="0"/>
                      <w:marBottom w:val="0"/>
                      <w:divBdr>
                        <w:top w:val="none" w:sz="0" w:space="0" w:color="auto"/>
                        <w:left w:val="none" w:sz="0" w:space="0" w:color="auto"/>
                        <w:bottom w:val="none" w:sz="0" w:space="0" w:color="auto"/>
                        <w:right w:val="none" w:sz="0" w:space="0" w:color="auto"/>
                      </w:divBdr>
                      <w:divsChild>
                        <w:div w:id="1622111850">
                          <w:marLeft w:val="0"/>
                          <w:marRight w:val="0"/>
                          <w:marTop w:val="0"/>
                          <w:marBottom w:val="0"/>
                          <w:divBdr>
                            <w:top w:val="none" w:sz="0" w:space="0" w:color="auto"/>
                            <w:left w:val="none" w:sz="0" w:space="0" w:color="auto"/>
                            <w:bottom w:val="none" w:sz="0" w:space="0" w:color="auto"/>
                            <w:right w:val="none" w:sz="0" w:space="0" w:color="auto"/>
                          </w:divBdr>
                          <w:divsChild>
                            <w:div w:id="887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38435">
      <w:bodyDiv w:val="1"/>
      <w:marLeft w:val="0"/>
      <w:marRight w:val="0"/>
      <w:marTop w:val="0"/>
      <w:marBottom w:val="0"/>
      <w:divBdr>
        <w:top w:val="none" w:sz="0" w:space="0" w:color="auto"/>
        <w:left w:val="none" w:sz="0" w:space="0" w:color="auto"/>
        <w:bottom w:val="none" w:sz="0" w:space="0" w:color="auto"/>
        <w:right w:val="none" w:sz="0" w:space="0" w:color="auto"/>
      </w:divBdr>
      <w:divsChild>
        <w:div w:id="1277984155">
          <w:marLeft w:val="0"/>
          <w:marRight w:val="0"/>
          <w:marTop w:val="0"/>
          <w:marBottom w:val="0"/>
          <w:divBdr>
            <w:top w:val="none" w:sz="0" w:space="0" w:color="auto"/>
            <w:left w:val="none" w:sz="0" w:space="0" w:color="auto"/>
            <w:bottom w:val="none" w:sz="0" w:space="0" w:color="auto"/>
            <w:right w:val="none" w:sz="0" w:space="0" w:color="auto"/>
          </w:divBdr>
          <w:divsChild>
            <w:div w:id="367218382">
              <w:marLeft w:val="0"/>
              <w:marRight w:val="0"/>
              <w:marTop w:val="0"/>
              <w:marBottom w:val="0"/>
              <w:divBdr>
                <w:top w:val="none" w:sz="0" w:space="0" w:color="auto"/>
                <w:left w:val="none" w:sz="0" w:space="0" w:color="auto"/>
                <w:bottom w:val="none" w:sz="0" w:space="0" w:color="auto"/>
                <w:right w:val="none" w:sz="0" w:space="0" w:color="auto"/>
              </w:divBdr>
              <w:divsChild>
                <w:div w:id="1524510090">
                  <w:marLeft w:val="0"/>
                  <w:marRight w:val="0"/>
                  <w:marTop w:val="0"/>
                  <w:marBottom w:val="0"/>
                  <w:divBdr>
                    <w:top w:val="none" w:sz="0" w:space="0" w:color="auto"/>
                    <w:left w:val="none" w:sz="0" w:space="0" w:color="auto"/>
                    <w:bottom w:val="none" w:sz="0" w:space="0" w:color="auto"/>
                    <w:right w:val="none" w:sz="0" w:space="0" w:color="auto"/>
                  </w:divBdr>
                  <w:divsChild>
                    <w:div w:id="374737940">
                      <w:marLeft w:val="0"/>
                      <w:marRight w:val="0"/>
                      <w:marTop w:val="0"/>
                      <w:marBottom w:val="0"/>
                      <w:divBdr>
                        <w:top w:val="none" w:sz="0" w:space="0" w:color="auto"/>
                        <w:left w:val="none" w:sz="0" w:space="0" w:color="auto"/>
                        <w:bottom w:val="none" w:sz="0" w:space="0" w:color="auto"/>
                        <w:right w:val="none" w:sz="0" w:space="0" w:color="auto"/>
                      </w:divBdr>
                      <w:divsChild>
                        <w:div w:id="1134517432">
                          <w:marLeft w:val="0"/>
                          <w:marRight w:val="0"/>
                          <w:marTop w:val="0"/>
                          <w:marBottom w:val="0"/>
                          <w:divBdr>
                            <w:top w:val="none" w:sz="0" w:space="0" w:color="auto"/>
                            <w:left w:val="none" w:sz="0" w:space="0" w:color="auto"/>
                            <w:bottom w:val="none" w:sz="0" w:space="0" w:color="auto"/>
                            <w:right w:val="none" w:sz="0" w:space="0" w:color="auto"/>
                          </w:divBdr>
                          <w:divsChild>
                            <w:div w:id="15779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077579">
      <w:bodyDiv w:val="1"/>
      <w:marLeft w:val="0"/>
      <w:marRight w:val="0"/>
      <w:marTop w:val="0"/>
      <w:marBottom w:val="0"/>
      <w:divBdr>
        <w:top w:val="none" w:sz="0" w:space="0" w:color="auto"/>
        <w:left w:val="none" w:sz="0" w:space="0" w:color="auto"/>
        <w:bottom w:val="none" w:sz="0" w:space="0" w:color="auto"/>
        <w:right w:val="none" w:sz="0" w:space="0" w:color="auto"/>
      </w:divBdr>
      <w:divsChild>
        <w:div w:id="2009867478">
          <w:marLeft w:val="0"/>
          <w:marRight w:val="0"/>
          <w:marTop w:val="0"/>
          <w:marBottom w:val="0"/>
          <w:divBdr>
            <w:top w:val="none" w:sz="0" w:space="0" w:color="auto"/>
            <w:left w:val="none" w:sz="0" w:space="0" w:color="auto"/>
            <w:bottom w:val="none" w:sz="0" w:space="0" w:color="auto"/>
            <w:right w:val="none" w:sz="0" w:space="0" w:color="auto"/>
          </w:divBdr>
          <w:divsChild>
            <w:div w:id="1039865450">
              <w:marLeft w:val="0"/>
              <w:marRight w:val="0"/>
              <w:marTop w:val="0"/>
              <w:marBottom w:val="0"/>
              <w:divBdr>
                <w:top w:val="none" w:sz="0" w:space="0" w:color="auto"/>
                <w:left w:val="none" w:sz="0" w:space="0" w:color="auto"/>
                <w:bottom w:val="none" w:sz="0" w:space="0" w:color="auto"/>
                <w:right w:val="none" w:sz="0" w:space="0" w:color="auto"/>
              </w:divBdr>
              <w:divsChild>
                <w:div w:id="1591962613">
                  <w:marLeft w:val="0"/>
                  <w:marRight w:val="0"/>
                  <w:marTop w:val="0"/>
                  <w:marBottom w:val="0"/>
                  <w:divBdr>
                    <w:top w:val="none" w:sz="0" w:space="0" w:color="auto"/>
                    <w:left w:val="none" w:sz="0" w:space="0" w:color="auto"/>
                    <w:bottom w:val="none" w:sz="0" w:space="0" w:color="auto"/>
                    <w:right w:val="none" w:sz="0" w:space="0" w:color="auto"/>
                  </w:divBdr>
                  <w:divsChild>
                    <w:div w:id="1963924704">
                      <w:marLeft w:val="0"/>
                      <w:marRight w:val="0"/>
                      <w:marTop w:val="0"/>
                      <w:marBottom w:val="0"/>
                      <w:divBdr>
                        <w:top w:val="none" w:sz="0" w:space="0" w:color="auto"/>
                        <w:left w:val="none" w:sz="0" w:space="0" w:color="auto"/>
                        <w:bottom w:val="none" w:sz="0" w:space="0" w:color="auto"/>
                        <w:right w:val="none" w:sz="0" w:space="0" w:color="auto"/>
                      </w:divBdr>
                      <w:divsChild>
                        <w:div w:id="817575179">
                          <w:marLeft w:val="0"/>
                          <w:marRight w:val="0"/>
                          <w:marTop w:val="0"/>
                          <w:marBottom w:val="0"/>
                          <w:divBdr>
                            <w:top w:val="none" w:sz="0" w:space="0" w:color="auto"/>
                            <w:left w:val="none" w:sz="0" w:space="0" w:color="auto"/>
                            <w:bottom w:val="none" w:sz="0" w:space="0" w:color="auto"/>
                            <w:right w:val="none" w:sz="0" w:space="0" w:color="auto"/>
                          </w:divBdr>
                          <w:divsChild>
                            <w:div w:id="1053894317">
                              <w:marLeft w:val="0"/>
                              <w:marRight w:val="0"/>
                              <w:marTop w:val="0"/>
                              <w:marBottom w:val="0"/>
                              <w:divBdr>
                                <w:top w:val="none" w:sz="0" w:space="0" w:color="auto"/>
                                <w:left w:val="none" w:sz="0" w:space="0" w:color="auto"/>
                                <w:bottom w:val="none" w:sz="0" w:space="0" w:color="auto"/>
                                <w:right w:val="none" w:sz="0" w:space="0" w:color="auto"/>
                              </w:divBdr>
                            </w:div>
                            <w:div w:id="105604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353175">
      <w:bodyDiv w:val="1"/>
      <w:marLeft w:val="0"/>
      <w:marRight w:val="0"/>
      <w:marTop w:val="0"/>
      <w:marBottom w:val="0"/>
      <w:divBdr>
        <w:top w:val="none" w:sz="0" w:space="0" w:color="auto"/>
        <w:left w:val="none" w:sz="0" w:space="0" w:color="auto"/>
        <w:bottom w:val="none" w:sz="0" w:space="0" w:color="auto"/>
        <w:right w:val="none" w:sz="0" w:space="0" w:color="auto"/>
      </w:divBdr>
      <w:divsChild>
        <w:div w:id="256794389">
          <w:marLeft w:val="0"/>
          <w:marRight w:val="0"/>
          <w:marTop w:val="0"/>
          <w:marBottom w:val="0"/>
          <w:divBdr>
            <w:top w:val="none" w:sz="0" w:space="0" w:color="auto"/>
            <w:left w:val="none" w:sz="0" w:space="0" w:color="auto"/>
            <w:bottom w:val="none" w:sz="0" w:space="0" w:color="auto"/>
            <w:right w:val="none" w:sz="0" w:space="0" w:color="auto"/>
          </w:divBdr>
          <w:divsChild>
            <w:div w:id="155387778">
              <w:marLeft w:val="0"/>
              <w:marRight w:val="0"/>
              <w:marTop w:val="0"/>
              <w:marBottom w:val="0"/>
              <w:divBdr>
                <w:top w:val="none" w:sz="0" w:space="0" w:color="auto"/>
                <w:left w:val="none" w:sz="0" w:space="0" w:color="auto"/>
                <w:bottom w:val="none" w:sz="0" w:space="0" w:color="auto"/>
                <w:right w:val="none" w:sz="0" w:space="0" w:color="auto"/>
              </w:divBdr>
              <w:divsChild>
                <w:div w:id="1145587807">
                  <w:marLeft w:val="0"/>
                  <w:marRight w:val="0"/>
                  <w:marTop w:val="0"/>
                  <w:marBottom w:val="0"/>
                  <w:divBdr>
                    <w:top w:val="none" w:sz="0" w:space="0" w:color="auto"/>
                    <w:left w:val="none" w:sz="0" w:space="0" w:color="auto"/>
                    <w:bottom w:val="none" w:sz="0" w:space="0" w:color="auto"/>
                    <w:right w:val="none" w:sz="0" w:space="0" w:color="auto"/>
                  </w:divBdr>
                  <w:divsChild>
                    <w:div w:id="1490053723">
                      <w:marLeft w:val="0"/>
                      <w:marRight w:val="0"/>
                      <w:marTop w:val="0"/>
                      <w:marBottom w:val="0"/>
                      <w:divBdr>
                        <w:top w:val="none" w:sz="0" w:space="0" w:color="auto"/>
                        <w:left w:val="none" w:sz="0" w:space="0" w:color="auto"/>
                        <w:bottom w:val="none" w:sz="0" w:space="0" w:color="auto"/>
                        <w:right w:val="none" w:sz="0" w:space="0" w:color="auto"/>
                      </w:divBdr>
                      <w:divsChild>
                        <w:div w:id="500395545">
                          <w:marLeft w:val="0"/>
                          <w:marRight w:val="0"/>
                          <w:marTop w:val="0"/>
                          <w:marBottom w:val="0"/>
                          <w:divBdr>
                            <w:top w:val="none" w:sz="0" w:space="0" w:color="auto"/>
                            <w:left w:val="none" w:sz="0" w:space="0" w:color="auto"/>
                            <w:bottom w:val="none" w:sz="0" w:space="0" w:color="auto"/>
                            <w:right w:val="none" w:sz="0" w:space="0" w:color="auto"/>
                          </w:divBdr>
                          <w:divsChild>
                            <w:div w:id="11462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726476">
      <w:bodyDiv w:val="1"/>
      <w:marLeft w:val="0"/>
      <w:marRight w:val="0"/>
      <w:marTop w:val="0"/>
      <w:marBottom w:val="0"/>
      <w:divBdr>
        <w:top w:val="none" w:sz="0" w:space="0" w:color="auto"/>
        <w:left w:val="none" w:sz="0" w:space="0" w:color="auto"/>
        <w:bottom w:val="none" w:sz="0" w:space="0" w:color="auto"/>
        <w:right w:val="none" w:sz="0" w:space="0" w:color="auto"/>
      </w:divBdr>
      <w:divsChild>
        <w:div w:id="695886336">
          <w:marLeft w:val="0"/>
          <w:marRight w:val="0"/>
          <w:marTop w:val="0"/>
          <w:marBottom w:val="0"/>
          <w:divBdr>
            <w:top w:val="none" w:sz="0" w:space="0" w:color="auto"/>
            <w:left w:val="none" w:sz="0" w:space="0" w:color="auto"/>
            <w:bottom w:val="none" w:sz="0" w:space="0" w:color="auto"/>
            <w:right w:val="none" w:sz="0" w:space="0" w:color="auto"/>
          </w:divBdr>
          <w:divsChild>
            <w:div w:id="1921518550">
              <w:marLeft w:val="0"/>
              <w:marRight w:val="0"/>
              <w:marTop w:val="0"/>
              <w:marBottom w:val="0"/>
              <w:divBdr>
                <w:top w:val="none" w:sz="0" w:space="0" w:color="auto"/>
                <w:left w:val="none" w:sz="0" w:space="0" w:color="auto"/>
                <w:bottom w:val="none" w:sz="0" w:space="0" w:color="auto"/>
                <w:right w:val="none" w:sz="0" w:space="0" w:color="auto"/>
              </w:divBdr>
              <w:divsChild>
                <w:div w:id="369839412">
                  <w:marLeft w:val="0"/>
                  <w:marRight w:val="0"/>
                  <w:marTop w:val="0"/>
                  <w:marBottom w:val="0"/>
                  <w:divBdr>
                    <w:top w:val="none" w:sz="0" w:space="0" w:color="auto"/>
                    <w:left w:val="none" w:sz="0" w:space="0" w:color="auto"/>
                    <w:bottom w:val="none" w:sz="0" w:space="0" w:color="auto"/>
                    <w:right w:val="none" w:sz="0" w:space="0" w:color="auto"/>
                  </w:divBdr>
                  <w:divsChild>
                    <w:div w:id="656883026">
                      <w:marLeft w:val="0"/>
                      <w:marRight w:val="0"/>
                      <w:marTop w:val="0"/>
                      <w:marBottom w:val="0"/>
                      <w:divBdr>
                        <w:top w:val="none" w:sz="0" w:space="0" w:color="auto"/>
                        <w:left w:val="none" w:sz="0" w:space="0" w:color="auto"/>
                        <w:bottom w:val="none" w:sz="0" w:space="0" w:color="auto"/>
                        <w:right w:val="none" w:sz="0" w:space="0" w:color="auto"/>
                      </w:divBdr>
                      <w:divsChild>
                        <w:div w:id="1137064638">
                          <w:marLeft w:val="0"/>
                          <w:marRight w:val="0"/>
                          <w:marTop w:val="0"/>
                          <w:marBottom w:val="0"/>
                          <w:divBdr>
                            <w:top w:val="none" w:sz="0" w:space="0" w:color="auto"/>
                            <w:left w:val="none" w:sz="0" w:space="0" w:color="auto"/>
                            <w:bottom w:val="none" w:sz="0" w:space="0" w:color="auto"/>
                            <w:right w:val="none" w:sz="0" w:space="0" w:color="auto"/>
                          </w:divBdr>
                          <w:divsChild>
                            <w:div w:id="70294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287206">
      <w:bodyDiv w:val="1"/>
      <w:marLeft w:val="0"/>
      <w:marRight w:val="0"/>
      <w:marTop w:val="0"/>
      <w:marBottom w:val="0"/>
      <w:divBdr>
        <w:top w:val="none" w:sz="0" w:space="0" w:color="auto"/>
        <w:left w:val="none" w:sz="0" w:space="0" w:color="auto"/>
        <w:bottom w:val="none" w:sz="0" w:space="0" w:color="auto"/>
        <w:right w:val="none" w:sz="0" w:space="0" w:color="auto"/>
      </w:divBdr>
      <w:divsChild>
        <w:div w:id="1987854643">
          <w:marLeft w:val="0"/>
          <w:marRight w:val="0"/>
          <w:marTop w:val="0"/>
          <w:marBottom w:val="0"/>
          <w:divBdr>
            <w:top w:val="none" w:sz="0" w:space="0" w:color="auto"/>
            <w:left w:val="none" w:sz="0" w:space="0" w:color="auto"/>
            <w:bottom w:val="none" w:sz="0" w:space="0" w:color="auto"/>
            <w:right w:val="none" w:sz="0" w:space="0" w:color="auto"/>
          </w:divBdr>
          <w:divsChild>
            <w:div w:id="920260899">
              <w:marLeft w:val="0"/>
              <w:marRight w:val="0"/>
              <w:marTop w:val="0"/>
              <w:marBottom w:val="0"/>
              <w:divBdr>
                <w:top w:val="none" w:sz="0" w:space="0" w:color="auto"/>
                <w:left w:val="none" w:sz="0" w:space="0" w:color="auto"/>
                <w:bottom w:val="none" w:sz="0" w:space="0" w:color="auto"/>
                <w:right w:val="none" w:sz="0" w:space="0" w:color="auto"/>
              </w:divBdr>
              <w:divsChild>
                <w:div w:id="1487162171">
                  <w:marLeft w:val="0"/>
                  <w:marRight w:val="0"/>
                  <w:marTop w:val="0"/>
                  <w:marBottom w:val="0"/>
                  <w:divBdr>
                    <w:top w:val="none" w:sz="0" w:space="0" w:color="auto"/>
                    <w:left w:val="none" w:sz="0" w:space="0" w:color="auto"/>
                    <w:bottom w:val="none" w:sz="0" w:space="0" w:color="auto"/>
                    <w:right w:val="none" w:sz="0" w:space="0" w:color="auto"/>
                  </w:divBdr>
                  <w:divsChild>
                    <w:div w:id="477039305">
                      <w:marLeft w:val="0"/>
                      <w:marRight w:val="0"/>
                      <w:marTop w:val="0"/>
                      <w:marBottom w:val="0"/>
                      <w:divBdr>
                        <w:top w:val="none" w:sz="0" w:space="0" w:color="auto"/>
                        <w:left w:val="none" w:sz="0" w:space="0" w:color="auto"/>
                        <w:bottom w:val="none" w:sz="0" w:space="0" w:color="auto"/>
                        <w:right w:val="none" w:sz="0" w:space="0" w:color="auto"/>
                      </w:divBdr>
                      <w:divsChild>
                        <w:div w:id="1793396868">
                          <w:marLeft w:val="0"/>
                          <w:marRight w:val="0"/>
                          <w:marTop w:val="0"/>
                          <w:marBottom w:val="0"/>
                          <w:divBdr>
                            <w:top w:val="none" w:sz="0" w:space="0" w:color="auto"/>
                            <w:left w:val="none" w:sz="0" w:space="0" w:color="auto"/>
                            <w:bottom w:val="none" w:sz="0" w:space="0" w:color="auto"/>
                            <w:right w:val="none" w:sz="0" w:space="0" w:color="auto"/>
                          </w:divBdr>
                          <w:divsChild>
                            <w:div w:id="14284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392442">
      <w:bodyDiv w:val="1"/>
      <w:marLeft w:val="0"/>
      <w:marRight w:val="0"/>
      <w:marTop w:val="0"/>
      <w:marBottom w:val="0"/>
      <w:divBdr>
        <w:top w:val="none" w:sz="0" w:space="0" w:color="auto"/>
        <w:left w:val="none" w:sz="0" w:space="0" w:color="auto"/>
        <w:bottom w:val="none" w:sz="0" w:space="0" w:color="auto"/>
        <w:right w:val="none" w:sz="0" w:space="0" w:color="auto"/>
      </w:divBdr>
    </w:div>
    <w:div w:id="1271937094">
      <w:bodyDiv w:val="1"/>
      <w:marLeft w:val="0"/>
      <w:marRight w:val="0"/>
      <w:marTop w:val="0"/>
      <w:marBottom w:val="0"/>
      <w:divBdr>
        <w:top w:val="none" w:sz="0" w:space="0" w:color="auto"/>
        <w:left w:val="none" w:sz="0" w:space="0" w:color="auto"/>
        <w:bottom w:val="none" w:sz="0" w:space="0" w:color="auto"/>
        <w:right w:val="none" w:sz="0" w:space="0" w:color="auto"/>
      </w:divBdr>
      <w:divsChild>
        <w:div w:id="140394889">
          <w:marLeft w:val="0"/>
          <w:marRight w:val="0"/>
          <w:marTop w:val="0"/>
          <w:marBottom w:val="0"/>
          <w:divBdr>
            <w:top w:val="none" w:sz="0" w:space="0" w:color="auto"/>
            <w:left w:val="none" w:sz="0" w:space="0" w:color="auto"/>
            <w:bottom w:val="none" w:sz="0" w:space="0" w:color="auto"/>
            <w:right w:val="none" w:sz="0" w:space="0" w:color="auto"/>
          </w:divBdr>
        </w:div>
      </w:divsChild>
    </w:div>
    <w:div w:id="1288663125">
      <w:bodyDiv w:val="1"/>
      <w:marLeft w:val="0"/>
      <w:marRight w:val="0"/>
      <w:marTop w:val="0"/>
      <w:marBottom w:val="0"/>
      <w:divBdr>
        <w:top w:val="none" w:sz="0" w:space="0" w:color="auto"/>
        <w:left w:val="none" w:sz="0" w:space="0" w:color="auto"/>
        <w:bottom w:val="none" w:sz="0" w:space="0" w:color="auto"/>
        <w:right w:val="none" w:sz="0" w:space="0" w:color="auto"/>
      </w:divBdr>
      <w:divsChild>
        <w:div w:id="586308199">
          <w:marLeft w:val="0"/>
          <w:marRight w:val="0"/>
          <w:marTop w:val="0"/>
          <w:marBottom w:val="0"/>
          <w:divBdr>
            <w:top w:val="none" w:sz="0" w:space="0" w:color="auto"/>
            <w:left w:val="none" w:sz="0" w:space="0" w:color="auto"/>
            <w:bottom w:val="none" w:sz="0" w:space="0" w:color="auto"/>
            <w:right w:val="none" w:sz="0" w:space="0" w:color="auto"/>
          </w:divBdr>
          <w:divsChild>
            <w:div w:id="49622353">
              <w:marLeft w:val="0"/>
              <w:marRight w:val="0"/>
              <w:marTop w:val="0"/>
              <w:marBottom w:val="0"/>
              <w:divBdr>
                <w:top w:val="none" w:sz="0" w:space="0" w:color="auto"/>
                <w:left w:val="none" w:sz="0" w:space="0" w:color="auto"/>
                <w:bottom w:val="none" w:sz="0" w:space="0" w:color="auto"/>
                <w:right w:val="none" w:sz="0" w:space="0" w:color="auto"/>
              </w:divBdr>
              <w:divsChild>
                <w:div w:id="1945188252">
                  <w:marLeft w:val="0"/>
                  <w:marRight w:val="0"/>
                  <w:marTop w:val="0"/>
                  <w:marBottom w:val="0"/>
                  <w:divBdr>
                    <w:top w:val="none" w:sz="0" w:space="0" w:color="auto"/>
                    <w:left w:val="none" w:sz="0" w:space="0" w:color="auto"/>
                    <w:bottom w:val="none" w:sz="0" w:space="0" w:color="auto"/>
                    <w:right w:val="none" w:sz="0" w:space="0" w:color="auto"/>
                  </w:divBdr>
                  <w:divsChild>
                    <w:div w:id="2050641738">
                      <w:marLeft w:val="0"/>
                      <w:marRight w:val="0"/>
                      <w:marTop w:val="0"/>
                      <w:marBottom w:val="0"/>
                      <w:divBdr>
                        <w:top w:val="none" w:sz="0" w:space="0" w:color="auto"/>
                        <w:left w:val="none" w:sz="0" w:space="0" w:color="auto"/>
                        <w:bottom w:val="none" w:sz="0" w:space="0" w:color="auto"/>
                        <w:right w:val="none" w:sz="0" w:space="0" w:color="auto"/>
                      </w:divBdr>
                      <w:divsChild>
                        <w:div w:id="1953055098">
                          <w:marLeft w:val="0"/>
                          <w:marRight w:val="0"/>
                          <w:marTop w:val="0"/>
                          <w:marBottom w:val="0"/>
                          <w:divBdr>
                            <w:top w:val="none" w:sz="0" w:space="0" w:color="auto"/>
                            <w:left w:val="none" w:sz="0" w:space="0" w:color="auto"/>
                            <w:bottom w:val="none" w:sz="0" w:space="0" w:color="auto"/>
                            <w:right w:val="none" w:sz="0" w:space="0" w:color="auto"/>
                          </w:divBdr>
                          <w:divsChild>
                            <w:div w:id="1615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275422">
      <w:bodyDiv w:val="1"/>
      <w:marLeft w:val="0"/>
      <w:marRight w:val="0"/>
      <w:marTop w:val="0"/>
      <w:marBottom w:val="0"/>
      <w:divBdr>
        <w:top w:val="none" w:sz="0" w:space="0" w:color="auto"/>
        <w:left w:val="none" w:sz="0" w:space="0" w:color="auto"/>
        <w:bottom w:val="none" w:sz="0" w:space="0" w:color="auto"/>
        <w:right w:val="none" w:sz="0" w:space="0" w:color="auto"/>
      </w:divBdr>
      <w:divsChild>
        <w:div w:id="1555387543">
          <w:marLeft w:val="0"/>
          <w:marRight w:val="0"/>
          <w:marTop w:val="0"/>
          <w:marBottom w:val="0"/>
          <w:divBdr>
            <w:top w:val="none" w:sz="0" w:space="0" w:color="auto"/>
            <w:left w:val="none" w:sz="0" w:space="0" w:color="auto"/>
            <w:bottom w:val="none" w:sz="0" w:space="0" w:color="auto"/>
            <w:right w:val="none" w:sz="0" w:space="0" w:color="auto"/>
          </w:divBdr>
          <w:divsChild>
            <w:div w:id="1245066336">
              <w:marLeft w:val="0"/>
              <w:marRight w:val="0"/>
              <w:marTop w:val="0"/>
              <w:marBottom w:val="0"/>
              <w:divBdr>
                <w:top w:val="none" w:sz="0" w:space="0" w:color="auto"/>
                <w:left w:val="none" w:sz="0" w:space="0" w:color="auto"/>
                <w:bottom w:val="none" w:sz="0" w:space="0" w:color="auto"/>
                <w:right w:val="none" w:sz="0" w:space="0" w:color="auto"/>
              </w:divBdr>
              <w:divsChild>
                <w:div w:id="598567802">
                  <w:marLeft w:val="0"/>
                  <w:marRight w:val="0"/>
                  <w:marTop w:val="0"/>
                  <w:marBottom w:val="0"/>
                  <w:divBdr>
                    <w:top w:val="none" w:sz="0" w:space="0" w:color="auto"/>
                    <w:left w:val="none" w:sz="0" w:space="0" w:color="auto"/>
                    <w:bottom w:val="none" w:sz="0" w:space="0" w:color="auto"/>
                    <w:right w:val="none" w:sz="0" w:space="0" w:color="auto"/>
                  </w:divBdr>
                  <w:divsChild>
                    <w:div w:id="1017194506">
                      <w:marLeft w:val="0"/>
                      <w:marRight w:val="0"/>
                      <w:marTop w:val="0"/>
                      <w:marBottom w:val="0"/>
                      <w:divBdr>
                        <w:top w:val="none" w:sz="0" w:space="0" w:color="auto"/>
                        <w:left w:val="none" w:sz="0" w:space="0" w:color="auto"/>
                        <w:bottom w:val="none" w:sz="0" w:space="0" w:color="auto"/>
                        <w:right w:val="none" w:sz="0" w:space="0" w:color="auto"/>
                      </w:divBdr>
                      <w:divsChild>
                        <w:div w:id="1699694342">
                          <w:marLeft w:val="0"/>
                          <w:marRight w:val="0"/>
                          <w:marTop w:val="0"/>
                          <w:marBottom w:val="0"/>
                          <w:divBdr>
                            <w:top w:val="none" w:sz="0" w:space="0" w:color="auto"/>
                            <w:left w:val="none" w:sz="0" w:space="0" w:color="auto"/>
                            <w:bottom w:val="none" w:sz="0" w:space="0" w:color="auto"/>
                            <w:right w:val="none" w:sz="0" w:space="0" w:color="auto"/>
                          </w:divBdr>
                          <w:divsChild>
                            <w:div w:id="560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515075">
      <w:bodyDiv w:val="1"/>
      <w:marLeft w:val="0"/>
      <w:marRight w:val="0"/>
      <w:marTop w:val="0"/>
      <w:marBottom w:val="0"/>
      <w:divBdr>
        <w:top w:val="none" w:sz="0" w:space="0" w:color="auto"/>
        <w:left w:val="none" w:sz="0" w:space="0" w:color="auto"/>
        <w:bottom w:val="none" w:sz="0" w:space="0" w:color="auto"/>
        <w:right w:val="none" w:sz="0" w:space="0" w:color="auto"/>
      </w:divBdr>
      <w:divsChild>
        <w:div w:id="1016807524">
          <w:marLeft w:val="0"/>
          <w:marRight w:val="0"/>
          <w:marTop w:val="0"/>
          <w:marBottom w:val="0"/>
          <w:divBdr>
            <w:top w:val="none" w:sz="0" w:space="0" w:color="auto"/>
            <w:left w:val="none" w:sz="0" w:space="0" w:color="auto"/>
            <w:bottom w:val="none" w:sz="0" w:space="0" w:color="auto"/>
            <w:right w:val="none" w:sz="0" w:space="0" w:color="auto"/>
          </w:divBdr>
          <w:divsChild>
            <w:div w:id="859390488">
              <w:marLeft w:val="0"/>
              <w:marRight w:val="0"/>
              <w:marTop w:val="0"/>
              <w:marBottom w:val="0"/>
              <w:divBdr>
                <w:top w:val="none" w:sz="0" w:space="0" w:color="auto"/>
                <w:left w:val="none" w:sz="0" w:space="0" w:color="auto"/>
                <w:bottom w:val="none" w:sz="0" w:space="0" w:color="auto"/>
                <w:right w:val="none" w:sz="0" w:space="0" w:color="auto"/>
              </w:divBdr>
              <w:divsChild>
                <w:div w:id="710957170">
                  <w:marLeft w:val="0"/>
                  <w:marRight w:val="0"/>
                  <w:marTop w:val="0"/>
                  <w:marBottom w:val="0"/>
                  <w:divBdr>
                    <w:top w:val="none" w:sz="0" w:space="0" w:color="auto"/>
                    <w:left w:val="none" w:sz="0" w:space="0" w:color="auto"/>
                    <w:bottom w:val="none" w:sz="0" w:space="0" w:color="auto"/>
                    <w:right w:val="none" w:sz="0" w:space="0" w:color="auto"/>
                  </w:divBdr>
                  <w:divsChild>
                    <w:div w:id="1253705456">
                      <w:marLeft w:val="0"/>
                      <w:marRight w:val="0"/>
                      <w:marTop w:val="0"/>
                      <w:marBottom w:val="0"/>
                      <w:divBdr>
                        <w:top w:val="none" w:sz="0" w:space="0" w:color="auto"/>
                        <w:left w:val="none" w:sz="0" w:space="0" w:color="auto"/>
                        <w:bottom w:val="none" w:sz="0" w:space="0" w:color="auto"/>
                        <w:right w:val="none" w:sz="0" w:space="0" w:color="auto"/>
                      </w:divBdr>
                      <w:divsChild>
                        <w:div w:id="1333412997">
                          <w:marLeft w:val="0"/>
                          <w:marRight w:val="0"/>
                          <w:marTop w:val="0"/>
                          <w:marBottom w:val="0"/>
                          <w:divBdr>
                            <w:top w:val="none" w:sz="0" w:space="0" w:color="auto"/>
                            <w:left w:val="none" w:sz="0" w:space="0" w:color="auto"/>
                            <w:bottom w:val="none" w:sz="0" w:space="0" w:color="auto"/>
                            <w:right w:val="none" w:sz="0" w:space="0" w:color="auto"/>
                          </w:divBdr>
                          <w:divsChild>
                            <w:div w:id="7367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18018">
      <w:bodyDiv w:val="1"/>
      <w:marLeft w:val="0"/>
      <w:marRight w:val="0"/>
      <w:marTop w:val="0"/>
      <w:marBottom w:val="0"/>
      <w:divBdr>
        <w:top w:val="none" w:sz="0" w:space="0" w:color="auto"/>
        <w:left w:val="none" w:sz="0" w:space="0" w:color="auto"/>
        <w:bottom w:val="none" w:sz="0" w:space="0" w:color="auto"/>
        <w:right w:val="none" w:sz="0" w:space="0" w:color="auto"/>
      </w:divBdr>
      <w:divsChild>
        <w:div w:id="1501583935">
          <w:marLeft w:val="0"/>
          <w:marRight w:val="0"/>
          <w:marTop w:val="0"/>
          <w:marBottom w:val="0"/>
          <w:divBdr>
            <w:top w:val="none" w:sz="0" w:space="0" w:color="auto"/>
            <w:left w:val="none" w:sz="0" w:space="0" w:color="auto"/>
            <w:bottom w:val="none" w:sz="0" w:space="0" w:color="auto"/>
            <w:right w:val="none" w:sz="0" w:space="0" w:color="auto"/>
          </w:divBdr>
          <w:divsChild>
            <w:div w:id="2031906709">
              <w:marLeft w:val="0"/>
              <w:marRight w:val="0"/>
              <w:marTop w:val="0"/>
              <w:marBottom w:val="0"/>
              <w:divBdr>
                <w:top w:val="none" w:sz="0" w:space="0" w:color="auto"/>
                <w:left w:val="none" w:sz="0" w:space="0" w:color="auto"/>
                <w:bottom w:val="none" w:sz="0" w:space="0" w:color="auto"/>
                <w:right w:val="none" w:sz="0" w:space="0" w:color="auto"/>
              </w:divBdr>
              <w:divsChild>
                <w:div w:id="301735754">
                  <w:marLeft w:val="0"/>
                  <w:marRight w:val="0"/>
                  <w:marTop w:val="0"/>
                  <w:marBottom w:val="0"/>
                  <w:divBdr>
                    <w:top w:val="none" w:sz="0" w:space="0" w:color="auto"/>
                    <w:left w:val="none" w:sz="0" w:space="0" w:color="auto"/>
                    <w:bottom w:val="none" w:sz="0" w:space="0" w:color="auto"/>
                    <w:right w:val="none" w:sz="0" w:space="0" w:color="auto"/>
                  </w:divBdr>
                  <w:divsChild>
                    <w:div w:id="1521434515">
                      <w:marLeft w:val="0"/>
                      <w:marRight w:val="0"/>
                      <w:marTop w:val="0"/>
                      <w:marBottom w:val="0"/>
                      <w:divBdr>
                        <w:top w:val="none" w:sz="0" w:space="0" w:color="auto"/>
                        <w:left w:val="none" w:sz="0" w:space="0" w:color="auto"/>
                        <w:bottom w:val="none" w:sz="0" w:space="0" w:color="auto"/>
                        <w:right w:val="none" w:sz="0" w:space="0" w:color="auto"/>
                      </w:divBdr>
                      <w:divsChild>
                        <w:div w:id="342559313">
                          <w:marLeft w:val="0"/>
                          <w:marRight w:val="0"/>
                          <w:marTop w:val="0"/>
                          <w:marBottom w:val="0"/>
                          <w:divBdr>
                            <w:top w:val="none" w:sz="0" w:space="0" w:color="auto"/>
                            <w:left w:val="none" w:sz="0" w:space="0" w:color="auto"/>
                            <w:bottom w:val="none" w:sz="0" w:space="0" w:color="auto"/>
                            <w:right w:val="none" w:sz="0" w:space="0" w:color="auto"/>
                          </w:divBdr>
                          <w:divsChild>
                            <w:div w:id="63776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079536">
      <w:bodyDiv w:val="1"/>
      <w:marLeft w:val="0"/>
      <w:marRight w:val="0"/>
      <w:marTop w:val="0"/>
      <w:marBottom w:val="0"/>
      <w:divBdr>
        <w:top w:val="none" w:sz="0" w:space="0" w:color="auto"/>
        <w:left w:val="none" w:sz="0" w:space="0" w:color="auto"/>
        <w:bottom w:val="none" w:sz="0" w:space="0" w:color="auto"/>
        <w:right w:val="none" w:sz="0" w:space="0" w:color="auto"/>
      </w:divBdr>
      <w:divsChild>
        <w:div w:id="1563829796">
          <w:marLeft w:val="0"/>
          <w:marRight w:val="0"/>
          <w:marTop w:val="0"/>
          <w:marBottom w:val="0"/>
          <w:divBdr>
            <w:top w:val="none" w:sz="0" w:space="0" w:color="auto"/>
            <w:left w:val="none" w:sz="0" w:space="0" w:color="auto"/>
            <w:bottom w:val="none" w:sz="0" w:space="0" w:color="auto"/>
            <w:right w:val="none" w:sz="0" w:space="0" w:color="auto"/>
          </w:divBdr>
          <w:divsChild>
            <w:div w:id="2066758015">
              <w:marLeft w:val="0"/>
              <w:marRight w:val="0"/>
              <w:marTop w:val="0"/>
              <w:marBottom w:val="0"/>
              <w:divBdr>
                <w:top w:val="none" w:sz="0" w:space="0" w:color="auto"/>
                <w:left w:val="none" w:sz="0" w:space="0" w:color="auto"/>
                <w:bottom w:val="none" w:sz="0" w:space="0" w:color="auto"/>
                <w:right w:val="none" w:sz="0" w:space="0" w:color="auto"/>
              </w:divBdr>
              <w:divsChild>
                <w:div w:id="1543635251">
                  <w:marLeft w:val="0"/>
                  <w:marRight w:val="0"/>
                  <w:marTop w:val="0"/>
                  <w:marBottom w:val="0"/>
                  <w:divBdr>
                    <w:top w:val="none" w:sz="0" w:space="0" w:color="auto"/>
                    <w:left w:val="none" w:sz="0" w:space="0" w:color="auto"/>
                    <w:bottom w:val="none" w:sz="0" w:space="0" w:color="auto"/>
                    <w:right w:val="none" w:sz="0" w:space="0" w:color="auto"/>
                  </w:divBdr>
                  <w:divsChild>
                    <w:div w:id="2074960118">
                      <w:marLeft w:val="0"/>
                      <w:marRight w:val="0"/>
                      <w:marTop w:val="0"/>
                      <w:marBottom w:val="0"/>
                      <w:divBdr>
                        <w:top w:val="none" w:sz="0" w:space="0" w:color="auto"/>
                        <w:left w:val="none" w:sz="0" w:space="0" w:color="auto"/>
                        <w:bottom w:val="none" w:sz="0" w:space="0" w:color="auto"/>
                        <w:right w:val="none" w:sz="0" w:space="0" w:color="auto"/>
                      </w:divBdr>
                      <w:divsChild>
                        <w:div w:id="779111349">
                          <w:marLeft w:val="0"/>
                          <w:marRight w:val="0"/>
                          <w:marTop w:val="0"/>
                          <w:marBottom w:val="0"/>
                          <w:divBdr>
                            <w:top w:val="none" w:sz="0" w:space="0" w:color="auto"/>
                            <w:left w:val="none" w:sz="0" w:space="0" w:color="auto"/>
                            <w:bottom w:val="none" w:sz="0" w:space="0" w:color="auto"/>
                            <w:right w:val="none" w:sz="0" w:space="0" w:color="auto"/>
                          </w:divBdr>
                          <w:divsChild>
                            <w:div w:id="13578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131091">
      <w:bodyDiv w:val="1"/>
      <w:marLeft w:val="0"/>
      <w:marRight w:val="0"/>
      <w:marTop w:val="0"/>
      <w:marBottom w:val="0"/>
      <w:divBdr>
        <w:top w:val="none" w:sz="0" w:space="0" w:color="auto"/>
        <w:left w:val="none" w:sz="0" w:space="0" w:color="auto"/>
        <w:bottom w:val="none" w:sz="0" w:space="0" w:color="auto"/>
        <w:right w:val="none" w:sz="0" w:space="0" w:color="auto"/>
      </w:divBdr>
      <w:divsChild>
        <w:div w:id="160850282">
          <w:marLeft w:val="0"/>
          <w:marRight w:val="0"/>
          <w:marTop w:val="0"/>
          <w:marBottom w:val="0"/>
          <w:divBdr>
            <w:top w:val="none" w:sz="0" w:space="0" w:color="auto"/>
            <w:left w:val="none" w:sz="0" w:space="0" w:color="auto"/>
            <w:bottom w:val="none" w:sz="0" w:space="0" w:color="auto"/>
            <w:right w:val="none" w:sz="0" w:space="0" w:color="auto"/>
          </w:divBdr>
          <w:divsChild>
            <w:div w:id="1832480759">
              <w:marLeft w:val="0"/>
              <w:marRight w:val="0"/>
              <w:marTop w:val="0"/>
              <w:marBottom w:val="0"/>
              <w:divBdr>
                <w:top w:val="none" w:sz="0" w:space="0" w:color="auto"/>
                <w:left w:val="none" w:sz="0" w:space="0" w:color="auto"/>
                <w:bottom w:val="none" w:sz="0" w:space="0" w:color="auto"/>
                <w:right w:val="none" w:sz="0" w:space="0" w:color="auto"/>
              </w:divBdr>
              <w:divsChild>
                <w:div w:id="351960909">
                  <w:marLeft w:val="0"/>
                  <w:marRight w:val="0"/>
                  <w:marTop w:val="0"/>
                  <w:marBottom w:val="0"/>
                  <w:divBdr>
                    <w:top w:val="none" w:sz="0" w:space="0" w:color="auto"/>
                    <w:left w:val="none" w:sz="0" w:space="0" w:color="auto"/>
                    <w:bottom w:val="none" w:sz="0" w:space="0" w:color="auto"/>
                    <w:right w:val="none" w:sz="0" w:space="0" w:color="auto"/>
                  </w:divBdr>
                  <w:divsChild>
                    <w:div w:id="1685130805">
                      <w:marLeft w:val="0"/>
                      <w:marRight w:val="0"/>
                      <w:marTop w:val="0"/>
                      <w:marBottom w:val="0"/>
                      <w:divBdr>
                        <w:top w:val="none" w:sz="0" w:space="0" w:color="auto"/>
                        <w:left w:val="none" w:sz="0" w:space="0" w:color="auto"/>
                        <w:bottom w:val="none" w:sz="0" w:space="0" w:color="auto"/>
                        <w:right w:val="none" w:sz="0" w:space="0" w:color="auto"/>
                      </w:divBdr>
                      <w:divsChild>
                        <w:div w:id="344796289">
                          <w:marLeft w:val="0"/>
                          <w:marRight w:val="0"/>
                          <w:marTop w:val="0"/>
                          <w:marBottom w:val="0"/>
                          <w:divBdr>
                            <w:top w:val="none" w:sz="0" w:space="0" w:color="auto"/>
                            <w:left w:val="none" w:sz="0" w:space="0" w:color="auto"/>
                            <w:bottom w:val="none" w:sz="0" w:space="0" w:color="auto"/>
                            <w:right w:val="none" w:sz="0" w:space="0" w:color="auto"/>
                          </w:divBdr>
                          <w:divsChild>
                            <w:div w:id="576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875332">
      <w:bodyDiv w:val="1"/>
      <w:marLeft w:val="0"/>
      <w:marRight w:val="0"/>
      <w:marTop w:val="0"/>
      <w:marBottom w:val="0"/>
      <w:divBdr>
        <w:top w:val="none" w:sz="0" w:space="0" w:color="auto"/>
        <w:left w:val="none" w:sz="0" w:space="0" w:color="auto"/>
        <w:bottom w:val="none" w:sz="0" w:space="0" w:color="auto"/>
        <w:right w:val="none" w:sz="0" w:space="0" w:color="auto"/>
      </w:divBdr>
      <w:divsChild>
        <w:div w:id="464663664">
          <w:marLeft w:val="0"/>
          <w:marRight w:val="0"/>
          <w:marTop w:val="0"/>
          <w:marBottom w:val="0"/>
          <w:divBdr>
            <w:top w:val="none" w:sz="0" w:space="0" w:color="auto"/>
            <w:left w:val="none" w:sz="0" w:space="0" w:color="auto"/>
            <w:bottom w:val="none" w:sz="0" w:space="0" w:color="auto"/>
            <w:right w:val="none" w:sz="0" w:space="0" w:color="auto"/>
          </w:divBdr>
        </w:div>
      </w:divsChild>
    </w:div>
    <w:div w:id="1392923777">
      <w:bodyDiv w:val="1"/>
      <w:marLeft w:val="0"/>
      <w:marRight w:val="0"/>
      <w:marTop w:val="0"/>
      <w:marBottom w:val="0"/>
      <w:divBdr>
        <w:top w:val="none" w:sz="0" w:space="0" w:color="auto"/>
        <w:left w:val="none" w:sz="0" w:space="0" w:color="auto"/>
        <w:bottom w:val="none" w:sz="0" w:space="0" w:color="auto"/>
        <w:right w:val="none" w:sz="0" w:space="0" w:color="auto"/>
      </w:divBdr>
      <w:divsChild>
        <w:div w:id="1185897417">
          <w:marLeft w:val="0"/>
          <w:marRight w:val="0"/>
          <w:marTop w:val="0"/>
          <w:marBottom w:val="0"/>
          <w:divBdr>
            <w:top w:val="none" w:sz="0" w:space="0" w:color="auto"/>
            <w:left w:val="none" w:sz="0" w:space="0" w:color="auto"/>
            <w:bottom w:val="none" w:sz="0" w:space="0" w:color="auto"/>
            <w:right w:val="none" w:sz="0" w:space="0" w:color="auto"/>
          </w:divBdr>
        </w:div>
      </w:divsChild>
    </w:div>
    <w:div w:id="1412191919">
      <w:bodyDiv w:val="1"/>
      <w:marLeft w:val="0"/>
      <w:marRight w:val="0"/>
      <w:marTop w:val="0"/>
      <w:marBottom w:val="0"/>
      <w:divBdr>
        <w:top w:val="none" w:sz="0" w:space="0" w:color="auto"/>
        <w:left w:val="none" w:sz="0" w:space="0" w:color="auto"/>
        <w:bottom w:val="none" w:sz="0" w:space="0" w:color="auto"/>
        <w:right w:val="none" w:sz="0" w:space="0" w:color="auto"/>
      </w:divBdr>
      <w:divsChild>
        <w:div w:id="516964912">
          <w:marLeft w:val="0"/>
          <w:marRight w:val="0"/>
          <w:marTop w:val="0"/>
          <w:marBottom w:val="0"/>
          <w:divBdr>
            <w:top w:val="none" w:sz="0" w:space="0" w:color="auto"/>
            <w:left w:val="none" w:sz="0" w:space="0" w:color="auto"/>
            <w:bottom w:val="none" w:sz="0" w:space="0" w:color="auto"/>
            <w:right w:val="none" w:sz="0" w:space="0" w:color="auto"/>
          </w:divBdr>
          <w:divsChild>
            <w:div w:id="935746797">
              <w:marLeft w:val="0"/>
              <w:marRight w:val="0"/>
              <w:marTop w:val="0"/>
              <w:marBottom w:val="0"/>
              <w:divBdr>
                <w:top w:val="none" w:sz="0" w:space="0" w:color="auto"/>
                <w:left w:val="none" w:sz="0" w:space="0" w:color="auto"/>
                <w:bottom w:val="none" w:sz="0" w:space="0" w:color="auto"/>
                <w:right w:val="none" w:sz="0" w:space="0" w:color="auto"/>
              </w:divBdr>
              <w:divsChild>
                <w:div w:id="1757483157">
                  <w:marLeft w:val="0"/>
                  <w:marRight w:val="0"/>
                  <w:marTop w:val="0"/>
                  <w:marBottom w:val="0"/>
                  <w:divBdr>
                    <w:top w:val="none" w:sz="0" w:space="0" w:color="auto"/>
                    <w:left w:val="none" w:sz="0" w:space="0" w:color="auto"/>
                    <w:bottom w:val="none" w:sz="0" w:space="0" w:color="auto"/>
                    <w:right w:val="none" w:sz="0" w:space="0" w:color="auto"/>
                  </w:divBdr>
                  <w:divsChild>
                    <w:div w:id="1735620472">
                      <w:marLeft w:val="0"/>
                      <w:marRight w:val="0"/>
                      <w:marTop w:val="0"/>
                      <w:marBottom w:val="0"/>
                      <w:divBdr>
                        <w:top w:val="none" w:sz="0" w:space="0" w:color="auto"/>
                        <w:left w:val="none" w:sz="0" w:space="0" w:color="auto"/>
                        <w:bottom w:val="none" w:sz="0" w:space="0" w:color="auto"/>
                        <w:right w:val="none" w:sz="0" w:space="0" w:color="auto"/>
                      </w:divBdr>
                      <w:divsChild>
                        <w:div w:id="1056272795">
                          <w:marLeft w:val="0"/>
                          <w:marRight w:val="0"/>
                          <w:marTop w:val="0"/>
                          <w:marBottom w:val="0"/>
                          <w:divBdr>
                            <w:top w:val="none" w:sz="0" w:space="0" w:color="auto"/>
                            <w:left w:val="none" w:sz="0" w:space="0" w:color="auto"/>
                            <w:bottom w:val="none" w:sz="0" w:space="0" w:color="auto"/>
                            <w:right w:val="none" w:sz="0" w:space="0" w:color="auto"/>
                          </w:divBdr>
                          <w:divsChild>
                            <w:div w:id="14340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07943">
      <w:bodyDiv w:val="1"/>
      <w:marLeft w:val="0"/>
      <w:marRight w:val="0"/>
      <w:marTop w:val="0"/>
      <w:marBottom w:val="0"/>
      <w:divBdr>
        <w:top w:val="none" w:sz="0" w:space="0" w:color="auto"/>
        <w:left w:val="none" w:sz="0" w:space="0" w:color="auto"/>
        <w:bottom w:val="none" w:sz="0" w:space="0" w:color="auto"/>
        <w:right w:val="none" w:sz="0" w:space="0" w:color="auto"/>
      </w:divBdr>
      <w:divsChild>
        <w:div w:id="1493568822">
          <w:marLeft w:val="0"/>
          <w:marRight w:val="0"/>
          <w:marTop w:val="0"/>
          <w:marBottom w:val="0"/>
          <w:divBdr>
            <w:top w:val="none" w:sz="0" w:space="0" w:color="auto"/>
            <w:left w:val="none" w:sz="0" w:space="0" w:color="auto"/>
            <w:bottom w:val="none" w:sz="0" w:space="0" w:color="auto"/>
            <w:right w:val="none" w:sz="0" w:space="0" w:color="auto"/>
          </w:divBdr>
          <w:divsChild>
            <w:div w:id="2085101289">
              <w:marLeft w:val="0"/>
              <w:marRight w:val="0"/>
              <w:marTop w:val="0"/>
              <w:marBottom w:val="0"/>
              <w:divBdr>
                <w:top w:val="none" w:sz="0" w:space="0" w:color="auto"/>
                <w:left w:val="none" w:sz="0" w:space="0" w:color="auto"/>
                <w:bottom w:val="none" w:sz="0" w:space="0" w:color="auto"/>
                <w:right w:val="none" w:sz="0" w:space="0" w:color="auto"/>
              </w:divBdr>
              <w:divsChild>
                <w:div w:id="60642493">
                  <w:marLeft w:val="0"/>
                  <w:marRight w:val="0"/>
                  <w:marTop w:val="0"/>
                  <w:marBottom w:val="0"/>
                  <w:divBdr>
                    <w:top w:val="none" w:sz="0" w:space="0" w:color="auto"/>
                    <w:left w:val="none" w:sz="0" w:space="0" w:color="auto"/>
                    <w:bottom w:val="none" w:sz="0" w:space="0" w:color="auto"/>
                    <w:right w:val="none" w:sz="0" w:space="0" w:color="auto"/>
                  </w:divBdr>
                  <w:divsChild>
                    <w:div w:id="638341002">
                      <w:marLeft w:val="0"/>
                      <w:marRight w:val="0"/>
                      <w:marTop w:val="0"/>
                      <w:marBottom w:val="0"/>
                      <w:divBdr>
                        <w:top w:val="none" w:sz="0" w:space="0" w:color="auto"/>
                        <w:left w:val="none" w:sz="0" w:space="0" w:color="auto"/>
                        <w:bottom w:val="none" w:sz="0" w:space="0" w:color="auto"/>
                        <w:right w:val="none" w:sz="0" w:space="0" w:color="auto"/>
                      </w:divBdr>
                      <w:divsChild>
                        <w:div w:id="180433974">
                          <w:marLeft w:val="0"/>
                          <w:marRight w:val="0"/>
                          <w:marTop w:val="0"/>
                          <w:marBottom w:val="0"/>
                          <w:divBdr>
                            <w:top w:val="none" w:sz="0" w:space="0" w:color="auto"/>
                            <w:left w:val="none" w:sz="0" w:space="0" w:color="auto"/>
                            <w:bottom w:val="none" w:sz="0" w:space="0" w:color="auto"/>
                            <w:right w:val="none" w:sz="0" w:space="0" w:color="auto"/>
                          </w:divBdr>
                          <w:divsChild>
                            <w:div w:id="139639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381714">
      <w:bodyDiv w:val="1"/>
      <w:marLeft w:val="0"/>
      <w:marRight w:val="0"/>
      <w:marTop w:val="0"/>
      <w:marBottom w:val="0"/>
      <w:divBdr>
        <w:top w:val="none" w:sz="0" w:space="0" w:color="auto"/>
        <w:left w:val="none" w:sz="0" w:space="0" w:color="auto"/>
        <w:bottom w:val="none" w:sz="0" w:space="0" w:color="auto"/>
        <w:right w:val="none" w:sz="0" w:space="0" w:color="auto"/>
      </w:divBdr>
      <w:divsChild>
        <w:div w:id="182671869">
          <w:marLeft w:val="0"/>
          <w:marRight w:val="0"/>
          <w:marTop w:val="0"/>
          <w:marBottom w:val="0"/>
          <w:divBdr>
            <w:top w:val="none" w:sz="0" w:space="0" w:color="auto"/>
            <w:left w:val="none" w:sz="0" w:space="0" w:color="auto"/>
            <w:bottom w:val="none" w:sz="0" w:space="0" w:color="auto"/>
            <w:right w:val="none" w:sz="0" w:space="0" w:color="auto"/>
          </w:divBdr>
          <w:divsChild>
            <w:div w:id="120729517">
              <w:marLeft w:val="2150"/>
              <w:marRight w:val="0"/>
              <w:marTop w:val="0"/>
              <w:marBottom w:val="0"/>
              <w:divBdr>
                <w:top w:val="none" w:sz="0" w:space="0" w:color="auto"/>
                <w:left w:val="none" w:sz="0" w:space="0" w:color="auto"/>
                <w:bottom w:val="none" w:sz="0" w:space="0" w:color="auto"/>
                <w:right w:val="none" w:sz="0" w:space="0" w:color="auto"/>
              </w:divBdr>
              <w:divsChild>
                <w:div w:id="27607101">
                  <w:marLeft w:val="60"/>
                  <w:marRight w:val="0"/>
                  <w:marTop w:val="0"/>
                  <w:marBottom w:val="0"/>
                  <w:divBdr>
                    <w:top w:val="single" w:sz="4" w:space="0" w:color="EEEEEE"/>
                    <w:left w:val="none" w:sz="0" w:space="0" w:color="auto"/>
                    <w:bottom w:val="none" w:sz="0" w:space="0" w:color="auto"/>
                    <w:right w:val="none" w:sz="0" w:space="0" w:color="auto"/>
                  </w:divBdr>
                  <w:divsChild>
                    <w:div w:id="1328900974">
                      <w:marLeft w:val="0"/>
                      <w:marRight w:val="0"/>
                      <w:marTop w:val="0"/>
                      <w:marBottom w:val="0"/>
                      <w:divBdr>
                        <w:top w:val="none" w:sz="0" w:space="0" w:color="auto"/>
                        <w:left w:val="none" w:sz="0" w:space="0" w:color="auto"/>
                        <w:bottom w:val="none" w:sz="0" w:space="0" w:color="auto"/>
                        <w:right w:val="none" w:sz="0" w:space="0" w:color="auto"/>
                      </w:divBdr>
                      <w:divsChild>
                        <w:div w:id="122764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156922">
      <w:bodyDiv w:val="1"/>
      <w:marLeft w:val="0"/>
      <w:marRight w:val="0"/>
      <w:marTop w:val="0"/>
      <w:marBottom w:val="0"/>
      <w:divBdr>
        <w:top w:val="none" w:sz="0" w:space="0" w:color="auto"/>
        <w:left w:val="none" w:sz="0" w:space="0" w:color="auto"/>
        <w:bottom w:val="none" w:sz="0" w:space="0" w:color="auto"/>
        <w:right w:val="none" w:sz="0" w:space="0" w:color="auto"/>
      </w:divBdr>
      <w:divsChild>
        <w:div w:id="1547989219">
          <w:marLeft w:val="0"/>
          <w:marRight w:val="0"/>
          <w:marTop w:val="0"/>
          <w:marBottom w:val="0"/>
          <w:divBdr>
            <w:top w:val="none" w:sz="0" w:space="0" w:color="auto"/>
            <w:left w:val="none" w:sz="0" w:space="0" w:color="auto"/>
            <w:bottom w:val="none" w:sz="0" w:space="0" w:color="auto"/>
            <w:right w:val="none" w:sz="0" w:space="0" w:color="auto"/>
          </w:divBdr>
          <w:divsChild>
            <w:div w:id="1735274905">
              <w:marLeft w:val="0"/>
              <w:marRight w:val="0"/>
              <w:marTop w:val="0"/>
              <w:marBottom w:val="0"/>
              <w:divBdr>
                <w:top w:val="none" w:sz="0" w:space="0" w:color="auto"/>
                <w:left w:val="none" w:sz="0" w:space="0" w:color="auto"/>
                <w:bottom w:val="none" w:sz="0" w:space="0" w:color="auto"/>
                <w:right w:val="none" w:sz="0" w:space="0" w:color="auto"/>
              </w:divBdr>
              <w:divsChild>
                <w:div w:id="412894229">
                  <w:marLeft w:val="0"/>
                  <w:marRight w:val="0"/>
                  <w:marTop w:val="0"/>
                  <w:marBottom w:val="0"/>
                  <w:divBdr>
                    <w:top w:val="none" w:sz="0" w:space="0" w:color="auto"/>
                    <w:left w:val="none" w:sz="0" w:space="0" w:color="auto"/>
                    <w:bottom w:val="none" w:sz="0" w:space="0" w:color="auto"/>
                    <w:right w:val="none" w:sz="0" w:space="0" w:color="auto"/>
                  </w:divBdr>
                  <w:divsChild>
                    <w:div w:id="1348289855">
                      <w:marLeft w:val="0"/>
                      <w:marRight w:val="0"/>
                      <w:marTop w:val="0"/>
                      <w:marBottom w:val="0"/>
                      <w:divBdr>
                        <w:top w:val="none" w:sz="0" w:space="0" w:color="auto"/>
                        <w:left w:val="none" w:sz="0" w:space="0" w:color="auto"/>
                        <w:bottom w:val="none" w:sz="0" w:space="0" w:color="auto"/>
                        <w:right w:val="none" w:sz="0" w:space="0" w:color="auto"/>
                      </w:divBdr>
                      <w:divsChild>
                        <w:div w:id="1404596020">
                          <w:marLeft w:val="0"/>
                          <w:marRight w:val="0"/>
                          <w:marTop w:val="0"/>
                          <w:marBottom w:val="0"/>
                          <w:divBdr>
                            <w:top w:val="none" w:sz="0" w:space="0" w:color="auto"/>
                            <w:left w:val="none" w:sz="0" w:space="0" w:color="auto"/>
                            <w:bottom w:val="none" w:sz="0" w:space="0" w:color="auto"/>
                            <w:right w:val="none" w:sz="0" w:space="0" w:color="auto"/>
                          </w:divBdr>
                          <w:divsChild>
                            <w:div w:id="1912428469">
                              <w:marLeft w:val="0"/>
                              <w:marRight w:val="0"/>
                              <w:marTop w:val="0"/>
                              <w:marBottom w:val="0"/>
                              <w:divBdr>
                                <w:top w:val="none" w:sz="0" w:space="0" w:color="auto"/>
                                <w:left w:val="none" w:sz="0" w:space="0" w:color="auto"/>
                                <w:bottom w:val="none" w:sz="0" w:space="0" w:color="auto"/>
                                <w:right w:val="none" w:sz="0" w:space="0" w:color="auto"/>
                              </w:divBdr>
                              <w:divsChild>
                                <w:div w:id="1225601647">
                                  <w:marLeft w:val="0"/>
                                  <w:marRight w:val="0"/>
                                  <w:marTop w:val="0"/>
                                  <w:marBottom w:val="0"/>
                                  <w:divBdr>
                                    <w:top w:val="none" w:sz="0" w:space="0" w:color="auto"/>
                                    <w:left w:val="none" w:sz="0" w:space="0" w:color="auto"/>
                                    <w:bottom w:val="none" w:sz="0" w:space="0" w:color="auto"/>
                                    <w:right w:val="none" w:sz="0" w:space="0" w:color="auto"/>
                                  </w:divBdr>
                                  <w:divsChild>
                                    <w:div w:id="1215047791">
                                      <w:marLeft w:val="0"/>
                                      <w:marRight w:val="0"/>
                                      <w:marTop w:val="0"/>
                                      <w:marBottom w:val="0"/>
                                      <w:divBdr>
                                        <w:top w:val="none" w:sz="0" w:space="0" w:color="auto"/>
                                        <w:left w:val="none" w:sz="0" w:space="0" w:color="auto"/>
                                        <w:bottom w:val="none" w:sz="0" w:space="0" w:color="auto"/>
                                        <w:right w:val="none" w:sz="0" w:space="0" w:color="auto"/>
                                      </w:divBdr>
                                      <w:divsChild>
                                        <w:div w:id="980773343">
                                          <w:marLeft w:val="0"/>
                                          <w:marRight w:val="0"/>
                                          <w:marTop w:val="0"/>
                                          <w:marBottom w:val="0"/>
                                          <w:divBdr>
                                            <w:top w:val="none" w:sz="0" w:space="0" w:color="auto"/>
                                            <w:left w:val="none" w:sz="0" w:space="0" w:color="auto"/>
                                            <w:bottom w:val="none" w:sz="0" w:space="0" w:color="auto"/>
                                            <w:right w:val="none" w:sz="0" w:space="0" w:color="auto"/>
                                          </w:divBdr>
                                          <w:divsChild>
                                            <w:div w:id="4520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4876575">
      <w:bodyDiv w:val="1"/>
      <w:marLeft w:val="0"/>
      <w:marRight w:val="0"/>
      <w:marTop w:val="0"/>
      <w:marBottom w:val="0"/>
      <w:divBdr>
        <w:top w:val="none" w:sz="0" w:space="0" w:color="auto"/>
        <w:left w:val="none" w:sz="0" w:space="0" w:color="auto"/>
        <w:bottom w:val="none" w:sz="0" w:space="0" w:color="auto"/>
        <w:right w:val="none" w:sz="0" w:space="0" w:color="auto"/>
      </w:divBdr>
      <w:divsChild>
        <w:div w:id="858086996">
          <w:marLeft w:val="3"/>
          <w:marRight w:val="3"/>
          <w:marTop w:val="0"/>
          <w:marBottom w:val="0"/>
          <w:divBdr>
            <w:top w:val="single" w:sz="4" w:space="0" w:color="112449"/>
            <w:left w:val="single" w:sz="4" w:space="0" w:color="112449"/>
            <w:bottom w:val="single" w:sz="4" w:space="0" w:color="112449"/>
            <w:right w:val="single" w:sz="4" w:space="0" w:color="112449"/>
          </w:divBdr>
          <w:divsChild>
            <w:div w:id="566380797">
              <w:marLeft w:val="3"/>
              <w:marRight w:val="3"/>
              <w:marTop w:val="0"/>
              <w:marBottom w:val="0"/>
              <w:divBdr>
                <w:top w:val="single" w:sz="4" w:space="0" w:color="112449"/>
                <w:left w:val="single" w:sz="4" w:space="0" w:color="112449"/>
                <w:bottom w:val="single" w:sz="4" w:space="0" w:color="112449"/>
                <w:right w:val="single" w:sz="4" w:space="0" w:color="112449"/>
              </w:divBdr>
              <w:divsChild>
                <w:div w:id="4788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6924">
      <w:bodyDiv w:val="1"/>
      <w:marLeft w:val="0"/>
      <w:marRight w:val="0"/>
      <w:marTop w:val="0"/>
      <w:marBottom w:val="0"/>
      <w:divBdr>
        <w:top w:val="none" w:sz="0" w:space="0" w:color="auto"/>
        <w:left w:val="none" w:sz="0" w:space="0" w:color="auto"/>
        <w:bottom w:val="none" w:sz="0" w:space="0" w:color="auto"/>
        <w:right w:val="none" w:sz="0" w:space="0" w:color="auto"/>
      </w:divBdr>
      <w:divsChild>
        <w:div w:id="1290041728">
          <w:marLeft w:val="0"/>
          <w:marRight w:val="0"/>
          <w:marTop w:val="0"/>
          <w:marBottom w:val="0"/>
          <w:divBdr>
            <w:top w:val="none" w:sz="0" w:space="0" w:color="auto"/>
            <w:left w:val="none" w:sz="0" w:space="0" w:color="auto"/>
            <w:bottom w:val="none" w:sz="0" w:space="0" w:color="auto"/>
            <w:right w:val="none" w:sz="0" w:space="0" w:color="auto"/>
          </w:divBdr>
          <w:divsChild>
            <w:div w:id="158426568">
              <w:marLeft w:val="0"/>
              <w:marRight w:val="0"/>
              <w:marTop w:val="0"/>
              <w:marBottom w:val="0"/>
              <w:divBdr>
                <w:top w:val="none" w:sz="0" w:space="0" w:color="auto"/>
                <w:left w:val="none" w:sz="0" w:space="0" w:color="auto"/>
                <w:bottom w:val="none" w:sz="0" w:space="0" w:color="auto"/>
                <w:right w:val="none" w:sz="0" w:space="0" w:color="auto"/>
              </w:divBdr>
              <w:divsChild>
                <w:div w:id="1342076710">
                  <w:marLeft w:val="0"/>
                  <w:marRight w:val="0"/>
                  <w:marTop w:val="0"/>
                  <w:marBottom w:val="0"/>
                  <w:divBdr>
                    <w:top w:val="none" w:sz="0" w:space="0" w:color="auto"/>
                    <w:left w:val="none" w:sz="0" w:space="0" w:color="auto"/>
                    <w:bottom w:val="none" w:sz="0" w:space="0" w:color="auto"/>
                    <w:right w:val="none" w:sz="0" w:space="0" w:color="auto"/>
                  </w:divBdr>
                  <w:divsChild>
                    <w:div w:id="103381683">
                      <w:marLeft w:val="0"/>
                      <w:marRight w:val="0"/>
                      <w:marTop w:val="0"/>
                      <w:marBottom w:val="0"/>
                      <w:divBdr>
                        <w:top w:val="none" w:sz="0" w:space="0" w:color="auto"/>
                        <w:left w:val="none" w:sz="0" w:space="0" w:color="auto"/>
                        <w:bottom w:val="none" w:sz="0" w:space="0" w:color="auto"/>
                        <w:right w:val="none" w:sz="0" w:space="0" w:color="auto"/>
                      </w:divBdr>
                      <w:divsChild>
                        <w:div w:id="1893224177">
                          <w:marLeft w:val="0"/>
                          <w:marRight w:val="0"/>
                          <w:marTop w:val="0"/>
                          <w:marBottom w:val="0"/>
                          <w:divBdr>
                            <w:top w:val="none" w:sz="0" w:space="0" w:color="auto"/>
                            <w:left w:val="none" w:sz="0" w:space="0" w:color="auto"/>
                            <w:bottom w:val="none" w:sz="0" w:space="0" w:color="auto"/>
                            <w:right w:val="none" w:sz="0" w:space="0" w:color="auto"/>
                          </w:divBdr>
                          <w:divsChild>
                            <w:div w:id="7891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493520">
      <w:bodyDiv w:val="1"/>
      <w:marLeft w:val="0"/>
      <w:marRight w:val="0"/>
      <w:marTop w:val="0"/>
      <w:marBottom w:val="0"/>
      <w:divBdr>
        <w:top w:val="none" w:sz="0" w:space="0" w:color="auto"/>
        <w:left w:val="none" w:sz="0" w:space="0" w:color="auto"/>
        <w:bottom w:val="none" w:sz="0" w:space="0" w:color="auto"/>
        <w:right w:val="none" w:sz="0" w:space="0" w:color="auto"/>
      </w:divBdr>
      <w:divsChild>
        <w:div w:id="1408843256">
          <w:marLeft w:val="0"/>
          <w:marRight w:val="0"/>
          <w:marTop w:val="0"/>
          <w:marBottom w:val="0"/>
          <w:divBdr>
            <w:top w:val="none" w:sz="0" w:space="0" w:color="auto"/>
            <w:left w:val="none" w:sz="0" w:space="0" w:color="auto"/>
            <w:bottom w:val="none" w:sz="0" w:space="0" w:color="auto"/>
            <w:right w:val="none" w:sz="0" w:space="0" w:color="auto"/>
          </w:divBdr>
          <w:divsChild>
            <w:div w:id="285699102">
              <w:marLeft w:val="0"/>
              <w:marRight w:val="0"/>
              <w:marTop w:val="0"/>
              <w:marBottom w:val="0"/>
              <w:divBdr>
                <w:top w:val="none" w:sz="0" w:space="0" w:color="auto"/>
                <w:left w:val="none" w:sz="0" w:space="0" w:color="auto"/>
                <w:bottom w:val="none" w:sz="0" w:space="0" w:color="auto"/>
                <w:right w:val="none" w:sz="0" w:space="0" w:color="auto"/>
              </w:divBdr>
              <w:divsChild>
                <w:div w:id="804468890">
                  <w:marLeft w:val="0"/>
                  <w:marRight w:val="0"/>
                  <w:marTop w:val="0"/>
                  <w:marBottom w:val="0"/>
                  <w:divBdr>
                    <w:top w:val="none" w:sz="0" w:space="0" w:color="auto"/>
                    <w:left w:val="none" w:sz="0" w:space="0" w:color="auto"/>
                    <w:bottom w:val="none" w:sz="0" w:space="0" w:color="auto"/>
                    <w:right w:val="none" w:sz="0" w:space="0" w:color="auto"/>
                  </w:divBdr>
                  <w:divsChild>
                    <w:div w:id="1661343443">
                      <w:marLeft w:val="0"/>
                      <w:marRight w:val="0"/>
                      <w:marTop w:val="0"/>
                      <w:marBottom w:val="0"/>
                      <w:divBdr>
                        <w:top w:val="none" w:sz="0" w:space="0" w:color="auto"/>
                        <w:left w:val="none" w:sz="0" w:space="0" w:color="auto"/>
                        <w:bottom w:val="none" w:sz="0" w:space="0" w:color="auto"/>
                        <w:right w:val="none" w:sz="0" w:space="0" w:color="auto"/>
                      </w:divBdr>
                      <w:divsChild>
                        <w:div w:id="1084186827">
                          <w:marLeft w:val="0"/>
                          <w:marRight w:val="0"/>
                          <w:marTop w:val="0"/>
                          <w:marBottom w:val="0"/>
                          <w:divBdr>
                            <w:top w:val="none" w:sz="0" w:space="0" w:color="auto"/>
                            <w:left w:val="none" w:sz="0" w:space="0" w:color="auto"/>
                            <w:bottom w:val="none" w:sz="0" w:space="0" w:color="auto"/>
                            <w:right w:val="none" w:sz="0" w:space="0" w:color="auto"/>
                          </w:divBdr>
                          <w:divsChild>
                            <w:div w:id="6751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812890">
      <w:bodyDiv w:val="1"/>
      <w:marLeft w:val="0"/>
      <w:marRight w:val="0"/>
      <w:marTop w:val="0"/>
      <w:marBottom w:val="0"/>
      <w:divBdr>
        <w:top w:val="none" w:sz="0" w:space="0" w:color="auto"/>
        <w:left w:val="none" w:sz="0" w:space="0" w:color="auto"/>
        <w:bottom w:val="none" w:sz="0" w:space="0" w:color="auto"/>
        <w:right w:val="none" w:sz="0" w:space="0" w:color="auto"/>
      </w:divBdr>
      <w:divsChild>
        <w:div w:id="261766210">
          <w:marLeft w:val="0"/>
          <w:marRight w:val="0"/>
          <w:marTop w:val="0"/>
          <w:marBottom w:val="0"/>
          <w:divBdr>
            <w:top w:val="none" w:sz="0" w:space="0" w:color="auto"/>
            <w:left w:val="none" w:sz="0" w:space="0" w:color="auto"/>
            <w:bottom w:val="none" w:sz="0" w:space="0" w:color="auto"/>
            <w:right w:val="none" w:sz="0" w:space="0" w:color="auto"/>
          </w:divBdr>
          <w:divsChild>
            <w:div w:id="1785074179">
              <w:marLeft w:val="0"/>
              <w:marRight w:val="0"/>
              <w:marTop w:val="0"/>
              <w:marBottom w:val="0"/>
              <w:divBdr>
                <w:top w:val="none" w:sz="0" w:space="0" w:color="auto"/>
                <w:left w:val="none" w:sz="0" w:space="0" w:color="auto"/>
                <w:bottom w:val="none" w:sz="0" w:space="0" w:color="auto"/>
                <w:right w:val="none" w:sz="0" w:space="0" w:color="auto"/>
              </w:divBdr>
              <w:divsChild>
                <w:div w:id="1627658755">
                  <w:marLeft w:val="0"/>
                  <w:marRight w:val="0"/>
                  <w:marTop w:val="0"/>
                  <w:marBottom w:val="0"/>
                  <w:divBdr>
                    <w:top w:val="none" w:sz="0" w:space="0" w:color="auto"/>
                    <w:left w:val="none" w:sz="0" w:space="0" w:color="auto"/>
                    <w:bottom w:val="none" w:sz="0" w:space="0" w:color="auto"/>
                    <w:right w:val="none" w:sz="0" w:space="0" w:color="auto"/>
                  </w:divBdr>
                  <w:divsChild>
                    <w:div w:id="1429350308">
                      <w:marLeft w:val="0"/>
                      <w:marRight w:val="0"/>
                      <w:marTop w:val="0"/>
                      <w:marBottom w:val="0"/>
                      <w:divBdr>
                        <w:top w:val="none" w:sz="0" w:space="0" w:color="auto"/>
                        <w:left w:val="none" w:sz="0" w:space="0" w:color="auto"/>
                        <w:bottom w:val="none" w:sz="0" w:space="0" w:color="auto"/>
                        <w:right w:val="none" w:sz="0" w:space="0" w:color="auto"/>
                      </w:divBdr>
                      <w:divsChild>
                        <w:div w:id="458647191">
                          <w:marLeft w:val="0"/>
                          <w:marRight w:val="0"/>
                          <w:marTop w:val="0"/>
                          <w:marBottom w:val="0"/>
                          <w:divBdr>
                            <w:top w:val="none" w:sz="0" w:space="0" w:color="auto"/>
                            <w:left w:val="none" w:sz="0" w:space="0" w:color="auto"/>
                            <w:bottom w:val="none" w:sz="0" w:space="0" w:color="auto"/>
                            <w:right w:val="none" w:sz="0" w:space="0" w:color="auto"/>
                          </w:divBdr>
                          <w:divsChild>
                            <w:div w:id="10821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372857">
      <w:bodyDiv w:val="1"/>
      <w:marLeft w:val="0"/>
      <w:marRight w:val="0"/>
      <w:marTop w:val="0"/>
      <w:marBottom w:val="0"/>
      <w:divBdr>
        <w:top w:val="none" w:sz="0" w:space="0" w:color="auto"/>
        <w:left w:val="none" w:sz="0" w:space="0" w:color="auto"/>
        <w:bottom w:val="none" w:sz="0" w:space="0" w:color="auto"/>
        <w:right w:val="none" w:sz="0" w:space="0" w:color="auto"/>
      </w:divBdr>
      <w:divsChild>
        <w:div w:id="859926638">
          <w:marLeft w:val="0"/>
          <w:marRight w:val="0"/>
          <w:marTop w:val="0"/>
          <w:marBottom w:val="0"/>
          <w:divBdr>
            <w:top w:val="none" w:sz="0" w:space="0" w:color="auto"/>
            <w:left w:val="none" w:sz="0" w:space="0" w:color="auto"/>
            <w:bottom w:val="none" w:sz="0" w:space="0" w:color="auto"/>
            <w:right w:val="none" w:sz="0" w:space="0" w:color="auto"/>
          </w:divBdr>
          <w:divsChild>
            <w:div w:id="811364458">
              <w:marLeft w:val="0"/>
              <w:marRight w:val="0"/>
              <w:marTop w:val="0"/>
              <w:marBottom w:val="0"/>
              <w:divBdr>
                <w:top w:val="none" w:sz="0" w:space="0" w:color="auto"/>
                <w:left w:val="none" w:sz="0" w:space="0" w:color="auto"/>
                <w:bottom w:val="none" w:sz="0" w:space="0" w:color="auto"/>
                <w:right w:val="none" w:sz="0" w:space="0" w:color="auto"/>
              </w:divBdr>
              <w:divsChild>
                <w:div w:id="916326835">
                  <w:marLeft w:val="0"/>
                  <w:marRight w:val="0"/>
                  <w:marTop w:val="0"/>
                  <w:marBottom w:val="0"/>
                  <w:divBdr>
                    <w:top w:val="none" w:sz="0" w:space="0" w:color="auto"/>
                    <w:left w:val="none" w:sz="0" w:space="0" w:color="auto"/>
                    <w:bottom w:val="none" w:sz="0" w:space="0" w:color="auto"/>
                    <w:right w:val="none" w:sz="0" w:space="0" w:color="auto"/>
                  </w:divBdr>
                  <w:divsChild>
                    <w:div w:id="715660635">
                      <w:marLeft w:val="0"/>
                      <w:marRight w:val="0"/>
                      <w:marTop w:val="0"/>
                      <w:marBottom w:val="0"/>
                      <w:divBdr>
                        <w:top w:val="none" w:sz="0" w:space="0" w:color="auto"/>
                        <w:left w:val="none" w:sz="0" w:space="0" w:color="auto"/>
                        <w:bottom w:val="none" w:sz="0" w:space="0" w:color="auto"/>
                        <w:right w:val="none" w:sz="0" w:space="0" w:color="auto"/>
                      </w:divBdr>
                      <w:divsChild>
                        <w:div w:id="2024893005">
                          <w:marLeft w:val="0"/>
                          <w:marRight w:val="0"/>
                          <w:marTop w:val="0"/>
                          <w:marBottom w:val="0"/>
                          <w:divBdr>
                            <w:top w:val="none" w:sz="0" w:space="0" w:color="auto"/>
                            <w:left w:val="none" w:sz="0" w:space="0" w:color="auto"/>
                            <w:bottom w:val="none" w:sz="0" w:space="0" w:color="auto"/>
                            <w:right w:val="none" w:sz="0" w:space="0" w:color="auto"/>
                          </w:divBdr>
                          <w:divsChild>
                            <w:div w:id="10066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077856">
      <w:bodyDiv w:val="1"/>
      <w:marLeft w:val="0"/>
      <w:marRight w:val="0"/>
      <w:marTop w:val="0"/>
      <w:marBottom w:val="0"/>
      <w:divBdr>
        <w:top w:val="none" w:sz="0" w:space="0" w:color="auto"/>
        <w:left w:val="none" w:sz="0" w:space="0" w:color="auto"/>
        <w:bottom w:val="none" w:sz="0" w:space="0" w:color="auto"/>
        <w:right w:val="none" w:sz="0" w:space="0" w:color="auto"/>
      </w:divBdr>
      <w:divsChild>
        <w:div w:id="532350365">
          <w:marLeft w:val="0"/>
          <w:marRight w:val="0"/>
          <w:marTop w:val="0"/>
          <w:marBottom w:val="0"/>
          <w:divBdr>
            <w:top w:val="none" w:sz="0" w:space="0" w:color="auto"/>
            <w:left w:val="none" w:sz="0" w:space="0" w:color="auto"/>
            <w:bottom w:val="none" w:sz="0" w:space="0" w:color="auto"/>
            <w:right w:val="none" w:sz="0" w:space="0" w:color="auto"/>
          </w:divBdr>
          <w:divsChild>
            <w:div w:id="355546874">
              <w:marLeft w:val="0"/>
              <w:marRight w:val="0"/>
              <w:marTop w:val="0"/>
              <w:marBottom w:val="0"/>
              <w:divBdr>
                <w:top w:val="none" w:sz="0" w:space="0" w:color="auto"/>
                <w:left w:val="none" w:sz="0" w:space="0" w:color="auto"/>
                <w:bottom w:val="none" w:sz="0" w:space="0" w:color="auto"/>
                <w:right w:val="none" w:sz="0" w:space="0" w:color="auto"/>
              </w:divBdr>
              <w:divsChild>
                <w:div w:id="20130316">
                  <w:marLeft w:val="0"/>
                  <w:marRight w:val="0"/>
                  <w:marTop w:val="0"/>
                  <w:marBottom w:val="0"/>
                  <w:divBdr>
                    <w:top w:val="none" w:sz="0" w:space="0" w:color="auto"/>
                    <w:left w:val="none" w:sz="0" w:space="0" w:color="auto"/>
                    <w:bottom w:val="none" w:sz="0" w:space="0" w:color="auto"/>
                    <w:right w:val="none" w:sz="0" w:space="0" w:color="auto"/>
                  </w:divBdr>
                  <w:divsChild>
                    <w:div w:id="1859850411">
                      <w:marLeft w:val="0"/>
                      <w:marRight w:val="0"/>
                      <w:marTop w:val="0"/>
                      <w:marBottom w:val="0"/>
                      <w:divBdr>
                        <w:top w:val="none" w:sz="0" w:space="0" w:color="auto"/>
                        <w:left w:val="none" w:sz="0" w:space="0" w:color="auto"/>
                        <w:bottom w:val="none" w:sz="0" w:space="0" w:color="auto"/>
                        <w:right w:val="none" w:sz="0" w:space="0" w:color="auto"/>
                      </w:divBdr>
                      <w:divsChild>
                        <w:div w:id="508561815">
                          <w:marLeft w:val="0"/>
                          <w:marRight w:val="0"/>
                          <w:marTop w:val="0"/>
                          <w:marBottom w:val="0"/>
                          <w:divBdr>
                            <w:top w:val="none" w:sz="0" w:space="0" w:color="auto"/>
                            <w:left w:val="none" w:sz="0" w:space="0" w:color="auto"/>
                            <w:bottom w:val="none" w:sz="0" w:space="0" w:color="auto"/>
                            <w:right w:val="none" w:sz="0" w:space="0" w:color="auto"/>
                          </w:divBdr>
                          <w:divsChild>
                            <w:div w:id="117345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133820">
      <w:marLeft w:val="0"/>
      <w:marRight w:val="0"/>
      <w:marTop w:val="0"/>
      <w:marBottom w:val="0"/>
      <w:divBdr>
        <w:top w:val="none" w:sz="0" w:space="0" w:color="auto"/>
        <w:left w:val="none" w:sz="0" w:space="0" w:color="auto"/>
        <w:bottom w:val="none" w:sz="0" w:space="0" w:color="auto"/>
        <w:right w:val="none" w:sz="0" w:space="0" w:color="auto"/>
      </w:divBdr>
      <w:divsChild>
        <w:div w:id="403339855">
          <w:marLeft w:val="0"/>
          <w:marRight w:val="0"/>
          <w:marTop w:val="0"/>
          <w:marBottom w:val="0"/>
          <w:divBdr>
            <w:top w:val="none" w:sz="0" w:space="0" w:color="auto"/>
            <w:left w:val="none" w:sz="0" w:space="0" w:color="auto"/>
            <w:bottom w:val="none" w:sz="0" w:space="0" w:color="auto"/>
            <w:right w:val="none" w:sz="0" w:space="0" w:color="auto"/>
          </w:divBdr>
        </w:div>
      </w:divsChild>
    </w:div>
    <w:div w:id="1601908162">
      <w:bodyDiv w:val="1"/>
      <w:marLeft w:val="0"/>
      <w:marRight w:val="0"/>
      <w:marTop w:val="0"/>
      <w:marBottom w:val="0"/>
      <w:divBdr>
        <w:top w:val="none" w:sz="0" w:space="0" w:color="auto"/>
        <w:left w:val="none" w:sz="0" w:space="0" w:color="auto"/>
        <w:bottom w:val="none" w:sz="0" w:space="0" w:color="auto"/>
        <w:right w:val="none" w:sz="0" w:space="0" w:color="auto"/>
      </w:divBdr>
      <w:divsChild>
        <w:div w:id="503058452">
          <w:marLeft w:val="0"/>
          <w:marRight w:val="0"/>
          <w:marTop w:val="0"/>
          <w:marBottom w:val="0"/>
          <w:divBdr>
            <w:top w:val="none" w:sz="0" w:space="0" w:color="auto"/>
            <w:left w:val="none" w:sz="0" w:space="0" w:color="auto"/>
            <w:bottom w:val="none" w:sz="0" w:space="0" w:color="auto"/>
            <w:right w:val="none" w:sz="0" w:space="0" w:color="auto"/>
          </w:divBdr>
          <w:divsChild>
            <w:div w:id="1403021016">
              <w:marLeft w:val="0"/>
              <w:marRight w:val="0"/>
              <w:marTop w:val="0"/>
              <w:marBottom w:val="0"/>
              <w:divBdr>
                <w:top w:val="none" w:sz="0" w:space="0" w:color="auto"/>
                <w:left w:val="none" w:sz="0" w:space="0" w:color="auto"/>
                <w:bottom w:val="none" w:sz="0" w:space="0" w:color="auto"/>
                <w:right w:val="none" w:sz="0" w:space="0" w:color="auto"/>
              </w:divBdr>
              <w:divsChild>
                <w:div w:id="1015380436">
                  <w:marLeft w:val="0"/>
                  <w:marRight w:val="0"/>
                  <w:marTop w:val="0"/>
                  <w:marBottom w:val="0"/>
                  <w:divBdr>
                    <w:top w:val="none" w:sz="0" w:space="0" w:color="auto"/>
                    <w:left w:val="none" w:sz="0" w:space="0" w:color="auto"/>
                    <w:bottom w:val="none" w:sz="0" w:space="0" w:color="auto"/>
                    <w:right w:val="none" w:sz="0" w:space="0" w:color="auto"/>
                  </w:divBdr>
                  <w:divsChild>
                    <w:div w:id="2010400704">
                      <w:marLeft w:val="0"/>
                      <w:marRight w:val="0"/>
                      <w:marTop w:val="0"/>
                      <w:marBottom w:val="0"/>
                      <w:divBdr>
                        <w:top w:val="none" w:sz="0" w:space="0" w:color="auto"/>
                        <w:left w:val="none" w:sz="0" w:space="0" w:color="auto"/>
                        <w:bottom w:val="none" w:sz="0" w:space="0" w:color="auto"/>
                        <w:right w:val="none" w:sz="0" w:space="0" w:color="auto"/>
                      </w:divBdr>
                      <w:divsChild>
                        <w:div w:id="869340208">
                          <w:marLeft w:val="0"/>
                          <w:marRight w:val="0"/>
                          <w:marTop w:val="0"/>
                          <w:marBottom w:val="0"/>
                          <w:divBdr>
                            <w:top w:val="none" w:sz="0" w:space="0" w:color="auto"/>
                            <w:left w:val="none" w:sz="0" w:space="0" w:color="auto"/>
                            <w:bottom w:val="none" w:sz="0" w:space="0" w:color="auto"/>
                            <w:right w:val="none" w:sz="0" w:space="0" w:color="auto"/>
                          </w:divBdr>
                          <w:divsChild>
                            <w:div w:id="45883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612250">
      <w:bodyDiv w:val="1"/>
      <w:marLeft w:val="0"/>
      <w:marRight w:val="0"/>
      <w:marTop w:val="0"/>
      <w:marBottom w:val="0"/>
      <w:divBdr>
        <w:top w:val="none" w:sz="0" w:space="0" w:color="auto"/>
        <w:left w:val="none" w:sz="0" w:space="0" w:color="auto"/>
        <w:bottom w:val="none" w:sz="0" w:space="0" w:color="auto"/>
        <w:right w:val="none" w:sz="0" w:space="0" w:color="auto"/>
      </w:divBdr>
      <w:divsChild>
        <w:div w:id="479733408">
          <w:marLeft w:val="0"/>
          <w:marRight w:val="0"/>
          <w:marTop w:val="0"/>
          <w:marBottom w:val="0"/>
          <w:divBdr>
            <w:top w:val="none" w:sz="0" w:space="0" w:color="auto"/>
            <w:left w:val="none" w:sz="0" w:space="0" w:color="auto"/>
            <w:bottom w:val="none" w:sz="0" w:space="0" w:color="auto"/>
            <w:right w:val="none" w:sz="0" w:space="0" w:color="auto"/>
          </w:divBdr>
          <w:divsChild>
            <w:div w:id="1400640170">
              <w:marLeft w:val="0"/>
              <w:marRight w:val="0"/>
              <w:marTop w:val="0"/>
              <w:marBottom w:val="0"/>
              <w:divBdr>
                <w:top w:val="none" w:sz="0" w:space="0" w:color="auto"/>
                <w:left w:val="none" w:sz="0" w:space="0" w:color="auto"/>
                <w:bottom w:val="none" w:sz="0" w:space="0" w:color="auto"/>
                <w:right w:val="none" w:sz="0" w:space="0" w:color="auto"/>
              </w:divBdr>
              <w:divsChild>
                <w:div w:id="1796875319">
                  <w:marLeft w:val="0"/>
                  <w:marRight w:val="0"/>
                  <w:marTop w:val="0"/>
                  <w:marBottom w:val="0"/>
                  <w:divBdr>
                    <w:top w:val="none" w:sz="0" w:space="0" w:color="auto"/>
                    <w:left w:val="none" w:sz="0" w:space="0" w:color="auto"/>
                    <w:bottom w:val="none" w:sz="0" w:space="0" w:color="auto"/>
                    <w:right w:val="none" w:sz="0" w:space="0" w:color="auto"/>
                  </w:divBdr>
                  <w:divsChild>
                    <w:div w:id="930894473">
                      <w:marLeft w:val="0"/>
                      <w:marRight w:val="0"/>
                      <w:marTop w:val="0"/>
                      <w:marBottom w:val="0"/>
                      <w:divBdr>
                        <w:top w:val="none" w:sz="0" w:space="0" w:color="auto"/>
                        <w:left w:val="none" w:sz="0" w:space="0" w:color="auto"/>
                        <w:bottom w:val="none" w:sz="0" w:space="0" w:color="auto"/>
                        <w:right w:val="none" w:sz="0" w:space="0" w:color="auto"/>
                      </w:divBdr>
                      <w:divsChild>
                        <w:div w:id="53814973">
                          <w:marLeft w:val="0"/>
                          <w:marRight w:val="0"/>
                          <w:marTop w:val="0"/>
                          <w:marBottom w:val="0"/>
                          <w:divBdr>
                            <w:top w:val="none" w:sz="0" w:space="0" w:color="auto"/>
                            <w:left w:val="none" w:sz="0" w:space="0" w:color="auto"/>
                            <w:bottom w:val="none" w:sz="0" w:space="0" w:color="auto"/>
                            <w:right w:val="none" w:sz="0" w:space="0" w:color="auto"/>
                          </w:divBdr>
                          <w:divsChild>
                            <w:div w:id="52206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424099">
      <w:bodyDiv w:val="1"/>
      <w:marLeft w:val="0"/>
      <w:marRight w:val="0"/>
      <w:marTop w:val="0"/>
      <w:marBottom w:val="0"/>
      <w:divBdr>
        <w:top w:val="none" w:sz="0" w:space="0" w:color="auto"/>
        <w:left w:val="none" w:sz="0" w:space="0" w:color="auto"/>
        <w:bottom w:val="none" w:sz="0" w:space="0" w:color="auto"/>
        <w:right w:val="none" w:sz="0" w:space="0" w:color="auto"/>
      </w:divBdr>
      <w:divsChild>
        <w:div w:id="1288392785">
          <w:marLeft w:val="0"/>
          <w:marRight w:val="0"/>
          <w:marTop w:val="0"/>
          <w:marBottom w:val="0"/>
          <w:divBdr>
            <w:top w:val="none" w:sz="0" w:space="0" w:color="auto"/>
            <w:left w:val="none" w:sz="0" w:space="0" w:color="auto"/>
            <w:bottom w:val="none" w:sz="0" w:space="0" w:color="auto"/>
            <w:right w:val="none" w:sz="0" w:space="0" w:color="auto"/>
          </w:divBdr>
          <w:divsChild>
            <w:div w:id="1678144802">
              <w:marLeft w:val="0"/>
              <w:marRight w:val="0"/>
              <w:marTop w:val="0"/>
              <w:marBottom w:val="0"/>
              <w:divBdr>
                <w:top w:val="none" w:sz="0" w:space="0" w:color="auto"/>
                <w:left w:val="none" w:sz="0" w:space="0" w:color="auto"/>
                <w:bottom w:val="none" w:sz="0" w:space="0" w:color="auto"/>
                <w:right w:val="none" w:sz="0" w:space="0" w:color="auto"/>
              </w:divBdr>
              <w:divsChild>
                <w:div w:id="952174401">
                  <w:marLeft w:val="0"/>
                  <w:marRight w:val="0"/>
                  <w:marTop w:val="0"/>
                  <w:marBottom w:val="0"/>
                  <w:divBdr>
                    <w:top w:val="none" w:sz="0" w:space="0" w:color="auto"/>
                    <w:left w:val="none" w:sz="0" w:space="0" w:color="auto"/>
                    <w:bottom w:val="none" w:sz="0" w:space="0" w:color="auto"/>
                    <w:right w:val="none" w:sz="0" w:space="0" w:color="auto"/>
                  </w:divBdr>
                  <w:divsChild>
                    <w:div w:id="1923222957">
                      <w:marLeft w:val="0"/>
                      <w:marRight w:val="0"/>
                      <w:marTop w:val="0"/>
                      <w:marBottom w:val="0"/>
                      <w:divBdr>
                        <w:top w:val="none" w:sz="0" w:space="0" w:color="auto"/>
                        <w:left w:val="none" w:sz="0" w:space="0" w:color="auto"/>
                        <w:bottom w:val="none" w:sz="0" w:space="0" w:color="auto"/>
                        <w:right w:val="none" w:sz="0" w:space="0" w:color="auto"/>
                      </w:divBdr>
                      <w:divsChild>
                        <w:div w:id="404960429">
                          <w:marLeft w:val="0"/>
                          <w:marRight w:val="0"/>
                          <w:marTop w:val="0"/>
                          <w:marBottom w:val="0"/>
                          <w:divBdr>
                            <w:top w:val="none" w:sz="0" w:space="0" w:color="auto"/>
                            <w:left w:val="none" w:sz="0" w:space="0" w:color="auto"/>
                            <w:bottom w:val="none" w:sz="0" w:space="0" w:color="auto"/>
                            <w:right w:val="none" w:sz="0" w:space="0" w:color="auto"/>
                          </w:divBdr>
                          <w:divsChild>
                            <w:div w:id="185410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286136">
      <w:bodyDiv w:val="1"/>
      <w:marLeft w:val="0"/>
      <w:marRight w:val="0"/>
      <w:marTop w:val="0"/>
      <w:marBottom w:val="0"/>
      <w:divBdr>
        <w:top w:val="none" w:sz="0" w:space="0" w:color="auto"/>
        <w:left w:val="none" w:sz="0" w:space="0" w:color="auto"/>
        <w:bottom w:val="none" w:sz="0" w:space="0" w:color="auto"/>
        <w:right w:val="none" w:sz="0" w:space="0" w:color="auto"/>
      </w:divBdr>
      <w:divsChild>
        <w:div w:id="1582180524">
          <w:marLeft w:val="0"/>
          <w:marRight w:val="0"/>
          <w:marTop w:val="0"/>
          <w:marBottom w:val="0"/>
          <w:divBdr>
            <w:top w:val="none" w:sz="0" w:space="0" w:color="auto"/>
            <w:left w:val="none" w:sz="0" w:space="0" w:color="auto"/>
            <w:bottom w:val="none" w:sz="0" w:space="0" w:color="auto"/>
            <w:right w:val="none" w:sz="0" w:space="0" w:color="auto"/>
          </w:divBdr>
          <w:divsChild>
            <w:div w:id="472253666">
              <w:marLeft w:val="0"/>
              <w:marRight w:val="0"/>
              <w:marTop w:val="0"/>
              <w:marBottom w:val="0"/>
              <w:divBdr>
                <w:top w:val="none" w:sz="0" w:space="0" w:color="auto"/>
                <w:left w:val="none" w:sz="0" w:space="0" w:color="auto"/>
                <w:bottom w:val="none" w:sz="0" w:space="0" w:color="auto"/>
                <w:right w:val="none" w:sz="0" w:space="0" w:color="auto"/>
              </w:divBdr>
              <w:divsChild>
                <w:div w:id="1232156590">
                  <w:marLeft w:val="0"/>
                  <w:marRight w:val="0"/>
                  <w:marTop w:val="0"/>
                  <w:marBottom w:val="0"/>
                  <w:divBdr>
                    <w:top w:val="none" w:sz="0" w:space="0" w:color="auto"/>
                    <w:left w:val="none" w:sz="0" w:space="0" w:color="auto"/>
                    <w:bottom w:val="none" w:sz="0" w:space="0" w:color="auto"/>
                    <w:right w:val="none" w:sz="0" w:space="0" w:color="auto"/>
                  </w:divBdr>
                  <w:divsChild>
                    <w:div w:id="4602846">
                      <w:marLeft w:val="0"/>
                      <w:marRight w:val="0"/>
                      <w:marTop w:val="0"/>
                      <w:marBottom w:val="0"/>
                      <w:divBdr>
                        <w:top w:val="none" w:sz="0" w:space="0" w:color="auto"/>
                        <w:left w:val="none" w:sz="0" w:space="0" w:color="auto"/>
                        <w:bottom w:val="none" w:sz="0" w:space="0" w:color="auto"/>
                        <w:right w:val="none" w:sz="0" w:space="0" w:color="auto"/>
                      </w:divBdr>
                      <w:divsChild>
                        <w:div w:id="1978954550">
                          <w:marLeft w:val="0"/>
                          <w:marRight w:val="0"/>
                          <w:marTop w:val="0"/>
                          <w:marBottom w:val="0"/>
                          <w:divBdr>
                            <w:top w:val="none" w:sz="0" w:space="0" w:color="auto"/>
                            <w:left w:val="none" w:sz="0" w:space="0" w:color="auto"/>
                            <w:bottom w:val="none" w:sz="0" w:space="0" w:color="auto"/>
                            <w:right w:val="none" w:sz="0" w:space="0" w:color="auto"/>
                          </w:divBdr>
                          <w:divsChild>
                            <w:div w:id="161424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12417">
      <w:bodyDiv w:val="1"/>
      <w:marLeft w:val="0"/>
      <w:marRight w:val="0"/>
      <w:marTop w:val="0"/>
      <w:marBottom w:val="0"/>
      <w:divBdr>
        <w:top w:val="none" w:sz="0" w:space="0" w:color="auto"/>
        <w:left w:val="none" w:sz="0" w:space="0" w:color="auto"/>
        <w:bottom w:val="none" w:sz="0" w:space="0" w:color="auto"/>
        <w:right w:val="none" w:sz="0" w:space="0" w:color="auto"/>
      </w:divBdr>
      <w:divsChild>
        <w:div w:id="144318579">
          <w:marLeft w:val="0"/>
          <w:marRight w:val="0"/>
          <w:marTop w:val="0"/>
          <w:marBottom w:val="0"/>
          <w:divBdr>
            <w:top w:val="none" w:sz="0" w:space="0" w:color="auto"/>
            <w:left w:val="none" w:sz="0" w:space="0" w:color="auto"/>
            <w:bottom w:val="none" w:sz="0" w:space="0" w:color="auto"/>
            <w:right w:val="none" w:sz="0" w:space="0" w:color="auto"/>
          </w:divBdr>
          <w:divsChild>
            <w:div w:id="1989745262">
              <w:marLeft w:val="0"/>
              <w:marRight w:val="0"/>
              <w:marTop w:val="0"/>
              <w:marBottom w:val="0"/>
              <w:divBdr>
                <w:top w:val="none" w:sz="0" w:space="0" w:color="auto"/>
                <w:left w:val="none" w:sz="0" w:space="0" w:color="auto"/>
                <w:bottom w:val="none" w:sz="0" w:space="0" w:color="auto"/>
                <w:right w:val="none" w:sz="0" w:space="0" w:color="auto"/>
              </w:divBdr>
              <w:divsChild>
                <w:div w:id="27531589">
                  <w:marLeft w:val="0"/>
                  <w:marRight w:val="0"/>
                  <w:marTop w:val="0"/>
                  <w:marBottom w:val="0"/>
                  <w:divBdr>
                    <w:top w:val="none" w:sz="0" w:space="0" w:color="auto"/>
                    <w:left w:val="none" w:sz="0" w:space="0" w:color="auto"/>
                    <w:bottom w:val="none" w:sz="0" w:space="0" w:color="auto"/>
                    <w:right w:val="none" w:sz="0" w:space="0" w:color="auto"/>
                  </w:divBdr>
                  <w:divsChild>
                    <w:div w:id="799998165">
                      <w:marLeft w:val="0"/>
                      <w:marRight w:val="0"/>
                      <w:marTop w:val="0"/>
                      <w:marBottom w:val="0"/>
                      <w:divBdr>
                        <w:top w:val="none" w:sz="0" w:space="0" w:color="auto"/>
                        <w:left w:val="none" w:sz="0" w:space="0" w:color="auto"/>
                        <w:bottom w:val="none" w:sz="0" w:space="0" w:color="auto"/>
                        <w:right w:val="none" w:sz="0" w:space="0" w:color="auto"/>
                      </w:divBdr>
                      <w:divsChild>
                        <w:div w:id="1808163528">
                          <w:marLeft w:val="0"/>
                          <w:marRight w:val="0"/>
                          <w:marTop w:val="0"/>
                          <w:marBottom w:val="0"/>
                          <w:divBdr>
                            <w:top w:val="none" w:sz="0" w:space="0" w:color="auto"/>
                            <w:left w:val="none" w:sz="0" w:space="0" w:color="auto"/>
                            <w:bottom w:val="none" w:sz="0" w:space="0" w:color="auto"/>
                            <w:right w:val="none" w:sz="0" w:space="0" w:color="auto"/>
                          </w:divBdr>
                          <w:divsChild>
                            <w:div w:id="60576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582251">
      <w:bodyDiv w:val="1"/>
      <w:marLeft w:val="0"/>
      <w:marRight w:val="0"/>
      <w:marTop w:val="0"/>
      <w:marBottom w:val="0"/>
      <w:divBdr>
        <w:top w:val="none" w:sz="0" w:space="0" w:color="auto"/>
        <w:left w:val="none" w:sz="0" w:space="0" w:color="auto"/>
        <w:bottom w:val="none" w:sz="0" w:space="0" w:color="auto"/>
        <w:right w:val="none" w:sz="0" w:space="0" w:color="auto"/>
      </w:divBdr>
      <w:divsChild>
        <w:div w:id="1108231659">
          <w:marLeft w:val="0"/>
          <w:marRight w:val="0"/>
          <w:marTop w:val="0"/>
          <w:marBottom w:val="0"/>
          <w:divBdr>
            <w:top w:val="none" w:sz="0" w:space="0" w:color="auto"/>
            <w:left w:val="none" w:sz="0" w:space="0" w:color="auto"/>
            <w:bottom w:val="none" w:sz="0" w:space="0" w:color="auto"/>
            <w:right w:val="none" w:sz="0" w:space="0" w:color="auto"/>
          </w:divBdr>
          <w:divsChild>
            <w:div w:id="2087409775">
              <w:marLeft w:val="0"/>
              <w:marRight w:val="0"/>
              <w:marTop w:val="0"/>
              <w:marBottom w:val="0"/>
              <w:divBdr>
                <w:top w:val="none" w:sz="0" w:space="0" w:color="auto"/>
                <w:left w:val="none" w:sz="0" w:space="0" w:color="auto"/>
                <w:bottom w:val="none" w:sz="0" w:space="0" w:color="auto"/>
                <w:right w:val="none" w:sz="0" w:space="0" w:color="auto"/>
              </w:divBdr>
              <w:divsChild>
                <w:div w:id="1167403054">
                  <w:marLeft w:val="0"/>
                  <w:marRight w:val="0"/>
                  <w:marTop w:val="0"/>
                  <w:marBottom w:val="0"/>
                  <w:divBdr>
                    <w:top w:val="none" w:sz="0" w:space="0" w:color="auto"/>
                    <w:left w:val="none" w:sz="0" w:space="0" w:color="auto"/>
                    <w:bottom w:val="none" w:sz="0" w:space="0" w:color="auto"/>
                    <w:right w:val="none" w:sz="0" w:space="0" w:color="auto"/>
                  </w:divBdr>
                  <w:divsChild>
                    <w:div w:id="1054886799">
                      <w:marLeft w:val="0"/>
                      <w:marRight w:val="0"/>
                      <w:marTop w:val="0"/>
                      <w:marBottom w:val="0"/>
                      <w:divBdr>
                        <w:top w:val="none" w:sz="0" w:space="0" w:color="auto"/>
                        <w:left w:val="none" w:sz="0" w:space="0" w:color="auto"/>
                        <w:bottom w:val="none" w:sz="0" w:space="0" w:color="auto"/>
                        <w:right w:val="none" w:sz="0" w:space="0" w:color="auto"/>
                      </w:divBdr>
                      <w:divsChild>
                        <w:div w:id="2080706829">
                          <w:marLeft w:val="0"/>
                          <w:marRight w:val="0"/>
                          <w:marTop w:val="0"/>
                          <w:marBottom w:val="0"/>
                          <w:divBdr>
                            <w:top w:val="none" w:sz="0" w:space="0" w:color="auto"/>
                            <w:left w:val="none" w:sz="0" w:space="0" w:color="auto"/>
                            <w:bottom w:val="none" w:sz="0" w:space="0" w:color="auto"/>
                            <w:right w:val="none" w:sz="0" w:space="0" w:color="auto"/>
                          </w:divBdr>
                          <w:divsChild>
                            <w:div w:id="266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887703">
      <w:bodyDiv w:val="1"/>
      <w:marLeft w:val="0"/>
      <w:marRight w:val="0"/>
      <w:marTop w:val="0"/>
      <w:marBottom w:val="0"/>
      <w:divBdr>
        <w:top w:val="none" w:sz="0" w:space="0" w:color="auto"/>
        <w:left w:val="none" w:sz="0" w:space="0" w:color="auto"/>
        <w:bottom w:val="none" w:sz="0" w:space="0" w:color="auto"/>
        <w:right w:val="none" w:sz="0" w:space="0" w:color="auto"/>
      </w:divBdr>
      <w:divsChild>
        <w:div w:id="403913728">
          <w:marLeft w:val="0"/>
          <w:marRight w:val="0"/>
          <w:marTop w:val="0"/>
          <w:marBottom w:val="0"/>
          <w:divBdr>
            <w:top w:val="none" w:sz="0" w:space="0" w:color="auto"/>
            <w:left w:val="none" w:sz="0" w:space="0" w:color="auto"/>
            <w:bottom w:val="none" w:sz="0" w:space="0" w:color="auto"/>
            <w:right w:val="none" w:sz="0" w:space="0" w:color="auto"/>
          </w:divBdr>
          <w:divsChild>
            <w:div w:id="809832356">
              <w:marLeft w:val="0"/>
              <w:marRight w:val="0"/>
              <w:marTop w:val="0"/>
              <w:marBottom w:val="0"/>
              <w:divBdr>
                <w:top w:val="none" w:sz="0" w:space="0" w:color="auto"/>
                <w:left w:val="none" w:sz="0" w:space="0" w:color="auto"/>
                <w:bottom w:val="none" w:sz="0" w:space="0" w:color="auto"/>
                <w:right w:val="none" w:sz="0" w:space="0" w:color="auto"/>
              </w:divBdr>
              <w:divsChild>
                <w:div w:id="1349791568">
                  <w:marLeft w:val="0"/>
                  <w:marRight w:val="0"/>
                  <w:marTop w:val="0"/>
                  <w:marBottom w:val="0"/>
                  <w:divBdr>
                    <w:top w:val="none" w:sz="0" w:space="0" w:color="auto"/>
                    <w:left w:val="none" w:sz="0" w:space="0" w:color="auto"/>
                    <w:bottom w:val="none" w:sz="0" w:space="0" w:color="auto"/>
                    <w:right w:val="none" w:sz="0" w:space="0" w:color="auto"/>
                  </w:divBdr>
                  <w:divsChild>
                    <w:div w:id="287590447">
                      <w:marLeft w:val="0"/>
                      <w:marRight w:val="0"/>
                      <w:marTop w:val="0"/>
                      <w:marBottom w:val="0"/>
                      <w:divBdr>
                        <w:top w:val="none" w:sz="0" w:space="0" w:color="auto"/>
                        <w:left w:val="none" w:sz="0" w:space="0" w:color="auto"/>
                        <w:bottom w:val="none" w:sz="0" w:space="0" w:color="auto"/>
                        <w:right w:val="none" w:sz="0" w:space="0" w:color="auto"/>
                      </w:divBdr>
                      <w:divsChild>
                        <w:div w:id="2089424034">
                          <w:marLeft w:val="0"/>
                          <w:marRight w:val="0"/>
                          <w:marTop w:val="0"/>
                          <w:marBottom w:val="0"/>
                          <w:divBdr>
                            <w:top w:val="none" w:sz="0" w:space="0" w:color="auto"/>
                            <w:left w:val="none" w:sz="0" w:space="0" w:color="auto"/>
                            <w:bottom w:val="none" w:sz="0" w:space="0" w:color="auto"/>
                            <w:right w:val="none" w:sz="0" w:space="0" w:color="auto"/>
                          </w:divBdr>
                          <w:divsChild>
                            <w:div w:id="130870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943515">
      <w:bodyDiv w:val="1"/>
      <w:marLeft w:val="0"/>
      <w:marRight w:val="0"/>
      <w:marTop w:val="0"/>
      <w:marBottom w:val="0"/>
      <w:divBdr>
        <w:top w:val="none" w:sz="0" w:space="0" w:color="auto"/>
        <w:left w:val="none" w:sz="0" w:space="0" w:color="auto"/>
        <w:bottom w:val="none" w:sz="0" w:space="0" w:color="auto"/>
        <w:right w:val="none" w:sz="0" w:space="0" w:color="auto"/>
      </w:divBdr>
      <w:divsChild>
        <w:div w:id="783304385">
          <w:marLeft w:val="0"/>
          <w:marRight w:val="0"/>
          <w:marTop w:val="0"/>
          <w:marBottom w:val="0"/>
          <w:divBdr>
            <w:top w:val="none" w:sz="0" w:space="0" w:color="auto"/>
            <w:left w:val="none" w:sz="0" w:space="0" w:color="auto"/>
            <w:bottom w:val="none" w:sz="0" w:space="0" w:color="auto"/>
            <w:right w:val="none" w:sz="0" w:space="0" w:color="auto"/>
          </w:divBdr>
          <w:divsChild>
            <w:div w:id="2093624221">
              <w:marLeft w:val="0"/>
              <w:marRight w:val="0"/>
              <w:marTop w:val="0"/>
              <w:marBottom w:val="0"/>
              <w:divBdr>
                <w:top w:val="none" w:sz="0" w:space="0" w:color="auto"/>
                <w:left w:val="none" w:sz="0" w:space="0" w:color="auto"/>
                <w:bottom w:val="none" w:sz="0" w:space="0" w:color="auto"/>
                <w:right w:val="none" w:sz="0" w:space="0" w:color="auto"/>
              </w:divBdr>
              <w:divsChild>
                <w:div w:id="973825271">
                  <w:marLeft w:val="0"/>
                  <w:marRight w:val="0"/>
                  <w:marTop w:val="0"/>
                  <w:marBottom w:val="0"/>
                  <w:divBdr>
                    <w:top w:val="none" w:sz="0" w:space="0" w:color="auto"/>
                    <w:left w:val="none" w:sz="0" w:space="0" w:color="auto"/>
                    <w:bottom w:val="none" w:sz="0" w:space="0" w:color="auto"/>
                    <w:right w:val="none" w:sz="0" w:space="0" w:color="auto"/>
                  </w:divBdr>
                  <w:divsChild>
                    <w:div w:id="440227300">
                      <w:marLeft w:val="0"/>
                      <w:marRight w:val="0"/>
                      <w:marTop w:val="0"/>
                      <w:marBottom w:val="0"/>
                      <w:divBdr>
                        <w:top w:val="none" w:sz="0" w:space="0" w:color="auto"/>
                        <w:left w:val="none" w:sz="0" w:space="0" w:color="auto"/>
                        <w:bottom w:val="none" w:sz="0" w:space="0" w:color="auto"/>
                        <w:right w:val="none" w:sz="0" w:space="0" w:color="auto"/>
                      </w:divBdr>
                      <w:divsChild>
                        <w:div w:id="9375575">
                          <w:marLeft w:val="0"/>
                          <w:marRight w:val="0"/>
                          <w:marTop w:val="0"/>
                          <w:marBottom w:val="0"/>
                          <w:divBdr>
                            <w:top w:val="none" w:sz="0" w:space="0" w:color="auto"/>
                            <w:left w:val="none" w:sz="0" w:space="0" w:color="auto"/>
                            <w:bottom w:val="none" w:sz="0" w:space="0" w:color="auto"/>
                            <w:right w:val="none" w:sz="0" w:space="0" w:color="auto"/>
                          </w:divBdr>
                          <w:divsChild>
                            <w:div w:id="14315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236335">
      <w:bodyDiv w:val="1"/>
      <w:marLeft w:val="0"/>
      <w:marRight w:val="0"/>
      <w:marTop w:val="0"/>
      <w:marBottom w:val="0"/>
      <w:divBdr>
        <w:top w:val="none" w:sz="0" w:space="0" w:color="auto"/>
        <w:left w:val="none" w:sz="0" w:space="0" w:color="auto"/>
        <w:bottom w:val="none" w:sz="0" w:space="0" w:color="auto"/>
        <w:right w:val="none" w:sz="0" w:space="0" w:color="auto"/>
      </w:divBdr>
      <w:divsChild>
        <w:div w:id="1193029501">
          <w:marLeft w:val="0"/>
          <w:marRight w:val="0"/>
          <w:marTop w:val="0"/>
          <w:marBottom w:val="0"/>
          <w:divBdr>
            <w:top w:val="none" w:sz="0" w:space="0" w:color="auto"/>
            <w:left w:val="none" w:sz="0" w:space="0" w:color="auto"/>
            <w:bottom w:val="none" w:sz="0" w:space="0" w:color="auto"/>
            <w:right w:val="none" w:sz="0" w:space="0" w:color="auto"/>
          </w:divBdr>
          <w:divsChild>
            <w:div w:id="728770605">
              <w:marLeft w:val="0"/>
              <w:marRight w:val="0"/>
              <w:marTop w:val="0"/>
              <w:marBottom w:val="0"/>
              <w:divBdr>
                <w:top w:val="none" w:sz="0" w:space="0" w:color="auto"/>
                <w:left w:val="none" w:sz="0" w:space="0" w:color="auto"/>
                <w:bottom w:val="none" w:sz="0" w:space="0" w:color="auto"/>
                <w:right w:val="none" w:sz="0" w:space="0" w:color="auto"/>
              </w:divBdr>
              <w:divsChild>
                <w:div w:id="1728333750">
                  <w:marLeft w:val="0"/>
                  <w:marRight w:val="0"/>
                  <w:marTop w:val="0"/>
                  <w:marBottom w:val="0"/>
                  <w:divBdr>
                    <w:top w:val="none" w:sz="0" w:space="0" w:color="auto"/>
                    <w:left w:val="none" w:sz="0" w:space="0" w:color="auto"/>
                    <w:bottom w:val="none" w:sz="0" w:space="0" w:color="auto"/>
                    <w:right w:val="none" w:sz="0" w:space="0" w:color="auto"/>
                  </w:divBdr>
                  <w:divsChild>
                    <w:div w:id="968513131">
                      <w:marLeft w:val="0"/>
                      <w:marRight w:val="0"/>
                      <w:marTop w:val="0"/>
                      <w:marBottom w:val="0"/>
                      <w:divBdr>
                        <w:top w:val="none" w:sz="0" w:space="0" w:color="auto"/>
                        <w:left w:val="none" w:sz="0" w:space="0" w:color="auto"/>
                        <w:bottom w:val="none" w:sz="0" w:space="0" w:color="auto"/>
                        <w:right w:val="none" w:sz="0" w:space="0" w:color="auto"/>
                      </w:divBdr>
                      <w:divsChild>
                        <w:div w:id="1561206180">
                          <w:marLeft w:val="0"/>
                          <w:marRight w:val="0"/>
                          <w:marTop w:val="0"/>
                          <w:marBottom w:val="0"/>
                          <w:divBdr>
                            <w:top w:val="none" w:sz="0" w:space="0" w:color="auto"/>
                            <w:left w:val="none" w:sz="0" w:space="0" w:color="auto"/>
                            <w:bottom w:val="none" w:sz="0" w:space="0" w:color="auto"/>
                            <w:right w:val="none" w:sz="0" w:space="0" w:color="auto"/>
                          </w:divBdr>
                          <w:divsChild>
                            <w:div w:id="3311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682024">
      <w:bodyDiv w:val="1"/>
      <w:marLeft w:val="0"/>
      <w:marRight w:val="0"/>
      <w:marTop w:val="0"/>
      <w:marBottom w:val="0"/>
      <w:divBdr>
        <w:top w:val="none" w:sz="0" w:space="0" w:color="auto"/>
        <w:left w:val="none" w:sz="0" w:space="0" w:color="auto"/>
        <w:bottom w:val="none" w:sz="0" w:space="0" w:color="auto"/>
        <w:right w:val="none" w:sz="0" w:space="0" w:color="auto"/>
      </w:divBdr>
      <w:divsChild>
        <w:div w:id="161630049">
          <w:marLeft w:val="0"/>
          <w:marRight w:val="0"/>
          <w:marTop w:val="0"/>
          <w:marBottom w:val="0"/>
          <w:divBdr>
            <w:top w:val="none" w:sz="0" w:space="0" w:color="auto"/>
            <w:left w:val="none" w:sz="0" w:space="0" w:color="auto"/>
            <w:bottom w:val="none" w:sz="0" w:space="0" w:color="auto"/>
            <w:right w:val="none" w:sz="0" w:space="0" w:color="auto"/>
          </w:divBdr>
          <w:divsChild>
            <w:div w:id="833766055">
              <w:marLeft w:val="0"/>
              <w:marRight w:val="0"/>
              <w:marTop w:val="0"/>
              <w:marBottom w:val="0"/>
              <w:divBdr>
                <w:top w:val="none" w:sz="0" w:space="0" w:color="auto"/>
                <w:left w:val="none" w:sz="0" w:space="0" w:color="auto"/>
                <w:bottom w:val="none" w:sz="0" w:space="0" w:color="auto"/>
                <w:right w:val="none" w:sz="0" w:space="0" w:color="auto"/>
              </w:divBdr>
              <w:divsChild>
                <w:div w:id="1860507324">
                  <w:marLeft w:val="0"/>
                  <w:marRight w:val="0"/>
                  <w:marTop w:val="0"/>
                  <w:marBottom w:val="0"/>
                  <w:divBdr>
                    <w:top w:val="none" w:sz="0" w:space="0" w:color="auto"/>
                    <w:left w:val="none" w:sz="0" w:space="0" w:color="auto"/>
                    <w:bottom w:val="none" w:sz="0" w:space="0" w:color="auto"/>
                    <w:right w:val="none" w:sz="0" w:space="0" w:color="auto"/>
                  </w:divBdr>
                  <w:divsChild>
                    <w:div w:id="2080059929">
                      <w:marLeft w:val="0"/>
                      <w:marRight w:val="0"/>
                      <w:marTop w:val="0"/>
                      <w:marBottom w:val="0"/>
                      <w:divBdr>
                        <w:top w:val="none" w:sz="0" w:space="0" w:color="auto"/>
                        <w:left w:val="none" w:sz="0" w:space="0" w:color="auto"/>
                        <w:bottom w:val="none" w:sz="0" w:space="0" w:color="auto"/>
                        <w:right w:val="none" w:sz="0" w:space="0" w:color="auto"/>
                      </w:divBdr>
                      <w:divsChild>
                        <w:div w:id="916746788">
                          <w:marLeft w:val="0"/>
                          <w:marRight w:val="0"/>
                          <w:marTop w:val="0"/>
                          <w:marBottom w:val="0"/>
                          <w:divBdr>
                            <w:top w:val="none" w:sz="0" w:space="0" w:color="auto"/>
                            <w:left w:val="none" w:sz="0" w:space="0" w:color="auto"/>
                            <w:bottom w:val="none" w:sz="0" w:space="0" w:color="auto"/>
                            <w:right w:val="none" w:sz="0" w:space="0" w:color="auto"/>
                          </w:divBdr>
                          <w:divsChild>
                            <w:div w:id="20881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660639">
      <w:bodyDiv w:val="1"/>
      <w:marLeft w:val="0"/>
      <w:marRight w:val="0"/>
      <w:marTop w:val="0"/>
      <w:marBottom w:val="0"/>
      <w:divBdr>
        <w:top w:val="none" w:sz="0" w:space="0" w:color="auto"/>
        <w:left w:val="none" w:sz="0" w:space="0" w:color="auto"/>
        <w:bottom w:val="none" w:sz="0" w:space="0" w:color="auto"/>
        <w:right w:val="none" w:sz="0" w:space="0" w:color="auto"/>
      </w:divBdr>
      <w:divsChild>
        <w:div w:id="295064835">
          <w:marLeft w:val="0"/>
          <w:marRight w:val="0"/>
          <w:marTop w:val="0"/>
          <w:marBottom w:val="0"/>
          <w:divBdr>
            <w:top w:val="none" w:sz="0" w:space="0" w:color="auto"/>
            <w:left w:val="none" w:sz="0" w:space="0" w:color="auto"/>
            <w:bottom w:val="none" w:sz="0" w:space="0" w:color="auto"/>
            <w:right w:val="none" w:sz="0" w:space="0" w:color="auto"/>
          </w:divBdr>
          <w:divsChild>
            <w:div w:id="179123531">
              <w:marLeft w:val="0"/>
              <w:marRight w:val="0"/>
              <w:marTop w:val="0"/>
              <w:marBottom w:val="0"/>
              <w:divBdr>
                <w:top w:val="none" w:sz="0" w:space="0" w:color="auto"/>
                <w:left w:val="none" w:sz="0" w:space="0" w:color="auto"/>
                <w:bottom w:val="none" w:sz="0" w:space="0" w:color="auto"/>
                <w:right w:val="none" w:sz="0" w:space="0" w:color="auto"/>
              </w:divBdr>
              <w:divsChild>
                <w:div w:id="451098718">
                  <w:marLeft w:val="0"/>
                  <w:marRight w:val="0"/>
                  <w:marTop w:val="0"/>
                  <w:marBottom w:val="0"/>
                  <w:divBdr>
                    <w:top w:val="none" w:sz="0" w:space="0" w:color="auto"/>
                    <w:left w:val="none" w:sz="0" w:space="0" w:color="auto"/>
                    <w:bottom w:val="none" w:sz="0" w:space="0" w:color="auto"/>
                    <w:right w:val="none" w:sz="0" w:space="0" w:color="auto"/>
                  </w:divBdr>
                  <w:divsChild>
                    <w:div w:id="1358850193">
                      <w:marLeft w:val="0"/>
                      <w:marRight w:val="0"/>
                      <w:marTop w:val="0"/>
                      <w:marBottom w:val="0"/>
                      <w:divBdr>
                        <w:top w:val="none" w:sz="0" w:space="0" w:color="auto"/>
                        <w:left w:val="none" w:sz="0" w:space="0" w:color="auto"/>
                        <w:bottom w:val="none" w:sz="0" w:space="0" w:color="auto"/>
                        <w:right w:val="none" w:sz="0" w:space="0" w:color="auto"/>
                      </w:divBdr>
                      <w:divsChild>
                        <w:div w:id="378751574">
                          <w:marLeft w:val="0"/>
                          <w:marRight w:val="0"/>
                          <w:marTop w:val="0"/>
                          <w:marBottom w:val="0"/>
                          <w:divBdr>
                            <w:top w:val="none" w:sz="0" w:space="0" w:color="auto"/>
                            <w:left w:val="none" w:sz="0" w:space="0" w:color="auto"/>
                            <w:bottom w:val="none" w:sz="0" w:space="0" w:color="auto"/>
                            <w:right w:val="none" w:sz="0" w:space="0" w:color="auto"/>
                          </w:divBdr>
                          <w:divsChild>
                            <w:div w:id="54981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047100">
      <w:bodyDiv w:val="1"/>
      <w:marLeft w:val="0"/>
      <w:marRight w:val="0"/>
      <w:marTop w:val="0"/>
      <w:marBottom w:val="0"/>
      <w:divBdr>
        <w:top w:val="none" w:sz="0" w:space="0" w:color="auto"/>
        <w:left w:val="none" w:sz="0" w:space="0" w:color="auto"/>
        <w:bottom w:val="none" w:sz="0" w:space="0" w:color="auto"/>
        <w:right w:val="none" w:sz="0" w:space="0" w:color="auto"/>
      </w:divBdr>
      <w:divsChild>
        <w:div w:id="246774098">
          <w:marLeft w:val="0"/>
          <w:marRight w:val="0"/>
          <w:marTop w:val="0"/>
          <w:marBottom w:val="0"/>
          <w:divBdr>
            <w:top w:val="none" w:sz="0" w:space="0" w:color="auto"/>
            <w:left w:val="none" w:sz="0" w:space="0" w:color="auto"/>
            <w:bottom w:val="none" w:sz="0" w:space="0" w:color="auto"/>
            <w:right w:val="none" w:sz="0" w:space="0" w:color="auto"/>
          </w:divBdr>
          <w:divsChild>
            <w:div w:id="75367414">
              <w:marLeft w:val="0"/>
              <w:marRight w:val="0"/>
              <w:marTop w:val="0"/>
              <w:marBottom w:val="0"/>
              <w:divBdr>
                <w:top w:val="none" w:sz="0" w:space="0" w:color="auto"/>
                <w:left w:val="none" w:sz="0" w:space="0" w:color="auto"/>
                <w:bottom w:val="none" w:sz="0" w:space="0" w:color="auto"/>
                <w:right w:val="none" w:sz="0" w:space="0" w:color="auto"/>
              </w:divBdr>
              <w:divsChild>
                <w:div w:id="211235483">
                  <w:marLeft w:val="0"/>
                  <w:marRight w:val="0"/>
                  <w:marTop w:val="0"/>
                  <w:marBottom w:val="0"/>
                  <w:divBdr>
                    <w:top w:val="none" w:sz="0" w:space="0" w:color="auto"/>
                    <w:left w:val="none" w:sz="0" w:space="0" w:color="auto"/>
                    <w:bottom w:val="none" w:sz="0" w:space="0" w:color="auto"/>
                    <w:right w:val="none" w:sz="0" w:space="0" w:color="auto"/>
                  </w:divBdr>
                  <w:divsChild>
                    <w:div w:id="470679882">
                      <w:marLeft w:val="0"/>
                      <w:marRight w:val="0"/>
                      <w:marTop w:val="0"/>
                      <w:marBottom w:val="0"/>
                      <w:divBdr>
                        <w:top w:val="none" w:sz="0" w:space="0" w:color="auto"/>
                        <w:left w:val="none" w:sz="0" w:space="0" w:color="auto"/>
                        <w:bottom w:val="none" w:sz="0" w:space="0" w:color="auto"/>
                        <w:right w:val="none" w:sz="0" w:space="0" w:color="auto"/>
                      </w:divBdr>
                      <w:divsChild>
                        <w:div w:id="181629434">
                          <w:marLeft w:val="0"/>
                          <w:marRight w:val="0"/>
                          <w:marTop w:val="0"/>
                          <w:marBottom w:val="0"/>
                          <w:divBdr>
                            <w:top w:val="none" w:sz="0" w:space="0" w:color="auto"/>
                            <w:left w:val="none" w:sz="0" w:space="0" w:color="auto"/>
                            <w:bottom w:val="none" w:sz="0" w:space="0" w:color="auto"/>
                            <w:right w:val="none" w:sz="0" w:space="0" w:color="auto"/>
                          </w:divBdr>
                          <w:divsChild>
                            <w:div w:id="161062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61805">
      <w:bodyDiv w:val="1"/>
      <w:marLeft w:val="0"/>
      <w:marRight w:val="0"/>
      <w:marTop w:val="0"/>
      <w:marBottom w:val="0"/>
      <w:divBdr>
        <w:top w:val="none" w:sz="0" w:space="0" w:color="auto"/>
        <w:left w:val="none" w:sz="0" w:space="0" w:color="auto"/>
        <w:bottom w:val="none" w:sz="0" w:space="0" w:color="auto"/>
        <w:right w:val="none" w:sz="0" w:space="0" w:color="auto"/>
      </w:divBdr>
    </w:div>
    <w:div w:id="1771855913">
      <w:bodyDiv w:val="1"/>
      <w:marLeft w:val="0"/>
      <w:marRight w:val="0"/>
      <w:marTop w:val="0"/>
      <w:marBottom w:val="0"/>
      <w:divBdr>
        <w:top w:val="none" w:sz="0" w:space="0" w:color="auto"/>
        <w:left w:val="none" w:sz="0" w:space="0" w:color="auto"/>
        <w:bottom w:val="none" w:sz="0" w:space="0" w:color="auto"/>
        <w:right w:val="none" w:sz="0" w:space="0" w:color="auto"/>
      </w:divBdr>
      <w:divsChild>
        <w:div w:id="1515532207">
          <w:marLeft w:val="0"/>
          <w:marRight w:val="0"/>
          <w:marTop w:val="0"/>
          <w:marBottom w:val="0"/>
          <w:divBdr>
            <w:top w:val="none" w:sz="0" w:space="0" w:color="auto"/>
            <w:left w:val="none" w:sz="0" w:space="0" w:color="auto"/>
            <w:bottom w:val="none" w:sz="0" w:space="0" w:color="auto"/>
            <w:right w:val="none" w:sz="0" w:space="0" w:color="auto"/>
          </w:divBdr>
          <w:divsChild>
            <w:div w:id="1279987522">
              <w:marLeft w:val="0"/>
              <w:marRight w:val="0"/>
              <w:marTop w:val="0"/>
              <w:marBottom w:val="0"/>
              <w:divBdr>
                <w:top w:val="none" w:sz="0" w:space="0" w:color="auto"/>
                <w:left w:val="none" w:sz="0" w:space="0" w:color="auto"/>
                <w:bottom w:val="none" w:sz="0" w:space="0" w:color="auto"/>
                <w:right w:val="none" w:sz="0" w:space="0" w:color="auto"/>
              </w:divBdr>
              <w:divsChild>
                <w:div w:id="1418744383">
                  <w:marLeft w:val="0"/>
                  <w:marRight w:val="0"/>
                  <w:marTop w:val="0"/>
                  <w:marBottom w:val="0"/>
                  <w:divBdr>
                    <w:top w:val="none" w:sz="0" w:space="0" w:color="auto"/>
                    <w:left w:val="none" w:sz="0" w:space="0" w:color="auto"/>
                    <w:bottom w:val="none" w:sz="0" w:space="0" w:color="auto"/>
                    <w:right w:val="none" w:sz="0" w:space="0" w:color="auto"/>
                  </w:divBdr>
                  <w:divsChild>
                    <w:div w:id="1351956943">
                      <w:marLeft w:val="0"/>
                      <w:marRight w:val="0"/>
                      <w:marTop w:val="0"/>
                      <w:marBottom w:val="0"/>
                      <w:divBdr>
                        <w:top w:val="none" w:sz="0" w:space="0" w:color="auto"/>
                        <w:left w:val="none" w:sz="0" w:space="0" w:color="auto"/>
                        <w:bottom w:val="none" w:sz="0" w:space="0" w:color="auto"/>
                        <w:right w:val="none" w:sz="0" w:space="0" w:color="auto"/>
                      </w:divBdr>
                      <w:divsChild>
                        <w:div w:id="1940335694">
                          <w:marLeft w:val="0"/>
                          <w:marRight w:val="0"/>
                          <w:marTop w:val="0"/>
                          <w:marBottom w:val="0"/>
                          <w:divBdr>
                            <w:top w:val="none" w:sz="0" w:space="0" w:color="auto"/>
                            <w:left w:val="none" w:sz="0" w:space="0" w:color="auto"/>
                            <w:bottom w:val="none" w:sz="0" w:space="0" w:color="auto"/>
                            <w:right w:val="none" w:sz="0" w:space="0" w:color="auto"/>
                          </w:divBdr>
                          <w:divsChild>
                            <w:div w:id="4069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689127">
      <w:marLeft w:val="0"/>
      <w:marRight w:val="0"/>
      <w:marTop w:val="0"/>
      <w:marBottom w:val="0"/>
      <w:divBdr>
        <w:top w:val="none" w:sz="0" w:space="0" w:color="auto"/>
        <w:left w:val="none" w:sz="0" w:space="0" w:color="auto"/>
        <w:bottom w:val="none" w:sz="0" w:space="0" w:color="auto"/>
        <w:right w:val="none" w:sz="0" w:space="0" w:color="auto"/>
      </w:divBdr>
      <w:divsChild>
        <w:div w:id="295526192">
          <w:marLeft w:val="0"/>
          <w:marRight w:val="0"/>
          <w:marTop w:val="1440"/>
          <w:marBottom w:val="0"/>
          <w:divBdr>
            <w:top w:val="none" w:sz="0" w:space="0" w:color="auto"/>
            <w:left w:val="none" w:sz="0" w:space="0" w:color="auto"/>
            <w:bottom w:val="none" w:sz="0" w:space="0" w:color="auto"/>
            <w:right w:val="none" w:sz="0" w:space="0" w:color="auto"/>
          </w:divBdr>
          <w:divsChild>
            <w:div w:id="1390105660">
              <w:marLeft w:val="0"/>
              <w:marRight w:val="0"/>
              <w:marTop w:val="0"/>
              <w:marBottom w:val="0"/>
              <w:divBdr>
                <w:top w:val="single" w:sz="4" w:space="0" w:color="EBEBEB"/>
                <w:left w:val="none" w:sz="0" w:space="0" w:color="auto"/>
                <w:bottom w:val="none" w:sz="0" w:space="0" w:color="auto"/>
                <w:right w:val="none" w:sz="0" w:space="0" w:color="auto"/>
              </w:divBdr>
            </w:div>
            <w:div w:id="1500074676">
              <w:marLeft w:val="0"/>
              <w:marRight w:val="0"/>
              <w:marTop w:val="240"/>
              <w:marBottom w:val="350"/>
              <w:divBdr>
                <w:top w:val="none" w:sz="0" w:space="0" w:color="auto"/>
                <w:left w:val="none" w:sz="0" w:space="0" w:color="auto"/>
                <w:bottom w:val="none" w:sz="0" w:space="0" w:color="auto"/>
                <w:right w:val="none" w:sz="0" w:space="0" w:color="auto"/>
              </w:divBdr>
              <w:divsChild>
                <w:div w:id="104918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59087">
          <w:marLeft w:val="0"/>
          <w:marRight w:val="0"/>
          <w:marTop w:val="0"/>
          <w:marBottom w:val="0"/>
          <w:divBdr>
            <w:top w:val="none" w:sz="0" w:space="0" w:color="auto"/>
            <w:left w:val="none" w:sz="0" w:space="0" w:color="auto"/>
            <w:bottom w:val="none" w:sz="0" w:space="0" w:color="auto"/>
            <w:right w:val="none" w:sz="0" w:space="0" w:color="auto"/>
          </w:divBdr>
          <w:divsChild>
            <w:div w:id="1162425265">
              <w:marLeft w:val="0"/>
              <w:marRight w:val="0"/>
              <w:marTop w:val="0"/>
              <w:marBottom w:val="0"/>
              <w:divBdr>
                <w:top w:val="none" w:sz="0" w:space="0" w:color="auto"/>
                <w:left w:val="none" w:sz="0" w:space="0" w:color="auto"/>
                <w:bottom w:val="none" w:sz="0" w:space="0" w:color="auto"/>
                <w:right w:val="none" w:sz="0" w:space="0" w:color="auto"/>
              </w:divBdr>
              <w:divsChild>
                <w:div w:id="2125348974">
                  <w:marLeft w:val="0"/>
                  <w:marRight w:val="0"/>
                  <w:marTop w:val="0"/>
                  <w:marBottom w:val="0"/>
                  <w:divBdr>
                    <w:top w:val="none" w:sz="0" w:space="0" w:color="auto"/>
                    <w:left w:val="none" w:sz="0" w:space="0" w:color="auto"/>
                    <w:bottom w:val="none" w:sz="0" w:space="0" w:color="auto"/>
                    <w:right w:val="none" w:sz="0" w:space="0" w:color="auto"/>
                  </w:divBdr>
                  <w:divsChild>
                    <w:div w:id="2100053117">
                      <w:marLeft w:val="0"/>
                      <w:marRight w:val="0"/>
                      <w:marTop w:val="0"/>
                      <w:marBottom w:val="0"/>
                      <w:divBdr>
                        <w:top w:val="none" w:sz="0" w:space="0" w:color="auto"/>
                        <w:left w:val="none" w:sz="0" w:space="0" w:color="auto"/>
                        <w:bottom w:val="none" w:sz="0" w:space="0" w:color="auto"/>
                        <w:right w:val="none" w:sz="0" w:space="0" w:color="auto"/>
                      </w:divBdr>
                      <w:divsChild>
                        <w:div w:id="474108877">
                          <w:marLeft w:val="0"/>
                          <w:marRight w:val="0"/>
                          <w:marTop w:val="0"/>
                          <w:marBottom w:val="0"/>
                          <w:divBdr>
                            <w:top w:val="none" w:sz="0" w:space="0" w:color="auto"/>
                            <w:left w:val="none" w:sz="0" w:space="0" w:color="auto"/>
                            <w:bottom w:val="none" w:sz="0" w:space="0" w:color="auto"/>
                            <w:right w:val="none" w:sz="0" w:space="0" w:color="auto"/>
                          </w:divBdr>
                          <w:divsChild>
                            <w:div w:id="1913618105">
                              <w:marLeft w:val="0"/>
                              <w:marRight w:val="0"/>
                              <w:marTop w:val="0"/>
                              <w:marBottom w:val="0"/>
                              <w:divBdr>
                                <w:top w:val="none" w:sz="0" w:space="0" w:color="auto"/>
                                <w:left w:val="none" w:sz="0" w:space="0" w:color="auto"/>
                                <w:bottom w:val="none" w:sz="0" w:space="0" w:color="auto"/>
                                <w:right w:val="none" w:sz="0" w:space="0" w:color="auto"/>
                              </w:divBdr>
                              <w:divsChild>
                                <w:div w:id="12073003">
                                  <w:marLeft w:val="0"/>
                                  <w:marRight w:val="0"/>
                                  <w:marTop w:val="240"/>
                                  <w:marBottom w:val="0"/>
                                  <w:divBdr>
                                    <w:top w:val="none" w:sz="0" w:space="0" w:color="auto"/>
                                    <w:left w:val="none" w:sz="0" w:space="0" w:color="auto"/>
                                    <w:bottom w:val="none" w:sz="0" w:space="0" w:color="auto"/>
                                    <w:right w:val="none" w:sz="0" w:space="0" w:color="auto"/>
                                  </w:divBdr>
                                </w:div>
                                <w:div w:id="632833122">
                                  <w:marLeft w:val="0"/>
                                  <w:marRight w:val="0"/>
                                  <w:marTop w:val="0"/>
                                  <w:marBottom w:val="0"/>
                                  <w:divBdr>
                                    <w:top w:val="none" w:sz="0" w:space="0" w:color="auto"/>
                                    <w:left w:val="none" w:sz="0" w:space="0" w:color="auto"/>
                                    <w:bottom w:val="none" w:sz="0" w:space="0" w:color="auto"/>
                                    <w:right w:val="none" w:sz="0" w:space="0" w:color="auto"/>
                                  </w:divBdr>
                                  <w:divsChild>
                                    <w:div w:id="425080853">
                                      <w:marLeft w:val="0"/>
                                      <w:marRight w:val="0"/>
                                      <w:marTop w:val="120"/>
                                      <w:marBottom w:val="0"/>
                                      <w:divBdr>
                                        <w:top w:val="single" w:sz="4" w:space="0" w:color="EBEBEB"/>
                                        <w:left w:val="single" w:sz="4" w:space="0" w:color="EBEBEB"/>
                                        <w:bottom w:val="single" w:sz="4" w:space="0" w:color="EBEBEB"/>
                                        <w:right w:val="single" w:sz="4" w:space="0" w:color="EBEBEB"/>
                                      </w:divBdr>
                                      <w:divsChild>
                                        <w:div w:id="820075287">
                                          <w:marLeft w:val="0"/>
                                          <w:marRight w:val="0"/>
                                          <w:marTop w:val="0"/>
                                          <w:marBottom w:val="0"/>
                                          <w:divBdr>
                                            <w:top w:val="none" w:sz="0" w:space="0" w:color="auto"/>
                                            <w:left w:val="none" w:sz="0" w:space="0" w:color="auto"/>
                                            <w:bottom w:val="none" w:sz="0" w:space="0" w:color="auto"/>
                                            <w:right w:val="none" w:sz="0" w:space="0" w:color="auto"/>
                                          </w:divBdr>
                                          <w:divsChild>
                                            <w:div w:id="790245023">
                                              <w:marLeft w:val="0"/>
                                              <w:marRight w:val="0"/>
                                              <w:marTop w:val="0"/>
                                              <w:marBottom w:val="0"/>
                                              <w:divBdr>
                                                <w:top w:val="none" w:sz="0" w:space="0" w:color="auto"/>
                                                <w:left w:val="none" w:sz="0" w:space="0" w:color="auto"/>
                                                <w:bottom w:val="none" w:sz="0" w:space="0" w:color="auto"/>
                                                <w:right w:val="none" w:sz="0" w:space="0" w:color="auto"/>
                                              </w:divBdr>
                                              <w:divsChild>
                                                <w:div w:id="4982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7934">
                                  <w:marLeft w:val="0"/>
                                  <w:marRight w:val="0"/>
                                  <w:marTop w:val="0"/>
                                  <w:marBottom w:val="0"/>
                                  <w:divBdr>
                                    <w:top w:val="none" w:sz="0" w:space="0" w:color="auto"/>
                                    <w:left w:val="none" w:sz="0" w:space="0" w:color="auto"/>
                                    <w:bottom w:val="none" w:sz="0" w:space="0" w:color="auto"/>
                                    <w:right w:val="none" w:sz="0" w:space="0" w:color="auto"/>
                                  </w:divBdr>
                                </w:div>
                                <w:div w:id="1349018008">
                                  <w:marLeft w:val="0"/>
                                  <w:marRight w:val="0"/>
                                  <w:marTop w:val="240"/>
                                  <w:marBottom w:val="0"/>
                                  <w:divBdr>
                                    <w:top w:val="none" w:sz="0" w:space="0" w:color="auto"/>
                                    <w:left w:val="none" w:sz="0" w:space="0" w:color="auto"/>
                                    <w:bottom w:val="none" w:sz="0" w:space="0" w:color="auto"/>
                                    <w:right w:val="none" w:sz="0" w:space="0" w:color="auto"/>
                                  </w:divBdr>
                                </w:div>
                                <w:div w:id="1542017071">
                                  <w:marLeft w:val="0"/>
                                  <w:marRight w:val="0"/>
                                  <w:marTop w:val="0"/>
                                  <w:marBottom w:val="0"/>
                                  <w:divBdr>
                                    <w:top w:val="single" w:sz="4" w:space="0" w:color="F5F5F5"/>
                                    <w:left w:val="single" w:sz="4" w:space="0" w:color="F5F5F5"/>
                                    <w:bottom w:val="single" w:sz="4" w:space="0" w:color="F5F5F5"/>
                                    <w:right w:val="single" w:sz="4" w:space="0" w:color="F5F5F5"/>
                                  </w:divBdr>
                                  <w:divsChild>
                                    <w:div w:id="1585994657">
                                      <w:marLeft w:val="0"/>
                                      <w:marRight w:val="0"/>
                                      <w:marTop w:val="0"/>
                                      <w:marBottom w:val="0"/>
                                      <w:divBdr>
                                        <w:top w:val="none" w:sz="0" w:space="0" w:color="auto"/>
                                        <w:left w:val="none" w:sz="0" w:space="0" w:color="auto"/>
                                        <w:bottom w:val="none" w:sz="0" w:space="0" w:color="auto"/>
                                        <w:right w:val="none" w:sz="0" w:space="0" w:color="auto"/>
                                      </w:divBdr>
                                      <w:divsChild>
                                        <w:div w:id="1225531320">
                                          <w:marLeft w:val="0"/>
                                          <w:marRight w:val="0"/>
                                          <w:marTop w:val="0"/>
                                          <w:marBottom w:val="0"/>
                                          <w:divBdr>
                                            <w:top w:val="none" w:sz="0" w:space="0" w:color="auto"/>
                                            <w:left w:val="none" w:sz="0" w:space="0" w:color="auto"/>
                                            <w:bottom w:val="none" w:sz="0" w:space="0" w:color="auto"/>
                                            <w:right w:val="none" w:sz="0" w:space="0" w:color="auto"/>
                                          </w:divBdr>
                                        </w:div>
                                      </w:divsChild>
                                    </w:div>
                                    <w:div w:id="1982927719">
                                      <w:marLeft w:val="0"/>
                                      <w:marRight w:val="0"/>
                                      <w:marTop w:val="0"/>
                                      <w:marBottom w:val="0"/>
                                      <w:divBdr>
                                        <w:top w:val="none" w:sz="0" w:space="0" w:color="auto"/>
                                        <w:left w:val="none" w:sz="0" w:space="0" w:color="auto"/>
                                        <w:bottom w:val="none" w:sz="0" w:space="0" w:color="auto"/>
                                        <w:right w:val="none" w:sz="0" w:space="0" w:color="auto"/>
                                      </w:divBdr>
                                      <w:divsChild>
                                        <w:div w:id="289286450">
                                          <w:marLeft w:val="0"/>
                                          <w:marRight w:val="0"/>
                                          <w:marTop w:val="0"/>
                                          <w:marBottom w:val="0"/>
                                          <w:divBdr>
                                            <w:top w:val="none" w:sz="0" w:space="0" w:color="auto"/>
                                            <w:left w:val="none" w:sz="0" w:space="0" w:color="auto"/>
                                            <w:bottom w:val="none" w:sz="0" w:space="0" w:color="auto"/>
                                            <w:right w:val="none" w:sz="0" w:space="0" w:color="auto"/>
                                          </w:divBdr>
                                          <w:divsChild>
                                            <w:div w:id="16170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6190559">
      <w:bodyDiv w:val="1"/>
      <w:marLeft w:val="0"/>
      <w:marRight w:val="0"/>
      <w:marTop w:val="0"/>
      <w:marBottom w:val="0"/>
      <w:divBdr>
        <w:top w:val="none" w:sz="0" w:space="0" w:color="auto"/>
        <w:left w:val="none" w:sz="0" w:space="0" w:color="auto"/>
        <w:bottom w:val="none" w:sz="0" w:space="0" w:color="auto"/>
        <w:right w:val="none" w:sz="0" w:space="0" w:color="auto"/>
      </w:divBdr>
    </w:div>
    <w:div w:id="1811439361">
      <w:bodyDiv w:val="1"/>
      <w:marLeft w:val="0"/>
      <w:marRight w:val="0"/>
      <w:marTop w:val="0"/>
      <w:marBottom w:val="0"/>
      <w:divBdr>
        <w:top w:val="none" w:sz="0" w:space="0" w:color="auto"/>
        <w:left w:val="none" w:sz="0" w:space="0" w:color="auto"/>
        <w:bottom w:val="none" w:sz="0" w:space="0" w:color="auto"/>
        <w:right w:val="none" w:sz="0" w:space="0" w:color="auto"/>
      </w:divBdr>
      <w:divsChild>
        <w:div w:id="737286078">
          <w:marLeft w:val="0"/>
          <w:marRight w:val="0"/>
          <w:marTop w:val="0"/>
          <w:marBottom w:val="0"/>
          <w:divBdr>
            <w:top w:val="none" w:sz="0" w:space="0" w:color="auto"/>
            <w:left w:val="none" w:sz="0" w:space="0" w:color="auto"/>
            <w:bottom w:val="none" w:sz="0" w:space="0" w:color="auto"/>
            <w:right w:val="none" w:sz="0" w:space="0" w:color="auto"/>
          </w:divBdr>
        </w:div>
      </w:divsChild>
    </w:div>
    <w:div w:id="1814517215">
      <w:bodyDiv w:val="1"/>
      <w:marLeft w:val="0"/>
      <w:marRight w:val="0"/>
      <w:marTop w:val="0"/>
      <w:marBottom w:val="0"/>
      <w:divBdr>
        <w:top w:val="none" w:sz="0" w:space="0" w:color="auto"/>
        <w:left w:val="none" w:sz="0" w:space="0" w:color="auto"/>
        <w:bottom w:val="none" w:sz="0" w:space="0" w:color="auto"/>
        <w:right w:val="none" w:sz="0" w:space="0" w:color="auto"/>
      </w:divBdr>
      <w:divsChild>
        <w:div w:id="302586815">
          <w:marLeft w:val="0"/>
          <w:marRight w:val="0"/>
          <w:marTop w:val="0"/>
          <w:marBottom w:val="0"/>
          <w:divBdr>
            <w:top w:val="none" w:sz="0" w:space="0" w:color="auto"/>
            <w:left w:val="none" w:sz="0" w:space="0" w:color="auto"/>
            <w:bottom w:val="none" w:sz="0" w:space="0" w:color="auto"/>
            <w:right w:val="none" w:sz="0" w:space="0" w:color="auto"/>
          </w:divBdr>
          <w:divsChild>
            <w:div w:id="747072283">
              <w:marLeft w:val="0"/>
              <w:marRight w:val="0"/>
              <w:marTop w:val="0"/>
              <w:marBottom w:val="0"/>
              <w:divBdr>
                <w:top w:val="none" w:sz="0" w:space="0" w:color="auto"/>
                <w:left w:val="none" w:sz="0" w:space="0" w:color="auto"/>
                <w:bottom w:val="none" w:sz="0" w:space="0" w:color="auto"/>
                <w:right w:val="none" w:sz="0" w:space="0" w:color="auto"/>
              </w:divBdr>
              <w:divsChild>
                <w:div w:id="1421370503">
                  <w:marLeft w:val="0"/>
                  <w:marRight w:val="0"/>
                  <w:marTop w:val="0"/>
                  <w:marBottom w:val="0"/>
                  <w:divBdr>
                    <w:top w:val="none" w:sz="0" w:space="0" w:color="auto"/>
                    <w:left w:val="none" w:sz="0" w:space="0" w:color="auto"/>
                    <w:bottom w:val="none" w:sz="0" w:space="0" w:color="auto"/>
                    <w:right w:val="none" w:sz="0" w:space="0" w:color="auto"/>
                  </w:divBdr>
                  <w:divsChild>
                    <w:div w:id="1759787007">
                      <w:marLeft w:val="0"/>
                      <w:marRight w:val="0"/>
                      <w:marTop w:val="0"/>
                      <w:marBottom w:val="0"/>
                      <w:divBdr>
                        <w:top w:val="none" w:sz="0" w:space="0" w:color="auto"/>
                        <w:left w:val="none" w:sz="0" w:space="0" w:color="auto"/>
                        <w:bottom w:val="none" w:sz="0" w:space="0" w:color="auto"/>
                        <w:right w:val="none" w:sz="0" w:space="0" w:color="auto"/>
                      </w:divBdr>
                      <w:divsChild>
                        <w:div w:id="607540649">
                          <w:marLeft w:val="0"/>
                          <w:marRight w:val="0"/>
                          <w:marTop w:val="0"/>
                          <w:marBottom w:val="0"/>
                          <w:divBdr>
                            <w:top w:val="none" w:sz="0" w:space="0" w:color="auto"/>
                            <w:left w:val="none" w:sz="0" w:space="0" w:color="auto"/>
                            <w:bottom w:val="none" w:sz="0" w:space="0" w:color="auto"/>
                            <w:right w:val="none" w:sz="0" w:space="0" w:color="auto"/>
                          </w:divBdr>
                          <w:divsChild>
                            <w:div w:id="8069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330611">
      <w:bodyDiv w:val="1"/>
      <w:marLeft w:val="0"/>
      <w:marRight w:val="0"/>
      <w:marTop w:val="0"/>
      <w:marBottom w:val="0"/>
      <w:divBdr>
        <w:top w:val="none" w:sz="0" w:space="0" w:color="auto"/>
        <w:left w:val="none" w:sz="0" w:space="0" w:color="auto"/>
        <w:bottom w:val="none" w:sz="0" w:space="0" w:color="auto"/>
        <w:right w:val="none" w:sz="0" w:space="0" w:color="auto"/>
      </w:divBdr>
    </w:div>
    <w:div w:id="1832526110">
      <w:bodyDiv w:val="1"/>
      <w:marLeft w:val="0"/>
      <w:marRight w:val="0"/>
      <w:marTop w:val="0"/>
      <w:marBottom w:val="0"/>
      <w:divBdr>
        <w:top w:val="none" w:sz="0" w:space="0" w:color="auto"/>
        <w:left w:val="none" w:sz="0" w:space="0" w:color="auto"/>
        <w:bottom w:val="none" w:sz="0" w:space="0" w:color="auto"/>
        <w:right w:val="none" w:sz="0" w:space="0" w:color="auto"/>
      </w:divBdr>
    </w:div>
    <w:div w:id="1848448163">
      <w:bodyDiv w:val="1"/>
      <w:marLeft w:val="0"/>
      <w:marRight w:val="0"/>
      <w:marTop w:val="0"/>
      <w:marBottom w:val="0"/>
      <w:divBdr>
        <w:top w:val="none" w:sz="0" w:space="0" w:color="auto"/>
        <w:left w:val="none" w:sz="0" w:space="0" w:color="auto"/>
        <w:bottom w:val="none" w:sz="0" w:space="0" w:color="auto"/>
        <w:right w:val="none" w:sz="0" w:space="0" w:color="auto"/>
      </w:divBdr>
      <w:divsChild>
        <w:div w:id="314529671">
          <w:marLeft w:val="0"/>
          <w:marRight w:val="0"/>
          <w:marTop w:val="0"/>
          <w:marBottom w:val="0"/>
          <w:divBdr>
            <w:top w:val="none" w:sz="0" w:space="0" w:color="auto"/>
            <w:left w:val="none" w:sz="0" w:space="0" w:color="auto"/>
            <w:bottom w:val="none" w:sz="0" w:space="0" w:color="auto"/>
            <w:right w:val="none" w:sz="0" w:space="0" w:color="auto"/>
          </w:divBdr>
          <w:divsChild>
            <w:div w:id="1660380197">
              <w:marLeft w:val="0"/>
              <w:marRight w:val="0"/>
              <w:marTop w:val="0"/>
              <w:marBottom w:val="0"/>
              <w:divBdr>
                <w:top w:val="none" w:sz="0" w:space="0" w:color="auto"/>
                <w:left w:val="none" w:sz="0" w:space="0" w:color="auto"/>
                <w:bottom w:val="none" w:sz="0" w:space="0" w:color="auto"/>
                <w:right w:val="none" w:sz="0" w:space="0" w:color="auto"/>
              </w:divBdr>
              <w:divsChild>
                <w:div w:id="1216815596">
                  <w:marLeft w:val="0"/>
                  <w:marRight w:val="0"/>
                  <w:marTop w:val="0"/>
                  <w:marBottom w:val="0"/>
                  <w:divBdr>
                    <w:top w:val="none" w:sz="0" w:space="0" w:color="auto"/>
                    <w:left w:val="none" w:sz="0" w:space="0" w:color="auto"/>
                    <w:bottom w:val="none" w:sz="0" w:space="0" w:color="auto"/>
                    <w:right w:val="none" w:sz="0" w:space="0" w:color="auto"/>
                  </w:divBdr>
                  <w:divsChild>
                    <w:div w:id="1185436546">
                      <w:marLeft w:val="0"/>
                      <w:marRight w:val="0"/>
                      <w:marTop w:val="0"/>
                      <w:marBottom w:val="0"/>
                      <w:divBdr>
                        <w:top w:val="none" w:sz="0" w:space="0" w:color="auto"/>
                        <w:left w:val="none" w:sz="0" w:space="0" w:color="auto"/>
                        <w:bottom w:val="none" w:sz="0" w:space="0" w:color="auto"/>
                        <w:right w:val="none" w:sz="0" w:space="0" w:color="auto"/>
                      </w:divBdr>
                      <w:divsChild>
                        <w:div w:id="193423286">
                          <w:marLeft w:val="0"/>
                          <w:marRight w:val="0"/>
                          <w:marTop w:val="0"/>
                          <w:marBottom w:val="0"/>
                          <w:divBdr>
                            <w:top w:val="none" w:sz="0" w:space="0" w:color="auto"/>
                            <w:left w:val="none" w:sz="0" w:space="0" w:color="auto"/>
                            <w:bottom w:val="none" w:sz="0" w:space="0" w:color="auto"/>
                            <w:right w:val="none" w:sz="0" w:space="0" w:color="auto"/>
                          </w:divBdr>
                          <w:divsChild>
                            <w:div w:id="4891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195405">
      <w:bodyDiv w:val="1"/>
      <w:marLeft w:val="0"/>
      <w:marRight w:val="0"/>
      <w:marTop w:val="0"/>
      <w:marBottom w:val="0"/>
      <w:divBdr>
        <w:top w:val="none" w:sz="0" w:space="0" w:color="auto"/>
        <w:left w:val="none" w:sz="0" w:space="0" w:color="auto"/>
        <w:bottom w:val="none" w:sz="0" w:space="0" w:color="auto"/>
        <w:right w:val="none" w:sz="0" w:space="0" w:color="auto"/>
      </w:divBdr>
      <w:divsChild>
        <w:div w:id="674697206">
          <w:marLeft w:val="0"/>
          <w:marRight w:val="0"/>
          <w:marTop w:val="0"/>
          <w:marBottom w:val="0"/>
          <w:divBdr>
            <w:top w:val="none" w:sz="0" w:space="0" w:color="auto"/>
            <w:left w:val="none" w:sz="0" w:space="0" w:color="auto"/>
            <w:bottom w:val="none" w:sz="0" w:space="0" w:color="auto"/>
            <w:right w:val="none" w:sz="0" w:space="0" w:color="auto"/>
          </w:divBdr>
          <w:divsChild>
            <w:div w:id="810833190">
              <w:marLeft w:val="0"/>
              <w:marRight w:val="0"/>
              <w:marTop w:val="0"/>
              <w:marBottom w:val="0"/>
              <w:divBdr>
                <w:top w:val="none" w:sz="0" w:space="0" w:color="auto"/>
                <w:left w:val="none" w:sz="0" w:space="0" w:color="auto"/>
                <w:bottom w:val="none" w:sz="0" w:space="0" w:color="auto"/>
                <w:right w:val="none" w:sz="0" w:space="0" w:color="auto"/>
              </w:divBdr>
              <w:divsChild>
                <w:div w:id="2114006758">
                  <w:marLeft w:val="0"/>
                  <w:marRight w:val="0"/>
                  <w:marTop w:val="0"/>
                  <w:marBottom w:val="0"/>
                  <w:divBdr>
                    <w:top w:val="none" w:sz="0" w:space="0" w:color="auto"/>
                    <w:left w:val="none" w:sz="0" w:space="0" w:color="auto"/>
                    <w:bottom w:val="none" w:sz="0" w:space="0" w:color="auto"/>
                    <w:right w:val="none" w:sz="0" w:space="0" w:color="auto"/>
                  </w:divBdr>
                  <w:divsChild>
                    <w:div w:id="218134483">
                      <w:marLeft w:val="0"/>
                      <w:marRight w:val="0"/>
                      <w:marTop w:val="0"/>
                      <w:marBottom w:val="0"/>
                      <w:divBdr>
                        <w:top w:val="none" w:sz="0" w:space="0" w:color="auto"/>
                        <w:left w:val="none" w:sz="0" w:space="0" w:color="auto"/>
                        <w:bottom w:val="none" w:sz="0" w:space="0" w:color="auto"/>
                        <w:right w:val="none" w:sz="0" w:space="0" w:color="auto"/>
                      </w:divBdr>
                      <w:divsChild>
                        <w:div w:id="1013873393">
                          <w:marLeft w:val="0"/>
                          <w:marRight w:val="0"/>
                          <w:marTop w:val="0"/>
                          <w:marBottom w:val="0"/>
                          <w:divBdr>
                            <w:top w:val="none" w:sz="0" w:space="0" w:color="auto"/>
                            <w:left w:val="none" w:sz="0" w:space="0" w:color="auto"/>
                            <w:bottom w:val="none" w:sz="0" w:space="0" w:color="auto"/>
                            <w:right w:val="none" w:sz="0" w:space="0" w:color="auto"/>
                          </w:divBdr>
                          <w:divsChild>
                            <w:div w:id="163586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318947">
      <w:bodyDiv w:val="1"/>
      <w:marLeft w:val="0"/>
      <w:marRight w:val="0"/>
      <w:marTop w:val="0"/>
      <w:marBottom w:val="0"/>
      <w:divBdr>
        <w:top w:val="none" w:sz="0" w:space="0" w:color="auto"/>
        <w:left w:val="none" w:sz="0" w:space="0" w:color="auto"/>
        <w:bottom w:val="none" w:sz="0" w:space="0" w:color="auto"/>
        <w:right w:val="none" w:sz="0" w:space="0" w:color="auto"/>
      </w:divBdr>
      <w:divsChild>
        <w:div w:id="1999071132">
          <w:marLeft w:val="0"/>
          <w:marRight w:val="0"/>
          <w:marTop w:val="0"/>
          <w:marBottom w:val="0"/>
          <w:divBdr>
            <w:top w:val="none" w:sz="0" w:space="0" w:color="auto"/>
            <w:left w:val="none" w:sz="0" w:space="0" w:color="auto"/>
            <w:bottom w:val="none" w:sz="0" w:space="0" w:color="auto"/>
            <w:right w:val="none" w:sz="0" w:space="0" w:color="auto"/>
          </w:divBdr>
          <w:divsChild>
            <w:div w:id="842546357">
              <w:marLeft w:val="0"/>
              <w:marRight w:val="0"/>
              <w:marTop w:val="0"/>
              <w:marBottom w:val="0"/>
              <w:divBdr>
                <w:top w:val="none" w:sz="0" w:space="0" w:color="auto"/>
                <w:left w:val="none" w:sz="0" w:space="0" w:color="auto"/>
                <w:bottom w:val="none" w:sz="0" w:space="0" w:color="auto"/>
                <w:right w:val="none" w:sz="0" w:space="0" w:color="auto"/>
              </w:divBdr>
              <w:divsChild>
                <w:div w:id="175653864">
                  <w:marLeft w:val="0"/>
                  <w:marRight w:val="0"/>
                  <w:marTop w:val="0"/>
                  <w:marBottom w:val="0"/>
                  <w:divBdr>
                    <w:top w:val="none" w:sz="0" w:space="0" w:color="auto"/>
                    <w:left w:val="none" w:sz="0" w:space="0" w:color="auto"/>
                    <w:bottom w:val="none" w:sz="0" w:space="0" w:color="auto"/>
                    <w:right w:val="none" w:sz="0" w:space="0" w:color="auto"/>
                  </w:divBdr>
                  <w:divsChild>
                    <w:div w:id="878277237">
                      <w:marLeft w:val="0"/>
                      <w:marRight w:val="0"/>
                      <w:marTop w:val="0"/>
                      <w:marBottom w:val="0"/>
                      <w:divBdr>
                        <w:top w:val="none" w:sz="0" w:space="0" w:color="auto"/>
                        <w:left w:val="none" w:sz="0" w:space="0" w:color="auto"/>
                        <w:bottom w:val="none" w:sz="0" w:space="0" w:color="auto"/>
                        <w:right w:val="none" w:sz="0" w:space="0" w:color="auto"/>
                      </w:divBdr>
                      <w:divsChild>
                        <w:div w:id="2010401625">
                          <w:marLeft w:val="0"/>
                          <w:marRight w:val="0"/>
                          <w:marTop w:val="0"/>
                          <w:marBottom w:val="0"/>
                          <w:divBdr>
                            <w:top w:val="none" w:sz="0" w:space="0" w:color="auto"/>
                            <w:left w:val="none" w:sz="0" w:space="0" w:color="auto"/>
                            <w:bottom w:val="none" w:sz="0" w:space="0" w:color="auto"/>
                            <w:right w:val="none" w:sz="0" w:space="0" w:color="auto"/>
                          </w:divBdr>
                          <w:divsChild>
                            <w:div w:id="17912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913105">
      <w:bodyDiv w:val="1"/>
      <w:marLeft w:val="0"/>
      <w:marRight w:val="0"/>
      <w:marTop w:val="0"/>
      <w:marBottom w:val="0"/>
      <w:divBdr>
        <w:top w:val="none" w:sz="0" w:space="0" w:color="auto"/>
        <w:left w:val="none" w:sz="0" w:space="0" w:color="auto"/>
        <w:bottom w:val="none" w:sz="0" w:space="0" w:color="auto"/>
        <w:right w:val="none" w:sz="0" w:space="0" w:color="auto"/>
      </w:divBdr>
      <w:divsChild>
        <w:div w:id="1498038273">
          <w:marLeft w:val="0"/>
          <w:marRight w:val="0"/>
          <w:marTop w:val="0"/>
          <w:marBottom w:val="0"/>
          <w:divBdr>
            <w:top w:val="none" w:sz="0" w:space="0" w:color="auto"/>
            <w:left w:val="none" w:sz="0" w:space="0" w:color="auto"/>
            <w:bottom w:val="none" w:sz="0" w:space="0" w:color="auto"/>
            <w:right w:val="none" w:sz="0" w:space="0" w:color="auto"/>
          </w:divBdr>
          <w:divsChild>
            <w:div w:id="129322705">
              <w:marLeft w:val="0"/>
              <w:marRight w:val="0"/>
              <w:marTop w:val="0"/>
              <w:marBottom w:val="0"/>
              <w:divBdr>
                <w:top w:val="none" w:sz="0" w:space="0" w:color="auto"/>
                <w:left w:val="none" w:sz="0" w:space="0" w:color="auto"/>
                <w:bottom w:val="none" w:sz="0" w:space="0" w:color="auto"/>
                <w:right w:val="none" w:sz="0" w:space="0" w:color="auto"/>
              </w:divBdr>
              <w:divsChild>
                <w:div w:id="507720531">
                  <w:marLeft w:val="0"/>
                  <w:marRight w:val="0"/>
                  <w:marTop w:val="0"/>
                  <w:marBottom w:val="0"/>
                  <w:divBdr>
                    <w:top w:val="none" w:sz="0" w:space="0" w:color="auto"/>
                    <w:left w:val="none" w:sz="0" w:space="0" w:color="auto"/>
                    <w:bottom w:val="none" w:sz="0" w:space="0" w:color="auto"/>
                    <w:right w:val="none" w:sz="0" w:space="0" w:color="auto"/>
                  </w:divBdr>
                  <w:divsChild>
                    <w:div w:id="1266883493">
                      <w:marLeft w:val="0"/>
                      <w:marRight w:val="0"/>
                      <w:marTop w:val="0"/>
                      <w:marBottom w:val="0"/>
                      <w:divBdr>
                        <w:top w:val="none" w:sz="0" w:space="0" w:color="auto"/>
                        <w:left w:val="none" w:sz="0" w:space="0" w:color="auto"/>
                        <w:bottom w:val="none" w:sz="0" w:space="0" w:color="auto"/>
                        <w:right w:val="none" w:sz="0" w:space="0" w:color="auto"/>
                      </w:divBdr>
                      <w:divsChild>
                        <w:div w:id="876235750">
                          <w:marLeft w:val="0"/>
                          <w:marRight w:val="0"/>
                          <w:marTop w:val="0"/>
                          <w:marBottom w:val="0"/>
                          <w:divBdr>
                            <w:top w:val="none" w:sz="0" w:space="0" w:color="auto"/>
                            <w:left w:val="none" w:sz="0" w:space="0" w:color="auto"/>
                            <w:bottom w:val="none" w:sz="0" w:space="0" w:color="auto"/>
                            <w:right w:val="none" w:sz="0" w:space="0" w:color="auto"/>
                          </w:divBdr>
                          <w:divsChild>
                            <w:div w:id="10588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19445">
      <w:bodyDiv w:val="1"/>
      <w:marLeft w:val="0"/>
      <w:marRight w:val="0"/>
      <w:marTop w:val="0"/>
      <w:marBottom w:val="0"/>
      <w:divBdr>
        <w:top w:val="none" w:sz="0" w:space="0" w:color="auto"/>
        <w:left w:val="none" w:sz="0" w:space="0" w:color="auto"/>
        <w:bottom w:val="none" w:sz="0" w:space="0" w:color="auto"/>
        <w:right w:val="none" w:sz="0" w:space="0" w:color="auto"/>
      </w:divBdr>
      <w:divsChild>
        <w:div w:id="885920122">
          <w:marLeft w:val="0"/>
          <w:marRight w:val="0"/>
          <w:marTop w:val="0"/>
          <w:marBottom w:val="0"/>
          <w:divBdr>
            <w:top w:val="none" w:sz="0" w:space="0" w:color="auto"/>
            <w:left w:val="none" w:sz="0" w:space="0" w:color="auto"/>
            <w:bottom w:val="none" w:sz="0" w:space="0" w:color="auto"/>
            <w:right w:val="none" w:sz="0" w:space="0" w:color="auto"/>
          </w:divBdr>
          <w:divsChild>
            <w:div w:id="795105508">
              <w:marLeft w:val="0"/>
              <w:marRight w:val="0"/>
              <w:marTop w:val="0"/>
              <w:marBottom w:val="0"/>
              <w:divBdr>
                <w:top w:val="none" w:sz="0" w:space="0" w:color="auto"/>
                <w:left w:val="none" w:sz="0" w:space="0" w:color="auto"/>
                <w:bottom w:val="none" w:sz="0" w:space="0" w:color="auto"/>
                <w:right w:val="none" w:sz="0" w:space="0" w:color="auto"/>
              </w:divBdr>
              <w:divsChild>
                <w:div w:id="609969133">
                  <w:marLeft w:val="0"/>
                  <w:marRight w:val="0"/>
                  <w:marTop w:val="0"/>
                  <w:marBottom w:val="0"/>
                  <w:divBdr>
                    <w:top w:val="none" w:sz="0" w:space="0" w:color="auto"/>
                    <w:left w:val="none" w:sz="0" w:space="0" w:color="auto"/>
                    <w:bottom w:val="none" w:sz="0" w:space="0" w:color="auto"/>
                    <w:right w:val="none" w:sz="0" w:space="0" w:color="auto"/>
                  </w:divBdr>
                  <w:divsChild>
                    <w:div w:id="617684638">
                      <w:marLeft w:val="0"/>
                      <w:marRight w:val="0"/>
                      <w:marTop w:val="0"/>
                      <w:marBottom w:val="0"/>
                      <w:divBdr>
                        <w:top w:val="none" w:sz="0" w:space="0" w:color="auto"/>
                        <w:left w:val="none" w:sz="0" w:space="0" w:color="auto"/>
                        <w:bottom w:val="none" w:sz="0" w:space="0" w:color="auto"/>
                        <w:right w:val="none" w:sz="0" w:space="0" w:color="auto"/>
                      </w:divBdr>
                      <w:divsChild>
                        <w:div w:id="146753735">
                          <w:marLeft w:val="0"/>
                          <w:marRight w:val="0"/>
                          <w:marTop w:val="0"/>
                          <w:marBottom w:val="0"/>
                          <w:divBdr>
                            <w:top w:val="none" w:sz="0" w:space="0" w:color="auto"/>
                            <w:left w:val="none" w:sz="0" w:space="0" w:color="auto"/>
                            <w:bottom w:val="none" w:sz="0" w:space="0" w:color="auto"/>
                            <w:right w:val="none" w:sz="0" w:space="0" w:color="auto"/>
                          </w:divBdr>
                          <w:divsChild>
                            <w:div w:id="13280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581617">
      <w:bodyDiv w:val="1"/>
      <w:marLeft w:val="0"/>
      <w:marRight w:val="0"/>
      <w:marTop w:val="0"/>
      <w:marBottom w:val="0"/>
      <w:divBdr>
        <w:top w:val="none" w:sz="0" w:space="0" w:color="auto"/>
        <w:left w:val="none" w:sz="0" w:space="0" w:color="auto"/>
        <w:bottom w:val="none" w:sz="0" w:space="0" w:color="auto"/>
        <w:right w:val="none" w:sz="0" w:space="0" w:color="auto"/>
      </w:divBdr>
    </w:div>
    <w:div w:id="1930189768">
      <w:bodyDiv w:val="1"/>
      <w:marLeft w:val="0"/>
      <w:marRight w:val="0"/>
      <w:marTop w:val="0"/>
      <w:marBottom w:val="0"/>
      <w:divBdr>
        <w:top w:val="none" w:sz="0" w:space="0" w:color="auto"/>
        <w:left w:val="none" w:sz="0" w:space="0" w:color="auto"/>
        <w:bottom w:val="none" w:sz="0" w:space="0" w:color="auto"/>
        <w:right w:val="none" w:sz="0" w:space="0" w:color="auto"/>
      </w:divBdr>
      <w:divsChild>
        <w:div w:id="1610967394">
          <w:marLeft w:val="0"/>
          <w:marRight w:val="0"/>
          <w:marTop w:val="0"/>
          <w:marBottom w:val="0"/>
          <w:divBdr>
            <w:top w:val="none" w:sz="0" w:space="0" w:color="auto"/>
            <w:left w:val="none" w:sz="0" w:space="0" w:color="auto"/>
            <w:bottom w:val="none" w:sz="0" w:space="0" w:color="auto"/>
            <w:right w:val="none" w:sz="0" w:space="0" w:color="auto"/>
          </w:divBdr>
          <w:divsChild>
            <w:div w:id="1424375214">
              <w:marLeft w:val="0"/>
              <w:marRight w:val="0"/>
              <w:marTop w:val="0"/>
              <w:marBottom w:val="0"/>
              <w:divBdr>
                <w:top w:val="none" w:sz="0" w:space="0" w:color="auto"/>
                <w:left w:val="none" w:sz="0" w:space="0" w:color="auto"/>
                <w:bottom w:val="none" w:sz="0" w:space="0" w:color="auto"/>
                <w:right w:val="none" w:sz="0" w:space="0" w:color="auto"/>
              </w:divBdr>
              <w:divsChild>
                <w:div w:id="420952450">
                  <w:marLeft w:val="0"/>
                  <w:marRight w:val="0"/>
                  <w:marTop w:val="0"/>
                  <w:marBottom w:val="0"/>
                  <w:divBdr>
                    <w:top w:val="none" w:sz="0" w:space="0" w:color="auto"/>
                    <w:left w:val="none" w:sz="0" w:space="0" w:color="auto"/>
                    <w:bottom w:val="none" w:sz="0" w:space="0" w:color="auto"/>
                    <w:right w:val="none" w:sz="0" w:space="0" w:color="auto"/>
                  </w:divBdr>
                  <w:divsChild>
                    <w:div w:id="205143058">
                      <w:marLeft w:val="0"/>
                      <w:marRight w:val="0"/>
                      <w:marTop w:val="0"/>
                      <w:marBottom w:val="0"/>
                      <w:divBdr>
                        <w:top w:val="none" w:sz="0" w:space="0" w:color="auto"/>
                        <w:left w:val="none" w:sz="0" w:space="0" w:color="auto"/>
                        <w:bottom w:val="none" w:sz="0" w:space="0" w:color="auto"/>
                        <w:right w:val="none" w:sz="0" w:space="0" w:color="auto"/>
                      </w:divBdr>
                      <w:divsChild>
                        <w:div w:id="1511674672">
                          <w:marLeft w:val="0"/>
                          <w:marRight w:val="0"/>
                          <w:marTop w:val="0"/>
                          <w:marBottom w:val="0"/>
                          <w:divBdr>
                            <w:top w:val="none" w:sz="0" w:space="0" w:color="auto"/>
                            <w:left w:val="none" w:sz="0" w:space="0" w:color="auto"/>
                            <w:bottom w:val="none" w:sz="0" w:space="0" w:color="auto"/>
                            <w:right w:val="none" w:sz="0" w:space="0" w:color="auto"/>
                          </w:divBdr>
                          <w:divsChild>
                            <w:div w:id="62227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538796">
      <w:marLeft w:val="0"/>
      <w:marRight w:val="0"/>
      <w:marTop w:val="0"/>
      <w:marBottom w:val="0"/>
      <w:divBdr>
        <w:top w:val="single" w:sz="4" w:space="4" w:color="FFFFFF"/>
        <w:left w:val="single" w:sz="4" w:space="5" w:color="FFFFFF"/>
        <w:bottom w:val="single" w:sz="4" w:space="4" w:color="FFFFFF"/>
        <w:right w:val="single" w:sz="4" w:space="5" w:color="FFFFFF"/>
      </w:divBdr>
      <w:divsChild>
        <w:div w:id="1378361422">
          <w:marLeft w:val="0"/>
          <w:marRight w:val="0"/>
          <w:marTop w:val="0"/>
          <w:marBottom w:val="0"/>
          <w:divBdr>
            <w:top w:val="none" w:sz="0" w:space="0" w:color="auto"/>
            <w:left w:val="none" w:sz="0" w:space="0" w:color="auto"/>
            <w:bottom w:val="none" w:sz="0" w:space="0" w:color="auto"/>
            <w:right w:val="none" w:sz="0" w:space="0" w:color="auto"/>
          </w:divBdr>
        </w:div>
      </w:divsChild>
    </w:div>
    <w:div w:id="1945188059">
      <w:bodyDiv w:val="1"/>
      <w:marLeft w:val="0"/>
      <w:marRight w:val="0"/>
      <w:marTop w:val="0"/>
      <w:marBottom w:val="0"/>
      <w:divBdr>
        <w:top w:val="none" w:sz="0" w:space="0" w:color="auto"/>
        <w:left w:val="none" w:sz="0" w:space="0" w:color="auto"/>
        <w:bottom w:val="none" w:sz="0" w:space="0" w:color="auto"/>
        <w:right w:val="none" w:sz="0" w:space="0" w:color="auto"/>
      </w:divBdr>
      <w:divsChild>
        <w:div w:id="1867207108">
          <w:marLeft w:val="0"/>
          <w:marRight w:val="0"/>
          <w:marTop w:val="0"/>
          <w:marBottom w:val="0"/>
          <w:divBdr>
            <w:top w:val="none" w:sz="0" w:space="0" w:color="auto"/>
            <w:left w:val="none" w:sz="0" w:space="0" w:color="auto"/>
            <w:bottom w:val="none" w:sz="0" w:space="0" w:color="auto"/>
            <w:right w:val="none" w:sz="0" w:space="0" w:color="auto"/>
          </w:divBdr>
          <w:divsChild>
            <w:div w:id="470173744">
              <w:marLeft w:val="0"/>
              <w:marRight w:val="0"/>
              <w:marTop w:val="0"/>
              <w:marBottom w:val="0"/>
              <w:divBdr>
                <w:top w:val="none" w:sz="0" w:space="0" w:color="auto"/>
                <w:left w:val="none" w:sz="0" w:space="0" w:color="auto"/>
                <w:bottom w:val="none" w:sz="0" w:space="0" w:color="auto"/>
                <w:right w:val="none" w:sz="0" w:space="0" w:color="auto"/>
              </w:divBdr>
              <w:divsChild>
                <w:div w:id="1201893178">
                  <w:marLeft w:val="0"/>
                  <w:marRight w:val="0"/>
                  <w:marTop w:val="0"/>
                  <w:marBottom w:val="0"/>
                  <w:divBdr>
                    <w:top w:val="none" w:sz="0" w:space="0" w:color="auto"/>
                    <w:left w:val="none" w:sz="0" w:space="0" w:color="auto"/>
                    <w:bottom w:val="none" w:sz="0" w:space="0" w:color="auto"/>
                    <w:right w:val="none" w:sz="0" w:space="0" w:color="auto"/>
                  </w:divBdr>
                  <w:divsChild>
                    <w:div w:id="232787487">
                      <w:marLeft w:val="0"/>
                      <w:marRight w:val="0"/>
                      <w:marTop w:val="0"/>
                      <w:marBottom w:val="0"/>
                      <w:divBdr>
                        <w:top w:val="none" w:sz="0" w:space="0" w:color="auto"/>
                        <w:left w:val="none" w:sz="0" w:space="0" w:color="auto"/>
                        <w:bottom w:val="none" w:sz="0" w:space="0" w:color="auto"/>
                        <w:right w:val="none" w:sz="0" w:space="0" w:color="auto"/>
                      </w:divBdr>
                      <w:divsChild>
                        <w:div w:id="478040907">
                          <w:marLeft w:val="0"/>
                          <w:marRight w:val="0"/>
                          <w:marTop w:val="0"/>
                          <w:marBottom w:val="0"/>
                          <w:divBdr>
                            <w:top w:val="none" w:sz="0" w:space="0" w:color="auto"/>
                            <w:left w:val="none" w:sz="0" w:space="0" w:color="auto"/>
                            <w:bottom w:val="none" w:sz="0" w:space="0" w:color="auto"/>
                            <w:right w:val="none" w:sz="0" w:space="0" w:color="auto"/>
                          </w:divBdr>
                          <w:divsChild>
                            <w:div w:id="8748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205458">
      <w:bodyDiv w:val="1"/>
      <w:marLeft w:val="0"/>
      <w:marRight w:val="0"/>
      <w:marTop w:val="0"/>
      <w:marBottom w:val="0"/>
      <w:divBdr>
        <w:top w:val="none" w:sz="0" w:space="0" w:color="auto"/>
        <w:left w:val="none" w:sz="0" w:space="0" w:color="auto"/>
        <w:bottom w:val="none" w:sz="0" w:space="0" w:color="auto"/>
        <w:right w:val="none" w:sz="0" w:space="0" w:color="auto"/>
      </w:divBdr>
      <w:divsChild>
        <w:div w:id="691300686">
          <w:marLeft w:val="0"/>
          <w:marRight w:val="0"/>
          <w:marTop w:val="0"/>
          <w:marBottom w:val="0"/>
          <w:divBdr>
            <w:top w:val="none" w:sz="0" w:space="0" w:color="auto"/>
            <w:left w:val="none" w:sz="0" w:space="0" w:color="auto"/>
            <w:bottom w:val="none" w:sz="0" w:space="0" w:color="auto"/>
            <w:right w:val="none" w:sz="0" w:space="0" w:color="auto"/>
          </w:divBdr>
          <w:divsChild>
            <w:div w:id="1874875859">
              <w:marLeft w:val="0"/>
              <w:marRight w:val="0"/>
              <w:marTop w:val="0"/>
              <w:marBottom w:val="0"/>
              <w:divBdr>
                <w:top w:val="none" w:sz="0" w:space="0" w:color="auto"/>
                <w:left w:val="none" w:sz="0" w:space="0" w:color="auto"/>
                <w:bottom w:val="none" w:sz="0" w:space="0" w:color="auto"/>
                <w:right w:val="none" w:sz="0" w:space="0" w:color="auto"/>
              </w:divBdr>
              <w:divsChild>
                <w:div w:id="793017933">
                  <w:marLeft w:val="0"/>
                  <w:marRight w:val="0"/>
                  <w:marTop w:val="0"/>
                  <w:marBottom w:val="0"/>
                  <w:divBdr>
                    <w:top w:val="none" w:sz="0" w:space="0" w:color="auto"/>
                    <w:left w:val="none" w:sz="0" w:space="0" w:color="auto"/>
                    <w:bottom w:val="none" w:sz="0" w:space="0" w:color="auto"/>
                    <w:right w:val="none" w:sz="0" w:space="0" w:color="auto"/>
                  </w:divBdr>
                  <w:divsChild>
                    <w:div w:id="1843934556">
                      <w:marLeft w:val="0"/>
                      <w:marRight w:val="0"/>
                      <w:marTop w:val="0"/>
                      <w:marBottom w:val="0"/>
                      <w:divBdr>
                        <w:top w:val="none" w:sz="0" w:space="0" w:color="auto"/>
                        <w:left w:val="none" w:sz="0" w:space="0" w:color="auto"/>
                        <w:bottom w:val="none" w:sz="0" w:space="0" w:color="auto"/>
                        <w:right w:val="none" w:sz="0" w:space="0" w:color="auto"/>
                      </w:divBdr>
                      <w:divsChild>
                        <w:div w:id="434910588">
                          <w:marLeft w:val="0"/>
                          <w:marRight w:val="0"/>
                          <w:marTop w:val="0"/>
                          <w:marBottom w:val="0"/>
                          <w:divBdr>
                            <w:top w:val="none" w:sz="0" w:space="0" w:color="auto"/>
                            <w:left w:val="none" w:sz="0" w:space="0" w:color="auto"/>
                            <w:bottom w:val="none" w:sz="0" w:space="0" w:color="auto"/>
                            <w:right w:val="none" w:sz="0" w:space="0" w:color="auto"/>
                          </w:divBdr>
                          <w:divsChild>
                            <w:div w:id="122914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631312">
      <w:bodyDiv w:val="1"/>
      <w:marLeft w:val="0"/>
      <w:marRight w:val="0"/>
      <w:marTop w:val="0"/>
      <w:marBottom w:val="0"/>
      <w:divBdr>
        <w:top w:val="none" w:sz="0" w:space="0" w:color="auto"/>
        <w:left w:val="none" w:sz="0" w:space="0" w:color="auto"/>
        <w:bottom w:val="none" w:sz="0" w:space="0" w:color="auto"/>
        <w:right w:val="none" w:sz="0" w:space="0" w:color="auto"/>
      </w:divBdr>
      <w:divsChild>
        <w:div w:id="985007601">
          <w:marLeft w:val="0"/>
          <w:marRight w:val="0"/>
          <w:marTop w:val="0"/>
          <w:marBottom w:val="0"/>
          <w:divBdr>
            <w:top w:val="none" w:sz="0" w:space="0" w:color="auto"/>
            <w:left w:val="none" w:sz="0" w:space="0" w:color="auto"/>
            <w:bottom w:val="none" w:sz="0" w:space="0" w:color="auto"/>
            <w:right w:val="none" w:sz="0" w:space="0" w:color="auto"/>
          </w:divBdr>
          <w:divsChild>
            <w:div w:id="546112764">
              <w:marLeft w:val="0"/>
              <w:marRight w:val="0"/>
              <w:marTop w:val="0"/>
              <w:marBottom w:val="0"/>
              <w:divBdr>
                <w:top w:val="none" w:sz="0" w:space="0" w:color="auto"/>
                <w:left w:val="none" w:sz="0" w:space="0" w:color="auto"/>
                <w:bottom w:val="none" w:sz="0" w:space="0" w:color="auto"/>
                <w:right w:val="none" w:sz="0" w:space="0" w:color="auto"/>
              </w:divBdr>
              <w:divsChild>
                <w:div w:id="1070075509">
                  <w:marLeft w:val="0"/>
                  <w:marRight w:val="0"/>
                  <w:marTop w:val="0"/>
                  <w:marBottom w:val="0"/>
                  <w:divBdr>
                    <w:top w:val="none" w:sz="0" w:space="0" w:color="auto"/>
                    <w:left w:val="none" w:sz="0" w:space="0" w:color="auto"/>
                    <w:bottom w:val="none" w:sz="0" w:space="0" w:color="auto"/>
                    <w:right w:val="none" w:sz="0" w:space="0" w:color="auto"/>
                  </w:divBdr>
                  <w:divsChild>
                    <w:div w:id="2038580697">
                      <w:marLeft w:val="0"/>
                      <w:marRight w:val="0"/>
                      <w:marTop w:val="0"/>
                      <w:marBottom w:val="0"/>
                      <w:divBdr>
                        <w:top w:val="none" w:sz="0" w:space="0" w:color="auto"/>
                        <w:left w:val="none" w:sz="0" w:space="0" w:color="auto"/>
                        <w:bottom w:val="none" w:sz="0" w:space="0" w:color="auto"/>
                        <w:right w:val="none" w:sz="0" w:space="0" w:color="auto"/>
                      </w:divBdr>
                      <w:divsChild>
                        <w:div w:id="480539929">
                          <w:marLeft w:val="0"/>
                          <w:marRight w:val="0"/>
                          <w:marTop w:val="0"/>
                          <w:marBottom w:val="0"/>
                          <w:divBdr>
                            <w:top w:val="none" w:sz="0" w:space="0" w:color="auto"/>
                            <w:left w:val="none" w:sz="0" w:space="0" w:color="auto"/>
                            <w:bottom w:val="none" w:sz="0" w:space="0" w:color="auto"/>
                            <w:right w:val="none" w:sz="0" w:space="0" w:color="auto"/>
                          </w:divBdr>
                          <w:divsChild>
                            <w:div w:id="200882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937737">
      <w:bodyDiv w:val="1"/>
      <w:marLeft w:val="0"/>
      <w:marRight w:val="0"/>
      <w:marTop w:val="0"/>
      <w:marBottom w:val="0"/>
      <w:divBdr>
        <w:top w:val="none" w:sz="0" w:space="0" w:color="auto"/>
        <w:left w:val="none" w:sz="0" w:space="0" w:color="auto"/>
        <w:bottom w:val="none" w:sz="0" w:space="0" w:color="auto"/>
        <w:right w:val="none" w:sz="0" w:space="0" w:color="auto"/>
      </w:divBdr>
      <w:divsChild>
        <w:div w:id="1628581494">
          <w:marLeft w:val="0"/>
          <w:marRight w:val="0"/>
          <w:marTop w:val="0"/>
          <w:marBottom w:val="0"/>
          <w:divBdr>
            <w:top w:val="none" w:sz="0" w:space="0" w:color="auto"/>
            <w:left w:val="none" w:sz="0" w:space="0" w:color="auto"/>
            <w:bottom w:val="none" w:sz="0" w:space="0" w:color="auto"/>
            <w:right w:val="none" w:sz="0" w:space="0" w:color="auto"/>
          </w:divBdr>
        </w:div>
      </w:divsChild>
    </w:div>
    <w:div w:id="1995985954">
      <w:bodyDiv w:val="1"/>
      <w:marLeft w:val="0"/>
      <w:marRight w:val="0"/>
      <w:marTop w:val="0"/>
      <w:marBottom w:val="0"/>
      <w:divBdr>
        <w:top w:val="none" w:sz="0" w:space="0" w:color="auto"/>
        <w:left w:val="none" w:sz="0" w:space="0" w:color="auto"/>
        <w:bottom w:val="none" w:sz="0" w:space="0" w:color="auto"/>
        <w:right w:val="none" w:sz="0" w:space="0" w:color="auto"/>
      </w:divBdr>
      <w:divsChild>
        <w:div w:id="355038366">
          <w:marLeft w:val="0"/>
          <w:marRight w:val="0"/>
          <w:marTop w:val="0"/>
          <w:marBottom w:val="0"/>
          <w:divBdr>
            <w:top w:val="none" w:sz="0" w:space="0" w:color="auto"/>
            <w:left w:val="none" w:sz="0" w:space="0" w:color="auto"/>
            <w:bottom w:val="none" w:sz="0" w:space="0" w:color="auto"/>
            <w:right w:val="none" w:sz="0" w:space="0" w:color="auto"/>
          </w:divBdr>
          <w:divsChild>
            <w:div w:id="796606068">
              <w:marLeft w:val="0"/>
              <w:marRight w:val="0"/>
              <w:marTop w:val="0"/>
              <w:marBottom w:val="0"/>
              <w:divBdr>
                <w:top w:val="none" w:sz="0" w:space="0" w:color="auto"/>
                <w:left w:val="none" w:sz="0" w:space="0" w:color="auto"/>
                <w:bottom w:val="none" w:sz="0" w:space="0" w:color="auto"/>
                <w:right w:val="none" w:sz="0" w:space="0" w:color="auto"/>
              </w:divBdr>
              <w:divsChild>
                <w:div w:id="1760981842">
                  <w:marLeft w:val="0"/>
                  <w:marRight w:val="0"/>
                  <w:marTop w:val="0"/>
                  <w:marBottom w:val="0"/>
                  <w:divBdr>
                    <w:top w:val="none" w:sz="0" w:space="0" w:color="auto"/>
                    <w:left w:val="none" w:sz="0" w:space="0" w:color="auto"/>
                    <w:bottom w:val="none" w:sz="0" w:space="0" w:color="auto"/>
                    <w:right w:val="none" w:sz="0" w:space="0" w:color="auto"/>
                  </w:divBdr>
                  <w:divsChild>
                    <w:div w:id="538055871">
                      <w:marLeft w:val="0"/>
                      <w:marRight w:val="0"/>
                      <w:marTop w:val="0"/>
                      <w:marBottom w:val="0"/>
                      <w:divBdr>
                        <w:top w:val="none" w:sz="0" w:space="0" w:color="auto"/>
                        <w:left w:val="none" w:sz="0" w:space="0" w:color="auto"/>
                        <w:bottom w:val="none" w:sz="0" w:space="0" w:color="auto"/>
                        <w:right w:val="none" w:sz="0" w:space="0" w:color="auto"/>
                      </w:divBdr>
                      <w:divsChild>
                        <w:div w:id="389158974">
                          <w:marLeft w:val="0"/>
                          <w:marRight w:val="0"/>
                          <w:marTop w:val="0"/>
                          <w:marBottom w:val="0"/>
                          <w:divBdr>
                            <w:top w:val="none" w:sz="0" w:space="0" w:color="auto"/>
                            <w:left w:val="none" w:sz="0" w:space="0" w:color="auto"/>
                            <w:bottom w:val="none" w:sz="0" w:space="0" w:color="auto"/>
                            <w:right w:val="none" w:sz="0" w:space="0" w:color="auto"/>
                          </w:divBdr>
                          <w:divsChild>
                            <w:div w:id="114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6511">
      <w:bodyDiv w:val="1"/>
      <w:marLeft w:val="0"/>
      <w:marRight w:val="0"/>
      <w:marTop w:val="0"/>
      <w:marBottom w:val="0"/>
      <w:divBdr>
        <w:top w:val="none" w:sz="0" w:space="0" w:color="auto"/>
        <w:left w:val="none" w:sz="0" w:space="0" w:color="auto"/>
        <w:bottom w:val="none" w:sz="0" w:space="0" w:color="auto"/>
        <w:right w:val="none" w:sz="0" w:space="0" w:color="auto"/>
      </w:divBdr>
      <w:divsChild>
        <w:div w:id="90320709">
          <w:marLeft w:val="0"/>
          <w:marRight w:val="0"/>
          <w:marTop w:val="0"/>
          <w:marBottom w:val="0"/>
          <w:divBdr>
            <w:top w:val="none" w:sz="0" w:space="0" w:color="auto"/>
            <w:left w:val="none" w:sz="0" w:space="0" w:color="auto"/>
            <w:bottom w:val="none" w:sz="0" w:space="0" w:color="auto"/>
            <w:right w:val="none" w:sz="0" w:space="0" w:color="auto"/>
          </w:divBdr>
          <w:divsChild>
            <w:div w:id="2146658194">
              <w:marLeft w:val="0"/>
              <w:marRight w:val="0"/>
              <w:marTop w:val="0"/>
              <w:marBottom w:val="0"/>
              <w:divBdr>
                <w:top w:val="none" w:sz="0" w:space="0" w:color="auto"/>
                <w:left w:val="none" w:sz="0" w:space="0" w:color="auto"/>
                <w:bottom w:val="none" w:sz="0" w:space="0" w:color="auto"/>
                <w:right w:val="none" w:sz="0" w:space="0" w:color="auto"/>
              </w:divBdr>
              <w:divsChild>
                <w:div w:id="1909145768">
                  <w:marLeft w:val="0"/>
                  <w:marRight w:val="0"/>
                  <w:marTop w:val="0"/>
                  <w:marBottom w:val="0"/>
                  <w:divBdr>
                    <w:top w:val="none" w:sz="0" w:space="0" w:color="auto"/>
                    <w:left w:val="none" w:sz="0" w:space="0" w:color="auto"/>
                    <w:bottom w:val="none" w:sz="0" w:space="0" w:color="auto"/>
                    <w:right w:val="none" w:sz="0" w:space="0" w:color="auto"/>
                  </w:divBdr>
                  <w:divsChild>
                    <w:div w:id="229772488">
                      <w:marLeft w:val="0"/>
                      <w:marRight w:val="0"/>
                      <w:marTop w:val="0"/>
                      <w:marBottom w:val="0"/>
                      <w:divBdr>
                        <w:top w:val="none" w:sz="0" w:space="0" w:color="auto"/>
                        <w:left w:val="none" w:sz="0" w:space="0" w:color="auto"/>
                        <w:bottom w:val="none" w:sz="0" w:space="0" w:color="auto"/>
                        <w:right w:val="none" w:sz="0" w:space="0" w:color="auto"/>
                      </w:divBdr>
                      <w:divsChild>
                        <w:div w:id="627859770">
                          <w:marLeft w:val="0"/>
                          <w:marRight w:val="0"/>
                          <w:marTop w:val="0"/>
                          <w:marBottom w:val="0"/>
                          <w:divBdr>
                            <w:top w:val="none" w:sz="0" w:space="0" w:color="auto"/>
                            <w:left w:val="none" w:sz="0" w:space="0" w:color="auto"/>
                            <w:bottom w:val="none" w:sz="0" w:space="0" w:color="auto"/>
                            <w:right w:val="none" w:sz="0" w:space="0" w:color="auto"/>
                          </w:divBdr>
                          <w:divsChild>
                            <w:div w:id="1045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931448">
      <w:bodyDiv w:val="1"/>
      <w:marLeft w:val="0"/>
      <w:marRight w:val="0"/>
      <w:marTop w:val="0"/>
      <w:marBottom w:val="0"/>
      <w:divBdr>
        <w:top w:val="none" w:sz="0" w:space="0" w:color="auto"/>
        <w:left w:val="none" w:sz="0" w:space="0" w:color="auto"/>
        <w:bottom w:val="none" w:sz="0" w:space="0" w:color="auto"/>
        <w:right w:val="none" w:sz="0" w:space="0" w:color="auto"/>
      </w:divBdr>
      <w:divsChild>
        <w:div w:id="1578200652">
          <w:marLeft w:val="0"/>
          <w:marRight w:val="0"/>
          <w:marTop w:val="0"/>
          <w:marBottom w:val="0"/>
          <w:divBdr>
            <w:top w:val="none" w:sz="0" w:space="0" w:color="auto"/>
            <w:left w:val="none" w:sz="0" w:space="0" w:color="auto"/>
            <w:bottom w:val="none" w:sz="0" w:space="0" w:color="auto"/>
            <w:right w:val="none" w:sz="0" w:space="0" w:color="auto"/>
          </w:divBdr>
        </w:div>
      </w:divsChild>
    </w:div>
    <w:div w:id="2013869160">
      <w:bodyDiv w:val="1"/>
      <w:marLeft w:val="0"/>
      <w:marRight w:val="0"/>
      <w:marTop w:val="0"/>
      <w:marBottom w:val="0"/>
      <w:divBdr>
        <w:top w:val="none" w:sz="0" w:space="0" w:color="auto"/>
        <w:left w:val="none" w:sz="0" w:space="0" w:color="auto"/>
        <w:bottom w:val="none" w:sz="0" w:space="0" w:color="auto"/>
        <w:right w:val="none" w:sz="0" w:space="0" w:color="auto"/>
      </w:divBdr>
      <w:divsChild>
        <w:div w:id="43600834">
          <w:marLeft w:val="0"/>
          <w:marRight w:val="0"/>
          <w:marTop w:val="0"/>
          <w:marBottom w:val="0"/>
          <w:divBdr>
            <w:top w:val="none" w:sz="0" w:space="0" w:color="auto"/>
            <w:left w:val="none" w:sz="0" w:space="0" w:color="auto"/>
            <w:bottom w:val="none" w:sz="0" w:space="0" w:color="auto"/>
            <w:right w:val="none" w:sz="0" w:space="0" w:color="auto"/>
          </w:divBdr>
          <w:divsChild>
            <w:div w:id="1964843934">
              <w:marLeft w:val="0"/>
              <w:marRight w:val="0"/>
              <w:marTop w:val="0"/>
              <w:marBottom w:val="0"/>
              <w:divBdr>
                <w:top w:val="none" w:sz="0" w:space="0" w:color="auto"/>
                <w:left w:val="none" w:sz="0" w:space="0" w:color="auto"/>
                <w:bottom w:val="none" w:sz="0" w:space="0" w:color="auto"/>
                <w:right w:val="none" w:sz="0" w:space="0" w:color="auto"/>
              </w:divBdr>
              <w:divsChild>
                <w:div w:id="1356344339">
                  <w:marLeft w:val="0"/>
                  <w:marRight w:val="0"/>
                  <w:marTop w:val="0"/>
                  <w:marBottom w:val="0"/>
                  <w:divBdr>
                    <w:top w:val="none" w:sz="0" w:space="0" w:color="auto"/>
                    <w:left w:val="none" w:sz="0" w:space="0" w:color="auto"/>
                    <w:bottom w:val="none" w:sz="0" w:space="0" w:color="auto"/>
                    <w:right w:val="none" w:sz="0" w:space="0" w:color="auto"/>
                  </w:divBdr>
                  <w:divsChild>
                    <w:div w:id="258298177">
                      <w:marLeft w:val="0"/>
                      <w:marRight w:val="0"/>
                      <w:marTop w:val="0"/>
                      <w:marBottom w:val="0"/>
                      <w:divBdr>
                        <w:top w:val="none" w:sz="0" w:space="0" w:color="auto"/>
                        <w:left w:val="none" w:sz="0" w:space="0" w:color="auto"/>
                        <w:bottom w:val="none" w:sz="0" w:space="0" w:color="auto"/>
                        <w:right w:val="none" w:sz="0" w:space="0" w:color="auto"/>
                      </w:divBdr>
                      <w:divsChild>
                        <w:div w:id="514274171">
                          <w:marLeft w:val="0"/>
                          <w:marRight w:val="0"/>
                          <w:marTop w:val="0"/>
                          <w:marBottom w:val="0"/>
                          <w:divBdr>
                            <w:top w:val="none" w:sz="0" w:space="0" w:color="auto"/>
                            <w:left w:val="none" w:sz="0" w:space="0" w:color="auto"/>
                            <w:bottom w:val="none" w:sz="0" w:space="0" w:color="auto"/>
                            <w:right w:val="none" w:sz="0" w:space="0" w:color="auto"/>
                          </w:divBdr>
                          <w:divsChild>
                            <w:div w:id="9643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242585">
      <w:bodyDiv w:val="1"/>
      <w:marLeft w:val="0"/>
      <w:marRight w:val="0"/>
      <w:marTop w:val="0"/>
      <w:marBottom w:val="0"/>
      <w:divBdr>
        <w:top w:val="none" w:sz="0" w:space="0" w:color="auto"/>
        <w:left w:val="none" w:sz="0" w:space="0" w:color="auto"/>
        <w:bottom w:val="none" w:sz="0" w:space="0" w:color="auto"/>
        <w:right w:val="none" w:sz="0" w:space="0" w:color="auto"/>
      </w:divBdr>
      <w:divsChild>
        <w:div w:id="359087375">
          <w:marLeft w:val="0"/>
          <w:marRight w:val="0"/>
          <w:marTop w:val="0"/>
          <w:marBottom w:val="0"/>
          <w:divBdr>
            <w:top w:val="none" w:sz="0" w:space="0" w:color="auto"/>
            <w:left w:val="none" w:sz="0" w:space="0" w:color="auto"/>
            <w:bottom w:val="none" w:sz="0" w:space="0" w:color="auto"/>
            <w:right w:val="none" w:sz="0" w:space="0" w:color="auto"/>
          </w:divBdr>
          <w:divsChild>
            <w:div w:id="1863087359">
              <w:marLeft w:val="0"/>
              <w:marRight w:val="0"/>
              <w:marTop w:val="0"/>
              <w:marBottom w:val="0"/>
              <w:divBdr>
                <w:top w:val="none" w:sz="0" w:space="0" w:color="auto"/>
                <w:left w:val="none" w:sz="0" w:space="0" w:color="auto"/>
                <w:bottom w:val="none" w:sz="0" w:space="0" w:color="auto"/>
                <w:right w:val="none" w:sz="0" w:space="0" w:color="auto"/>
              </w:divBdr>
              <w:divsChild>
                <w:div w:id="198081671">
                  <w:marLeft w:val="0"/>
                  <w:marRight w:val="0"/>
                  <w:marTop w:val="0"/>
                  <w:marBottom w:val="0"/>
                  <w:divBdr>
                    <w:top w:val="none" w:sz="0" w:space="0" w:color="auto"/>
                    <w:left w:val="none" w:sz="0" w:space="0" w:color="auto"/>
                    <w:bottom w:val="none" w:sz="0" w:space="0" w:color="auto"/>
                    <w:right w:val="none" w:sz="0" w:space="0" w:color="auto"/>
                  </w:divBdr>
                  <w:divsChild>
                    <w:div w:id="1347512758">
                      <w:marLeft w:val="0"/>
                      <w:marRight w:val="0"/>
                      <w:marTop w:val="0"/>
                      <w:marBottom w:val="0"/>
                      <w:divBdr>
                        <w:top w:val="none" w:sz="0" w:space="0" w:color="auto"/>
                        <w:left w:val="none" w:sz="0" w:space="0" w:color="auto"/>
                        <w:bottom w:val="none" w:sz="0" w:space="0" w:color="auto"/>
                        <w:right w:val="none" w:sz="0" w:space="0" w:color="auto"/>
                      </w:divBdr>
                      <w:divsChild>
                        <w:div w:id="1473257076">
                          <w:marLeft w:val="0"/>
                          <w:marRight w:val="0"/>
                          <w:marTop w:val="0"/>
                          <w:marBottom w:val="0"/>
                          <w:divBdr>
                            <w:top w:val="none" w:sz="0" w:space="0" w:color="auto"/>
                            <w:left w:val="none" w:sz="0" w:space="0" w:color="auto"/>
                            <w:bottom w:val="none" w:sz="0" w:space="0" w:color="auto"/>
                            <w:right w:val="none" w:sz="0" w:space="0" w:color="auto"/>
                          </w:divBdr>
                          <w:divsChild>
                            <w:div w:id="20311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957478">
      <w:bodyDiv w:val="1"/>
      <w:marLeft w:val="0"/>
      <w:marRight w:val="0"/>
      <w:marTop w:val="0"/>
      <w:marBottom w:val="0"/>
      <w:divBdr>
        <w:top w:val="none" w:sz="0" w:space="0" w:color="auto"/>
        <w:left w:val="none" w:sz="0" w:space="0" w:color="auto"/>
        <w:bottom w:val="none" w:sz="0" w:space="0" w:color="auto"/>
        <w:right w:val="none" w:sz="0" w:space="0" w:color="auto"/>
      </w:divBdr>
      <w:divsChild>
        <w:div w:id="1051272468">
          <w:marLeft w:val="0"/>
          <w:marRight w:val="0"/>
          <w:marTop w:val="0"/>
          <w:marBottom w:val="0"/>
          <w:divBdr>
            <w:top w:val="none" w:sz="0" w:space="0" w:color="auto"/>
            <w:left w:val="none" w:sz="0" w:space="0" w:color="auto"/>
            <w:bottom w:val="none" w:sz="0" w:space="0" w:color="auto"/>
            <w:right w:val="none" w:sz="0" w:space="0" w:color="auto"/>
          </w:divBdr>
          <w:divsChild>
            <w:div w:id="88700080">
              <w:marLeft w:val="2150"/>
              <w:marRight w:val="0"/>
              <w:marTop w:val="0"/>
              <w:marBottom w:val="0"/>
              <w:divBdr>
                <w:top w:val="none" w:sz="0" w:space="0" w:color="auto"/>
                <w:left w:val="none" w:sz="0" w:space="0" w:color="auto"/>
                <w:bottom w:val="none" w:sz="0" w:space="0" w:color="auto"/>
                <w:right w:val="none" w:sz="0" w:space="0" w:color="auto"/>
              </w:divBdr>
              <w:divsChild>
                <w:div w:id="1770466000">
                  <w:marLeft w:val="60"/>
                  <w:marRight w:val="0"/>
                  <w:marTop w:val="0"/>
                  <w:marBottom w:val="0"/>
                  <w:divBdr>
                    <w:top w:val="single" w:sz="4" w:space="0" w:color="EEEEEE"/>
                    <w:left w:val="none" w:sz="0" w:space="0" w:color="auto"/>
                    <w:bottom w:val="none" w:sz="0" w:space="0" w:color="auto"/>
                    <w:right w:val="none" w:sz="0" w:space="0" w:color="auto"/>
                  </w:divBdr>
                  <w:divsChild>
                    <w:div w:id="1996957731">
                      <w:marLeft w:val="0"/>
                      <w:marRight w:val="0"/>
                      <w:marTop w:val="0"/>
                      <w:marBottom w:val="0"/>
                      <w:divBdr>
                        <w:top w:val="none" w:sz="0" w:space="0" w:color="auto"/>
                        <w:left w:val="none" w:sz="0" w:space="0" w:color="auto"/>
                        <w:bottom w:val="none" w:sz="0" w:space="0" w:color="auto"/>
                        <w:right w:val="none" w:sz="0" w:space="0" w:color="auto"/>
                      </w:divBdr>
                      <w:divsChild>
                        <w:div w:id="64959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381455">
      <w:bodyDiv w:val="1"/>
      <w:marLeft w:val="0"/>
      <w:marRight w:val="0"/>
      <w:marTop w:val="0"/>
      <w:marBottom w:val="0"/>
      <w:divBdr>
        <w:top w:val="none" w:sz="0" w:space="0" w:color="auto"/>
        <w:left w:val="none" w:sz="0" w:space="0" w:color="auto"/>
        <w:bottom w:val="none" w:sz="0" w:space="0" w:color="auto"/>
        <w:right w:val="none" w:sz="0" w:space="0" w:color="auto"/>
      </w:divBdr>
    </w:div>
    <w:div w:id="2057778667">
      <w:bodyDiv w:val="1"/>
      <w:marLeft w:val="0"/>
      <w:marRight w:val="0"/>
      <w:marTop w:val="0"/>
      <w:marBottom w:val="0"/>
      <w:divBdr>
        <w:top w:val="none" w:sz="0" w:space="0" w:color="auto"/>
        <w:left w:val="none" w:sz="0" w:space="0" w:color="auto"/>
        <w:bottom w:val="none" w:sz="0" w:space="0" w:color="auto"/>
        <w:right w:val="none" w:sz="0" w:space="0" w:color="auto"/>
      </w:divBdr>
    </w:div>
    <w:div w:id="2097701839">
      <w:bodyDiv w:val="1"/>
      <w:marLeft w:val="0"/>
      <w:marRight w:val="0"/>
      <w:marTop w:val="0"/>
      <w:marBottom w:val="0"/>
      <w:divBdr>
        <w:top w:val="none" w:sz="0" w:space="0" w:color="auto"/>
        <w:left w:val="none" w:sz="0" w:space="0" w:color="auto"/>
        <w:bottom w:val="none" w:sz="0" w:space="0" w:color="auto"/>
        <w:right w:val="none" w:sz="0" w:space="0" w:color="auto"/>
      </w:divBdr>
      <w:divsChild>
        <w:div w:id="1698509394">
          <w:marLeft w:val="3"/>
          <w:marRight w:val="3"/>
          <w:marTop w:val="0"/>
          <w:marBottom w:val="0"/>
          <w:divBdr>
            <w:top w:val="single" w:sz="4" w:space="0" w:color="112449"/>
            <w:left w:val="single" w:sz="4" w:space="0" w:color="112449"/>
            <w:bottom w:val="single" w:sz="4" w:space="0" w:color="112449"/>
            <w:right w:val="single" w:sz="4" w:space="0" w:color="112449"/>
          </w:divBdr>
          <w:divsChild>
            <w:div w:id="1469858960">
              <w:marLeft w:val="3"/>
              <w:marRight w:val="3"/>
              <w:marTop w:val="0"/>
              <w:marBottom w:val="0"/>
              <w:divBdr>
                <w:top w:val="single" w:sz="4" w:space="0" w:color="112449"/>
                <w:left w:val="single" w:sz="4" w:space="0" w:color="112449"/>
                <w:bottom w:val="single" w:sz="4" w:space="0" w:color="112449"/>
                <w:right w:val="single" w:sz="4" w:space="0" w:color="112449"/>
              </w:divBdr>
              <w:divsChild>
                <w:div w:id="10050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9806">
      <w:bodyDiv w:val="1"/>
      <w:marLeft w:val="0"/>
      <w:marRight w:val="0"/>
      <w:marTop w:val="0"/>
      <w:marBottom w:val="0"/>
      <w:divBdr>
        <w:top w:val="none" w:sz="0" w:space="0" w:color="auto"/>
        <w:left w:val="none" w:sz="0" w:space="0" w:color="auto"/>
        <w:bottom w:val="none" w:sz="0" w:space="0" w:color="auto"/>
        <w:right w:val="none" w:sz="0" w:space="0" w:color="auto"/>
      </w:divBdr>
      <w:divsChild>
        <w:div w:id="233316221">
          <w:marLeft w:val="0"/>
          <w:marRight w:val="0"/>
          <w:marTop w:val="0"/>
          <w:marBottom w:val="0"/>
          <w:divBdr>
            <w:top w:val="none" w:sz="0" w:space="0" w:color="auto"/>
            <w:left w:val="none" w:sz="0" w:space="0" w:color="auto"/>
            <w:bottom w:val="none" w:sz="0" w:space="0" w:color="auto"/>
            <w:right w:val="none" w:sz="0" w:space="0" w:color="auto"/>
          </w:divBdr>
          <w:divsChild>
            <w:div w:id="1207454048">
              <w:marLeft w:val="0"/>
              <w:marRight w:val="0"/>
              <w:marTop w:val="0"/>
              <w:marBottom w:val="0"/>
              <w:divBdr>
                <w:top w:val="none" w:sz="0" w:space="0" w:color="auto"/>
                <w:left w:val="none" w:sz="0" w:space="0" w:color="auto"/>
                <w:bottom w:val="none" w:sz="0" w:space="0" w:color="auto"/>
                <w:right w:val="none" w:sz="0" w:space="0" w:color="auto"/>
              </w:divBdr>
              <w:divsChild>
                <w:div w:id="1962295442">
                  <w:marLeft w:val="0"/>
                  <w:marRight w:val="0"/>
                  <w:marTop w:val="0"/>
                  <w:marBottom w:val="0"/>
                  <w:divBdr>
                    <w:top w:val="none" w:sz="0" w:space="0" w:color="auto"/>
                    <w:left w:val="none" w:sz="0" w:space="0" w:color="auto"/>
                    <w:bottom w:val="none" w:sz="0" w:space="0" w:color="auto"/>
                    <w:right w:val="none" w:sz="0" w:space="0" w:color="auto"/>
                  </w:divBdr>
                  <w:divsChild>
                    <w:div w:id="1197154299">
                      <w:marLeft w:val="0"/>
                      <w:marRight w:val="0"/>
                      <w:marTop w:val="0"/>
                      <w:marBottom w:val="0"/>
                      <w:divBdr>
                        <w:top w:val="none" w:sz="0" w:space="0" w:color="auto"/>
                        <w:left w:val="none" w:sz="0" w:space="0" w:color="auto"/>
                        <w:bottom w:val="none" w:sz="0" w:space="0" w:color="auto"/>
                        <w:right w:val="none" w:sz="0" w:space="0" w:color="auto"/>
                      </w:divBdr>
                      <w:divsChild>
                        <w:div w:id="1574269385">
                          <w:marLeft w:val="0"/>
                          <w:marRight w:val="0"/>
                          <w:marTop w:val="0"/>
                          <w:marBottom w:val="0"/>
                          <w:divBdr>
                            <w:top w:val="none" w:sz="0" w:space="0" w:color="auto"/>
                            <w:left w:val="none" w:sz="0" w:space="0" w:color="auto"/>
                            <w:bottom w:val="none" w:sz="0" w:space="0" w:color="auto"/>
                            <w:right w:val="none" w:sz="0" w:space="0" w:color="auto"/>
                          </w:divBdr>
                          <w:divsChild>
                            <w:div w:id="103187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566203">
      <w:bodyDiv w:val="1"/>
      <w:marLeft w:val="0"/>
      <w:marRight w:val="0"/>
      <w:marTop w:val="0"/>
      <w:marBottom w:val="0"/>
      <w:divBdr>
        <w:top w:val="none" w:sz="0" w:space="0" w:color="auto"/>
        <w:left w:val="none" w:sz="0" w:space="0" w:color="auto"/>
        <w:bottom w:val="none" w:sz="0" w:space="0" w:color="auto"/>
        <w:right w:val="none" w:sz="0" w:space="0" w:color="auto"/>
      </w:divBdr>
      <w:divsChild>
        <w:div w:id="152916868">
          <w:marLeft w:val="0"/>
          <w:marRight w:val="0"/>
          <w:marTop w:val="0"/>
          <w:marBottom w:val="0"/>
          <w:divBdr>
            <w:top w:val="none" w:sz="0" w:space="0" w:color="auto"/>
            <w:left w:val="none" w:sz="0" w:space="0" w:color="auto"/>
            <w:bottom w:val="none" w:sz="0" w:space="0" w:color="auto"/>
            <w:right w:val="none" w:sz="0" w:space="0" w:color="auto"/>
          </w:divBdr>
          <w:divsChild>
            <w:div w:id="710497927">
              <w:marLeft w:val="0"/>
              <w:marRight w:val="0"/>
              <w:marTop w:val="0"/>
              <w:marBottom w:val="0"/>
              <w:divBdr>
                <w:top w:val="none" w:sz="0" w:space="0" w:color="auto"/>
                <w:left w:val="none" w:sz="0" w:space="0" w:color="auto"/>
                <w:bottom w:val="none" w:sz="0" w:space="0" w:color="auto"/>
                <w:right w:val="none" w:sz="0" w:space="0" w:color="auto"/>
              </w:divBdr>
              <w:divsChild>
                <w:div w:id="1118643330">
                  <w:marLeft w:val="0"/>
                  <w:marRight w:val="0"/>
                  <w:marTop w:val="0"/>
                  <w:marBottom w:val="0"/>
                  <w:divBdr>
                    <w:top w:val="none" w:sz="0" w:space="0" w:color="auto"/>
                    <w:left w:val="none" w:sz="0" w:space="0" w:color="auto"/>
                    <w:bottom w:val="none" w:sz="0" w:space="0" w:color="auto"/>
                    <w:right w:val="none" w:sz="0" w:space="0" w:color="auto"/>
                  </w:divBdr>
                  <w:divsChild>
                    <w:div w:id="2041515604">
                      <w:marLeft w:val="0"/>
                      <w:marRight w:val="0"/>
                      <w:marTop w:val="0"/>
                      <w:marBottom w:val="0"/>
                      <w:divBdr>
                        <w:top w:val="none" w:sz="0" w:space="0" w:color="auto"/>
                        <w:left w:val="none" w:sz="0" w:space="0" w:color="auto"/>
                        <w:bottom w:val="none" w:sz="0" w:space="0" w:color="auto"/>
                        <w:right w:val="none" w:sz="0" w:space="0" w:color="auto"/>
                      </w:divBdr>
                      <w:divsChild>
                        <w:div w:id="950623612">
                          <w:marLeft w:val="0"/>
                          <w:marRight w:val="0"/>
                          <w:marTop w:val="0"/>
                          <w:marBottom w:val="0"/>
                          <w:divBdr>
                            <w:top w:val="none" w:sz="0" w:space="0" w:color="auto"/>
                            <w:left w:val="none" w:sz="0" w:space="0" w:color="auto"/>
                            <w:bottom w:val="none" w:sz="0" w:space="0" w:color="auto"/>
                            <w:right w:val="none" w:sz="0" w:space="0" w:color="auto"/>
                          </w:divBdr>
                          <w:divsChild>
                            <w:div w:id="210063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464131">
      <w:bodyDiv w:val="1"/>
      <w:marLeft w:val="0"/>
      <w:marRight w:val="0"/>
      <w:marTop w:val="0"/>
      <w:marBottom w:val="0"/>
      <w:divBdr>
        <w:top w:val="none" w:sz="0" w:space="0" w:color="auto"/>
        <w:left w:val="none" w:sz="0" w:space="0" w:color="auto"/>
        <w:bottom w:val="none" w:sz="0" w:space="0" w:color="auto"/>
        <w:right w:val="none" w:sz="0" w:space="0" w:color="auto"/>
      </w:divBdr>
      <w:divsChild>
        <w:div w:id="1154375586">
          <w:marLeft w:val="0"/>
          <w:marRight w:val="0"/>
          <w:marTop w:val="0"/>
          <w:marBottom w:val="0"/>
          <w:divBdr>
            <w:top w:val="none" w:sz="0" w:space="0" w:color="auto"/>
            <w:left w:val="none" w:sz="0" w:space="0" w:color="auto"/>
            <w:bottom w:val="none" w:sz="0" w:space="0" w:color="auto"/>
            <w:right w:val="none" w:sz="0" w:space="0" w:color="auto"/>
          </w:divBdr>
          <w:divsChild>
            <w:div w:id="760371281">
              <w:marLeft w:val="0"/>
              <w:marRight w:val="0"/>
              <w:marTop w:val="0"/>
              <w:marBottom w:val="0"/>
              <w:divBdr>
                <w:top w:val="none" w:sz="0" w:space="0" w:color="auto"/>
                <w:left w:val="none" w:sz="0" w:space="0" w:color="auto"/>
                <w:bottom w:val="none" w:sz="0" w:space="0" w:color="auto"/>
                <w:right w:val="none" w:sz="0" w:space="0" w:color="auto"/>
              </w:divBdr>
              <w:divsChild>
                <w:div w:id="983773872">
                  <w:marLeft w:val="0"/>
                  <w:marRight w:val="0"/>
                  <w:marTop w:val="0"/>
                  <w:marBottom w:val="0"/>
                  <w:divBdr>
                    <w:top w:val="none" w:sz="0" w:space="0" w:color="auto"/>
                    <w:left w:val="none" w:sz="0" w:space="0" w:color="auto"/>
                    <w:bottom w:val="none" w:sz="0" w:space="0" w:color="auto"/>
                    <w:right w:val="none" w:sz="0" w:space="0" w:color="auto"/>
                  </w:divBdr>
                  <w:divsChild>
                    <w:div w:id="51320988">
                      <w:marLeft w:val="0"/>
                      <w:marRight w:val="0"/>
                      <w:marTop w:val="0"/>
                      <w:marBottom w:val="0"/>
                      <w:divBdr>
                        <w:top w:val="none" w:sz="0" w:space="0" w:color="auto"/>
                        <w:left w:val="none" w:sz="0" w:space="0" w:color="auto"/>
                        <w:bottom w:val="none" w:sz="0" w:space="0" w:color="auto"/>
                        <w:right w:val="none" w:sz="0" w:space="0" w:color="auto"/>
                      </w:divBdr>
                      <w:divsChild>
                        <w:div w:id="71854481">
                          <w:marLeft w:val="0"/>
                          <w:marRight w:val="0"/>
                          <w:marTop w:val="0"/>
                          <w:marBottom w:val="0"/>
                          <w:divBdr>
                            <w:top w:val="none" w:sz="0" w:space="0" w:color="auto"/>
                            <w:left w:val="none" w:sz="0" w:space="0" w:color="auto"/>
                            <w:bottom w:val="none" w:sz="0" w:space="0" w:color="auto"/>
                            <w:right w:val="none" w:sz="0" w:space="0" w:color="auto"/>
                          </w:divBdr>
                          <w:divsChild>
                            <w:div w:id="161200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671117">
      <w:bodyDiv w:val="1"/>
      <w:marLeft w:val="0"/>
      <w:marRight w:val="0"/>
      <w:marTop w:val="0"/>
      <w:marBottom w:val="0"/>
      <w:divBdr>
        <w:top w:val="none" w:sz="0" w:space="0" w:color="auto"/>
        <w:left w:val="none" w:sz="0" w:space="0" w:color="auto"/>
        <w:bottom w:val="none" w:sz="0" w:space="0" w:color="auto"/>
        <w:right w:val="none" w:sz="0" w:space="0" w:color="auto"/>
      </w:divBdr>
      <w:divsChild>
        <w:div w:id="61567691">
          <w:marLeft w:val="0"/>
          <w:marRight w:val="0"/>
          <w:marTop w:val="0"/>
          <w:marBottom w:val="0"/>
          <w:divBdr>
            <w:top w:val="none" w:sz="0" w:space="0" w:color="auto"/>
            <w:left w:val="none" w:sz="0" w:space="0" w:color="auto"/>
            <w:bottom w:val="none" w:sz="0" w:space="0" w:color="auto"/>
            <w:right w:val="none" w:sz="0" w:space="0" w:color="auto"/>
          </w:divBdr>
          <w:divsChild>
            <w:div w:id="746879542">
              <w:marLeft w:val="0"/>
              <w:marRight w:val="0"/>
              <w:marTop w:val="0"/>
              <w:marBottom w:val="0"/>
              <w:divBdr>
                <w:top w:val="none" w:sz="0" w:space="0" w:color="auto"/>
                <w:left w:val="none" w:sz="0" w:space="0" w:color="auto"/>
                <w:bottom w:val="none" w:sz="0" w:space="0" w:color="auto"/>
                <w:right w:val="none" w:sz="0" w:space="0" w:color="auto"/>
              </w:divBdr>
              <w:divsChild>
                <w:div w:id="766845495">
                  <w:marLeft w:val="0"/>
                  <w:marRight w:val="0"/>
                  <w:marTop w:val="0"/>
                  <w:marBottom w:val="0"/>
                  <w:divBdr>
                    <w:top w:val="none" w:sz="0" w:space="0" w:color="auto"/>
                    <w:left w:val="none" w:sz="0" w:space="0" w:color="auto"/>
                    <w:bottom w:val="none" w:sz="0" w:space="0" w:color="auto"/>
                    <w:right w:val="none" w:sz="0" w:space="0" w:color="auto"/>
                  </w:divBdr>
                  <w:divsChild>
                    <w:div w:id="1339573731">
                      <w:marLeft w:val="0"/>
                      <w:marRight w:val="0"/>
                      <w:marTop w:val="0"/>
                      <w:marBottom w:val="0"/>
                      <w:divBdr>
                        <w:top w:val="none" w:sz="0" w:space="0" w:color="auto"/>
                        <w:left w:val="none" w:sz="0" w:space="0" w:color="auto"/>
                        <w:bottom w:val="none" w:sz="0" w:space="0" w:color="auto"/>
                        <w:right w:val="none" w:sz="0" w:space="0" w:color="auto"/>
                      </w:divBdr>
                      <w:divsChild>
                        <w:div w:id="890574001">
                          <w:marLeft w:val="0"/>
                          <w:marRight w:val="0"/>
                          <w:marTop w:val="0"/>
                          <w:marBottom w:val="0"/>
                          <w:divBdr>
                            <w:top w:val="none" w:sz="0" w:space="0" w:color="auto"/>
                            <w:left w:val="none" w:sz="0" w:space="0" w:color="auto"/>
                            <w:bottom w:val="none" w:sz="0" w:space="0" w:color="auto"/>
                            <w:right w:val="none" w:sz="0" w:space="0" w:color="auto"/>
                          </w:divBdr>
                          <w:divsChild>
                            <w:div w:id="88703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170334">
      <w:bodyDiv w:val="1"/>
      <w:marLeft w:val="0"/>
      <w:marRight w:val="0"/>
      <w:marTop w:val="0"/>
      <w:marBottom w:val="0"/>
      <w:divBdr>
        <w:top w:val="none" w:sz="0" w:space="0" w:color="auto"/>
        <w:left w:val="none" w:sz="0" w:space="0" w:color="auto"/>
        <w:bottom w:val="none" w:sz="0" w:space="0" w:color="auto"/>
        <w:right w:val="none" w:sz="0" w:space="0" w:color="auto"/>
      </w:divBdr>
      <w:divsChild>
        <w:div w:id="863128728">
          <w:marLeft w:val="0"/>
          <w:marRight w:val="0"/>
          <w:marTop w:val="0"/>
          <w:marBottom w:val="0"/>
          <w:divBdr>
            <w:top w:val="none" w:sz="0" w:space="0" w:color="auto"/>
            <w:left w:val="none" w:sz="0" w:space="0" w:color="auto"/>
            <w:bottom w:val="none" w:sz="0" w:space="0" w:color="auto"/>
            <w:right w:val="none" w:sz="0" w:space="0" w:color="auto"/>
          </w:divBdr>
          <w:divsChild>
            <w:div w:id="1998147371">
              <w:marLeft w:val="0"/>
              <w:marRight w:val="0"/>
              <w:marTop w:val="0"/>
              <w:marBottom w:val="0"/>
              <w:divBdr>
                <w:top w:val="none" w:sz="0" w:space="0" w:color="auto"/>
                <w:left w:val="none" w:sz="0" w:space="0" w:color="auto"/>
                <w:bottom w:val="none" w:sz="0" w:space="0" w:color="auto"/>
                <w:right w:val="none" w:sz="0" w:space="0" w:color="auto"/>
              </w:divBdr>
              <w:divsChild>
                <w:div w:id="579288365">
                  <w:marLeft w:val="0"/>
                  <w:marRight w:val="0"/>
                  <w:marTop w:val="0"/>
                  <w:marBottom w:val="0"/>
                  <w:divBdr>
                    <w:top w:val="none" w:sz="0" w:space="0" w:color="auto"/>
                    <w:left w:val="none" w:sz="0" w:space="0" w:color="auto"/>
                    <w:bottom w:val="none" w:sz="0" w:space="0" w:color="auto"/>
                    <w:right w:val="none" w:sz="0" w:space="0" w:color="auto"/>
                  </w:divBdr>
                  <w:divsChild>
                    <w:div w:id="1350134248">
                      <w:marLeft w:val="0"/>
                      <w:marRight w:val="0"/>
                      <w:marTop w:val="0"/>
                      <w:marBottom w:val="0"/>
                      <w:divBdr>
                        <w:top w:val="none" w:sz="0" w:space="0" w:color="auto"/>
                        <w:left w:val="none" w:sz="0" w:space="0" w:color="auto"/>
                        <w:bottom w:val="none" w:sz="0" w:space="0" w:color="auto"/>
                        <w:right w:val="none" w:sz="0" w:space="0" w:color="auto"/>
                      </w:divBdr>
                      <w:divsChild>
                        <w:div w:id="355695053">
                          <w:marLeft w:val="0"/>
                          <w:marRight w:val="0"/>
                          <w:marTop w:val="0"/>
                          <w:marBottom w:val="0"/>
                          <w:divBdr>
                            <w:top w:val="none" w:sz="0" w:space="0" w:color="auto"/>
                            <w:left w:val="none" w:sz="0" w:space="0" w:color="auto"/>
                            <w:bottom w:val="none" w:sz="0" w:space="0" w:color="auto"/>
                            <w:right w:val="none" w:sz="0" w:space="0" w:color="auto"/>
                          </w:divBdr>
                          <w:divsChild>
                            <w:div w:id="13103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BD0DAA-74DE-4B32-96C1-C1649BFC0ABA}"/>
</file>

<file path=customXml/itemProps2.xml><?xml version="1.0" encoding="utf-8"?>
<ds:datastoreItem xmlns:ds="http://schemas.openxmlformats.org/officeDocument/2006/customXml" ds:itemID="{575727CE-FC30-472C-B407-338F497A0947}"/>
</file>

<file path=customXml/itemProps3.xml><?xml version="1.0" encoding="utf-8"?>
<ds:datastoreItem xmlns:ds="http://schemas.openxmlformats.org/officeDocument/2006/customXml" ds:itemID="{CDED1CD9-C2BA-4B68-AADF-C30A02F96103}"/>
</file>

<file path=customXml/itemProps4.xml><?xml version="1.0" encoding="utf-8"?>
<ds:datastoreItem xmlns:ds="http://schemas.openxmlformats.org/officeDocument/2006/customXml" ds:itemID="{F9745A5F-BB12-4C6D-B3C8-05BF191CE24E}"/>
</file>

<file path=docProps/app.xml><?xml version="1.0" encoding="utf-8"?>
<Properties xmlns="http://schemas.openxmlformats.org/officeDocument/2006/extended-properties" xmlns:vt="http://schemas.openxmlformats.org/officeDocument/2006/docPropsVTypes">
  <Template>Normal.dotm</Template>
  <TotalTime>0</TotalTime>
  <Pages>1</Pages>
  <Words>27525</Words>
  <Characters>156896</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2013-03-18T12:36:00Z</cp:lastPrinted>
  <dcterms:created xsi:type="dcterms:W3CDTF">2018-04-18T09:43:00Z</dcterms:created>
  <dcterms:modified xsi:type="dcterms:W3CDTF">2018-04-18T09:43:00Z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