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3.0 -->
  <w:body>
    <w:p w:rsidRPr="005729E4" w:rsidR="00D002A0" w:rsidP="009C360C">
      <w:pPr>
        <w:rPr>
          <w:b/>
          <w:lang w:val="uk-UA"/>
        </w:rPr>
      </w:pPr>
    </w:p>
    <w:p w:rsidRPr="00DC7991" w:rsidR="00D002A0" w:rsidP="009C360C">
      <w:pPr>
        <w:tabs>
          <w:tab w:val="left" w:pos="426"/>
        </w:tabs>
        <w:ind w:left="425" w:hanging="425"/>
        <w:jc w:val="both"/>
        <w:rPr>
          <w:rFonts w:ascii="TimesNewRomanPSMT" w:hAnsi="TimesNewRomanPSMT" w:cs="TimesNewRomanPSMT"/>
          <w:sz w:val="20"/>
          <w:lang w:val="ru-RU"/>
        </w:rPr>
      </w:pPr>
      <w:r w:rsidRPr="00DC7991">
        <w:rPr>
          <w:rFonts w:ascii="TimesNewRomanPSMT" w:hAnsi="TimesNewRomanPSMT" w:cs="TimesNewRomanPSMT"/>
          <w:sz w:val="20"/>
          <w:lang w:val="ru-RU"/>
        </w:rPr>
        <w:t>©Рада Європи/Європейський суд з прав людини, 2012 р.</w:t>
      </w:r>
    </w:p>
    <w:p w:rsidR="00D002A0" w:rsidP="009C360C">
      <w:pPr>
        <w:jc w:val="both"/>
        <w:rPr>
          <w:rFonts w:ascii="Calibri" w:hAnsi="Calibri" w:cs="TimesNewRomanPSMT"/>
          <w:sz w:val="20"/>
          <w:lang w:val="fr-FR"/>
        </w:rPr>
      </w:pPr>
      <w:r w:rsidRPr="00DC7991">
        <w:rPr>
          <w:rFonts w:ascii="Calibri" w:hAnsi="Calibri" w:cs="TimesNewRomanPSMT"/>
          <w:sz w:val="20"/>
          <w:lang w:val="ru-RU"/>
        </w:rPr>
        <w:t>Цей пер</w:t>
      </w:r>
      <w:r>
        <w:rPr>
          <w:rFonts w:ascii="Calibri" w:hAnsi="Calibri" w:cs="TimesNewRomanPSMT"/>
          <w:sz w:val="20"/>
          <w:lang w:val="uk-UA"/>
        </w:rPr>
        <w:t>е</w:t>
      </w:r>
      <w:r w:rsidRPr="00DC7991">
        <w:rPr>
          <w:rFonts w:ascii="Calibri" w:hAnsi="Calibri" w:cs="TimesNewRomanPSMT"/>
          <w:sz w:val="20"/>
          <w:lang w:val="ru-RU"/>
        </w:rPr>
        <w:t>клад було здійснено за підтримки Цільового фонду Ради Європи з прав людини</w:t>
      </w:r>
      <w:r>
        <w:rPr>
          <w:rFonts w:ascii="Calibri" w:hAnsi="Calibri" w:cs="TimesNewRomanPSMT"/>
          <w:sz w:val="20"/>
          <w:lang w:val="uk-UA"/>
        </w:rPr>
        <w:t xml:space="preserve"> (</w:t>
      </w:r>
      <w:hyperlink w:history="1" r:id="rId4">
        <w:r w:rsidRPr="004915E1">
          <w:rPr>
            <w:rStyle w:val="Hyperlink"/>
            <w:rFonts w:ascii="Calibri" w:hAnsi="Calibri" w:cs="TimesNewRomanPSMT"/>
            <w:sz w:val="20"/>
            <w:lang w:val="uk-UA"/>
          </w:rPr>
          <w:t>www.coe.int/humanrightstrustfund</w:t>
        </w:r>
      </w:hyperlink>
      <w:r>
        <w:rPr>
          <w:rFonts w:ascii="Calibri" w:hAnsi="Calibri" w:cs="TimesNewRomanPSMT"/>
          <w:sz w:val="20"/>
          <w:lang w:val="uk-UA"/>
        </w:rPr>
        <w:t xml:space="preserve">). Суд не несе </w:t>
      </w:r>
      <w:r w:rsidRPr="00DC7991">
        <w:rPr>
          <w:rFonts w:ascii="Calibri" w:hAnsi="Calibri" w:cs="TimesNewRomanPSMT"/>
          <w:sz w:val="20"/>
          <w:lang w:val="ru-RU"/>
        </w:rPr>
        <w:t xml:space="preserve">за нього </w:t>
      </w:r>
      <w:r>
        <w:rPr>
          <w:rFonts w:ascii="Calibri" w:hAnsi="Calibri" w:cs="TimesNewRomanPSMT"/>
          <w:sz w:val="20"/>
          <w:lang w:val="uk-UA"/>
        </w:rPr>
        <w:t>відповідальності. Для отримання додатков</w:t>
      </w:r>
      <w:r w:rsidRPr="00DC7991">
        <w:rPr>
          <w:rFonts w:ascii="Calibri" w:hAnsi="Calibri" w:cs="TimesNewRomanPSMT"/>
          <w:sz w:val="20"/>
          <w:lang w:val="ru-RU"/>
        </w:rPr>
        <w:t>их відомостей</w:t>
      </w:r>
      <w:r>
        <w:rPr>
          <w:rFonts w:ascii="Calibri" w:hAnsi="Calibri" w:cs="TimesNewRomanPSMT"/>
          <w:sz w:val="20"/>
          <w:lang w:val="uk-UA"/>
        </w:rPr>
        <w:t xml:space="preserve"> дивіться інформацію щодо авторських прав наприкінці цього документа.</w:t>
      </w:r>
    </w:p>
    <w:p w:rsidRPr="004C4821" w:rsidR="00D002A0" w:rsidP="009C360C">
      <w:pPr>
        <w:jc w:val="both"/>
        <w:rPr>
          <w:lang w:val="fr-FR"/>
        </w:rPr>
      </w:pPr>
    </w:p>
    <w:p w:rsidR="00D002A0" w:rsidP="009C360C">
      <w:pPr>
        <w:tabs>
          <w:tab w:val="left" w:pos="426"/>
        </w:tabs>
        <w:ind w:left="425" w:hanging="425"/>
        <w:jc w:val="both"/>
        <w:rPr>
          <w:rFonts w:ascii="Calibri" w:hAnsi="Calibri" w:cs="TimesNewRomanPSMT"/>
          <w:sz w:val="20"/>
          <w:lang w:val="uk-UA"/>
        </w:rPr>
      </w:pPr>
      <w:r>
        <w:rPr>
          <w:rFonts w:ascii="TimesNewRomanPSMT" w:hAnsi="TimesNewRomanPSMT" w:cs="TimesNewRomanPSMT"/>
          <w:sz w:val="20"/>
        </w:rPr>
        <w:t>© Council of Europe/European Court of Human Rights, 2012</w:t>
      </w:r>
      <w:r>
        <w:rPr>
          <w:rFonts w:ascii="Calibri" w:hAnsi="Calibri" w:cs="TimesNewRomanPSMT"/>
          <w:sz w:val="20"/>
          <w:lang w:val="uk-UA"/>
        </w:rPr>
        <w:t>.</w:t>
      </w:r>
    </w:p>
    <w:p w:rsidR="00D002A0" w:rsidP="009C360C">
      <w:pPr>
        <w:jc w:val="both"/>
        <w:rPr>
          <w:rFonts w:ascii="Calibri" w:hAnsi="Calibri" w:cs="TimesNewRomanPSMT"/>
          <w:sz w:val="20"/>
          <w:lang w:val="en-US"/>
        </w:rPr>
      </w:pPr>
      <w:r>
        <w:rPr>
          <w:rFonts w:ascii="Calibri" w:hAnsi="Calibri" w:cs="TimesNewRomanPSMT"/>
          <w:sz w:val="20"/>
          <w:lang w:val="en-US"/>
        </w:rPr>
        <w:t xml:space="preserve">This translation was commissioned with the support of the Human Rights Trust fund of the Council of Europe </w:t>
      </w:r>
      <w:r>
        <w:rPr>
          <w:rFonts w:ascii="Calibri" w:hAnsi="Calibri" w:cs="TimesNewRomanPSMT"/>
          <w:sz w:val="20"/>
          <w:lang w:val="uk-UA"/>
        </w:rPr>
        <w:t>(</w:t>
      </w:r>
      <w:hyperlink w:history="1" r:id="rId5">
        <w:r w:rsidRPr="004915E1">
          <w:rPr>
            <w:rStyle w:val="Hyperlink"/>
            <w:rFonts w:ascii="Calibri" w:hAnsi="Calibri" w:cs="TimesNewRomanPSMT"/>
            <w:sz w:val="20"/>
            <w:lang w:val="uk-UA"/>
          </w:rPr>
          <w:t>www.coe.int/humanrightstrustfund</w:t>
        </w:r>
      </w:hyperlink>
      <w:r>
        <w:rPr>
          <w:rFonts w:ascii="Calibri" w:hAnsi="Calibri" w:cs="TimesNewRomanPSMT"/>
          <w:sz w:val="20"/>
          <w:lang w:val="uk-UA"/>
        </w:rPr>
        <w:t>)</w:t>
      </w:r>
      <w:r>
        <w:rPr>
          <w:rFonts w:ascii="Calibri" w:hAnsi="Calibri" w:cs="TimesNewRomanPSMT"/>
          <w:sz w:val="20"/>
          <w:lang w:val="en-US"/>
        </w:rPr>
        <w:t>. It does not bind the Court</w:t>
      </w:r>
      <w:r>
        <w:rPr>
          <w:rFonts w:ascii="Calibri" w:hAnsi="Calibri" w:cs="TimesNewRomanPSMT"/>
          <w:sz w:val="20"/>
          <w:lang w:val="uk-UA"/>
        </w:rPr>
        <w:t xml:space="preserve">. </w:t>
      </w:r>
      <w:r>
        <w:rPr>
          <w:rFonts w:ascii="Calibri" w:hAnsi="Calibri" w:cs="TimesNewRomanPSMT"/>
          <w:sz w:val="20"/>
          <w:lang w:val="en-US"/>
        </w:rPr>
        <w:t>For further information see the full copyright indication at the end of this document.</w:t>
      </w:r>
    </w:p>
    <w:p w:rsidR="00D002A0" w:rsidP="009C360C">
      <w:pPr>
        <w:jc w:val="both"/>
        <w:rPr>
          <w:rFonts w:ascii="Calibri" w:hAnsi="Calibri" w:cs="TimesNewRomanPSMT"/>
          <w:sz w:val="20"/>
          <w:lang w:val="en-US"/>
        </w:rPr>
      </w:pPr>
    </w:p>
    <w:p w:rsidRPr="00DC7991" w:rsidR="00D002A0" w:rsidP="009C360C">
      <w:pPr>
        <w:jc w:val="both"/>
        <w:rPr>
          <w:lang w:val="fr-FR"/>
        </w:rPr>
      </w:pPr>
      <w:r w:rsidRPr="00DC7991">
        <w:rPr>
          <w:rFonts w:ascii="TimesNewRomanPSMT" w:hAnsi="TimesNewRomanPSMT" w:cs="TimesNewRomanPSMT"/>
          <w:sz w:val="20"/>
          <w:lang w:val="fr-FR"/>
        </w:rPr>
        <w:t>© Conseil de l</w:t>
      </w:r>
      <w:r>
        <w:rPr>
          <w:rFonts w:ascii="TimesNewRomanPSMT" w:hAnsi="TimesNewRomanPSMT" w:cs="TimesNewRomanPSMT"/>
          <w:sz w:val="20"/>
          <w:lang w:val="fr-FR"/>
        </w:rPr>
        <w:t>’</w:t>
      </w:r>
      <w:r w:rsidRPr="00DC7991">
        <w:rPr>
          <w:rFonts w:ascii="TimesNewRomanPSMT" w:hAnsi="TimesNewRomanPSMT" w:cs="TimesNewRomanPSMT"/>
          <w:sz w:val="20"/>
          <w:lang w:val="fr-FR"/>
        </w:rPr>
        <w:t>Europe/Cour Européenne des droits de l</w:t>
      </w:r>
      <w:r>
        <w:rPr>
          <w:rFonts w:ascii="TimesNewRomanPSMT" w:hAnsi="TimesNewRomanPSMT" w:cs="TimesNewRomanPSMT"/>
          <w:sz w:val="20"/>
          <w:lang w:val="fr-FR"/>
        </w:rPr>
        <w:t>’</w:t>
      </w:r>
      <w:r w:rsidRPr="00DC7991">
        <w:rPr>
          <w:rFonts w:ascii="TimesNewRomanPSMT" w:hAnsi="TimesNewRomanPSMT" w:cs="TimesNewRomanPSMT"/>
          <w:sz w:val="20"/>
          <w:lang w:val="fr-FR"/>
        </w:rPr>
        <w:t>homme, 2012.</w:t>
      </w:r>
    </w:p>
    <w:p w:rsidR="00D002A0" w:rsidP="009C360C">
      <w:pPr>
        <w:jc w:val="both"/>
        <w:outlineLvl w:val="0"/>
        <w:rPr>
          <w:lang w:val="uk-UA"/>
        </w:rPr>
      </w:pPr>
      <w:r w:rsidRPr="00DC7991">
        <w:rPr>
          <w:rFonts w:ascii="TimesNewRomanPSMT" w:hAnsi="TimesNewRomanPSMT" w:cs="TimesNewRomanPSMT"/>
          <w:sz w:val="20"/>
          <w:lang w:val="fr-FR"/>
        </w:rPr>
        <w:t>La présente traduction a été effectuée avec le soutien du Fonds fiduciaire pour les droits de l</w:t>
      </w:r>
      <w:r>
        <w:rPr>
          <w:rFonts w:ascii="TimesNewRomanPSMT" w:hAnsi="TimesNewRomanPSMT" w:cs="TimesNewRomanPSMT"/>
          <w:sz w:val="20"/>
          <w:lang w:val="fr-FR"/>
        </w:rPr>
        <w:t>’</w:t>
      </w:r>
      <w:r w:rsidRPr="00DC7991">
        <w:rPr>
          <w:rFonts w:ascii="TimesNewRomanPSMT" w:hAnsi="TimesNewRomanPSMT" w:cs="TimesNewRomanPSMT"/>
          <w:sz w:val="20"/>
          <w:lang w:val="fr-FR"/>
        </w:rPr>
        <w:t>homme du Conseil de l</w:t>
      </w:r>
      <w:r>
        <w:rPr>
          <w:rFonts w:ascii="TimesNewRomanPSMT" w:hAnsi="TimesNewRomanPSMT" w:cs="TimesNewRomanPSMT"/>
          <w:sz w:val="20"/>
          <w:lang w:val="fr-FR"/>
        </w:rPr>
        <w:t>’</w:t>
      </w:r>
      <w:r w:rsidRPr="00DC7991">
        <w:rPr>
          <w:rFonts w:ascii="TimesNewRomanPSMT" w:hAnsi="TimesNewRomanPSMT" w:cs="TimesNewRomanPSMT"/>
          <w:sz w:val="20"/>
          <w:lang w:val="fr-FR"/>
        </w:rPr>
        <w:t xml:space="preserve">Europe </w:t>
      </w:r>
      <w:r>
        <w:rPr>
          <w:rFonts w:ascii="Calibri" w:hAnsi="Calibri" w:cs="TimesNewRomanPSMT"/>
          <w:sz w:val="20"/>
          <w:lang w:val="uk-UA"/>
        </w:rPr>
        <w:t>(</w:t>
      </w:r>
      <w:hyperlink w:history="1" r:id="rId6">
        <w:r w:rsidRPr="004915E1">
          <w:rPr>
            <w:rStyle w:val="Hyperlink"/>
            <w:rFonts w:ascii="Calibri" w:hAnsi="Calibri" w:cs="TimesNewRomanPSMT"/>
            <w:sz w:val="20"/>
            <w:lang w:val="uk-UA"/>
          </w:rPr>
          <w:t>www.coe.int/humanrightstrustfund</w:t>
        </w:r>
      </w:hyperlink>
      <w:r>
        <w:rPr>
          <w:rFonts w:ascii="Calibri" w:hAnsi="Calibri" w:cs="TimesNewRomanPSMT"/>
          <w:sz w:val="20"/>
          <w:lang w:val="uk-UA"/>
        </w:rPr>
        <w:t>)</w:t>
      </w:r>
      <w:r w:rsidRPr="00DC7991">
        <w:rPr>
          <w:rFonts w:ascii="Calibri" w:hAnsi="Calibri" w:cs="TimesNewRomanPSMT"/>
          <w:sz w:val="20"/>
          <w:lang w:val="fr-FR"/>
        </w:rPr>
        <w:t>. Elle ne lie pas la Cour.</w:t>
      </w:r>
      <w:r>
        <w:rPr>
          <w:rFonts w:ascii="Calibri" w:hAnsi="Calibri" w:cs="TimesNewRomanPSMT"/>
          <w:sz w:val="20"/>
          <w:lang w:val="uk-UA"/>
        </w:rPr>
        <w:t xml:space="preserve"> </w:t>
      </w:r>
      <w:r w:rsidRPr="00DC7991">
        <w:rPr>
          <w:rFonts w:ascii="Calibri" w:hAnsi="Calibri" w:cs="TimesNewRomanPSMT"/>
          <w:sz w:val="20"/>
          <w:lang w:val="fr-FR"/>
        </w:rPr>
        <w:t>Pour plus de renseignements veuillez lire l</w:t>
      </w:r>
      <w:r>
        <w:rPr>
          <w:rFonts w:ascii="Calibri" w:hAnsi="Calibri" w:cs="TimesNewRomanPSMT"/>
          <w:sz w:val="20"/>
          <w:lang w:val="fr-FR"/>
        </w:rPr>
        <w:t>’</w:t>
      </w:r>
      <w:r w:rsidRPr="00DC7991">
        <w:rPr>
          <w:rFonts w:ascii="Calibri" w:hAnsi="Calibri" w:cs="TimesNewRomanPSMT"/>
          <w:sz w:val="20"/>
          <w:lang w:val="fr-FR"/>
        </w:rPr>
        <w:t>indication de copyrights/droits d</w:t>
      </w:r>
      <w:r>
        <w:rPr>
          <w:rFonts w:ascii="Calibri" w:hAnsi="Calibri" w:cs="TimesNewRomanPSMT"/>
          <w:sz w:val="20"/>
          <w:lang w:val="fr-FR"/>
        </w:rPr>
        <w:t>’</w:t>
      </w:r>
      <w:r w:rsidRPr="00DC7991">
        <w:rPr>
          <w:rFonts w:ascii="Calibri" w:hAnsi="Calibri" w:cs="TimesNewRomanPSMT"/>
          <w:sz w:val="20"/>
          <w:lang w:val="fr-FR"/>
        </w:rPr>
        <w:t>auteur à la fin du present document</w:t>
      </w:r>
    </w:p>
    <w:p w:rsidR="00D002A0" w:rsidP="00991B15">
      <w:pPr>
        <w:jc w:val="center"/>
        <w:outlineLvl w:val="0"/>
        <w:rPr>
          <w:lang w:val="fr-FR"/>
        </w:rPr>
      </w:pPr>
    </w:p>
    <w:p w:rsidRPr="004C4821" w:rsidR="00D002A0" w:rsidP="00991B15">
      <w:pPr>
        <w:jc w:val="center"/>
        <w:outlineLvl w:val="0"/>
        <w:rPr>
          <w:lang w:val="fr-FR"/>
        </w:rPr>
      </w:pPr>
    </w:p>
    <w:p w:rsidR="00D002A0" w:rsidP="00991B15">
      <w:pPr>
        <w:jc w:val="center"/>
        <w:outlineLvl w:val="0"/>
        <w:rPr>
          <w:lang w:val="uk-UA"/>
        </w:rPr>
      </w:pPr>
    </w:p>
    <w:p w:rsidRPr="00DC7991" w:rsidR="00D002A0" w:rsidP="00991B15">
      <w:pPr>
        <w:jc w:val="center"/>
        <w:outlineLvl w:val="0"/>
        <w:rPr>
          <w:lang w:val="ru-RU"/>
        </w:rPr>
      </w:pPr>
      <w:r>
        <w:rPr>
          <w:lang w:val="uk-UA"/>
        </w:rPr>
        <w:t>ВЕЛИКА ПАЛАТА</w:t>
      </w:r>
    </w:p>
    <w:p w:rsidRPr="00DC7991" w:rsidR="00D002A0" w:rsidP="00940909">
      <w:pPr>
        <w:jc w:val="center"/>
        <w:rPr>
          <w:b/>
          <w:lang w:val="ru-RU"/>
        </w:rPr>
      </w:pPr>
    </w:p>
    <w:p w:rsidR="00D002A0" w:rsidP="00940909">
      <w:pPr>
        <w:jc w:val="center"/>
        <w:rPr>
          <w:b/>
          <w:lang w:val="fr-FR"/>
        </w:rPr>
      </w:pPr>
    </w:p>
    <w:p w:rsidRPr="004C4821" w:rsidR="00D002A0" w:rsidP="00940909">
      <w:pPr>
        <w:jc w:val="center"/>
        <w:rPr>
          <w:b/>
          <w:lang w:val="fr-FR"/>
        </w:rPr>
      </w:pPr>
    </w:p>
    <w:p w:rsidRPr="00820DF5" w:rsidR="00D002A0" w:rsidP="00940909">
      <w:pPr>
        <w:jc w:val="center"/>
        <w:rPr>
          <w:b/>
          <w:lang w:val="uk-UA"/>
        </w:rPr>
      </w:pPr>
      <w:r>
        <w:rPr>
          <w:b/>
          <w:lang w:val="uk-UA"/>
        </w:rPr>
        <w:t>СПРАВА ВІЛЬХО ЕСКЕЛІНЕН ТА ІНШІ ПРОТИ ФІНЛЯНДІЇ</w:t>
      </w:r>
    </w:p>
    <w:p w:rsidRPr="0052708C" w:rsidR="00D002A0" w:rsidP="00991B15">
      <w:pPr>
        <w:jc w:val="center"/>
        <w:outlineLvl w:val="0"/>
        <w:rPr>
          <w:b/>
        </w:rPr>
      </w:pPr>
      <w:r>
        <w:rPr>
          <w:b/>
          <w:bCs/>
          <w:color w:val="000000"/>
          <w:lang w:val="uk-UA"/>
        </w:rPr>
        <w:t>[</w:t>
      </w:r>
      <w:r w:rsidRPr="0052708C">
        <w:rPr>
          <w:b/>
        </w:rPr>
        <w:t>CASE OF VILHO ESKELINEN AND OTHERS v. FINLAND</w:t>
      </w:r>
      <w:r>
        <w:rPr>
          <w:b/>
          <w:bCs/>
          <w:color w:val="000000"/>
          <w:lang w:val="uk-UA"/>
        </w:rPr>
        <w:t>]</w:t>
      </w:r>
    </w:p>
    <w:p w:rsidRPr="0052708C" w:rsidR="00D002A0" w:rsidP="00940909">
      <w:pPr>
        <w:jc w:val="center"/>
      </w:pPr>
    </w:p>
    <w:p w:rsidR="00D002A0" w:rsidP="00940909">
      <w:pPr>
        <w:jc w:val="center"/>
        <w:rPr>
          <w:i/>
        </w:rPr>
      </w:pPr>
      <w:r w:rsidRPr="0052708C">
        <w:rPr>
          <w:i/>
        </w:rPr>
        <w:t>(</w:t>
      </w:r>
      <w:r>
        <w:rPr>
          <w:i/>
          <w:lang w:val="uk-UA"/>
        </w:rPr>
        <w:t>Заява</w:t>
      </w:r>
      <w:r w:rsidRPr="0052708C">
        <w:rPr>
          <w:i/>
        </w:rPr>
        <w:t xml:space="preserve"> </w:t>
      </w:r>
      <w:r>
        <w:rPr>
          <w:i/>
          <w:lang w:val="uk-UA"/>
        </w:rPr>
        <w:t>№</w:t>
      </w:r>
      <w:r w:rsidRPr="0052708C">
        <w:rPr>
          <w:i/>
        </w:rPr>
        <w:t xml:space="preserve"> 63235/00)</w:t>
      </w:r>
    </w:p>
    <w:p w:rsidR="00D002A0" w:rsidP="00940909">
      <w:pPr>
        <w:jc w:val="center"/>
        <w:rPr>
          <w:i/>
        </w:rPr>
      </w:pPr>
    </w:p>
    <w:p w:rsidR="00D002A0" w:rsidP="00940909">
      <w:pPr>
        <w:jc w:val="center"/>
        <w:rPr>
          <w:i/>
        </w:rPr>
      </w:pPr>
    </w:p>
    <w:p w:rsidR="00D002A0" w:rsidP="00940909">
      <w:pPr>
        <w:jc w:val="center"/>
        <w:rPr>
          <w:i/>
        </w:rPr>
      </w:pPr>
    </w:p>
    <w:p w:rsidR="00D002A0" w:rsidP="00991B15">
      <w:pPr>
        <w:jc w:val="center"/>
        <w:outlineLvl w:val="0"/>
      </w:pPr>
      <w:r>
        <w:rPr>
          <w:lang w:val="uk-UA"/>
        </w:rPr>
        <w:t>РІШЕННЯ</w:t>
      </w:r>
    </w:p>
    <w:p w:rsidR="00D002A0" w:rsidP="00940909">
      <w:pPr>
        <w:jc w:val="center"/>
      </w:pPr>
    </w:p>
    <w:p w:rsidR="00D002A0" w:rsidP="00940909">
      <w:pPr>
        <w:jc w:val="center"/>
      </w:pPr>
    </w:p>
    <w:p w:rsidR="00D002A0" w:rsidP="00991B15">
      <w:pPr>
        <w:jc w:val="center"/>
        <w:outlineLvl w:val="0"/>
      </w:pPr>
      <w:r>
        <w:rPr>
          <w:lang w:val="uk-UA"/>
        </w:rPr>
        <w:t>СТРАСБУРГ</w:t>
      </w:r>
    </w:p>
    <w:p w:rsidR="00D002A0" w:rsidP="00940909">
      <w:pPr>
        <w:jc w:val="center"/>
      </w:pPr>
    </w:p>
    <w:p w:rsidRPr="00820DF5" w:rsidR="00D002A0" w:rsidP="00940909">
      <w:pPr>
        <w:jc w:val="center"/>
        <w:rPr>
          <w:lang w:val="uk-UA"/>
        </w:rPr>
      </w:pPr>
      <w:r>
        <w:t xml:space="preserve">19 </w:t>
      </w:r>
      <w:r>
        <w:rPr>
          <w:lang w:val="uk-UA"/>
        </w:rPr>
        <w:t>квітня</w:t>
      </w:r>
      <w:r>
        <w:t xml:space="preserve"> 2007</w:t>
      </w:r>
      <w:r>
        <w:rPr>
          <w:lang w:val="uk-UA"/>
        </w:rPr>
        <w:t xml:space="preserve"> року</w:t>
      </w:r>
    </w:p>
    <w:p w:rsidR="00D002A0" w:rsidP="00940909">
      <w:pPr>
        <w:jc w:val="center"/>
      </w:pPr>
    </w:p>
    <w:p w:rsidRPr="006857F8" w:rsidR="00D002A0" w:rsidP="00940909">
      <w:pPr>
        <w:jc w:val="both"/>
      </w:pPr>
    </w:p>
    <w:p w:rsidR="00D002A0" w:rsidP="00940909">
      <w:pPr>
        <w:jc w:val="center"/>
      </w:pPr>
    </w:p>
    <w:p w:rsidRPr="00940909" w:rsidR="00D002A0" w:rsidP="00940909">
      <w:pPr>
        <w:jc w:val="center"/>
        <w:sectPr w:rsidSect="004C4821">
          <w:headerReference w:type="default" r:id="rId7"/>
          <w:footerReference w:type="default" r:id="rId8"/>
          <w:footnotePr>
            <w:numRestart w:val="eachPage"/>
          </w:footnotePr>
          <w:pgSz w:w="11906" w:h="16838" w:code="9"/>
          <w:pgMar w:top="2274" w:right="1440" w:bottom="1797" w:left="1440" w:header="899" w:footer="720" w:gutter="0"/>
          <w:pgNumType w:start="1"/>
          <w:cols w:space="720"/>
          <w:noEndnote/>
          <w:docGrid w:linePitch="326"/>
        </w:sectPr>
      </w:pPr>
    </w:p>
    <w:p w:rsidRPr="0052708C" w:rsidR="00D002A0" w:rsidP="00991B15">
      <w:pPr>
        <w:pStyle w:val="JuCase"/>
        <w:outlineLvl w:val="0"/>
      </w:pPr>
      <w:r>
        <w:rPr>
          <w:lang w:val="uk-UA"/>
        </w:rPr>
        <w:t>У справі Вільхо Ескелінен та інші проти Фінляндії</w:t>
      </w:r>
      <w:r w:rsidRPr="0052708C">
        <w:t>,</w:t>
      </w:r>
    </w:p>
    <w:p w:rsidRPr="00DC7991" w:rsidR="00D002A0" w:rsidP="005803E1">
      <w:pPr>
        <w:pStyle w:val="JuPara"/>
        <w:rPr>
          <w:lang w:val="ru-RU"/>
        </w:rPr>
      </w:pPr>
      <w:r>
        <w:rPr>
          <w:lang w:val="uk-UA"/>
        </w:rPr>
        <w:t>Європейський суд з прав людини</w:t>
      </w:r>
      <w:r w:rsidRPr="00DC7991">
        <w:rPr>
          <w:lang w:val="ru-RU"/>
        </w:rPr>
        <w:t xml:space="preserve">, </w:t>
      </w:r>
      <w:r>
        <w:rPr>
          <w:lang w:val="uk-UA"/>
        </w:rPr>
        <w:t>засідаючий Великою Палатою, до складу якої увійшли</w:t>
      </w:r>
      <w:r w:rsidRPr="00DC7991">
        <w:rPr>
          <w:lang w:val="ru-RU"/>
        </w:rPr>
        <w:t>:</w:t>
      </w:r>
    </w:p>
    <w:p w:rsidRPr="00DC7991" w:rsidR="00D002A0" w:rsidP="00457985">
      <w:pPr>
        <w:pStyle w:val="JuJudges"/>
        <w:rPr>
          <w:lang w:val="ru-RU" w:eastAsia="en-GB"/>
        </w:rPr>
      </w:pPr>
      <w:r w:rsidRPr="00DC7991">
        <w:rPr>
          <w:lang w:val="ru-RU" w:eastAsia="en-GB"/>
        </w:rPr>
        <w:tab/>
      </w:r>
      <w:r>
        <w:rPr>
          <w:lang w:val="uk-UA" w:eastAsia="en-GB"/>
        </w:rPr>
        <w:t>Жан-Поль Коста (</w:t>
      </w:r>
      <w:r w:rsidRPr="00457985">
        <w:rPr>
          <w:lang w:eastAsia="en-GB"/>
        </w:rPr>
        <w:t>Jean</w:t>
      </w:r>
      <w:r w:rsidRPr="00DC7991">
        <w:rPr>
          <w:lang w:val="ru-RU" w:eastAsia="en-GB"/>
        </w:rPr>
        <w:t>-</w:t>
      </w:r>
      <w:r w:rsidRPr="00457985">
        <w:rPr>
          <w:lang w:eastAsia="en-GB"/>
        </w:rPr>
        <w:t>Paul</w:t>
      </w:r>
      <w:r w:rsidRPr="00DC7991">
        <w:rPr>
          <w:lang w:val="ru-RU" w:eastAsia="en-GB"/>
        </w:rPr>
        <w:t xml:space="preserve"> </w:t>
      </w:r>
      <w:r w:rsidRPr="00457985">
        <w:rPr>
          <w:lang w:eastAsia="en-GB"/>
        </w:rPr>
        <w:t>Costa</w:t>
      </w:r>
      <w:r>
        <w:rPr>
          <w:lang w:val="uk-UA" w:eastAsia="en-GB"/>
        </w:rPr>
        <w:t>)</w:t>
      </w:r>
      <w:r w:rsidRPr="00DC7991">
        <w:rPr>
          <w:lang w:val="ru-RU" w:eastAsia="en-GB"/>
        </w:rPr>
        <w:t>,</w:t>
      </w:r>
      <w:r w:rsidRPr="00DC7991">
        <w:rPr>
          <w:i/>
          <w:lang w:val="ru-RU" w:eastAsia="en-GB"/>
        </w:rPr>
        <w:t xml:space="preserve"> </w:t>
      </w:r>
      <w:r>
        <w:rPr>
          <w:i/>
          <w:lang w:val="uk-UA" w:eastAsia="en-GB"/>
        </w:rPr>
        <w:t>голова</w:t>
      </w:r>
      <w:r w:rsidRPr="00DC7991">
        <w:rPr>
          <w:lang w:val="ru-RU" w:eastAsia="en-GB"/>
        </w:rPr>
        <w:t>,</w:t>
      </w:r>
      <w:r w:rsidRPr="00DC7991">
        <w:rPr>
          <w:i/>
          <w:lang w:val="ru-RU" w:eastAsia="en-GB"/>
        </w:rPr>
        <w:br/>
      </w:r>
      <w:r w:rsidRPr="00DC7991">
        <w:rPr>
          <w:lang w:val="ru-RU" w:eastAsia="en-GB"/>
        </w:rPr>
        <w:tab/>
      </w:r>
      <w:r>
        <w:rPr>
          <w:lang w:val="uk-UA" w:eastAsia="en-GB"/>
        </w:rPr>
        <w:t>Луціус Вільдхабер (</w:t>
      </w:r>
      <w:r w:rsidRPr="00457985">
        <w:rPr>
          <w:lang w:eastAsia="en-GB"/>
        </w:rPr>
        <w:t>Luzius</w:t>
      </w:r>
      <w:r w:rsidRPr="00DC7991">
        <w:rPr>
          <w:lang w:val="ru-RU" w:eastAsia="en-GB"/>
        </w:rPr>
        <w:t xml:space="preserve"> </w:t>
      </w:r>
      <w:r w:rsidRPr="00457985">
        <w:rPr>
          <w:lang w:eastAsia="en-GB"/>
        </w:rPr>
        <w:t>Wildhaber</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Крістос Розакіс (</w:t>
      </w:r>
      <w:r w:rsidRPr="00457985">
        <w:rPr>
          <w:lang w:eastAsia="en-GB"/>
        </w:rPr>
        <w:t>Christos</w:t>
      </w:r>
      <w:r w:rsidRPr="00DC7991">
        <w:rPr>
          <w:lang w:val="ru-RU" w:eastAsia="en-GB"/>
        </w:rPr>
        <w:t xml:space="preserve"> </w:t>
      </w:r>
      <w:r w:rsidRPr="00457985">
        <w:rPr>
          <w:lang w:eastAsia="en-GB"/>
        </w:rPr>
        <w:t>Rozakis</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Ніколас Братца (</w:t>
      </w:r>
      <w:r w:rsidRPr="00457985">
        <w:rPr>
          <w:lang w:eastAsia="en-GB"/>
        </w:rPr>
        <w:t>Nicolas</w:t>
      </w:r>
      <w:r w:rsidRPr="00DC7991">
        <w:rPr>
          <w:lang w:val="ru-RU" w:eastAsia="en-GB"/>
        </w:rPr>
        <w:t xml:space="preserve"> </w:t>
      </w:r>
      <w:r w:rsidRPr="00457985">
        <w:rPr>
          <w:lang w:eastAsia="en-GB"/>
        </w:rPr>
        <w:t>Bratza</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Пір Лоренцен (</w:t>
      </w:r>
      <w:r w:rsidRPr="00457985">
        <w:rPr>
          <w:lang w:eastAsia="en-GB"/>
        </w:rPr>
        <w:t>Peer</w:t>
      </w:r>
      <w:r w:rsidRPr="00DC7991">
        <w:rPr>
          <w:lang w:val="ru-RU" w:eastAsia="en-GB"/>
        </w:rPr>
        <w:t xml:space="preserve"> </w:t>
      </w:r>
      <w:r w:rsidRPr="00457985">
        <w:rPr>
          <w:lang w:eastAsia="en-GB"/>
        </w:rPr>
        <w:t>Lorenzen</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Франсуаза Тюлкен (</w:t>
      </w:r>
      <w:r w:rsidRPr="00457985">
        <w:rPr>
          <w:lang w:eastAsia="en-GB"/>
        </w:rPr>
        <w:t>Fran</w:t>
      </w:r>
      <w:r w:rsidRPr="00DC7991">
        <w:rPr>
          <w:lang w:val="ru-RU" w:eastAsia="en-GB"/>
        </w:rPr>
        <w:t>ç</w:t>
      </w:r>
      <w:r w:rsidRPr="00457985">
        <w:rPr>
          <w:lang w:eastAsia="en-GB"/>
        </w:rPr>
        <w:t>oise</w:t>
      </w:r>
      <w:r w:rsidRPr="00DC7991">
        <w:rPr>
          <w:lang w:val="ru-RU" w:eastAsia="en-GB"/>
        </w:rPr>
        <w:t xml:space="preserve"> </w:t>
      </w:r>
      <w:r w:rsidRPr="00457985">
        <w:rPr>
          <w:lang w:eastAsia="en-GB"/>
        </w:rPr>
        <w:t>Tulkens</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Джованні Бонелло (</w:t>
      </w:r>
      <w:r w:rsidRPr="00457985">
        <w:rPr>
          <w:lang w:eastAsia="en-GB"/>
        </w:rPr>
        <w:t>Giovanni</w:t>
      </w:r>
      <w:r w:rsidRPr="00DC7991">
        <w:rPr>
          <w:lang w:val="ru-RU" w:eastAsia="en-GB"/>
        </w:rPr>
        <w:t xml:space="preserve"> </w:t>
      </w:r>
      <w:r w:rsidRPr="00457985">
        <w:rPr>
          <w:lang w:eastAsia="en-GB"/>
        </w:rPr>
        <w:t>Bonello</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Різа Тюрмен (</w:t>
      </w:r>
      <w:r w:rsidRPr="00457985">
        <w:rPr>
          <w:lang w:eastAsia="en-GB"/>
        </w:rPr>
        <w:t>R</w:t>
      </w:r>
      <w:r w:rsidRPr="00DC7991">
        <w:rPr>
          <w:lang w:val="ru-RU" w:eastAsia="en-GB"/>
        </w:rPr>
        <w:t>ı</w:t>
      </w:r>
      <w:r w:rsidRPr="00457985">
        <w:rPr>
          <w:lang w:eastAsia="en-GB"/>
        </w:rPr>
        <w:t>za</w:t>
      </w:r>
      <w:r w:rsidRPr="00DC7991">
        <w:rPr>
          <w:lang w:val="ru-RU" w:eastAsia="en-GB"/>
        </w:rPr>
        <w:t xml:space="preserve"> </w:t>
      </w:r>
      <w:r w:rsidRPr="00457985">
        <w:rPr>
          <w:lang w:eastAsia="en-GB"/>
        </w:rPr>
        <w:t>T</w:t>
      </w:r>
      <w:r w:rsidRPr="00DC7991">
        <w:rPr>
          <w:lang w:val="ru-RU" w:eastAsia="en-GB"/>
        </w:rPr>
        <w:t>ü</w:t>
      </w:r>
      <w:r w:rsidRPr="00457985">
        <w:rPr>
          <w:lang w:eastAsia="en-GB"/>
        </w:rPr>
        <w:t>rmen</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Матті Пеллонпя (</w:t>
      </w:r>
      <w:r w:rsidRPr="00457985">
        <w:rPr>
          <w:lang w:eastAsia="en-GB"/>
        </w:rPr>
        <w:t>Matti</w:t>
      </w:r>
      <w:r w:rsidRPr="00DC7991">
        <w:rPr>
          <w:lang w:val="ru-RU" w:eastAsia="en-GB"/>
        </w:rPr>
        <w:t xml:space="preserve"> </w:t>
      </w:r>
      <w:r w:rsidRPr="00457985">
        <w:rPr>
          <w:lang w:eastAsia="en-GB"/>
        </w:rPr>
        <w:t>Pellonp</w:t>
      </w:r>
      <w:r w:rsidRPr="00DC7991">
        <w:rPr>
          <w:lang w:val="ru-RU" w:eastAsia="en-GB"/>
        </w:rPr>
        <w:t>ää</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Крістак Трая (</w:t>
      </w:r>
      <w:r w:rsidRPr="00457985">
        <w:rPr>
          <w:lang w:eastAsia="en-GB"/>
        </w:rPr>
        <w:t>Kristaq</w:t>
      </w:r>
      <w:r w:rsidRPr="00DC7991">
        <w:rPr>
          <w:lang w:val="ru-RU" w:eastAsia="en-GB"/>
        </w:rPr>
        <w:t xml:space="preserve"> </w:t>
      </w:r>
      <w:r w:rsidRPr="00457985">
        <w:rPr>
          <w:lang w:eastAsia="en-GB"/>
        </w:rPr>
        <w:t>Traja</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Міндія Угрехелідзе (</w:t>
      </w:r>
      <w:r w:rsidRPr="00457985">
        <w:rPr>
          <w:lang w:eastAsia="en-GB"/>
        </w:rPr>
        <w:t>Mindia</w:t>
      </w:r>
      <w:r w:rsidRPr="00DC7991">
        <w:rPr>
          <w:lang w:val="ru-RU" w:eastAsia="en-GB"/>
        </w:rPr>
        <w:t xml:space="preserve"> </w:t>
      </w:r>
      <w:r w:rsidRPr="00457985">
        <w:rPr>
          <w:lang w:eastAsia="en-GB"/>
        </w:rPr>
        <w:t>Ugrekhelidze</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Анатолій Ковлер (</w:t>
      </w:r>
      <w:r w:rsidRPr="00457985">
        <w:rPr>
          <w:lang w:eastAsia="en-GB"/>
        </w:rPr>
        <w:t>Anatoly</w:t>
      </w:r>
      <w:r w:rsidRPr="00DC7991">
        <w:rPr>
          <w:lang w:val="ru-RU" w:eastAsia="en-GB"/>
        </w:rPr>
        <w:t xml:space="preserve"> </w:t>
      </w:r>
      <w:r w:rsidRPr="00457985">
        <w:rPr>
          <w:lang w:eastAsia="en-GB"/>
        </w:rPr>
        <w:t>Kovler</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Лех Гарлицький (</w:t>
      </w:r>
      <w:r w:rsidRPr="00457985">
        <w:rPr>
          <w:lang w:eastAsia="en-GB"/>
        </w:rPr>
        <w:t>Lech</w:t>
      </w:r>
      <w:r w:rsidRPr="00DC7991">
        <w:rPr>
          <w:lang w:val="ru-RU" w:eastAsia="en-GB"/>
        </w:rPr>
        <w:t xml:space="preserve"> </w:t>
      </w:r>
      <w:r w:rsidRPr="00457985">
        <w:rPr>
          <w:lang w:eastAsia="en-GB"/>
        </w:rPr>
        <w:t>Garlicki</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Ксав’є Боррего Боррего (</w:t>
      </w:r>
      <w:r w:rsidRPr="00457985">
        <w:rPr>
          <w:lang w:eastAsia="en-GB"/>
        </w:rPr>
        <w:t>Javier</w:t>
      </w:r>
      <w:r w:rsidRPr="00DC7991">
        <w:rPr>
          <w:lang w:val="ru-RU" w:eastAsia="en-GB"/>
        </w:rPr>
        <w:t xml:space="preserve"> </w:t>
      </w:r>
      <w:r w:rsidRPr="00457985">
        <w:rPr>
          <w:lang w:eastAsia="en-GB"/>
        </w:rPr>
        <w:t>Borrego</w:t>
      </w:r>
      <w:r w:rsidRPr="00DC7991">
        <w:rPr>
          <w:lang w:val="ru-RU" w:eastAsia="en-GB"/>
        </w:rPr>
        <w:t xml:space="preserve"> </w:t>
      </w:r>
      <w:r w:rsidRPr="00457985">
        <w:rPr>
          <w:lang w:eastAsia="en-GB"/>
        </w:rPr>
        <w:t>Borrego</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Ліліана Мійович (</w:t>
      </w:r>
      <w:r w:rsidRPr="00457985">
        <w:rPr>
          <w:lang w:eastAsia="en-GB"/>
        </w:rPr>
        <w:t>Ljiljana</w:t>
      </w:r>
      <w:r w:rsidRPr="00DC7991">
        <w:rPr>
          <w:lang w:val="ru-RU" w:eastAsia="en-GB"/>
        </w:rPr>
        <w:t xml:space="preserve"> </w:t>
      </w:r>
      <w:r w:rsidRPr="00457985">
        <w:rPr>
          <w:lang w:eastAsia="en-GB"/>
        </w:rPr>
        <w:t>Mijovi</w:t>
      </w:r>
      <w:r w:rsidRPr="00DC7991">
        <w:rPr>
          <w:lang w:val="ru-RU" w:eastAsia="en-GB"/>
        </w:rPr>
        <w:t>ć</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Егберт Мійєр (</w:t>
      </w:r>
      <w:r w:rsidRPr="00457985">
        <w:rPr>
          <w:lang w:eastAsia="en-GB"/>
        </w:rPr>
        <w:t>Egbert</w:t>
      </w:r>
      <w:r w:rsidRPr="00DC7991">
        <w:rPr>
          <w:lang w:val="ru-RU" w:eastAsia="en-GB"/>
        </w:rPr>
        <w:t xml:space="preserve"> </w:t>
      </w:r>
      <w:r w:rsidRPr="00457985">
        <w:rPr>
          <w:lang w:eastAsia="en-GB"/>
        </w:rPr>
        <w:t>Myjer</w:t>
      </w:r>
      <w:r>
        <w:rPr>
          <w:lang w:val="uk-UA" w:eastAsia="en-GB"/>
        </w:rPr>
        <w:t>)</w:t>
      </w:r>
      <w:r w:rsidRPr="00DC7991">
        <w:rPr>
          <w:lang w:val="ru-RU" w:eastAsia="en-GB"/>
        </w:rPr>
        <w:t>,</w:t>
      </w:r>
      <w:r w:rsidRPr="00DC7991">
        <w:rPr>
          <w:i/>
          <w:lang w:val="ru-RU" w:eastAsia="en-GB"/>
        </w:rPr>
        <w:br/>
      </w:r>
      <w:r w:rsidRPr="00DC7991">
        <w:rPr>
          <w:lang w:val="ru-RU" w:eastAsia="en-GB"/>
        </w:rPr>
        <w:tab/>
      </w:r>
      <w:r>
        <w:rPr>
          <w:lang w:val="uk-UA" w:eastAsia="en-GB"/>
        </w:rPr>
        <w:t>Дануте Йочіене (</w:t>
      </w:r>
      <w:r w:rsidRPr="00457985">
        <w:rPr>
          <w:lang w:eastAsia="en-GB"/>
        </w:rPr>
        <w:t>Danut</w:t>
      </w:r>
      <w:r w:rsidRPr="00DC7991">
        <w:rPr>
          <w:lang w:val="ru-RU" w:eastAsia="en-GB"/>
        </w:rPr>
        <w:t xml:space="preserve">ė </w:t>
      </w:r>
      <w:r w:rsidRPr="00457985">
        <w:rPr>
          <w:lang w:eastAsia="en-GB"/>
        </w:rPr>
        <w:t>Jo</w:t>
      </w:r>
      <w:r w:rsidRPr="00DC7991">
        <w:rPr>
          <w:lang w:val="ru-RU" w:eastAsia="en-GB"/>
        </w:rPr>
        <w:t>č</w:t>
      </w:r>
      <w:r w:rsidRPr="00457985">
        <w:rPr>
          <w:lang w:eastAsia="en-GB"/>
        </w:rPr>
        <w:t>ien</w:t>
      </w:r>
      <w:r w:rsidRPr="00DC7991">
        <w:rPr>
          <w:lang w:val="ru-RU" w:eastAsia="en-GB"/>
        </w:rPr>
        <w:t>ė</w:t>
      </w:r>
      <w:r>
        <w:rPr>
          <w:lang w:val="uk-UA" w:eastAsia="en-GB"/>
        </w:rPr>
        <w:t>)</w:t>
      </w:r>
      <w:r w:rsidRPr="00DC7991">
        <w:rPr>
          <w:lang w:val="ru-RU" w:eastAsia="en-GB"/>
        </w:rPr>
        <w:t>,</w:t>
      </w:r>
      <w:r w:rsidRPr="00DC7991">
        <w:rPr>
          <w:i/>
          <w:lang w:val="ru-RU" w:eastAsia="en-GB"/>
        </w:rPr>
        <w:t xml:space="preserve"> </w:t>
      </w:r>
      <w:r>
        <w:rPr>
          <w:i/>
          <w:lang w:val="uk-UA" w:eastAsia="en-GB"/>
        </w:rPr>
        <w:t>судді</w:t>
      </w:r>
      <w:r w:rsidRPr="00DC7991">
        <w:rPr>
          <w:lang w:val="ru-RU" w:eastAsia="en-GB"/>
        </w:rPr>
        <w:t>,</w:t>
      </w:r>
    </w:p>
    <w:p w:rsidRPr="00DC7991" w:rsidR="00D002A0" w:rsidP="0052708C">
      <w:pPr>
        <w:pStyle w:val="JuJudges"/>
        <w:rPr>
          <w:lang w:val="ru-RU"/>
        </w:rPr>
      </w:pPr>
      <w:r>
        <w:rPr>
          <w:lang w:val="uk-UA"/>
        </w:rPr>
        <w:t>та</w:t>
      </w:r>
      <w:r w:rsidRPr="00DC7991">
        <w:rPr>
          <w:lang w:val="ru-RU"/>
        </w:rPr>
        <w:t xml:space="preserve"> </w:t>
      </w:r>
      <w:r>
        <w:rPr>
          <w:lang w:val="uk-UA"/>
        </w:rPr>
        <w:t>Ерік Фріберг (</w:t>
      </w:r>
      <w:r>
        <w:t>Erik</w:t>
      </w:r>
      <w:r w:rsidRPr="00DC7991">
        <w:rPr>
          <w:lang w:val="ru-RU"/>
        </w:rPr>
        <w:t xml:space="preserve"> </w:t>
      </w:r>
      <w:r>
        <w:t>Friberg</w:t>
      </w:r>
      <w:r>
        <w:rPr>
          <w:lang w:val="fr-FR"/>
        </w:rPr>
        <w:t>h</w:t>
      </w:r>
      <w:r>
        <w:rPr>
          <w:lang w:val="uk-UA"/>
        </w:rPr>
        <w:t>)</w:t>
      </w:r>
      <w:r w:rsidRPr="00DC7991">
        <w:rPr>
          <w:lang w:val="ru-RU"/>
        </w:rPr>
        <w:t xml:space="preserve">, </w:t>
      </w:r>
      <w:r w:rsidRPr="00743069">
        <w:rPr>
          <w:i/>
          <w:lang w:val="uk-UA"/>
        </w:rPr>
        <w:t>секретар</w:t>
      </w:r>
      <w:r w:rsidRPr="00DC7991">
        <w:rPr>
          <w:lang w:val="ru-RU"/>
        </w:rPr>
        <w:t>,</w:t>
      </w:r>
    </w:p>
    <w:p w:rsidRPr="00DC7991" w:rsidR="00D002A0">
      <w:pPr>
        <w:pStyle w:val="JuPara"/>
        <w:rPr>
          <w:lang w:val="ru-RU"/>
        </w:rPr>
      </w:pPr>
      <w:r>
        <w:rPr>
          <w:lang w:val="uk-UA"/>
        </w:rPr>
        <w:t xml:space="preserve">Після нарад за зачиненими дверима, які відбулися </w:t>
      </w:r>
      <w:r w:rsidRPr="00DC7991">
        <w:rPr>
          <w:lang w:val="ru-RU"/>
        </w:rPr>
        <w:t xml:space="preserve">20 </w:t>
      </w:r>
      <w:r>
        <w:rPr>
          <w:lang w:val="uk-UA"/>
        </w:rPr>
        <w:t>вересня</w:t>
      </w:r>
      <w:r w:rsidRPr="00DC7991">
        <w:rPr>
          <w:lang w:val="ru-RU"/>
        </w:rPr>
        <w:t xml:space="preserve"> 2006</w:t>
      </w:r>
      <w:r>
        <w:rPr>
          <w:lang w:val="uk-UA"/>
        </w:rPr>
        <w:t xml:space="preserve"> року та </w:t>
      </w:r>
      <w:r w:rsidRPr="00DC7991">
        <w:rPr>
          <w:lang w:val="ru-RU"/>
        </w:rPr>
        <w:t xml:space="preserve">21 </w:t>
      </w:r>
      <w:r>
        <w:rPr>
          <w:lang w:val="uk-UA"/>
        </w:rPr>
        <w:t>лютого</w:t>
      </w:r>
      <w:r w:rsidRPr="00DC7991">
        <w:rPr>
          <w:lang w:val="ru-RU"/>
        </w:rPr>
        <w:t xml:space="preserve"> 2007</w:t>
      </w:r>
      <w:r>
        <w:rPr>
          <w:lang w:val="uk-UA"/>
        </w:rPr>
        <w:t xml:space="preserve"> року</w:t>
      </w:r>
      <w:r w:rsidRPr="00DC7991">
        <w:rPr>
          <w:lang w:val="ru-RU"/>
        </w:rPr>
        <w:t>,</w:t>
      </w:r>
    </w:p>
    <w:p w:rsidRPr="00DC7991" w:rsidR="00D002A0">
      <w:pPr>
        <w:pStyle w:val="JuPara"/>
        <w:rPr>
          <w:lang w:val="ru-RU"/>
        </w:rPr>
      </w:pPr>
      <w:r>
        <w:rPr>
          <w:lang w:val="uk-UA"/>
        </w:rPr>
        <w:t>Виносить таке рішення, що було прийняте в останній із зазначених вище днів</w:t>
      </w:r>
      <w:r w:rsidRPr="00DC7991">
        <w:rPr>
          <w:lang w:val="ru-RU"/>
        </w:rPr>
        <w:t>:</w:t>
      </w:r>
    </w:p>
    <w:p w:rsidRPr="00DC7991" w:rsidR="00D002A0" w:rsidP="00991B15">
      <w:pPr>
        <w:pStyle w:val="JuHHead"/>
        <w:outlineLvl w:val="0"/>
        <w:rPr>
          <w:lang w:val="ru-RU"/>
        </w:rPr>
      </w:pPr>
      <w:r>
        <w:rPr>
          <w:lang w:val="uk-UA"/>
        </w:rPr>
        <w:t>ПРОЦЕДУРА</w:t>
      </w:r>
    </w:p>
    <w:p w:rsidRPr="00DC7991" w:rsidR="00D002A0" w:rsidP="00085109">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w:t>
      </w:r>
      <w:r w:rsidRPr="00DC7991">
        <w:rPr>
          <w:lang w:val="ru-RU"/>
        </w:rPr>
        <w:fldChar w:fldCharType="end"/>
      </w:r>
      <w:r w:rsidRPr="00DC7991">
        <w:rPr>
          <w:lang w:val="ru-RU"/>
        </w:rPr>
        <w:t>.</w:t>
      </w:r>
      <w:r w:rsidRPr="0052708C">
        <w:t>  </w:t>
      </w:r>
      <w:r>
        <w:rPr>
          <w:lang w:val="uk-UA"/>
        </w:rPr>
        <w:t>Справа порушена за заявою</w:t>
      </w:r>
      <w:r w:rsidRPr="00DC7991">
        <w:rPr>
          <w:lang w:val="ru-RU"/>
        </w:rPr>
        <w:t xml:space="preserve"> (</w:t>
      </w:r>
      <w:r>
        <w:rPr>
          <w:lang w:val="uk-UA"/>
        </w:rPr>
        <w:t>№</w:t>
      </w:r>
      <w:r w:rsidRPr="00DC7991">
        <w:rPr>
          <w:lang w:val="ru-RU"/>
        </w:rPr>
        <w:t xml:space="preserve"> 63235/00)</w:t>
      </w:r>
      <w:r>
        <w:rPr>
          <w:lang w:val="uk-UA"/>
        </w:rPr>
        <w:t>, поданою до Суду проти Республіки Фінляндія 19 жовтня 2000 року відповідно до статті 34 Конвенції про захист прав людини і основоположних свобод (далі – Конвенція)</w:t>
      </w:r>
      <w:r w:rsidRPr="00DC7991">
        <w:rPr>
          <w:lang w:val="ru-RU"/>
        </w:rPr>
        <w:t xml:space="preserve"> </w:t>
      </w:r>
      <w:r>
        <w:rPr>
          <w:lang w:val="uk-UA"/>
        </w:rPr>
        <w:t xml:space="preserve">вісьма громадянами Фінляндії </w:t>
      </w:r>
      <w:r w:rsidRPr="00DC7991">
        <w:rPr>
          <w:lang w:val="ru-RU"/>
        </w:rPr>
        <w:t>(</w:t>
      </w:r>
      <w:r>
        <w:rPr>
          <w:lang w:val="uk-UA"/>
        </w:rPr>
        <w:t>далі - заявники</w:t>
      </w:r>
      <w:r w:rsidRPr="00DC7991">
        <w:rPr>
          <w:lang w:val="ru-RU"/>
        </w:rPr>
        <w:t xml:space="preserve">): </w:t>
      </w:r>
      <w:r>
        <w:rPr>
          <w:lang w:val="uk-UA"/>
        </w:rPr>
        <w:t>старшим констеблем Вільхо Ескеліненом</w:t>
      </w:r>
      <w:r w:rsidRPr="00DC7991">
        <w:rPr>
          <w:lang w:val="ru-RU"/>
        </w:rPr>
        <w:t xml:space="preserve">; </w:t>
      </w:r>
      <w:r>
        <w:rPr>
          <w:lang w:val="uk-UA"/>
        </w:rPr>
        <w:t>старшим констеблем Арто Хуттуненом</w:t>
      </w:r>
      <w:r w:rsidRPr="00DC7991">
        <w:rPr>
          <w:lang w:val="ru-RU"/>
        </w:rPr>
        <w:t xml:space="preserve">; </w:t>
      </w:r>
      <w:r>
        <w:rPr>
          <w:lang w:val="uk-UA"/>
        </w:rPr>
        <w:t>сержантом Маркку Комулайненом</w:t>
      </w:r>
      <w:r w:rsidRPr="00DC7991">
        <w:rPr>
          <w:lang w:val="ru-RU"/>
        </w:rPr>
        <w:t xml:space="preserve">; </w:t>
      </w:r>
      <w:r>
        <w:rPr>
          <w:lang w:val="uk-UA"/>
        </w:rPr>
        <w:t>секретарем</w:t>
      </w:r>
      <w:r w:rsidRPr="00DC7991">
        <w:rPr>
          <w:lang w:val="ru-RU"/>
        </w:rPr>
        <w:t xml:space="preserve"> </w:t>
      </w:r>
      <w:r>
        <w:rPr>
          <w:lang w:val="uk-UA"/>
        </w:rPr>
        <w:t>Леа Іхацу</w:t>
      </w:r>
      <w:r w:rsidRPr="00DC7991">
        <w:rPr>
          <w:lang w:val="ru-RU"/>
        </w:rPr>
        <w:t xml:space="preserve">; </w:t>
      </w:r>
      <w:r>
        <w:rPr>
          <w:lang w:val="uk-UA"/>
        </w:rPr>
        <w:t xml:space="preserve">паном Тойво Паллоненом </w:t>
      </w:r>
      <w:r w:rsidRPr="00DC7991">
        <w:rPr>
          <w:lang w:val="ru-RU"/>
        </w:rPr>
        <w:t>(</w:t>
      </w:r>
      <w:r>
        <w:rPr>
          <w:lang w:val="uk-UA"/>
        </w:rPr>
        <w:t xml:space="preserve">працівником поліції, що вийшов на пенсію 1 січня </w:t>
      </w:r>
      <w:r w:rsidRPr="00DC7991">
        <w:rPr>
          <w:lang w:val="uk-UA"/>
        </w:rPr>
        <w:t>1993</w:t>
      </w:r>
      <w:r>
        <w:rPr>
          <w:lang w:val="uk-UA"/>
        </w:rPr>
        <w:t xml:space="preserve"> року</w:t>
      </w:r>
      <w:r w:rsidRPr="00DC7991">
        <w:rPr>
          <w:lang w:val="uk-UA"/>
        </w:rPr>
        <w:t xml:space="preserve">); </w:t>
      </w:r>
      <w:r>
        <w:rPr>
          <w:lang w:val="uk-UA"/>
        </w:rPr>
        <w:t>а також пані Пяйві Лаппалайнен</w:t>
      </w:r>
      <w:r w:rsidRPr="00DC7991">
        <w:rPr>
          <w:lang w:val="uk-UA"/>
        </w:rPr>
        <w:t xml:space="preserve">, </w:t>
      </w:r>
      <w:r>
        <w:rPr>
          <w:lang w:val="uk-UA"/>
        </w:rPr>
        <w:t>паном Янне Лаппалайненом і паном Юркі Лаппалайненом</w:t>
      </w:r>
      <w:r w:rsidRPr="00DC7991">
        <w:rPr>
          <w:lang w:val="uk-UA"/>
        </w:rPr>
        <w:t xml:space="preserve">, </w:t>
      </w:r>
      <w:r>
        <w:rPr>
          <w:lang w:val="uk-UA"/>
        </w:rPr>
        <w:t>які є спадкоємцями пана Ханну Лаппалайнена</w:t>
      </w:r>
      <w:r w:rsidRPr="00DC7991">
        <w:rPr>
          <w:lang w:val="uk-UA"/>
        </w:rPr>
        <w:t xml:space="preserve"> (</w:t>
      </w:r>
      <w:r>
        <w:rPr>
          <w:lang w:val="uk-UA"/>
        </w:rPr>
        <w:t>працівника поліції, який помер</w:t>
      </w:r>
      <w:r w:rsidRPr="00DC7991">
        <w:rPr>
          <w:lang w:val="uk-UA"/>
        </w:rPr>
        <w:t xml:space="preserve"> 22 </w:t>
      </w:r>
      <w:r>
        <w:rPr>
          <w:lang w:val="uk-UA"/>
        </w:rPr>
        <w:t>серпня</w:t>
      </w:r>
      <w:r w:rsidRPr="00DC7991">
        <w:rPr>
          <w:lang w:val="uk-UA"/>
        </w:rPr>
        <w:t xml:space="preserve"> 1995</w:t>
      </w:r>
      <w:r>
        <w:rPr>
          <w:lang w:val="uk-UA"/>
        </w:rPr>
        <w:t xml:space="preserve"> року</w:t>
      </w:r>
      <w:r w:rsidRPr="00DC7991">
        <w:rPr>
          <w:lang w:val="uk-UA"/>
        </w:rPr>
        <w:t>).</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2</w:t>
      </w:r>
      <w:r w:rsidRPr="00DC7991">
        <w:rPr>
          <w:lang w:val="ru-RU"/>
        </w:rPr>
        <w:fldChar w:fldCharType="end"/>
      </w:r>
      <w:r w:rsidRPr="00DC7991">
        <w:rPr>
          <w:lang w:val="ru-RU"/>
        </w:rPr>
        <w:t>.</w:t>
      </w:r>
      <w:r w:rsidRPr="0052708C">
        <w:t>  </w:t>
      </w:r>
      <w:r>
        <w:rPr>
          <w:lang w:val="uk-UA"/>
        </w:rPr>
        <w:t>Заявників представляли пан П. М. Петяйя та пан П. Орава, адвокати, що практикують у місті Хаапаярві. Двом із заявників було компенсовано витрати на отримання правової допомоги.</w:t>
      </w:r>
      <w:r w:rsidRPr="00DC7991">
        <w:rPr>
          <w:lang w:val="ru-RU"/>
        </w:rPr>
        <w:t xml:space="preserve"> </w:t>
      </w:r>
      <w:r>
        <w:rPr>
          <w:lang w:val="uk-UA"/>
        </w:rPr>
        <w:t>Фінський уряд (далі – уряд) був представлений його уповноваженим, паном А. Косоненом із Міністерства закордонних справ Фінляндії.</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w:t>
      </w:r>
      <w:r w:rsidRPr="00DC7991">
        <w:rPr>
          <w:lang w:val="ru-RU"/>
        </w:rPr>
        <w:fldChar w:fldCharType="end"/>
      </w:r>
      <w:r w:rsidRPr="00DC7991">
        <w:rPr>
          <w:lang w:val="ru-RU"/>
        </w:rPr>
        <w:t>.</w:t>
      </w:r>
      <w:r w:rsidRPr="0052708C">
        <w:t>  </w:t>
      </w:r>
      <w:r>
        <w:rPr>
          <w:lang w:val="uk-UA"/>
        </w:rPr>
        <w:t>Заявники стверджували, зокрема, що їм було відмовлено в проведенні усних слухань під час судового розгляду справи стосовно їхньої заробітної плати та що судовий розгляд був надмірно довгим.</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w:t>
      </w:r>
      <w:r w:rsidRPr="00DC7991">
        <w:rPr>
          <w:lang w:val="ru-RU"/>
        </w:rPr>
        <w:fldChar w:fldCharType="end"/>
      </w:r>
      <w:r w:rsidRPr="00DC7991">
        <w:rPr>
          <w:lang w:val="ru-RU"/>
        </w:rPr>
        <w:t>.</w:t>
      </w:r>
      <w:r w:rsidRPr="0052708C">
        <w:t>  </w:t>
      </w:r>
      <w:r>
        <w:rPr>
          <w:lang w:val="uk-UA"/>
        </w:rPr>
        <w:t xml:space="preserve">Заяву було передано на розгляд Четвертої секції Суду (п. 1 правила 52 Регламенту Суду). 29 листопада 2005 року Палата цієї секції у складі Ніколаса Братца, Джованні Бонелло, </w:t>
      </w:r>
      <w:r>
        <w:rPr>
          <w:lang w:val="uk-UA" w:eastAsia="en-GB"/>
        </w:rPr>
        <w:t>Матті Пеллонпя, Крістака Трая, Леха Гарлицького, Ксав’є Боррего Боррего, Ліліани Мійович, суддів, та Майкла О’Бойла, секретаря Секції, оголосила заяву прийнятною. Палата вирішила об’єднати розгляд заяви по суті з розглядом питання про застосовність статті 6 Конвенції. 21 березня 2006 року Палата відмовилася від розгляду справи на користь Великої Палати. Жодна зі сторін не заперечувала проти цього (стаття 30 Конвенції та правило 72 Регламенту Суду).</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w:t>
      </w:r>
      <w:r w:rsidRPr="00DC7991">
        <w:rPr>
          <w:lang w:val="ru-RU"/>
        </w:rPr>
        <w:fldChar w:fldCharType="end"/>
      </w:r>
      <w:r w:rsidRPr="00DC7991">
        <w:rPr>
          <w:lang w:val="ru-RU"/>
        </w:rPr>
        <w:t>.</w:t>
      </w:r>
      <w:r w:rsidRPr="0052708C">
        <w:t>  </w:t>
      </w:r>
      <w:r>
        <w:rPr>
          <w:lang w:val="uk-UA"/>
        </w:rPr>
        <w:t>Склад Великої Палати було визначено відповідно до положень пунктів 2 і 3 статті 27 Конвенції та правила 24 Регламенту Суду. Луціус Вільдхабер, строк повноважень якого спливав після слухання, на якому він головував, продовжив брати участь у провадженні (п. 7 статті 23). Боштьян М. Жупанчіч, який не зміг взяти участі в слуханні 21 лютого 2007 року, був замінений Франсуазою Тюлкен, запасним суддею (п. 3 правила 24).</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w:t>
      </w:r>
      <w:r w:rsidRPr="00DC7991">
        <w:rPr>
          <w:lang w:val="ru-RU"/>
        </w:rPr>
        <w:fldChar w:fldCharType="end"/>
      </w:r>
      <w:r w:rsidRPr="00DC7991">
        <w:rPr>
          <w:lang w:val="ru-RU"/>
        </w:rPr>
        <w:t>.</w:t>
      </w:r>
      <w:r w:rsidRPr="0052708C">
        <w:t>  </w:t>
      </w:r>
      <w:r>
        <w:rPr>
          <w:lang w:val="uk-UA"/>
        </w:rPr>
        <w:t>Заявники та уряд подали меморандуми по суті справи. Сторони у письмовій формі відповіли на зауваження один одного.</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w:t>
      </w:r>
      <w:r w:rsidRPr="00DC7991">
        <w:rPr>
          <w:lang w:val="ru-RU"/>
        </w:rPr>
        <w:fldChar w:fldCharType="end"/>
      </w:r>
      <w:r w:rsidRPr="00DC7991">
        <w:rPr>
          <w:lang w:val="ru-RU"/>
        </w:rPr>
        <w:t>.</w:t>
      </w:r>
      <w:r w:rsidRPr="0052708C">
        <w:t>  </w:t>
      </w:r>
      <w:r>
        <w:rPr>
          <w:lang w:val="uk-UA"/>
        </w:rPr>
        <w:t xml:space="preserve">Слухання справи у відкритому засіданні проходило в Палаці прав людини в Страсбурзі 20 вересня 2006 року </w:t>
      </w:r>
      <w:r w:rsidRPr="00DC7991">
        <w:rPr>
          <w:lang w:val="ru-RU"/>
        </w:rPr>
        <w:t>(</w:t>
      </w:r>
      <w:r>
        <w:rPr>
          <w:lang w:val="uk-UA"/>
        </w:rPr>
        <w:t>п. 3 правила</w:t>
      </w:r>
      <w:r w:rsidRPr="00DC7991">
        <w:rPr>
          <w:lang w:val="ru-RU"/>
        </w:rPr>
        <w:t xml:space="preserve"> 59).</w:t>
      </w:r>
    </w:p>
    <w:p w:rsidRPr="00DC7991" w:rsidR="00D002A0">
      <w:pPr>
        <w:pStyle w:val="JuPara"/>
        <w:rPr>
          <w:lang w:val="ru-RU"/>
        </w:rPr>
      </w:pPr>
    </w:p>
    <w:p w:rsidRPr="00DC7991" w:rsidR="00D002A0" w:rsidP="00F92A55">
      <w:pPr>
        <w:pStyle w:val="JuPara"/>
        <w:keepNext/>
        <w:keepLines/>
        <w:rPr>
          <w:lang w:val="ru-RU"/>
        </w:rPr>
      </w:pPr>
      <w:r>
        <w:rPr>
          <w:lang w:val="uk-UA"/>
        </w:rPr>
        <w:t>На судовому розгляді були присутні</w:t>
      </w:r>
      <w:r w:rsidRPr="00DC7991">
        <w:rPr>
          <w:lang w:val="ru-RU"/>
        </w:rPr>
        <w:t>:</w:t>
      </w:r>
    </w:p>
    <w:p w:rsidRPr="00DC7991" w:rsidR="00D002A0" w:rsidP="00F92A55">
      <w:pPr>
        <w:pStyle w:val="JuCourt"/>
        <w:keepLines/>
        <w:rPr>
          <w:lang w:val="ru-RU"/>
        </w:rPr>
      </w:pPr>
      <w:r w:rsidRPr="00DC7991">
        <w:rPr>
          <w:lang w:val="ru-RU"/>
        </w:rPr>
        <w:t>(</w:t>
      </w:r>
      <w:r w:rsidRPr="0052708C">
        <w:t>a</w:t>
      </w:r>
      <w:r w:rsidRPr="00DC7991">
        <w:rPr>
          <w:lang w:val="ru-RU"/>
        </w:rPr>
        <w:t>)</w:t>
      </w:r>
      <w:r w:rsidRPr="0052708C">
        <w:t>  </w:t>
      </w:r>
      <w:r w:rsidRPr="00C938A2">
        <w:rPr>
          <w:i/>
          <w:lang w:val="uk-UA"/>
        </w:rPr>
        <w:t>від уряду</w:t>
      </w:r>
      <w:r w:rsidRPr="00DC7991">
        <w:rPr>
          <w:lang w:val="ru-RU"/>
        </w:rPr>
        <w:br/>
      </w:r>
      <w:r>
        <w:rPr>
          <w:lang w:val="uk-UA"/>
        </w:rPr>
        <w:t>Пан А.</w:t>
      </w:r>
      <w:r w:rsidRPr="00DC7991">
        <w:rPr>
          <w:rStyle w:val="JuNames"/>
          <w:lang w:val="ru-RU"/>
        </w:rPr>
        <w:t xml:space="preserve"> </w:t>
      </w:r>
      <w:r>
        <w:rPr>
          <w:rStyle w:val="JuNames"/>
        </w:rPr>
        <w:t>Ko</w:t>
      </w:r>
      <w:r>
        <w:rPr>
          <w:rStyle w:val="JuNames"/>
          <w:lang w:val="uk-UA"/>
        </w:rPr>
        <w:t>с</w:t>
      </w:r>
      <w:r>
        <w:rPr>
          <w:rStyle w:val="JuNames"/>
        </w:rPr>
        <w:t>o</w:t>
      </w:r>
      <w:r>
        <w:rPr>
          <w:rStyle w:val="JuNames"/>
          <w:lang w:val="uk-UA"/>
        </w:rPr>
        <w:t>н</w:t>
      </w:r>
      <w:r>
        <w:rPr>
          <w:rStyle w:val="JuNames"/>
        </w:rPr>
        <w:t>e</w:t>
      </w:r>
      <w:r>
        <w:rPr>
          <w:rStyle w:val="JuNames"/>
          <w:lang w:val="uk-UA"/>
        </w:rPr>
        <w:t>н</w:t>
      </w:r>
      <w:r>
        <w:rPr>
          <w:lang w:val="uk-UA"/>
        </w:rPr>
        <w:t xml:space="preserve"> (</w:t>
      </w:r>
      <w:r>
        <w:rPr>
          <w:rStyle w:val="JuNames"/>
        </w:rPr>
        <w:t>A</w:t>
      </w:r>
      <w:r w:rsidRPr="00DC7991">
        <w:rPr>
          <w:rStyle w:val="JuNames"/>
          <w:lang w:val="ru-RU"/>
        </w:rPr>
        <w:t xml:space="preserve">. </w:t>
      </w:r>
      <w:r>
        <w:rPr>
          <w:rStyle w:val="JuNames"/>
        </w:rPr>
        <w:t>Kosonen</w:t>
      </w:r>
      <w:r>
        <w:rPr>
          <w:rStyle w:val="JuNames"/>
          <w:lang w:val="uk-UA"/>
        </w:rPr>
        <w:t>)</w:t>
      </w:r>
      <w:r w:rsidRPr="00DC7991">
        <w:rPr>
          <w:rStyle w:val="JuNames"/>
          <w:lang w:val="ru-RU"/>
        </w:rPr>
        <w:t>,</w:t>
      </w:r>
      <w:r w:rsidRPr="00DC7991">
        <w:rPr>
          <w:lang w:val="ru-RU"/>
        </w:rPr>
        <w:t xml:space="preserve"> </w:t>
      </w:r>
      <w:r>
        <w:rPr>
          <w:lang w:val="uk-UA"/>
        </w:rPr>
        <w:t>Міністерство закордонних справ</w:t>
      </w:r>
      <w:r w:rsidRPr="00DC7991">
        <w:rPr>
          <w:lang w:val="ru-RU"/>
        </w:rPr>
        <w:t>,</w:t>
      </w:r>
      <w:r w:rsidRPr="00DC7991">
        <w:rPr>
          <w:lang w:val="ru-RU"/>
        </w:rPr>
        <w:tab/>
      </w:r>
      <w:r>
        <w:rPr>
          <w:lang w:val="uk-UA"/>
        </w:rPr>
        <w:t xml:space="preserve"> </w:t>
      </w:r>
      <w:r w:rsidRPr="00C938A2">
        <w:rPr>
          <w:i/>
          <w:lang w:val="uk-UA"/>
        </w:rPr>
        <w:t>Уповноважений</w:t>
      </w:r>
      <w:r w:rsidRPr="00DC7991">
        <w:rPr>
          <w:lang w:val="ru-RU"/>
        </w:rPr>
        <w:t>,</w:t>
      </w:r>
      <w:r w:rsidRPr="00DC7991">
        <w:rPr>
          <w:lang w:val="ru-RU"/>
        </w:rPr>
        <w:br/>
      </w:r>
      <w:r>
        <w:rPr>
          <w:lang w:val="uk-UA"/>
        </w:rPr>
        <w:t>Пані</w:t>
      </w:r>
      <w:r w:rsidRPr="00DC7991">
        <w:rPr>
          <w:lang w:val="ru-RU"/>
        </w:rPr>
        <w:tab/>
      </w:r>
      <w:r>
        <w:rPr>
          <w:rStyle w:val="JuNames"/>
        </w:rPr>
        <w:t>A</w:t>
      </w:r>
      <w:r w:rsidRPr="00DC7991">
        <w:rPr>
          <w:rStyle w:val="JuNames"/>
          <w:lang w:val="ru-RU"/>
        </w:rPr>
        <w:t xml:space="preserve">. </w:t>
      </w:r>
      <w:r>
        <w:rPr>
          <w:rStyle w:val="JuNames"/>
          <w:lang w:val="uk-UA"/>
        </w:rPr>
        <w:t xml:space="preserve">Маннер (А. </w:t>
      </w:r>
      <w:r>
        <w:rPr>
          <w:rStyle w:val="JuNames"/>
        </w:rPr>
        <w:t>Manner</w:t>
      </w:r>
      <w:r>
        <w:rPr>
          <w:rStyle w:val="JuNames"/>
          <w:lang w:val="uk-UA"/>
        </w:rPr>
        <w:t>)</w:t>
      </w:r>
      <w:r w:rsidRPr="00DC7991">
        <w:rPr>
          <w:rStyle w:val="JuNames"/>
          <w:lang w:val="ru-RU"/>
        </w:rPr>
        <w:t>,</w:t>
      </w:r>
      <w:r w:rsidRPr="00DC7991">
        <w:rPr>
          <w:lang w:val="ru-RU"/>
        </w:rPr>
        <w:t xml:space="preserve"> </w:t>
      </w:r>
      <w:r>
        <w:rPr>
          <w:lang w:val="uk-UA"/>
        </w:rPr>
        <w:t>Міністерство юстиції</w:t>
      </w:r>
      <w:r w:rsidRPr="00DC7991">
        <w:rPr>
          <w:lang w:val="ru-RU"/>
        </w:rPr>
        <w:t>,</w:t>
      </w:r>
      <w:r w:rsidRPr="00DC7991">
        <w:rPr>
          <w:lang w:val="ru-RU"/>
        </w:rPr>
        <w:br/>
      </w:r>
      <w:r>
        <w:rPr>
          <w:lang w:val="uk-UA"/>
        </w:rPr>
        <w:t>Пані Т.</w:t>
      </w:r>
      <w:r w:rsidRPr="00DC7991">
        <w:rPr>
          <w:rStyle w:val="JuNames"/>
          <w:lang w:val="ru-RU"/>
        </w:rPr>
        <w:t xml:space="preserve"> </w:t>
      </w:r>
      <w:r>
        <w:rPr>
          <w:rStyle w:val="JuNames"/>
        </w:rPr>
        <w:t>E</w:t>
      </w:r>
      <w:r>
        <w:rPr>
          <w:rStyle w:val="JuNames"/>
          <w:lang w:val="uk-UA"/>
        </w:rPr>
        <w:t>ран</w:t>
      </w:r>
      <w:r w:rsidRPr="006F5F1F">
        <w:rPr>
          <w:rStyle w:val="JuNames"/>
        </w:rPr>
        <w:t>k</w:t>
      </w:r>
      <w:r>
        <w:rPr>
          <w:rStyle w:val="JuNames"/>
          <w:lang w:val="uk-UA"/>
        </w:rPr>
        <w:t>о (</w:t>
      </w:r>
      <w:r>
        <w:rPr>
          <w:rStyle w:val="JuNames"/>
        </w:rPr>
        <w:t>T</w:t>
      </w:r>
      <w:r w:rsidRPr="00DC7991">
        <w:rPr>
          <w:rStyle w:val="JuNames"/>
          <w:lang w:val="ru-RU"/>
        </w:rPr>
        <w:t xml:space="preserve">. </w:t>
      </w:r>
      <w:r>
        <w:rPr>
          <w:rStyle w:val="JuNames"/>
        </w:rPr>
        <w:t>Er</w:t>
      </w:r>
      <w:r w:rsidRPr="00DC7991">
        <w:rPr>
          <w:rStyle w:val="JuNames"/>
          <w:lang w:val="ru-RU"/>
        </w:rPr>
        <w:t>ä</w:t>
      </w:r>
      <w:r w:rsidRPr="006F5F1F">
        <w:rPr>
          <w:rStyle w:val="JuNames"/>
        </w:rPr>
        <w:t>nk</w:t>
      </w:r>
      <w:r w:rsidRPr="00DC7991">
        <w:rPr>
          <w:rStyle w:val="JuNames"/>
          <w:lang w:val="ru-RU"/>
        </w:rPr>
        <w:t>ö</w:t>
      </w:r>
      <w:r>
        <w:rPr>
          <w:rStyle w:val="JuNames"/>
          <w:lang w:val="uk-UA"/>
        </w:rPr>
        <w:t>)</w:t>
      </w:r>
      <w:r w:rsidRPr="00DC7991">
        <w:rPr>
          <w:rStyle w:val="JuNames"/>
          <w:lang w:val="ru-RU"/>
        </w:rPr>
        <w:t>,</w:t>
      </w:r>
      <w:r w:rsidRPr="00DC7991">
        <w:rPr>
          <w:lang w:val="ru-RU"/>
        </w:rPr>
        <w:t xml:space="preserve"> </w:t>
      </w:r>
      <w:r>
        <w:rPr>
          <w:lang w:val="uk-UA"/>
        </w:rPr>
        <w:t>Міністерство внутрішніх справ</w:t>
      </w:r>
      <w:r w:rsidRPr="00DC7991">
        <w:rPr>
          <w:lang w:val="ru-RU"/>
        </w:rPr>
        <w:t>,</w:t>
      </w:r>
      <w:r w:rsidRPr="00DC7991">
        <w:rPr>
          <w:lang w:val="ru-RU"/>
        </w:rPr>
        <w:tab/>
      </w:r>
      <w:r>
        <w:rPr>
          <w:lang w:val="uk-UA"/>
        </w:rPr>
        <w:t xml:space="preserve"> </w:t>
      </w:r>
      <w:r>
        <w:rPr>
          <w:i/>
          <w:lang w:val="uk-UA"/>
        </w:rPr>
        <w:t>Радники</w:t>
      </w:r>
      <w:r w:rsidRPr="00DC7991">
        <w:rPr>
          <w:lang w:val="ru-RU"/>
        </w:rPr>
        <w:t>;</w:t>
      </w:r>
    </w:p>
    <w:p w:rsidRPr="00DC7991" w:rsidR="00D002A0" w:rsidP="00F606E6">
      <w:pPr>
        <w:pStyle w:val="JuCourt"/>
        <w:keepLines/>
        <w:rPr>
          <w:lang w:val="ru-RU"/>
        </w:rPr>
      </w:pPr>
      <w:r w:rsidRPr="00DC7991">
        <w:rPr>
          <w:lang w:val="ru-RU"/>
        </w:rPr>
        <w:t>(</w:t>
      </w:r>
      <w:r w:rsidRPr="0052708C">
        <w:t>b</w:t>
      </w:r>
      <w:r w:rsidRPr="00DC7991">
        <w:rPr>
          <w:lang w:val="ru-RU"/>
        </w:rPr>
        <w:t>)</w:t>
      </w:r>
      <w:r w:rsidRPr="0052708C">
        <w:t>  </w:t>
      </w:r>
      <w:r w:rsidRPr="00C938A2">
        <w:rPr>
          <w:i/>
          <w:lang w:val="uk-UA"/>
        </w:rPr>
        <w:t>від заявників</w:t>
      </w:r>
      <w:r w:rsidRPr="00DC7991">
        <w:rPr>
          <w:i/>
          <w:lang w:val="ru-RU"/>
        </w:rPr>
        <w:br/>
      </w:r>
      <w:r>
        <w:rPr>
          <w:lang w:val="uk-UA"/>
        </w:rPr>
        <w:t>Пан П.</w:t>
      </w:r>
      <w:r w:rsidRPr="00DC7991">
        <w:rPr>
          <w:rStyle w:val="JuNames"/>
          <w:lang w:val="ru-RU"/>
        </w:rPr>
        <w:t xml:space="preserve"> </w:t>
      </w:r>
      <w:r>
        <w:rPr>
          <w:rStyle w:val="JuNames"/>
        </w:rPr>
        <w:t>O</w:t>
      </w:r>
      <w:r>
        <w:rPr>
          <w:rStyle w:val="JuNames"/>
          <w:lang w:val="uk-UA"/>
        </w:rPr>
        <w:t>р</w:t>
      </w:r>
      <w:r>
        <w:rPr>
          <w:rStyle w:val="JuNames"/>
        </w:rPr>
        <w:t>a</w:t>
      </w:r>
      <w:r>
        <w:rPr>
          <w:rStyle w:val="JuNames"/>
          <w:lang w:val="uk-UA"/>
        </w:rPr>
        <w:t>в</w:t>
      </w:r>
      <w:r>
        <w:rPr>
          <w:rStyle w:val="JuNames"/>
        </w:rPr>
        <w:t>a</w:t>
      </w:r>
      <w:r>
        <w:rPr>
          <w:rStyle w:val="JuNames"/>
          <w:lang w:val="uk-UA"/>
        </w:rPr>
        <w:t xml:space="preserve"> (</w:t>
      </w:r>
      <w:r>
        <w:t>P</w:t>
      </w:r>
      <w:r w:rsidRPr="00DC7991">
        <w:rPr>
          <w:rStyle w:val="JuNames"/>
          <w:lang w:val="ru-RU"/>
        </w:rPr>
        <w:t xml:space="preserve">. </w:t>
      </w:r>
      <w:r>
        <w:rPr>
          <w:rStyle w:val="JuNames"/>
        </w:rPr>
        <w:t>Orava</w:t>
      </w:r>
      <w:r>
        <w:rPr>
          <w:rStyle w:val="JuNames"/>
          <w:lang w:val="uk-UA"/>
        </w:rPr>
        <w:t>)</w:t>
      </w:r>
      <w:r w:rsidRPr="00DC7991">
        <w:rPr>
          <w:lang w:val="ru-RU"/>
        </w:rPr>
        <w:t>,</w:t>
      </w:r>
      <w:r w:rsidRPr="00DC7991">
        <w:rPr>
          <w:lang w:val="ru-RU"/>
        </w:rPr>
        <w:tab/>
      </w:r>
      <w:r w:rsidRPr="00087117">
        <w:rPr>
          <w:i/>
          <w:lang w:val="uk-UA"/>
        </w:rPr>
        <w:t>Адвокат</w:t>
      </w:r>
      <w:r w:rsidRPr="00DC7991">
        <w:rPr>
          <w:lang w:val="ru-RU"/>
        </w:rPr>
        <w:t>.</w:t>
      </w:r>
      <w:r w:rsidRPr="00DC7991">
        <w:rPr>
          <w:lang w:val="ru-RU"/>
        </w:rPr>
        <w:br/>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w:t>
      </w:r>
      <w:r w:rsidRPr="00DC7991">
        <w:rPr>
          <w:lang w:val="ru-RU"/>
        </w:rPr>
        <w:fldChar w:fldCharType="end"/>
      </w:r>
      <w:r w:rsidRPr="00DC7991">
        <w:rPr>
          <w:lang w:val="ru-RU"/>
        </w:rPr>
        <w:t>.</w:t>
      </w:r>
      <w:r>
        <w:t>  </w:t>
      </w:r>
      <w:r>
        <w:rPr>
          <w:lang w:val="uk-UA"/>
        </w:rPr>
        <w:t>Суд заслухав виступи пана Косонена і пана Орави та їхні відповіді на запитання суддів</w:t>
      </w:r>
      <w:r w:rsidRPr="00DC7991">
        <w:rPr>
          <w:lang w:val="ru-RU"/>
        </w:rPr>
        <w:t>.</w:t>
      </w:r>
    </w:p>
    <w:p w:rsidRPr="00DC7991" w:rsidR="00D002A0" w:rsidP="00991B15">
      <w:pPr>
        <w:pStyle w:val="JuHHead"/>
        <w:outlineLvl w:val="0"/>
        <w:rPr>
          <w:lang w:val="ru-RU"/>
        </w:rPr>
      </w:pPr>
      <w:r>
        <w:rPr>
          <w:lang w:val="uk-UA"/>
        </w:rPr>
        <w:t>ФАКТИ</w:t>
      </w:r>
    </w:p>
    <w:p w:rsidRPr="00DC7991" w:rsidR="00D002A0" w:rsidP="00991B15">
      <w:pPr>
        <w:pStyle w:val="JuHIRoman"/>
        <w:outlineLvl w:val="0"/>
        <w:rPr>
          <w:lang w:val="ru-RU"/>
        </w:rPr>
      </w:pPr>
      <w:r w:rsidRPr="0052708C">
        <w:t>I</w:t>
      </w:r>
      <w:r w:rsidRPr="00DC7991">
        <w:rPr>
          <w:lang w:val="ru-RU"/>
        </w:rPr>
        <w:t>.</w:t>
      </w:r>
      <w:r w:rsidRPr="0052708C">
        <w:t>  </w:t>
      </w:r>
      <w:r>
        <w:rPr>
          <w:lang w:val="uk-UA"/>
        </w:rPr>
        <w:t>ОБСТАВИНИ СПРАВИ</w:t>
      </w:r>
    </w:p>
    <w:p w:rsidRPr="00DC7991" w:rsidR="00D002A0" w:rsidP="00F92A55">
      <w:pPr>
        <w:pStyle w:val="JuPara"/>
        <w:keepNext/>
        <w:keepLines/>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w:t>
      </w:r>
      <w:r w:rsidRPr="00DC7991">
        <w:rPr>
          <w:lang w:val="ru-RU"/>
        </w:rPr>
        <w:fldChar w:fldCharType="end"/>
      </w:r>
      <w:r w:rsidRPr="00DC7991">
        <w:rPr>
          <w:lang w:val="ru-RU"/>
        </w:rPr>
        <w:t>.</w:t>
      </w:r>
      <w:r w:rsidRPr="0052708C">
        <w:t>  </w:t>
      </w:r>
      <w:r>
        <w:rPr>
          <w:lang w:val="uk-UA"/>
        </w:rPr>
        <w:t xml:space="preserve">Заявники народилися відповідно у </w:t>
      </w:r>
      <w:r w:rsidRPr="00DC7991">
        <w:rPr>
          <w:lang w:val="ru-RU"/>
        </w:rPr>
        <w:t xml:space="preserve">1955, 1953, 1954, 1956, 1937, 1957, 1983 </w:t>
      </w:r>
      <w:r>
        <w:rPr>
          <w:lang w:val="uk-UA"/>
        </w:rPr>
        <w:t>та</w:t>
      </w:r>
      <w:r w:rsidRPr="00DC7991">
        <w:rPr>
          <w:lang w:val="ru-RU"/>
        </w:rPr>
        <w:t xml:space="preserve"> 1981 </w:t>
      </w:r>
      <w:r>
        <w:rPr>
          <w:lang w:val="uk-UA"/>
        </w:rPr>
        <w:t>рр. та проживають у м. Сонкакоскі та у м. Сонкаярві</w:t>
      </w:r>
      <w:r w:rsidRPr="00DC7991">
        <w:rPr>
          <w:lang w:val="ru-RU"/>
        </w:rPr>
        <w:t>.</w:t>
      </w:r>
    </w:p>
    <w:p w:rsidRPr="00DC7991" w:rsidR="00D002A0" w:rsidP="00991B15">
      <w:pPr>
        <w:pStyle w:val="JuHA"/>
        <w:outlineLvl w:val="0"/>
        <w:rPr>
          <w:lang w:val="ru-RU"/>
        </w:rPr>
      </w:pPr>
      <w:r>
        <w:t>A</w:t>
      </w:r>
      <w:r w:rsidRPr="00DC7991">
        <w:rPr>
          <w:lang w:val="ru-RU"/>
        </w:rPr>
        <w:t>.</w:t>
      </w:r>
      <w:r>
        <w:t>  </w:t>
      </w:r>
      <w:r>
        <w:rPr>
          <w:lang w:val="uk-UA"/>
        </w:rPr>
        <w:t>Об’єднання поліцейського округу Сонкаярві з поліцейським округом Ійсалмі.</w:t>
      </w:r>
    </w:p>
    <w:p w:rsidRPr="00DC7991" w:rsidR="00D002A0" w:rsidP="002D202A">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w:t>
      </w:r>
      <w:r w:rsidRPr="00DC7991">
        <w:rPr>
          <w:lang w:val="ru-RU"/>
        </w:rPr>
        <w:fldChar w:fldCharType="end"/>
      </w:r>
      <w:r w:rsidRPr="00DC7991">
        <w:rPr>
          <w:lang w:val="ru-RU"/>
        </w:rPr>
        <w:t>.</w:t>
      </w:r>
      <w:r w:rsidRPr="0052708C">
        <w:t>  </w:t>
      </w:r>
      <w:r>
        <w:rPr>
          <w:lang w:val="uk-UA"/>
        </w:rPr>
        <w:t>Перші п’ять заявників і нині покійний пан Ханну Матті Лаппалайнен працювали в поліцейському окрузі Сонкаярві. Згідно з колективним договором, укладеним у 1986 році, вони мали право на компенсацію за службу у віддаленому районі, яка додавалася до зарплати у якості премії за службу у віддаленій частині країни. Розмір компенсації розраховувався відповідно до ступеня віддаленості району. Згідно з колективним договором, укладеним 15 березня 1988 року, компенсацію за роботу у віддалених районах було скасовано. Це могло призвести до зменшення розміру зарплати державних службовців, місцем роботи яких було місто Сонкаярві. Для того, щоб уникнути зменшення зарплати, колективний договір надавав їм, починаючи з 1 березня 1988 року, індивідуальну надбавку до щомісячної заробітної плати.</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11</w:t>
      </w:r>
      <w:r w:rsidRPr="00DC7991">
        <w:rPr>
          <w:lang w:val="ru-RU"/>
        </w:rPr>
        <w:fldChar w:fldCharType="end"/>
      </w:r>
      <w:r w:rsidRPr="00DC7991">
        <w:rPr>
          <w:lang w:val="ru-RU"/>
        </w:rPr>
        <w:t>.</w:t>
      </w:r>
      <w:r>
        <w:t>  </w:t>
      </w:r>
      <w:r>
        <w:rPr>
          <w:lang w:val="uk-UA"/>
        </w:rPr>
        <w:t xml:space="preserve">Рішенням Міністерства внутрішніх справ </w:t>
      </w:r>
      <w:r w:rsidRPr="00DC7991">
        <w:rPr>
          <w:lang w:val="ru-RU"/>
        </w:rPr>
        <w:t>(</w:t>
      </w:r>
      <w:r>
        <w:rPr>
          <w:i/>
        </w:rPr>
        <w:t>sis</w:t>
      </w:r>
      <w:r w:rsidRPr="00DC7991">
        <w:rPr>
          <w:i/>
          <w:lang w:val="ru-RU"/>
        </w:rPr>
        <w:t>ä</w:t>
      </w:r>
      <w:r>
        <w:rPr>
          <w:i/>
        </w:rPr>
        <w:t>asiainministeri</w:t>
      </w:r>
      <w:r w:rsidRPr="00DC7991">
        <w:rPr>
          <w:i/>
          <w:lang w:val="ru-RU"/>
        </w:rPr>
        <w:t xml:space="preserve">ö, </w:t>
      </w:r>
      <w:r>
        <w:rPr>
          <w:i/>
        </w:rPr>
        <w:t>inrikesministeriet</w:t>
      </w:r>
      <w:r w:rsidRPr="00DC7991">
        <w:rPr>
          <w:lang w:val="ru-RU"/>
        </w:rPr>
        <w:t>)</w:t>
      </w:r>
      <w:r>
        <w:rPr>
          <w:lang w:val="uk-UA"/>
        </w:rPr>
        <w:t xml:space="preserve"> від 1 листопада 1990 року поліцейський округ Сонкаярві був включений до складу поліцейського округу Ійсалмі. Після об’єднання двох округів, місце служби заявників змінилося. Вони також утратили індивідуальні надбавки до заробітної плати, у той час як відстань від місця роботи до місця проживання збільшилася на 50 км, оскільки їм треба було їздити з Сонкаярві до Ійсалмі.</w:t>
      </w:r>
    </w:p>
    <w:p w:rsidRPr="00DC7991" w:rsidR="00D002A0" w:rsidP="002D202A">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12</w:t>
      </w:r>
      <w:r w:rsidRPr="00DC7991">
        <w:rPr>
          <w:lang w:val="uk-UA"/>
        </w:rPr>
        <w:fldChar w:fldCharType="end"/>
      </w:r>
      <w:r w:rsidRPr="00DC7991">
        <w:rPr>
          <w:lang w:val="uk-UA"/>
        </w:rPr>
        <w:t>.</w:t>
      </w:r>
      <w:r>
        <w:t>  </w:t>
      </w:r>
      <w:r>
        <w:rPr>
          <w:lang w:val="uk-UA"/>
        </w:rPr>
        <w:t xml:space="preserve">За словами заявників, після подання ними 17 жовтня 1990 року клопотання стосовно цього питання, регіональне поліцейське управління м. Куопіо </w:t>
      </w:r>
      <w:r w:rsidRPr="00DC7991">
        <w:rPr>
          <w:lang w:val="uk-UA"/>
        </w:rPr>
        <w:t>(</w:t>
      </w:r>
      <w:r>
        <w:rPr>
          <w:i/>
        </w:rPr>
        <w:t>l</w:t>
      </w:r>
      <w:r w:rsidRPr="00DC7991">
        <w:rPr>
          <w:i/>
          <w:lang w:val="uk-UA"/>
        </w:rPr>
        <w:t>ää</w:t>
      </w:r>
      <w:r>
        <w:rPr>
          <w:i/>
        </w:rPr>
        <w:t>nin</w:t>
      </w:r>
      <w:r w:rsidRPr="00DC7991">
        <w:rPr>
          <w:i/>
          <w:lang w:val="uk-UA"/>
        </w:rPr>
        <w:t xml:space="preserve"> </w:t>
      </w:r>
      <w:r>
        <w:rPr>
          <w:i/>
        </w:rPr>
        <w:t>poliisijohto</w:t>
      </w:r>
      <w:r w:rsidRPr="00DC7991">
        <w:rPr>
          <w:i/>
          <w:lang w:val="uk-UA"/>
        </w:rPr>
        <w:t xml:space="preserve">, </w:t>
      </w:r>
      <w:r>
        <w:rPr>
          <w:i/>
        </w:rPr>
        <w:t>l</w:t>
      </w:r>
      <w:r w:rsidRPr="00DC7991">
        <w:rPr>
          <w:i/>
          <w:lang w:val="uk-UA"/>
        </w:rPr>
        <w:t>ä</w:t>
      </w:r>
      <w:r>
        <w:rPr>
          <w:i/>
        </w:rPr>
        <w:t>nspolisledningen</w:t>
      </w:r>
      <w:r w:rsidRPr="00DC7991">
        <w:rPr>
          <w:lang w:val="uk-UA"/>
        </w:rPr>
        <w:t xml:space="preserve">) </w:t>
      </w:r>
      <w:r>
        <w:rPr>
          <w:lang w:val="uk-UA"/>
        </w:rPr>
        <w:t>пообіцяло відшкодувати збитки, яких вони зазнали.</w:t>
      </w:r>
    </w:p>
    <w:p w:rsidRPr="00DC7991" w:rsidR="00D002A0" w:rsidP="002D202A">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13</w:t>
      </w:r>
      <w:r w:rsidRPr="00DC7991">
        <w:rPr>
          <w:lang w:val="uk-UA"/>
        </w:rPr>
        <w:fldChar w:fldCharType="end"/>
      </w:r>
      <w:r w:rsidRPr="00DC7991">
        <w:rPr>
          <w:lang w:val="uk-UA"/>
        </w:rPr>
        <w:t>.</w:t>
      </w:r>
      <w:r>
        <w:t>  </w:t>
      </w:r>
      <w:r>
        <w:rPr>
          <w:lang w:val="uk-UA"/>
        </w:rPr>
        <w:t xml:space="preserve">25 березня 1991 року Департамент поліції Міністерства внутрішніх справ, на прохання регіонального поліцейського управління, звернувся з клопотанням дозволити виплачувати щомісячну надбавку до зарплати у розмірі 500-700 фінських марок </w:t>
      </w:r>
      <w:r w:rsidRPr="00DC7991">
        <w:rPr>
          <w:lang w:val="uk-UA"/>
        </w:rPr>
        <w:t>(</w:t>
      </w:r>
      <w:r>
        <w:t>FIM</w:t>
      </w:r>
      <w:r w:rsidRPr="00DC7991">
        <w:rPr>
          <w:lang w:val="uk-UA"/>
        </w:rPr>
        <w:t>) (84</w:t>
      </w:r>
      <w:r w:rsidRPr="00DC7991">
        <w:rPr>
          <w:lang w:val="uk-UA"/>
        </w:rPr>
        <w:noBreakHyphen/>
        <w:t xml:space="preserve">118 </w:t>
      </w:r>
      <w:r>
        <w:rPr>
          <w:lang w:val="uk-UA"/>
        </w:rPr>
        <w:t>євро</w:t>
      </w:r>
      <w:r w:rsidRPr="00DC7991">
        <w:rPr>
          <w:lang w:val="uk-UA"/>
        </w:rPr>
        <w:t xml:space="preserve">) </w:t>
      </w:r>
      <w:r>
        <w:rPr>
          <w:lang w:val="uk-UA"/>
        </w:rPr>
        <w:t xml:space="preserve">поліцейським та іншим службовцям, яких було переведено з Сонкаярві до Ійсалмі. У клопотанні робилося посилання на нібито аналогічну справу </w:t>
      </w:r>
      <w:r w:rsidRPr="00DC7991">
        <w:rPr>
          <w:lang w:val="ru-RU"/>
        </w:rPr>
        <w:t>(</w:t>
      </w:r>
      <w:r>
        <w:rPr>
          <w:lang w:val="uk-UA"/>
        </w:rPr>
        <w:t>справу «</w:t>
      </w:r>
      <w:r w:rsidRPr="008F4FCD">
        <w:rPr>
          <w:lang w:val="uk-UA"/>
        </w:rPr>
        <w:t>Мянтюхар</w:t>
      </w:r>
      <w:r>
        <w:rPr>
          <w:lang w:val="uk-UA"/>
        </w:rPr>
        <w:t>’</w:t>
      </w:r>
      <w:r w:rsidRPr="008F4FCD">
        <w:rPr>
          <w:lang w:val="uk-UA"/>
        </w:rPr>
        <w:t>ю</w:t>
      </w:r>
      <w:r>
        <w:rPr>
          <w:lang w:val="uk-UA"/>
        </w:rPr>
        <w:t>»</w:t>
      </w:r>
      <w:r w:rsidRPr="00DC7991">
        <w:rPr>
          <w:lang w:val="ru-RU"/>
        </w:rPr>
        <w:t>)</w:t>
      </w:r>
      <w:r w:rsidRPr="00644CDE">
        <w:rPr>
          <w:lang w:val="uk-UA"/>
        </w:rPr>
        <w:t xml:space="preserve"> </w:t>
      </w:r>
      <w:r>
        <w:rPr>
          <w:lang w:val="uk-UA"/>
        </w:rPr>
        <w:t>(</w:t>
      </w:r>
      <w:r w:rsidRPr="000439D8">
        <w:rPr>
          <w:i/>
        </w:rPr>
        <w:t>M</w:t>
      </w:r>
      <w:r w:rsidRPr="00DC7991">
        <w:rPr>
          <w:i/>
          <w:lang w:val="uk-UA"/>
        </w:rPr>
        <w:t>ä</w:t>
      </w:r>
      <w:r w:rsidRPr="000439D8">
        <w:rPr>
          <w:i/>
        </w:rPr>
        <w:t>ntyharju</w:t>
      </w:r>
      <w:r w:rsidRPr="00DC7991">
        <w:rPr>
          <w:lang w:val="uk-UA"/>
        </w:rPr>
        <w:t xml:space="preserve"> </w:t>
      </w:r>
      <w:r>
        <w:t>case</w:t>
      </w:r>
      <w:r>
        <w:rPr>
          <w:lang w:val="uk-UA"/>
        </w:rPr>
        <w:t xml:space="preserve">), у якій Міністерство фінансів </w:t>
      </w:r>
      <w:r w:rsidRPr="00DC7991">
        <w:rPr>
          <w:lang w:val="uk-UA"/>
        </w:rPr>
        <w:t>(</w:t>
      </w:r>
      <w:r>
        <w:rPr>
          <w:i/>
        </w:rPr>
        <w:t>valtiovarainministeri</w:t>
      </w:r>
      <w:r w:rsidRPr="00DC7991">
        <w:rPr>
          <w:i/>
          <w:lang w:val="uk-UA"/>
        </w:rPr>
        <w:t>ö</w:t>
      </w:r>
      <w:r>
        <w:rPr>
          <w:i/>
          <w:lang w:val="uk-UA"/>
        </w:rPr>
        <w:t xml:space="preserve">, </w:t>
      </w:r>
      <w:r w:rsidRPr="004F1052">
        <w:rPr>
          <w:i/>
        </w:rPr>
        <w:t>finansministeriet</w:t>
      </w:r>
      <w:r w:rsidRPr="00DC7991">
        <w:rPr>
          <w:lang w:val="uk-UA"/>
        </w:rPr>
        <w:t>)</w:t>
      </w:r>
      <w:r>
        <w:rPr>
          <w:lang w:val="uk-UA"/>
        </w:rPr>
        <w:t xml:space="preserve"> задовольнило 29 грудня 1989 року клопотання про виплату індивідуальних надбавок. 3 липня 1991 року Міністерство фінансів відповіло, що воно не може надати такого дозволу. Відмова міністерства нічим не мотивувалася.</w:t>
      </w:r>
    </w:p>
    <w:p w:rsidRPr="00DC7991" w:rsidR="00D002A0" w:rsidP="002D202A">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14</w:t>
      </w:r>
      <w:r w:rsidRPr="00DC7991">
        <w:rPr>
          <w:lang w:val="uk-UA"/>
        </w:rPr>
        <w:fldChar w:fldCharType="end"/>
      </w:r>
      <w:r w:rsidRPr="00DC7991">
        <w:rPr>
          <w:lang w:val="uk-UA"/>
        </w:rPr>
        <w:t>.</w:t>
      </w:r>
      <w:r>
        <w:t>  </w:t>
      </w:r>
      <w:r>
        <w:rPr>
          <w:lang w:val="uk-UA"/>
        </w:rPr>
        <w:t xml:space="preserve">1 жовтня 1992 року повноваження приймати рішення про виплату надбавок службовцям місцевої поліції перейшли до регіональних адміністративних органів </w:t>
      </w:r>
      <w:r w:rsidRPr="00DC7991">
        <w:rPr>
          <w:lang w:val="uk-UA"/>
        </w:rPr>
        <w:t>(</w:t>
      </w:r>
      <w:r>
        <w:rPr>
          <w:i/>
        </w:rPr>
        <w:t>l</w:t>
      </w:r>
      <w:r w:rsidRPr="00DC7991">
        <w:rPr>
          <w:i/>
          <w:lang w:val="uk-UA"/>
        </w:rPr>
        <w:t>ää</w:t>
      </w:r>
      <w:r>
        <w:rPr>
          <w:i/>
        </w:rPr>
        <w:t>ninhallitus</w:t>
      </w:r>
      <w:r w:rsidRPr="00DC7991">
        <w:rPr>
          <w:i/>
          <w:lang w:val="uk-UA"/>
        </w:rPr>
        <w:t xml:space="preserve">, </w:t>
      </w:r>
      <w:r>
        <w:rPr>
          <w:i/>
        </w:rPr>
        <w:t>l</w:t>
      </w:r>
      <w:r w:rsidRPr="00DC7991">
        <w:rPr>
          <w:i/>
          <w:lang w:val="uk-UA"/>
        </w:rPr>
        <w:t>ä</w:t>
      </w:r>
      <w:r>
        <w:rPr>
          <w:i/>
        </w:rPr>
        <w:t>nsstyrelsen</w:t>
      </w:r>
      <w:r w:rsidRPr="00DC7991">
        <w:rPr>
          <w:lang w:val="uk-UA"/>
        </w:rPr>
        <w:t>).</w:t>
      </w:r>
    </w:p>
    <w:p w:rsidRPr="00DC7991" w:rsidR="00D002A0" w:rsidP="00991B15">
      <w:pPr>
        <w:pStyle w:val="JuHA"/>
        <w:outlineLvl w:val="0"/>
        <w:rPr>
          <w:lang w:val="ru-RU"/>
        </w:rPr>
      </w:pPr>
      <w:r>
        <w:t>B</w:t>
      </w:r>
      <w:r w:rsidRPr="00DC7991">
        <w:rPr>
          <w:lang w:val="ru-RU"/>
        </w:rPr>
        <w:t>.</w:t>
      </w:r>
      <w:r>
        <w:t>  </w:t>
      </w:r>
      <w:r>
        <w:rPr>
          <w:lang w:val="uk-UA"/>
        </w:rPr>
        <w:t>Розгляд справи регіональною адміністративною радою міста Куопіо</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15</w:t>
      </w:r>
      <w:r w:rsidRPr="00DC7991">
        <w:rPr>
          <w:lang w:val="ru-RU"/>
        </w:rPr>
        <w:fldChar w:fldCharType="end"/>
      </w:r>
      <w:r w:rsidRPr="00DC7991">
        <w:rPr>
          <w:lang w:val="ru-RU"/>
        </w:rPr>
        <w:t>.</w:t>
      </w:r>
      <w:r>
        <w:t>  </w:t>
      </w:r>
      <w:r>
        <w:rPr>
          <w:lang w:val="uk-UA"/>
        </w:rPr>
        <w:t xml:space="preserve">19 березня </w:t>
      </w:r>
      <w:r w:rsidRPr="00DC7991">
        <w:rPr>
          <w:lang w:val="ru-RU"/>
        </w:rPr>
        <w:t>1993</w:t>
      </w:r>
      <w:r>
        <w:rPr>
          <w:lang w:val="uk-UA"/>
        </w:rPr>
        <w:t xml:space="preserve"> року заявники подали клопотання про відшкодування зазнаних ними збитків. Вони посилалися на вищезазначене рішення у справі</w:t>
      </w:r>
      <w:r w:rsidRPr="005729E4">
        <w:rPr>
          <w:i/>
          <w:lang w:val="uk-UA"/>
        </w:rPr>
        <w:t xml:space="preserve"> </w:t>
      </w:r>
      <w:r>
        <w:rPr>
          <w:i/>
          <w:lang w:val="uk-UA"/>
        </w:rPr>
        <w:t>«</w:t>
      </w:r>
      <w:r w:rsidRPr="008F4FCD">
        <w:rPr>
          <w:lang w:val="uk-UA"/>
        </w:rPr>
        <w:t>Мянтюхар</w:t>
      </w:r>
      <w:r>
        <w:rPr>
          <w:lang w:val="uk-UA"/>
        </w:rPr>
        <w:t>’</w:t>
      </w:r>
      <w:r w:rsidRPr="008F4FCD">
        <w:rPr>
          <w:lang w:val="uk-UA"/>
        </w:rPr>
        <w:t>ю</w:t>
      </w:r>
      <w:r>
        <w:rPr>
          <w:lang w:val="uk-UA"/>
        </w:rPr>
        <w:t>» (</w:t>
      </w:r>
      <w:r w:rsidRPr="000439D8">
        <w:rPr>
          <w:i/>
        </w:rPr>
        <w:t>M</w:t>
      </w:r>
      <w:r w:rsidRPr="00DC7991">
        <w:rPr>
          <w:i/>
          <w:lang w:val="uk-UA"/>
        </w:rPr>
        <w:t>ä</w:t>
      </w:r>
      <w:r w:rsidRPr="000439D8">
        <w:rPr>
          <w:i/>
        </w:rPr>
        <w:t>ntyharju</w:t>
      </w:r>
      <w:r w:rsidRPr="00DC7991">
        <w:rPr>
          <w:lang w:val="uk-UA"/>
        </w:rPr>
        <w:t xml:space="preserve"> </w:t>
      </w:r>
      <w:r>
        <w:t>case</w:t>
      </w:r>
      <w:r>
        <w:rPr>
          <w:lang w:val="uk-UA"/>
        </w:rPr>
        <w:t xml:space="preserve">), а також на принцип рівності, закріплений у статті 5 чинної на той час Конституції </w:t>
      </w:r>
      <w:r w:rsidRPr="00DC7991">
        <w:rPr>
          <w:lang w:val="uk-UA"/>
        </w:rPr>
        <w:t>(</w:t>
      </w:r>
      <w:r w:rsidRPr="006F7482">
        <w:rPr>
          <w:i/>
        </w:rPr>
        <w:t>Suomen</w:t>
      </w:r>
      <w:r w:rsidRPr="00DC7991">
        <w:rPr>
          <w:i/>
          <w:lang w:val="uk-UA"/>
        </w:rPr>
        <w:t xml:space="preserve"> </w:t>
      </w:r>
      <w:r w:rsidRPr="006F7482">
        <w:rPr>
          <w:i/>
        </w:rPr>
        <w:t>hallitusmuoto</w:t>
      </w:r>
      <w:r w:rsidRPr="00DC7991">
        <w:rPr>
          <w:i/>
          <w:lang w:val="uk-UA"/>
        </w:rPr>
        <w:t xml:space="preserve">, </w:t>
      </w:r>
      <w:r w:rsidRPr="006F7482">
        <w:rPr>
          <w:i/>
        </w:rPr>
        <w:t>Regeringsform</w:t>
      </w:r>
      <w:r w:rsidRPr="00DC7991">
        <w:rPr>
          <w:i/>
          <w:lang w:val="uk-UA"/>
        </w:rPr>
        <w:t xml:space="preserve"> </w:t>
      </w:r>
      <w:r w:rsidRPr="006F7482">
        <w:rPr>
          <w:i/>
        </w:rPr>
        <w:t>f</w:t>
      </w:r>
      <w:r w:rsidRPr="00DC7991">
        <w:rPr>
          <w:i/>
          <w:lang w:val="uk-UA"/>
        </w:rPr>
        <w:t>ö</w:t>
      </w:r>
      <w:r w:rsidRPr="006F7482">
        <w:rPr>
          <w:i/>
        </w:rPr>
        <w:t>r</w:t>
      </w:r>
      <w:r w:rsidRPr="00DC7991">
        <w:rPr>
          <w:i/>
          <w:lang w:val="uk-UA"/>
        </w:rPr>
        <w:t xml:space="preserve"> </w:t>
      </w:r>
      <w:r w:rsidRPr="006F7482">
        <w:rPr>
          <w:i/>
        </w:rPr>
        <w:t>Finland</w:t>
      </w:r>
      <w:r w:rsidRPr="00DC7991">
        <w:rPr>
          <w:lang w:val="uk-UA"/>
        </w:rPr>
        <w:t xml:space="preserve">; </w:t>
      </w:r>
      <w:r>
        <w:rPr>
          <w:lang w:val="uk-UA"/>
        </w:rPr>
        <w:t>закон №</w:t>
      </w:r>
      <w:r w:rsidRPr="00DC7991">
        <w:rPr>
          <w:lang w:val="uk-UA"/>
        </w:rPr>
        <w:t xml:space="preserve"> 94/1919).</w:t>
      </w:r>
    </w:p>
    <w:p w:rsidRPr="00DC7991" w:rsidR="00D002A0" w:rsidP="002D202A">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16</w:t>
      </w:r>
      <w:r w:rsidRPr="00DC7991">
        <w:rPr>
          <w:lang w:val="ru-RU"/>
        </w:rPr>
        <w:fldChar w:fldCharType="end"/>
      </w:r>
      <w:r w:rsidRPr="00DC7991">
        <w:rPr>
          <w:lang w:val="ru-RU"/>
        </w:rPr>
        <w:t>.</w:t>
      </w:r>
      <w:r>
        <w:t>  </w:t>
      </w:r>
      <w:r>
        <w:rPr>
          <w:lang w:val="uk-UA"/>
        </w:rPr>
        <w:t>Чотири роки потому</w:t>
      </w:r>
      <w:r w:rsidRPr="00DC7991">
        <w:rPr>
          <w:lang w:val="ru-RU"/>
        </w:rPr>
        <w:t xml:space="preserve">, </w:t>
      </w:r>
      <w:r>
        <w:rPr>
          <w:lang w:val="uk-UA"/>
        </w:rPr>
        <w:t>1</w:t>
      </w:r>
      <w:r w:rsidRPr="00DC7991">
        <w:rPr>
          <w:lang w:val="ru-RU"/>
        </w:rPr>
        <w:t xml:space="preserve">9 </w:t>
      </w:r>
      <w:r>
        <w:rPr>
          <w:lang w:val="uk-UA"/>
        </w:rPr>
        <w:t xml:space="preserve">березня </w:t>
      </w:r>
      <w:r w:rsidRPr="00DC7991">
        <w:rPr>
          <w:lang w:val="ru-RU"/>
        </w:rPr>
        <w:t>1997</w:t>
      </w:r>
      <w:r>
        <w:rPr>
          <w:lang w:val="uk-UA"/>
        </w:rPr>
        <w:t xml:space="preserve"> року</w:t>
      </w:r>
      <w:r w:rsidRPr="00DC7991">
        <w:rPr>
          <w:lang w:val="ru-RU"/>
        </w:rPr>
        <w:t xml:space="preserve">, </w:t>
      </w:r>
      <w:r>
        <w:rPr>
          <w:lang w:val="uk-UA"/>
        </w:rPr>
        <w:t>регіональна адміністративна рада м. Куопіо відхилила їхнє клопотання, мотивуючи це так</w:t>
      </w:r>
      <w:r w:rsidRPr="00DC7991">
        <w:rPr>
          <w:lang w:val="ru-RU"/>
        </w:rPr>
        <w:t>:</w:t>
      </w:r>
    </w:p>
    <w:p w:rsidRPr="00DC7991" w:rsidR="00D002A0" w:rsidP="00CF3CD0">
      <w:pPr>
        <w:pStyle w:val="JuQuot"/>
        <w:rPr>
          <w:lang w:val="uk-UA"/>
        </w:rPr>
      </w:pPr>
      <w:r w:rsidRPr="00DC7991">
        <w:rPr>
          <w:lang w:val="ru-RU"/>
        </w:rPr>
        <w:t>“</w:t>
      </w:r>
      <w:r>
        <w:rPr>
          <w:lang w:val="uk-UA"/>
        </w:rPr>
        <w:t>Державні службовці колишнього поліцейського округу Сонкаярві</w:t>
      </w:r>
      <w:r w:rsidRPr="00DC7991">
        <w:rPr>
          <w:lang w:val="ru-RU"/>
        </w:rPr>
        <w:t xml:space="preserve"> </w:t>
      </w:r>
      <w:r>
        <w:rPr>
          <w:lang w:val="uk-UA"/>
        </w:rPr>
        <w:t>звернулися з клопотанням про відшкодування збитків, зазнаних ними у результаті об’єднання поліцейських округів. У відповідь на це регіональне поліцейське управління, підтримуючи їхні вимоги, подало документи до Департаменту поліції Міністерства внутрішніх справ. У листі від 25 березня 1991 року</w:t>
      </w:r>
      <w:r w:rsidRPr="00DC7991">
        <w:rPr>
          <w:lang w:val="uk-UA"/>
        </w:rPr>
        <w:t xml:space="preserve"> </w:t>
      </w:r>
      <w:r>
        <w:rPr>
          <w:lang w:val="uk-UA"/>
        </w:rPr>
        <w:t xml:space="preserve">Міністерство внутрішніх справ рекомендувало Міністерству фінансів виплатити у зворотньому порядку, починаючи з </w:t>
      </w:r>
      <w:r w:rsidRPr="00DC7991">
        <w:rPr>
          <w:lang w:val="uk-UA"/>
        </w:rPr>
        <w:t xml:space="preserve">1 </w:t>
      </w:r>
      <w:r>
        <w:rPr>
          <w:lang w:val="uk-UA"/>
        </w:rPr>
        <w:t>листопада</w:t>
      </w:r>
      <w:r w:rsidRPr="00DC7991">
        <w:rPr>
          <w:lang w:val="uk-UA"/>
        </w:rPr>
        <w:t xml:space="preserve"> 1990 </w:t>
      </w:r>
      <w:r>
        <w:rPr>
          <w:lang w:val="uk-UA"/>
        </w:rPr>
        <w:t>року, індивідуальні надбавки до заробітної плати тим державним службовцям, які після об’єднання поліцейських округів були переведені на службу до міста Ійсалмі</w:t>
      </w:r>
      <w:r w:rsidRPr="00DC7991">
        <w:rPr>
          <w:lang w:val="uk-UA"/>
        </w:rPr>
        <w:t>.</w:t>
      </w:r>
    </w:p>
    <w:p w:rsidRPr="00DC7991" w:rsidR="00D002A0" w:rsidP="00CF3CD0">
      <w:pPr>
        <w:pStyle w:val="JuQuot"/>
        <w:rPr>
          <w:lang w:val="uk-UA"/>
        </w:rPr>
      </w:pPr>
      <w:r>
        <w:rPr>
          <w:lang w:val="uk-UA"/>
        </w:rPr>
        <w:t xml:space="preserve">У листі від </w:t>
      </w:r>
      <w:r w:rsidRPr="00DC7991">
        <w:rPr>
          <w:lang w:val="uk-UA"/>
        </w:rPr>
        <w:t xml:space="preserve">3 </w:t>
      </w:r>
      <w:r>
        <w:rPr>
          <w:lang w:val="uk-UA"/>
        </w:rPr>
        <w:t xml:space="preserve">липня </w:t>
      </w:r>
      <w:r w:rsidRPr="00DC7991">
        <w:rPr>
          <w:lang w:val="uk-UA"/>
        </w:rPr>
        <w:t>1991</w:t>
      </w:r>
      <w:r>
        <w:rPr>
          <w:lang w:val="uk-UA"/>
        </w:rPr>
        <w:t xml:space="preserve"> року</w:t>
      </w:r>
      <w:r w:rsidRPr="00DC7991">
        <w:rPr>
          <w:lang w:val="uk-UA"/>
        </w:rPr>
        <w:t>, [</w:t>
      </w:r>
      <w:r>
        <w:rPr>
          <w:lang w:val="uk-UA"/>
        </w:rPr>
        <w:t>Міністерство фінансів</w:t>
      </w:r>
      <w:r w:rsidRPr="00DC7991">
        <w:rPr>
          <w:lang w:val="uk-UA"/>
        </w:rPr>
        <w:t xml:space="preserve">] </w:t>
      </w:r>
      <w:r>
        <w:rPr>
          <w:lang w:val="uk-UA"/>
        </w:rPr>
        <w:t>поінформувало Міністерство внутрішніх справ про своє рішення щодо неможливості задовільнити таке клопотання</w:t>
      </w:r>
      <w:r w:rsidRPr="00DC7991">
        <w:rPr>
          <w:lang w:val="uk-UA"/>
        </w:rPr>
        <w:t>.</w:t>
      </w:r>
    </w:p>
    <w:p w:rsidRPr="00DC7991" w:rsidR="00D002A0" w:rsidP="00CF3CD0">
      <w:pPr>
        <w:pStyle w:val="JuQuot"/>
        <w:rPr>
          <w:lang w:val="uk-UA"/>
        </w:rPr>
      </w:pPr>
      <w:r>
        <w:rPr>
          <w:lang w:val="uk-UA"/>
        </w:rPr>
        <w:t>Після прийняття рішення</w:t>
      </w:r>
      <w:r w:rsidRPr="00DC7991">
        <w:rPr>
          <w:lang w:val="ru-RU"/>
        </w:rPr>
        <w:t xml:space="preserve"> [</w:t>
      </w:r>
      <w:r>
        <w:rPr>
          <w:lang w:val="uk-UA"/>
        </w:rPr>
        <w:t>Міністерством фінансів</w:t>
      </w:r>
      <w:r w:rsidRPr="00DC7991">
        <w:rPr>
          <w:lang w:val="ru-RU"/>
        </w:rPr>
        <w:t xml:space="preserve">], </w:t>
      </w:r>
      <w:r>
        <w:rPr>
          <w:lang w:val="uk-UA"/>
        </w:rPr>
        <w:t>повноваження вирішувати питання стосовно виплати індивідуальних надбавок перейшли до регіональних адміністративних органів.</w:t>
      </w:r>
      <w:r w:rsidRPr="00DC7991">
        <w:rPr>
          <w:lang w:val="ru-RU"/>
        </w:rPr>
        <w:t xml:space="preserve"> 28</w:t>
      </w:r>
      <w:r>
        <w:t> </w:t>
      </w:r>
      <w:r>
        <w:rPr>
          <w:lang w:val="uk-UA"/>
        </w:rPr>
        <w:t xml:space="preserve">січня </w:t>
      </w:r>
      <w:r w:rsidRPr="00DC7991">
        <w:rPr>
          <w:lang w:val="ru-RU"/>
        </w:rPr>
        <w:t>1993</w:t>
      </w:r>
      <w:r>
        <w:rPr>
          <w:lang w:val="uk-UA"/>
        </w:rPr>
        <w:t xml:space="preserve"> року</w:t>
      </w:r>
      <w:r w:rsidRPr="00DC7991">
        <w:rPr>
          <w:lang w:val="ru-RU"/>
        </w:rPr>
        <w:t xml:space="preserve">, </w:t>
      </w:r>
      <w:r>
        <w:rPr>
          <w:lang w:val="uk-UA"/>
        </w:rPr>
        <w:t xml:space="preserve">під час наради, організованої у регіональному поліцейському управлінні, на якій заявників представляв пан Лаппалайнен, було зазначено, що ведуться переговори щодо аналогічної справи, яка стосується поліцейського округу Аскола в провінції Уусімаа. Оскільки </w:t>
      </w:r>
      <w:r w:rsidRPr="00DC7991">
        <w:rPr>
          <w:lang w:val="uk-UA"/>
        </w:rPr>
        <w:t>[</w:t>
      </w:r>
      <w:r>
        <w:rPr>
          <w:lang w:val="uk-UA"/>
        </w:rPr>
        <w:t>Міністерство фінансів</w:t>
      </w:r>
      <w:r w:rsidRPr="00DC7991">
        <w:rPr>
          <w:lang w:val="uk-UA"/>
        </w:rPr>
        <w:t xml:space="preserve">], </w:t>
      </w:r>
      <w:r>
        <w:rPr>
          <w:lang w:val="uk-UA"/>
        </w:rPr>
        <w:t>яке мало відповідні повноваження, вже винесло рішення щодо клопотань, які стосувалися поліцейського округу Сонкаярві, було вирішено, що, з міркувань справедливості, рішення, прийняте в провінції Уусімаа, якщо воно відрізнятиметься від позиції Міністерства фінансів, буде дотримуватись і в окрузі міста Куопіо.</w:t>
      </w:r>
      <w:r w:rsidRPr="00DC7991">
        <w:rPr>
          <w:lang w:val="uk-UA"/>
        </w:rPr>
        <w:t xml:space="preserve"> </w:t>
      </w:r>
      <w:r>
        <w:rPr>
          <w:lang w:val="uk-UA"/>
        </w:rPr>
        <w:t>Адміністрація провінції Уусімаа</w:t>
      </w:r>
      <w:r w:rsidRPr="00DC7991">
        <w:rPr>
          <w:lang w:val="uk-UA"/>
        </w:rPr>
        <w:t xml:space="preserve"> </w:t>
      </w:r>
      <w:r>
        <w:rPr>
          <w:lang w:val="uk-UA"/>
        </w:rPr>
        <w:t xml:space="preserve">відхилила клопотання. Її рішення було залишене в силі Вищим адміністративним судом. Ні в листі від 19 березня 1993 року, ні в </w:t>
      </w:r>
      <w:r w:rsidRPr="00DC7991">
        <w:rPr>
          <w:lang w:val="uk-UA"/>
        </w:rPr>
        <w:t>[</w:t>
      </w:r>
      <w:r>
        <w:rPr>
          <w:lang w:val="uk-UA"/>
        </w:rPr>
        <w:t>додатковій і</w:t>
      </w:r>
      <w:r w:rsidRPr="00DC7991">
        <w:rPr>
          <w:lang w:val="uk-UA"/>
        </w:rPr>
        <w:t xml:space="preserve">] </w:t>
      </w:r>
      <w:r>
        <w:rPr>
          <w:lang w:val="uk-UA"/>
        </w:rPr>
        <w:t xml:space="preserve">окремій заяві пана Паллонена від 17 серпня 1994 року не було викладено нових міркувань на підтримку клопотань, стосовно яких </w:t>
      </w:r>
      <w:r w:rsidRPr="00DC7991">
        <w:rPr>
          <w:lang w:val="uk-UA"/>
        </w:rPr>
        <w:t>[</w:t>
      </w:r>
      <w:r>
        <w:rPr>
          <w:lang w:val="uk-UA"/>
        </w:rPr>
        <w:t>Міністерство фінансів</w:t>
      </w:r>
      <w:r w:rsidRPr="00DC7991">
        <w:rPr>
          <w:lang w:val="uk-UA"/>
        </w:rPr>
        <w:t>]</w:t>
      </w:r>
      <w:r>
        <w:rPr>
          <w:lang w:val="uk-UA"/>
        </w:rPr>
        <w:t xml:space="preserve"> уже винесло рішення</w:t>
      </w:r>
      <w:r w:rsidRPr="00DC7991">
        <w:rPr>
          <w:lang w:val="uk-UA"/>
        </w:rPr>
        <w:t>.</w:t>
      </w:r>
    </w:p>
    <w:p w:rsidRPr="00DC7991" w:rsidR="00D002A0" w:rsidP="00CF3CD0">
      <w:pPr>
        <w:pStyle w:val="JuQuot"/>
        <w:rPr>
          <w:lang w:val="uk-UA"/>
        </w:rPr>
      </w:pPr>
      <w:r>
        <w:rPr>
          <w:lang w:val="uk-UA"/>
        </w:rPr>
        <w:t xml:space="preserve">Регіональній адміністративній раді не відомо про будь-які позитивні рішення щодо відшкодування збитків в аналогічних справах стосовно об’єднання поліцейських округів будь-де в країні, прийняті після вищезгаданого рішення </w:t>
      </w:r>
      <w:r w:rsidRPr="00DC7991">
        <w:rPr>
          <w:lang w:val="uk-UA"/>
        </w:rPr>
        <w:t>[</w:t>
      </w:r>
      <w:r>
        <w:rPr>
          <w:lang w:val="uk-UA"/>
        </w:rPr>
        <w:t>Міністерства фінансів</w:t>
      </w:r>
      <w:r w:rsidRPr="00DC7991">
        <w:rPr>
          <w:lang w:val="uk-UA"/>
        </w:rPr>
        <w:t>].</w:t>
      </w:r>
    </w:p>
    <w:p w:rsidRPr="00DC7991" w:rsidR="00D002A0" w:rsidP="00CF3CD0">
      <w:pPr>
        <w:pStyle w:val="JuQuot"/>
        <w:rPr>
          <w:lang w:val="ru-RU"/>
        </w:rPr>
      </w:pPr>
      <w:r>
        <w:rPr>
          <w:lang w:val="uk-UA"/>
        </w:rPr>
        <w:t xml:space="preserve">У </w:t>
      </w:r>
      <w:r w:rsidRPr="00DC7991">
        <w:rPr>
          <w:lang w:val="uk-UA"/>
        </w:rPr>
        <w:t>1990</w:t>
      </w:r>
      <w:r>
        <w:rPr>
          <w:lang w:val="uk-UA"/>
        </w:rPr>
        <w:t xml:space="preserve"> році</w:t>
      </w:r>
      <w:r w:rsidRPr="00DC7991">
        <w:rPr>
          <w:lang w:val="uk-UA"/>
        </w:rPr>
        <w:t xml:space="preserve">, </w:t>
      </w:r>
      <w:r>
        <w:rPr>
          <w:lang w:val="uk-UA"/>
        </w:rPr>
        <w:t>коли відбулося об’єднання поліцейських округів, регіональне поліцейське управління не було уповноваженим давати обов’язкові для виконання обіцянки щодо відшкодування збитків. Той факт, що управління підтримало клопотання, чітко вказує на позицію, яку воно зайняло.</w:t>
      </w:r>
    </w:p>
    <w:p w:rsidRPr="00DC7991" w:rsidR="00D002A0" w:rsidP="00CF3CD0">
      <w:pPr>
        <w:pStyle w:val="JuQuot"/>
        <w:rPr>
          <w:lang w:val="ru-RU"/>
        </w:rPr>
      </w:pPr>
      <w:r>
        <w:rPr>
          <w:lang w:val="uk-UA"/>
        </w:rPr>
        <w:t xml:space="preserve">Регіональна адміністративна рада, використовуючи надані їй межі розсуду і спираючись на раніше прийняте рішення компетентного органу, вважає, що рішення набуло певною мірою сили </w:t>
      </w:r>
      <w:r w:rsidRPr="00AD179C">
        <w:rPr>
          <w:i/>
        </w:rPr>
        <w:t>res</w:t>
      </w:r>
      <w:r w:rsidRPr="00DC7991">
        <w:rPr>
          <w:i/>
          <w:lang w:val="ru-RU"/>
        </w:rPr>
        <w:t xml:space="preserve"> </w:t>
      </w:r>
      <w:r w:rsidRPr="00AD179C">
        <w:rPr>
          <w:i/>
        </w:rPr>
        <w:t>judicata</w:t>
      </w:r>
      <w:r w:rsidRPr="00DC7991">
        <w:rPr>
          <w:lang w:val="ru-RU"/>
        </w:rPr>
        <w:t xml:space="preserve">. </w:t>
      </w:r>
      <w:r>
        <w:rPr>
          <w:lang w:val="uk-UA"/>
        </w:rPr>
        <w:t>Наголошуючи на принципах рівності та справедливості, регіональна адміністративна рада також спирається на переважаючу в країні практику.</w:t>
      </w:r>
      <w:r w:rsidRPr="00DC7991">
        <w:rPr>
          <w:lang w:val="ru-RU"/>
        </w:rPr>
        <w:t>”</w:t>
      </w:r>
    </w:p>
    <w:p w:rsidRPr="00DC7991" w:rsidR="00D002A0" w:rsidP="002D202A">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17</w:t>
      </w:r>
      <w:r w:rsidRPr="00DC7991">
        <w:rPr>
          <w:lang w:val="ru-RU"/>
        </w:rPr>
        <w:fldChar w:fldCharType="end"/>
      </w:r>
      <w:r w:rsidRPr="00DC7991">
        <w:rPr>
          <w:lang w:val="ru-RU"/>
        </w:rPr>
        <w:t>.</w:t>
      </w:r>
      <w:r>
        <w:t>  </w:t>
      </w:r>
      <w:r>
        <w:rPr>
          <w:lang w:val="uk-UA"/>
        </w:rPr>
        <w:t>Тим часом, у грудні 1</w:t>
      </w:r>
      <w:r w:rsidRPr="00DC7991">
        <w:rPr>
          <w:lang w:val="ru-RU"/>
        </w:rPr>
        <w:t>996</w:t>
      </w:r>
      <w:r>
        <w:rPr>
          <w:lang w:val="uk-UA"/>
        </w:rPr>
        <w:t xml:space="preserve"> року один із заявників подав клопотання канцлеру юстиції </w:t>
      </w:r>
      <w:r w:rsidRPr="00DC7991">
        <w:rPr>
          <w:lang w:val="ru-RU"/>
        </w:rPr>
        <w:t>(</w:t>
      </w:r>
      <w:r w:rsidRPr="00D0741A">
        <w:rPr>
          <w:i/>
        </w:rPr>
        <w:t>oikeuskansleri</w:t>
      </w:r>
      <w:r w:rsidRPr="00DC7991">
        <w:rPr>
          <w:i/>
          <w:lang w:val="ru-RU"/>
        </w:rPr>
        <w:t xml:space="preserve">, </w:t>
      </w:r>
      <w:r w:rsidRPr="00D0741A">
        <w:rPr>
          <w:i/>
        </w:rPr>
        <w:t>justitiekansler</w:t>
      </w:r>
      <w:r>
        <w:rPr>
          <w:i/>
        </w:rPr>
        <w:t>n</w:t>
      </w:r>
      <w:r w:rsidRPr="00DC7991">
        <w:rPr>
          <w:lang w:val="ru-RU"/>
        </w:rPr>
        <w:t>)</w:t>
      </w:r>
      <w:r>
        <w:rPr>
          <w:lang w:val="uk-UA"/>
        </w:rPr>
        <w:t xml:space="preserve">, який у своєму рішенні від 24 січня </w:t>
      </w:r>
      <w:r w:rsidRPr="00DC7991">
        <w:rPr>
          <w:lang w:val="ru-RU"/>
        </w:rPr>
        <w:t>1997</w:t>
      </w:r>
      <w:r>
        <w:rPr>
          <w:lang w:val="uk-UA"/>
        </w:rPr>
        <w:t xml:space="preserve"> року привернув увагу до того факту, що заявники досі не отримали жодної відповіді на свою заяву до регіональної адміністративної ради.</w:t>
      </w:r>
    </w:p>
    <w:p w:rsidRPr="00DC7991" w:rsidR="00D002A0" w:rsidP="00991B15">
      <w:pPr>
        <w:pStyle w:val="JuHA"/>
        <w:outlineLvl w:val="0"/>
        <w:rPr>
          <w:lang w:val="ru-RU"/>
        </w:rPr>
      </w:pPr>
      <w:r>
        <w:t>C</w:t>
      </w:r>
      <w:r w:rsidRPr="00DC7991">
        <w:rPr>
          <w:lang w:val="ru-RU"/>
        </w:rPr>
        <w:t>.</w:t>
      </w:r>
      <w:r>
        <w:t>  </w:t>
      </w:r>
      <w:r>
        <w:rPr>
          <w:lang w:val="uk-UA"/>
        </w:rPr>
        <w:t>Розгляд справи Окружним адміністративним судом міста Куопіо</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18</w:t>
      </w:r>
      <w:r w:rsidRPr="00DC7991">
        <w:rPr>
          <w:lang w:val="ru-RU"/>
        </w:rPr>
        <w:fldChar w:fldCharType="end"/>
      </w:r>
      <w:r w:rsidRPr="00DC7991">
        <w:rPr>
          <w:lang w:val="ru-RU"/>
        </w:rPr>
        <w:t>.</w:t>
      </w:r>
      <w:r>
        <w:t>  </w:t>
      </w:r>
      <w:r w:rsidRPr="004C4821">
        <w:t xml:space="preserve">25 </w:t>
      </w:r>
      <w:r>
        <w:rPr>
          <w:lang w:val="uk-UA"/>
        </w:rPr>
        <w:t>квітня 1</w:t>
      </w:r>
      <w:r w:rsidRPr="004C4821">
        <w:t>997</w:t>
      </w:r>
      <w:r>
        <w:rPr>
          <w:lang w:val="uk-UA"/>
        </w:rPr>
        <w:t xml:space="preserve"> року заявники оскаржили рішення регіональної адміністрації</w:t>
      </w:r>
      <w:r w:rsidRPr="004C4821">
        <w:t xml:space="preserve"> </w:t>
      </w:r>
      <w:r>
        <w:rPr>
          <w:lang w:val="uk-UA"/>
        </w:rPr>
        <w:t>і звернулися з вимогою про проведення усного слухання, що, за їхнім твердженням, дозволило би з’ясувати обставини справи, зокрема той факт, що регіональне поліцейське управління дало обіцянку відшкодувати збитки. Окружний адміністративний суд міста Куопіо</w:t>
      </w:r>
      <w:r w:rsidRPr="00DC7991">
        <w:rPr>
          <w:lang w:val="uk-UA"/>
        </w:rPr>
        <w:t xml:space="preserve"> (</w:t>
      </w:r>
      <w:r>
        <w:rPr>
          <w:i/>
        </w:rPr>
        <w:t>l</w:t>
      </w:r>
      <w:r w:rsidRPr="00DC7991">
        <w:rPr>
          <w:i/>
          <w:lang w:val="uk-UA"/>
        </w:rPr>
        <w:t>ää</w:t>
      </w:r>
      <w:r>
        <w:rPr>
          <w:i/>
        </w:rPr>
        <w:t>ninoikeus</w:t>
      </w:r>
      <w:r w:rsidRPr="00DC7991">
        <w:rPr>
          <w:i/>
          <w:lang w:val="uk-UA"/>
        </w:rPr>
        <w:t xml:space="preserve">, </w:t>
      </w:r>
      <w:r>
        <w:rPr>
          <w:i/>
        </w:rPr>
        <w:t>l</w:t>
      </w:r>
      <w:r w:rsidRPr="00DC7991">
        <w:rPr>
          <w:i/>
          <w:lang w:val="uk-UA"/>
        </w:rPr>
        <w:t>ä</w:t>
      </w:r>
      <w:r>
        <w:rPr>
          <w:i/>
        </w:rPr>
        <w:t>nsr</w:t>
      </w:r>
      <w:r w:rsidRPr="00DC7991">
        <w:rPr>
          <w:i/>
          <w:lang w:val="uk-UA"/>
        </w:rPr>
        <w:t>ä</w:t>
      </w:r>
      <w:r>
        <w:rPr>
          <w:i/>
        </w:rPr>
        <w:t>tten</w:t>
      </w:r>
      <w:r w:rsidRPr="00DC7991">
        <w:rPr>
          <w:lang w:val="uk-UA"/>
        </w:rPr>
        <w:t xml:space="preserve">) </w:t>
      </w:r>
      <w:r>
        <w:rPr>
          <w:lang w:val="uk-UA"/>
        </w:rPr>
        <w:t xml:space="preserve">отримав зауваження стосовно апеляційної заяви від регіонального поліцейського управління та регіонального прокурора </w:t>
      </w:r>
      <w:r w:rsidRPr="00DC7991">
        <w:rPr>
          <w:lang w:val="uk-UA"/>
        </w:rPr>
        <w:t>(</w:t>
      </w:r>
      <w:r w:rsidRPr="004F1052">
        <w:rPr>
          <w:i/>
        </w:rPr>
        <w:t>l</w:t>
      </w:r>
      <w:r w:rsidRPr="00DC7991">
        <w:rPr>
          <w:i/>
          <w:lang w:val="uk-UA"/>
        </w:rPr>
        <w:t>ää</w:t>
      </w:r>
      <w:r w:rsidRPr="004F1052">
        <w:rPr>
          <w:i/>
        </w:rPr>
        <w:t>ninasiamies</w:t>
      </w:r>
      <w:r w:rsidRPr="00DC7991">
        <w:rPr>
          <w:i/>
          <w:lang w:val="uk-UA"/>
        </w:rPr>
        <w:t xml:space="preserve">, </w:t>
      </w:r>
      <w:r w:rsidRPr="004F1052">
        <w:rPr>
          <w:i/>
        </w:rPr>
        <w:t>l</w:t>
      </w:r>
      <w:r w:rsidRPr="00DC7991">
        <w:rPr>
          <w:i/>
          <w:lang w:val="uk-UA"/>
        </w:rPr>
        <w:t>ä</w:t>
      </w:r>
      <w:r w:rsidRPr="004F1052">
        <w:rPr>
          <w:i/>
        </w:rPr>
        <w:t>nsombudet</w:t>
      </w:r>
      <w:r w:rsidRPr="00DC7991">
        <w:rPr>
          <w:lang w:val="uk-UA"/>
        </w:rPr>
        <w:t>)</w:t>
      </w:r>
      <w:r>
        <w:rPr>
          <w:lang w:val="uk-UA"/>
        </w:rPr>
        <w:t>, які були у свою чергу передані для коментарів заявникам.</w:t>
      </w:r>
    </w:p>
    <w:p w:rsidRPr="00DC7991" w:rsidR="00D002A0" w:rsidP="002D202A">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19</w:t>
      </w:r>
      <w:r w:rsidRPr="00DC7991">
        <w:rPr>
          <w:lang w:val="ru-RU"/>
        </w:rPr>
        <w:fldChar w:fldCharType="end"/>
      </w:r>
      <w:r w:rsidRPr="00DC7991">
        <w:rPr>
          <w:lang w:val="ru-RU"/>
        </w:rPr>
        <w:t>.</w:t>
      </w:r>
      <w:r>
        <w:t>  </w:t>
      </w:r>
      <w:r>
        <w:rPr>
          <w:lang w:val="uk-UA"/>
        </w:rPr>
        <w:t xml:space="preserve">У своєму рішенні від </w:t>
      </w:r>
      <w:r w:rsidRPr="00DC7991">
        <w:rPr>
          <w:lang w:val="ru-RU"/>
        </w:rPr>
        <w:t xml:space="preserve">8 </w:t>
      </w:r>
      <w:r>
        <w:rPr>
          <w:lang w:val="uk-UA"/>
        </w:rPr>
        <w:t>червня</w:t>
      </w:r>
      <w:r w:rsidRPr="00DC7991">
        <w:rPr>
          <w:lang w:val="ru-RU"/>
        </w:rPr>
        <w:t xml:space="preserve"> 1998</w:t>
      </w:r>
      <w:r>
        <w:rPr>
          <w:lang w:val="uk-UA"/>
        </w:rPr>
        <w:t xml:space="preserve"> року</w:t>
      </w:r>
      <w:r w:rsidRPr="00DC7991">
        <w:rPr>
          <w:lang w:val="ru-RU"/>
        </w:rPr>
        <w:t xml:space="preserve">, </w:t>
      </w:r>
      <w:r>
        <w:rPr>
          <w:lang w:val="uk-UA"/>
        </w:rPr>
        <w:t>Окружний адміністративний суд дійшов таких висновків</w:t>
      </w:r>
      <w:r w:rsidRPr="00DC7991">
        <w:rPr>
          <w:lang w:val="ru-RU"/>
        </w:rPr>
        <w:t>:</w:t>
      </w:r>
    </w:p>
    <w:p w:rsidRPr="00DC7991" w:rsidR="00D002A0" w:rsidP="00CF3CD0">
      <w:pPr>
        <w:pStyle w:val="JuQuot"/>
        <w:rPr>
          <w:lang w:val="ru-RU"/>
        </w:rPr>
      </w:pPr>
      <w:r w:rsidRPr="00DC7991">
        <w:rPr>
          <w:lang w:val="ru-RU"/>
        </w:rPr>
        <w:t>“</w:t>
      </w:r>
      <w:r>
        <w:rPr>
          <w:lang w:val="uk-UA"/>
        </w:rPr>
        <w:t>Перегляд розміру надбавок до заробітної плати, що впливає на розмір пенсій, виходить за межі повноважень Окружного адміністративного суду</w:t>
      </w:r>
      <w:r w:rsidRPr="00DC7991">
        <w:rPr>
          <w:lang w:val="ru-RU"/>
        </w:rPr>
        <w:t>.</w:t>
      </w:r>
    </w:p>
    <w:p w:rsidR="00D002A0" w:rsidP="00CF3CD0">
      <w:pPr>
        <w:pStyle w:val="JuQuot"/>
        <w:rPr>
          <w:lang w:val="uk-UA"/>
        </w:rPr>
      </w:pPr>
      <w:r>
        <w:rPr>
          <w:lang w:val="uk-UA"/>
        </w:rPr>
        <w:t>Для того, щоб прояснити справу, немає необхідності заслуховувати усні свідчення сторін стосовно обіцянок регіонального поліцейського управління при регіональній адміністрації, пов’язаних з об’єднанням поліцейських округів, або пояснення стосовно того, як вирішувалася справа.</w:t>
      </w:r>
    </w:p>
    <w:p w:rsidR="00D002A0" w:rsidP="00CF3CD0">
      <w:pPr>
        <w:pStyle w:val="JuQuot"/>
        <w:rPr>
          <w:lang w:val="uk-UA"/>
        </w:rPr>
      </w:pPr>
      <w:r>
        <w:rPr>
          <w:lang w:val="uk-UA"/>
        </w:rPr>
        <w:t xml:space="preserve">У своєму листі від 25 березня 1991 року Міністерство внутрішніх справ запропонувало Міністерству фінансів об’єднати з 1 листопада 1990 року поліцейський округ Сонкаярві з поліцейським округом Ійсалмі </w:t>
      </w:r>
      <w:r w:rsidRPr="004C4821">
        <w:rPr>
          <w:lang w:val="uk-UA"/>
        </w:rPr>
        <w:t>[</w:t>
      </w:r>
      <w:r>
        <w:rPr>
          <w:lang w:val="uk-UA"/>
        </w:rPr>
        <w:t>насправді Міністерство внутрішніх справ рекомендувало виплатити надбавки, а не об’єднати округи</w:t>
      </w:r>
      <w:r w:rsidRPr="004C4821">
        <w:rPr>
          <w:lang w:val="uk-UA"/>
        </w:rPr>
        <w:t xml:space="preserve">] </w:t>
      </w:r>
      <w:r>
        <w:rPr>
          <w:lang w:val="uk-UA"/>
        </w:rPr>
        <w:t>і відшкодувати незручності, спричинені зміною місця служби, надбавкою до шомісячної заробітної плати у розмірі 500-700 фінських марок (</w:t>
      </w:r>
      <w:r>
        <w:t>FIM</w:t>
      </w:r>
      <w:r>
        <w:rPr>
          <w:lang w:val="uk-UA"/>
        </w:rPr>
        <w:t xml:space="preserve">), яка буде виплачуватися зворотнім числом починаючи с 1 листопада 1990 року. У своєму листі від 3 липня 1991 року Міністерство фінансів дійшло висновку про неможливість задовільнити це клопотання. 3 вересня 1992 року відбулися переговори між Департаментом поліції Міністерства внутрішніх справ і Поліцейською асоціацією Фінляндії </w:t>
      </w:r>
      <w:r w:rsidRPr="00DC7991">
        <w:rPr>
          <w:lang w:val="uk-UA"/>
        </w:rPr>
        <w:t>[</w:t>
      </w:r>
      <w:r w:rsidRPr="00AD179C">
        <w:rPr>
          <w:i/>
        </w:rPr>
        <w:t>Suomen</w:t>
      </w:r>
      <w:r w:rsidRPr="00DC7991">
        <w:rPr>
          <w:i/>
          <w:lang w:val="uk-UA"/>
        </w:rPr>
        <w:t xml:space="preserve"> </w:t>
      </w:r>
      <w:r w:rsidRPr="00AD179C">
        <w:rPr>
          <w:i/>
        </w:rPr>
        <w:t>Poliisiliitto</w:t>
      </w:r>
      <w:r w:rsidRPr="00DC7991">
        <w:rPr>
          <w:i/>
          <w:lang w:val="uk-UA"/>
        </w:rPr>
        <w:t xml:space="preserve"> </w:t>
      </w:r>
      <w:r w:rsidRPr="00AD179C">
        <w:rPr>
          <w:i/>
        </w:rPr>
        <w:t>ry</w:t>
      </w:r>
      <w:r w:rsidRPr="00DC7991">
        <w:rPr>
          <w:lang w:val="uk-UA"/>
        </w:rPr>
        <w:t>]</w:t>
      </w:r>
      <w:r>
        <w:rPr>
          <w:lang w:val="uk-UA"/>
        </w:rPr>
        <w:t xml:space="preserve">, а 28 січня 1993 року – між регіональним управлінням поліції при адміністрації міста Куопіо та представником заявників. </w:t>
      </w:r>
    </w:p>
    <w:p w:rsidRPr="00DC7991" w:rsidR="00D002A0" w:rsidP="00CF3CD0">
      <w:pPr>
        <w:pStyle w:val="JuQuot"/>
        <w:rPr>
          <w:lang w:val="ru-RU"/>
        </w:rPr>
      </w:pPr>
      <w:r>
        <w:rPr>
          <w:lang w:val="uk-UA"/>
        </w:rPr>
        <w:t>Відповідно до пункту 2 статті 9 Декрету про колективні договори</w:t>
      </w:r>
      <w:r w:rsidRPr="00DC7991">
        <w:rPr>
          <w:lang w:val="ru-RU"/>
        </w:rPr>
        <w:t xml:space="preserve"> </w:t>
      </w:r>
      <w:r>
        <w:rPr>
          <w:lang w:val="uk-UA"/>
        </w:rPr>
        <w:t xml:space="preserve">за участю держави </w:t>
      </w:r>
      <w:r w:rsidRPr="00DC7991">
        <w:rPr>
          <w:lang w:val="ru-RU"/>
        </w:rPr>
        <w:t>(</w:t>
      </w:r>
      <w:r>
        <w:rPr>
          <w:lang w:val="uk-UA"/>
        </w:rPr>
        <w:t xml:space="preserve">зі змінами від </w:t>
      </w:r>
      <w:r w:rsidRPr="00DC7991">
        <w:rPr>
          <w:lang w:val="ru-RU"/>
        </w:rPr>
        <w:t>18</w:t>
      </w:r>
      <w:r>
        <w:rPr>
          <w:lang w:val="uk-UA"/>
        </w:rPr>
        <w:t xml:space="preserve"> вересня</w:t>
      </w:r>
      <w:r w:rsidRPr="00DC7991">
        <w:rPr>
          <w:lang w:val="ru-RU"/>
        </w:rPr>
        <w:t xml:space="preserve"> 1992</w:t>
      </w:r>
      <w:r>
        <w:rPr>
          <w:lang w:val="uk-UA"/>
        </w:rPr>
        <w:t xml:space="preserve"> року</w:t>
      </w:r>
      <w:r w:rsidRPr="00DC7991">
        <w:rPr>
          <w:lang w:val="ru-RU"/>
        </w:rPr>
        <w:t xml:space="preserve">), </w:t>
      </w:r>
      <w:r>
        <w:rPr>
          <w:lang w:val="uk-UA"/>
        </w:rPr>
        <w:t>регіональна адміністративна рада має повноваження приймати рішення про надбавки до зарплат</w:t>
      </w:r>
      <w:r w:rsidRPr="00DC7991">
        <w:rPr>
          <w:lang w:val="ru-RU"/>
        </w:rPr>
        <w:t xml:space="preserve">... </w:t>
      </w:r>
      <w:r>
        <w:rPr>
          <w:lang w:val="uk-UA"/>
        </w:rPr>
        <w:t>працівників місцевої поліції</w:t>
      </w:r>
      <w:r w:rsidRPr="00DC7991">
        <w:rPr>
          <w:lang w:val="ru-RU"/>
        </w:rPr>
        <w:t>.</w:t>
      </w:r>
    </w:p>
    <w:p w:rsidRPr="00DC7991" w:rsidR="00D002A0" w:rsidP="00CF3CD0">
      <w:pPr>
        <w:pStyle w:val="JuQuot"/>
        <w:rPr>
          <w:lang w:val="ru-RU"/>
        </w:rPr>
      </w:pPr>
      <w:r>
        <w:rPr>
          <w:lang w:val="uk-UA"/>
        </w:rPr>
        <w:t>Можна вважати, що регіональна адміністративна рада розглянула... доводи заявників, подані 19 березня 19993 року, у якості клопотання про перегляд рішення, про яке йдеться в статті 84 Закону про державних службовців.</w:t>
      </w:r>
      <w:r w:rsidRPr="00DC7991">
        <w:rPr>
          <w:lang w:val="ru-RU"/>
        </w:rPr>
        <w:t xml:space="preserve"> </w:t>
      </w:r>
      <w:r>
        <w:rPr>
          <w:lang w:val="uk-UA"/>
        </w:rPr>
        <w:t>Якщо брати за точку відлику рішення Міністерства фінансів від 3 липня 1991 року, то клопотання про перегляд рішення було подане у строки, встановлені п. 1 статті 95 Закону про державних службовців.</w:t>
      </w:r>
    </w:p>
    <w:p w:rsidR="00D002A0" w:rsidP="00CF3CD0">
      <w:pPr>
        <w:pStyle w:val="JuQuot"/>
        <w:rPr>
          <w:lang w:val="uk-UA"/>
        </w:rPr>
      </w:pPr>
      <w:r>
        <w:rPr>
          <w:lang w:val="uk-UA"/>
        </w:rPr>
        <w:t>У 1990 році регіональне поліцейське управління не було уповноваженим давати обов’язкові для виконання обіцянки щодо відшкодування збитків. Право вирішувати такого роду питання мало на той час лише Міністерство фінансів, яке у своєму листі від 3 липня 1991 року заявило, що воно вважає неможливим задовільнити подане клопотання. З 1 жовтня 1992 року регіональна адміністративна рада набула повноваження щодо прийняття рішень про заробітну плату працівників місцевої поліції.</w:t>
      </w:r>
    </w:p>
    <w:p w:rsidRPr="00DC7991" w:rsidR="00D002A0" w:rsidP="00CF3CD0">
      <w:pPr>
        <w:pStyle w:val="JuQuot"/>
        <w:rPr>
          <w:lang w:val="ru-RU"/>
        </w:rPr>
      </w:pPr>
      <w:r>
        <w:rPr>
          <w:lang w:val="uk-UA"/>
        </w:rPr>
        <w:t>Регіональна адміністративна рада у своєму рішенні, що може бути оскарженим, спиралася на рішення компетентного на той час органу і на той факт, що з 3 липня 1991 року не було жодного випадку присудження компенсації збитків, зазнаних службовцями у результаті об’єднання поліцейських округів. Тому рішення спиралося на практику, що на той час превалювала в країні. За таких обставин рішення не може вважатися необґрунтованим. Клопотання про перегляд рішення може бути відхилене.</w:t>
      </w:r>
      <w:r w:rsidRPr="00DC7991">
        <w:rPr>
          <w:lang w:val="ru-RU"/>
        </w:rPr>
        <w:t>”</w:t>
      </w:r>
    </w:p>
    <w:p w:rsidRPr="00DC7991" w:rsidR="00D002A0" w:rsidP="00991B15">
      <w:pPr>
        <w:pStyle w:val="JuHA"/>
        <w:outlineLvl w:val="0"/>
        <w:rPr>
          <w:lang w:val="ru-RU"/>
        </w:rPr>
      </w:pPr>
      <w:r>
        <w:t>D</w:t>
      </w:r>
      <w:r w:rsidRPr="00DC7991">
        <w:rPr>
          <w:lang w:val="ru-RU"/>
        </w:rPr>
        <w:t>.</w:t>
      </w:r>
      <w:r>
        <w:t>  </w:t>
      </w:r>
      <w:r>
        <w:rPr>
          <w:lang w:val="uk-UA"/>
        </w:rPr>
        <w:t>Розгляд справи Вищим адміністративним судом</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20</w:t>
      </w:r>
      <w:r w:rsidRPr="00DC7991">
        <w:rPr>
          <w:lang w:val="ru-RU"/>
        </w:rPr>
        <w:fldChar w:fldCharType="end"/>
      </w:r>
      <w:r w:rsidRPr="00DC7991">
        <w:rPr>
          <w:lang w:val="ru-RU"/>
        </w:rPr>
        <w:t>.</w:t>
      </w:r>
      <w:r>
        <w:t> </w:t>
      </w:r>
      <w:r w:rsidRPr="00DC7991">
        <w:rPr>
          <w:lang w:val="ru-RU"/>
        </w:rPr>
        <w:t xml:space="preserve">7 </w:t>
      </w:r>
      <w:r>
        <w:rPr>
          <w:lang w:val="uk-UA"/>
        </w:rPr>
        <w:t xml:space="preserve">липня </w:t>
      </w:r>
      <w:r w:rsidRPr="00DC7991">
        <w:rPr>
          <w:lang w:val="ru-RU"/>
        </w:rPr>
        <w:t>1998</w:t>
      </w:r>
      <w:r>
        <w:rPr>
          <w:lang w:val="uk-UA"/>
        </w:rPr>
        <w:t xml:space="preserve"> року заявники звернулися з новою апеляційною</w:t>
      </w:r>
      <w:r w:rsidRPr="00DC7991">
        <w:rPr>
          <w:lang w:val="ru-RU"/>
        </w:rPr>
        <w:t xml:space="preserve"> </w:t>
      </w:r>
      <w:r>
        <w:rPr>
          <w:lang w:val="uk-UA"/>
        </w:rPr>
        <w:t>заявою, вимагаючи проведення усного слухання та наголошуючи на тому, що аналогічні надбавки до заробітної плати були присуджені в подібних ситуаціях працівникам інших поліцейських округів. Вони посилалися, зокрема, на рішення регіональної адміністративної ради Північної Карелії від 10 січня 1997 року про виплату поліцейським індивідуальних надбавок до заробітної плати починаючи з 1 грудня 1996 року після об’єднання поліцейських округів Валтімо і Нурмес.</w:t>
      </w:r>
    </w:p>
    <w:p w:rsidRPr="00DC7991" w:rsidR="00D002A0" w:rsidP="002D202A">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21</w:t>
      </w:r>
      <w:r w:rsidRPr="00DC7991">
        <w:rPr>
          <w:lang w:val="uk-UA"/>
        </w:rPr>
        <w:fldChar w:fldCharType="end"/>
      </w:r>
      <w:r w:rsidRPr="00DC7991">
        <w:rPr>
          <w:lang w:val="uk-UA"/>
        </w:rPr>
        <w:t>.</w:t>
      </w:r>
      <w:r>
        <w:t> </w:t>
      </w:r>
      <w:r w:rsidRPr="00DC7991">
        <w:rPr>
          <w:lang w:val="uk-UA"/>
        </w:rPr>
        <w:t>27</w:t>
      </w:r>
      <w:r>
        <w:rPr>
          <w:lang w:val="uk-UA"/>
        </w:rPr>
        <w:t xml:space="preserve"> квітня </w:t>
      </w:r>
      <w:r w:rsidRPr="00DC7991">
        <w:rPr>
          <w:lang w:val="uk-UA"/>
        </w:rPr>
        <w:t>2000</w:t>
      </w:r>
      <w:r>
        <w:rPr>
          <w:lang w:val="uk-UA"/>
        </w:rPr>
        <w:t xml:space="preserve"> року Вищий адміністративний суд (</w:t>
      </w:r>
      <w:r>
        <w:rPr>
          <w:i/>
        </w:rPr>
        <w:t>korkein</w:t>
      </w:r>
      <w:r w:rsidRPr="00DC7991">
        <w:rPr>
          <w:i/>
          <w:lang w:val="uk-UA"/>
        </w:rPr>
        <w:t xml:space="preserve"> </w:t>
      </w:r>
      <w:r>
        <w:rPr>
          <w:i/>
        </w:rPr>
        <w:t>hallinto</w:t>
      </w:r>
      <w:r w:rsidRPr="00DC7991">
        <w:rPr>
          <w:i/>
          <w:lang w:val="uk-UA"/>
        </w:rPr>
        <w:t>-</w:t>
      </w:r>
      <w:r>
        <w:rPr>
          <w:i/>
        </w:rPr>
        <w:t>oikeus</w:t>
      </w:r>
      <w:r w:rsidRPr="00DC7991">
        <w:rPr>
          <w:i/>
          <w:lang w:val="uk-UA"/>
        </w:rPr>
        <w:t xml:space="preserve">, </w:t>
      </w:r>
      <w:r>
        <w:rPr>
          <w:i/>
        </w:rPr>
        <w:t>h</w:t>
      </w:r>
      <w:r w:rsidRPr="00DC7991">
        <w:rPr>
          <w:i/>
          <w:lang w:val="uk-UA"/>
        </w:rPr>
        <w:t>ö</w:t>
      </w:r>
      <w:r>
        <w:rPr>
          <w:i/>
        </w:rPr>
        <w:t>gsta</w:t>
      </w:r>
      <w:r w:rsidRPr="00DC7991">
        <w:rPr>
          <w:i/>
          <w:lang w:val="uk-UA"/>
        </w:rPr>
        <w:t xml:space="preserve"> </w:t>
      </w:r>
      <w:r>
        <w:rPr>
          <w:i/>
        </w:rPr>
        <w:t>f</w:t>
      </w:r>
      <w:r w:rsidRPr="00DC7991">
        <w:rPr>
          <w:i/>
          <w:lang w:val="uk-UA"/>
        </w:rPr>
        <w:t>ö</w:t>
      </w:r>
      <w:r>
        <w:rPr>
          <w:i/>
        </w:rPr>
        <w:t>rvaltningsdomstolen</w:t>
      </w:r>
      <w:r w:rsidRPr="00DC7991">
        <w:rPr>
          <w:lang w:val="uk-UA"/>
        </w:rPr>
        <w:t>),</w:t>
      </w:r>
      <w:r>
        <w:rPr>
          <w:lang w:val="uk-UA"/>
        </w:rPr>
        <w:t xml:space="preserve"> отримавши зауваження регіонального поліцейського управління і регіонального прокурора та надіславши їх заявникам для коментарів, залишив у силі рішення суду першої інстанції. Він дійшов таких висновків</w:t>
      </w:r>
      <w:r w:rsidRPr="00DC7991">
        <w:rPr>
          <w:lang w:val="uk-UA"/>
        </w:rPr>
        <w:t>:</w:t>
      </w:r>
    </w:p>
    <w:p w:rsidRPr="00DC7991" w:rsidR="00D002A0" w:rsidP="00BF7B22">
      <w:pPr>
        <w:pStyle w:val="JuQuot"/>
        <w:rPr>
          <w:lang w:val="uk-UA"/>
        </w:rPr>
      </w:pPr>
      <w:r w:rsidRPr="00DC7991">
        <w:rPr>
          <w:lang w:val="uk-UA"/>
        </w:rPr>
        <w:t>“</w:t>
      </w:r>
      <w:r>
        <w:rPr>
          <w:lang w:val="uk-UA"/>
        </w:rPr>
        <w:t>Верховний адміністративний суд розглянув справу</w:t>
      </w:r>
      <w:r w:rsidRPr="00DC7991">
        <w:rPr>
          <w:lang w:val="uk-UA"/>
        </w:rPr>
        <w:t>.</w:t>
      </w:r>
    </w:p>
    <w:p w:rsidRPr="00DC7991" w:rsidR="00D002A0" w:rsidP="00BF7B22">
      <w:pPr>
        <w:pStyle w:val="JuQuot"/>
        <w:rPr>
          <w:lang w:val="ru-RU"/>
        </w:rPr>
      </w:pPr>
      <w:r>
        <w:rPr>
          <w:lang w:val="uk-UA"/>
        </w:rPr>
        <w:t xml:space="preserve">Обіцянки, дані регіональним поліцейським управлінням при адміністративній раді м. Куопіо щодо відшкодування збитків, зазнаних у результаті об’єднання поліцейських округів, не мають юридичної значущості у цій справі. Таким чином, проведення усного слухання є явно зайвим. Отже, Верховний адміністративний суд, відповідно до пункту 1 статті 38 Закону про адміністративне судочинство, відхиляє клопотання </w:t>
      </w:r>
      <w:r w:rsidRPr="00DC7991">
        <w:rPr>
          <w:lang w:val="ru-RU"/>
        </w:rPr>
        <w:t>[</w:t>
      </w:r>
      <w:r>
        <w:rPr>
          <w:lang w:val="uk-UA"/>
        </w:rPr>
        <w:t>заявників</w:t>
      </w:r>
      <w:r w:rsidRPr="00DC7991">
        <w:rPr>
          <w:lang w:val="ru-RU"/>
        </w:rPr>
        <w:t xml:space="preserve">] </w:t>
      </w:r>
      <w:r>
        <w:rPr>
          <w:lang w:val="uk-UA"/>
        </w:rPr>
        <w:t>про проведення усного слухання</w:t>
      </w:r>
      <w:r w:rsidRPr="00DC7991">
        <w:rPr>
          <w:lang w:val="ru-RU"/>
        </w:rPr>
        <w:t>.</w:t>
      </w:r>
    </w:p>
    <w:p w:rsidRPr="00DC7991" w:rsidR="00D002A0" w:rsidP="00BF7B22">
      <w:pPr>
        <w:pStyle w:val="JuQuot"/>
        <w:rPr>
          <w:lang w:val="ru-RU"/>
        </w:rPr>
      </w:pPr>
      <w:r>
        <w:rPr>
          <w:lang w:val="uk-UA"/>
        </w:rPr>
        <w:t xml:space="preserve">У своєму листі від 19 березня </w:t>
      </w:r>
      <w:r w:rsidRPr="00DC7991">
        <w:rPr>
          <w:lang w:val="ru-RU"/>
        </w:rPr>
        <w:t>1993</w:t>
      </w:r>
      <w:r>
        <w:rPr>
          <w:lang w:val="uk-UA"/>
        </w:rPr>
        <w:t xml:space="preserve"> року</w:t>
      </w:r>
      <w:r w:rsidRPr="00DC7991">
        <w:rPr>
          <w:lang w:val="ru-RU"/>
        </w:rPr>
        <w:t xml:space="preserve"> [</w:t>
      </w:r>
      <w:r>
        <w:rPr>
          <w:lang w:val="uk-UA"/>
        </w:rPr>
        <w:t>заявники</w:t>
      </w:r>
      <w:r w:rsidRPr="00DC7991">
        <w:rPr>
          <w:lang w:val="ru-RU"/>
        </w:rPr>
        <w:t xml:space="preserve">] </w:t>
      </w:r>
      <w:r>
        <w:rPr>
          <w:lang w:val="uk-UA"/>
        </w:rPr>
        <w:t>вимагали відшкодування збитків, зазнаних у результаті об’єднання поліцейських округів, у формі індивідуальних надбавок до заробітної плати.</w:t>
      </w:r>
      <w:r w:rsidRPr="00DC7991">
        <w:rPr>
          <w:lang w:val="ru-RU"/>
        </w:rPr>
        <w:t xml:space="preserve"> </w:t>
      </w:r>
      <w:r>
        <w:rPr>
          <w:lang w:val="uk-UA"/>
        </w:rPr>
        <w:t>Відповідно до пункту 2 статті 9 Декрету про колективні договори за участю держави (у редакції від 18 вересня 1992 року), 1 жовтня 1992 року повноваження щодо вирішення питань, які стосуються заробітної плати працівників місцевої поліції, перейшли до регіональної адміністративної ради.</w:t>
      </w:r>
    </w:p>
    <w:p w:rsidRPr="00DC7991" w:rsidR="00D002A0" w:rsidP="00BF7B22">
      <w:pPr>
        <w:pStyle w:val="JuQuot"/>
        <w:rPr>
          <w:lang w:val="uk-UA"/>
        </w:rPr>
      </w:pPr>
      <w:r w:rsidRPr="00DC7991">
        <w:rPr>
          <w:lang w:val="ru-RU"/>
        </w:rPr>
        <w:t>[</w:t>
      </w:r>
      <w:r>
        <w:rPr>
          <w:lang w:val="uk-UA"/>
        </w:rPr>
        <w:t>Заявники</w:t>
      </w:r>
      <w:r w:rsidRPr="00DC7991">
        <w:rPr>
          <w:lang w:val="ru-RU"/>
        </w:rPr>
        <w:t>]</w:t>
      </w:r>
      <w:r>
        <w:rPr>
          <w:lang w:val="uk-UA"/>
        </w:rPr>
        <w:t xml:space="preserve"> не мають законного права на надбавки до заробітної плати, про які йде мова. Регіональна адміністративна рада не вийшла за межі наданої їй свободи розсуду, і її рішення не суперечить закону. Таким чином, Вищий адміністративний суд, беручи до уваги пункт 1 статті 7 Закону про адміністративне судочинство, вважає, що немає жодних підстав змінювати висновки, сформульовані у рішенні адміністративної ради, яке, таким чином, залишається остаточним.</w:t>
      </w:r>
      <w:r w:rsidRPr="00DC7991">
        <w:rPr>
          <w:lang w:val="uk-UA"/>
        </w:rPr>
        <w:t>”</w:t>
      </w:r>
    </w:p>
    <w:p w:rsidRPr="00DC7991" w:rsidR="00D002A0" w:rsidP="00991B15">
      <w:pPr>
        <w:pStyle w:val="JuHIRoman"/>
        <w:outlineLvl w:val="0"/>
        <w:rPr>
          <w:lang w:val="ru-RU"/>
        </w:rPr>
      </w:pPr>
      <w:r w:rsidRPr="0052708C">
        <w:t>II</w:t>
      </w:r>
      <w:r w:rsidRPr="00DC7991">
        <w:rPr>
          <w:lang w:val="ru-RU"/>
        </w:rPr>
        <w:t>.</w:t>
      </w:r>
      <w:r w:rsidRPr="0052708C">
        <w:t> </w:t>
      </w:r>
      <w:r>
        <w:rPr>
          <w:lang w:val="uk-UA"/>
        </w:rPr>
        <w:t>ВІДПОВІДНЕ НАЦІОНАЛЬНЕ ЗАКОНОДАВСТВО І ПРАКТИКА</w:t>
      </w:r>
    </w:p>
    <w:p w:rsidRPr="00DC7991" w:rsidR="00D002A0" w:rsidP="00991B15">
      <w:pPr>
        <w:pStyle w:val="JuHA"/>
        <w:outlineLvl w:val="0"/>
        <w:rPr>
          <w:lang w:val="ru-RU"/>
        </w:rPr>
      </w:pPr>
      <w:r>
        <w:t>A</w:t>
      </w:r>
      <w:r w:rsidRPr="00DC7991">
        <w:rPr>
          <w:lang w:val="ru-RU"/>
        </w:rPr>
        <w:t>.</w:t>
      </w:r>
      <w:r>
        <w:t> </w:t>
      </w:r>
      <w:r>
        <w:rPr>
          <w:lang w:val="uk-UA"/>
        </w:rPr>
        <w:t>Індивідуальні надбавки до заробітної плати</w:t>
      </w:r>
    </w:p>
    <w:p w:rsidRPr="00DC7991" w:rsidR="00D002A0" w:rsidP="00411F36">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22</w:t>
      </w:r>
      <w:r w:rsidRPr="00DC7991">
        <w:rPr>
          <w:lang w:val="ru-RU"/>
        </w:rPr>
        <w:fldChar w:fldCharType="end"/>
      </w:r>
      <w:r w:rsidRPr="00DC7991">
        <w:rPr>
          <w:lang w:val="ru-RU"/>
        </w:rPr>
        <w:t>.</w:t>
      </w:r>
      <w:r>
        <w:t> </w:t>
      </w:r>
      <w:r>
        <w:rPr>
          <w:lang w:val="uk-UA"/>
        </w:rPr>
        <w:t>Директива від 26 квітня 1988 року про застосування колективного договору</w:t>
      </w:r>
      <w:r w:rsidRPr="009B6C45">
        <w:rPr>
          <w:lang w:val="uk-UA"/>
        </w:rPr>
        <w:t xml:space="preserve"> </w:t>
      </w:r>
      <w:r>
        <w:rPr>
          <w:lang w:val="uk-UA"/>
        </w:rPr>
        <w:t>у тому, що стосується виплати державним службовцям компенсації за роботу в місцевостях із суворими кліматичними умовами, передбачає наступне</w:t>
      </w:r>
      <w:r w:rsidRPr="00DC7991">
        <w:rPr>
          <w:lang w:val="ru-RU"/>
        </w:rPr>
        <w:t>:</w:t>
      </w:r>
    </w:p>
    <w:p w:rsidRPr="00DC7991" w:rsidR="00D002A0" w:rsidP="00EE1F6E">
      <w:pPr>
        <w:pStyle w:val="JuQuot"/>
        <w:rPr>
          <w:lang w:val="ru-RU"/>
        </w:rPr>
      </w:pPr>
      <w:r w:rsidRPr="00DC7991">
        <w:rPr>
          <w:lang w:val="ru-RU"/>
        </w:rPr>
        <w:t>“</w:t>
      </w:r>
      <w:r>
        <w:rPr>
          <w:lang w:val="uk-UA"/>
        </w:rPr>
        <w:t>Державний службовець, працюючий</w:t>
      </w:r>
      <w:r w:rsidRPr="00DC7991">
        <w:rPr>
          <w:lang w:val="ru-RU"/>
        </w:rPr>
        <w:t xml:space="preserve"> (</w:t>
      </w:r>
      <w:r>
        <w:rPr>
          <w:lang w:val="uk-UA"/>
        </w:rPr>
        <w:t>до</w:t>
      </w:r>
      <w:r w:rsidRPr="00DC7991">
        <w:rPr>
          <w:lang w:val="ru-RU"/>
        </w:rPr>
        <w:t xml:space="preserve"> 29 </w:t>
      </w:r>
      <w:r>
        <w:rPr>
          <w:lang w:val="uk-UA"/>
        </w:rPr>
        <w:t>лютого</w:t>
      </w:r>
      <w:r w:rsidRPr="00DC7991">
        <w:rPr>
          <w:lang w:val="ru-RU"/>
        </w:rPr>
        <w:t xml:space="preserve"> 1988</w:t>
      </w:r>
      <w:r>
        <w:rPr>
          <w:lang w:val="uk-UA"/>
        </w:rPr>
        <w:t xml:space="preserve"> року</w:t>
      </w:r>
      <w:r w:rsidRPr="00DC7991">
        <w:rPr>
          <w:lang w:val="ru-RU"/>
        </w:rPr>
        <w:t xml:space="preserve">) </w:t>
      </w:r>
      <w:r>
        <w:rPr>
          <w:lang w:val="uk-UA"/>
        </w:rPr>
        <w:t xml:space="preserve">в муніципальному окрузі, на який не поширюється дія нового колективного договору, має право на індивідуальну надбавку до заробітної плати </w:t>
      </w:r>
      <w:r w:rsidRPr="00DC7991">
        <w:rPr>
          <w:lang w:val="ru-RU"/>
        </w:rPr>
        <w:t xml:space="preserve">... </w:t>
      </w:r>
      <w:r>
        <w:rPr>
          <w:lang w:val="uk-UA"/>
        </w:rPr>
        <w:t>у тому разі, якщо він працює в муніципальному окрузі, в якому передбачено право на отримання такої надбавки. Якщо державний службовець, який має право на індивідуальну надбавку до зарплати, повинен тимчасово виконувати обов’язки або заміняти іншого державного службовця, або якщо його місце роботи було перенесене до муніципального округу, в якому колишні надбавки за роботу у віддалених районах не виплачувалися, він не отримуватиме індивідуальної надбавки до зарплати протягом періоду виконання цих обов’язків, оскільки для того, щоб мати право на такі виплати, він повинен працювати в муніципальному окрузі, в якому передбачено право на отримання такої надбавки.</w:t>
      </w:r>
      <w:r w:rsidRPr="00DC7991">
        <w:rPr>
          <w:lang w:val="ru-RU"/>
        </w:rPr>
        <w:t>”</w:t>
      </w:r>
    </w:p>
    <w:p w:rsidR="00D002A0" w:rsidP="00411F36">
      <w:pPr>
        <w:pStyle w:val="JuPara"/>
        <w:rPr>
          <w:lang w:val="uk-UA"/>
        </w:rPr>
      </w:pPr>
      <w:r>
        <w:rPr>
          <w:lang w:val="uk-UA"/>
        </w:rPr>
        <w:t>За словами заявників, ця директива не має відношення до даної справи, оскільки вона стосується тільки тимчасової зміни місця роботи, у той час як в їхньому випадку зміна місця роботи мала постійний характер.</w:t>
      </w:r>
    </w:p>
    <w:p w:rsidRPr="00DC7991" w:rsidR="00D002A0" w:rsidP="00311FEF">
      <w:pPr>
        <w:pStyle w:val="JuPara"/>
        <w:rPr>
          <w:lang w:val="uk-UA"/>
        </w:rPr>
      </w:pPr>
      <w:r w:rsidRPr="004C4821">
        <w:rPr>
          <w:lang w:val="uk-UA"/>
        </w:rPr>
        <w:fldChar w:fldCharType="begin"/>
      </w:r>
      <w:r w:rsidRPr="004C4821">
        <w:rPr>
          <w:lang w:val="uk-UA"/>
        </w:rPr>
        <w:instrText xml:space="preserve"> </w:instrText>
      </w:r>
      <w:r>
        <w:instrText>SEQ</w:instrText>
      </w:r>
      <w:r w:rsidRPr="004C4821">
        <w:rPr>
          <w:lang w:val="uk-UA"/>
        </w:rPr>
        <w:instrText xml:space="preserve"> </w:instrText>
      </w:r>
      <w:r>
        <w:instrText>level</w:instrText>
      </w:r>
      <w:r w:rsidRPr="004C4821">
        <w:rPr>
          <w:lang w:val="uk-UA"/>
        </w:rPr>
        <w:instrText>0 \*</w:instrText>
      </w:r>
      <w:r>
        <w:instrText>arabic</w:instrText>
      </w:r>
      <w:r w:rsidRPr="004C4821">
        <w:rPr>
          <w:lang w:val="uk-UA"/>
        </w:rPr>
        <w:instrText xml:space="preserve"> </w:instrText>
      </w:r>
      <w:r w:rsidRPr="004C4821">
        <w:rPr>
          <w:lang w:val="uk-UA"/>
        </w:rPr>
        <w:fldChar w:fldCharType="separate"/>
      </w:r>
      <w:r w:rsidRPr="004C4821">
        <w:rPr>
          <w:noProof/>
          <w:lang w:val="uk-UA"/>
        </w:rPr>
        <w:t>23</w:t>
      </w:r>
      <w:r w:rsidRPr="004C4821">
        <w:rPr>
          <w:lang w:val="uk-UA"/>
        </w:rPr>
        <w:fldChar w:fldCharType="end"/>
      </w:r>
      <w:r w:rsidRPr="004C4821">
        <w:rPr>
          <w:lang w:val="uk-UA"/>
        </w:rPr>
        <w:t>.</w:t>
      </w:r>
      <w:r>
        <w:t>  </w:t>
      </w:r>
      <w:r>
        <w:rPr>
          <w:lang w:val="uk-UA"/>
        </w:rPr>
        <w:t>У своєму клопотанні від 25 березня 1991 року Департамент поліції Міністерства внутрішніх справ послався на аналогічну, за його думкою, справу, в якій Міністерство фінансів задовільнило 29 грудня 1989 року клопотання про виплату індивідуальних надбавок до заробітної плати у результаті включення поліцейського округу Пертунмаа до складу поліцейського округу Мянтюхар’ю (справа «</w:t>
      </w:r>
      <w:r w:rsidRPr="00F802AE">
        <w:rPr>
          <w:lang w:val="uk-UA"/>
        </w:rPr>
        <w:t>Мянтюхар</w:t>
      </w:r>
      <w:r>
        <w:rPr>
          <w:lang w:val="uk-UA"/>
        </w:rPr>
        <w:t>’</w:t>
      </w:r>
      <w:r w:rsidRPr="00F802AE">
        <w:rPr>
          <w:lang w:val="uk-UA"/>
        </w:rPr>
        <w:t>ю</w:t>
      </w:r>
      <w:r>
        <w:rPr>
          <w:lang w:val="uk-UA"/>
        </w:rPr>
        <w:t>»</w:t>
      </w:r>
      <w:r w:rsidRPr="00F802AE">
        <w:rPr>
          <w:lang w:val="uk-UA"/>
        </w:rPr>
        <w:t xml:space="preserve"> </w:t>
      </w:r>
      <w:r>
        <w:rPr>
          <w:lang w:val="uk-UA"/>
        </w:rPr>
        <w:t>(</w:t>
      </w:r>
      <w:r w:rsidRPr="00B70B1E">
        <w:rPr>
          <w:i/>
        </w:rPr>
        <w:t>M</w:t>
      </w:r>
      <w:r w:rsidRPr="00DC7991">
        <w:rPr>
          <w:i/>
          <w:lang w:val="uk-UA"/>
        </w:rPr>
        <w:t>ä</w:t>
      </w:r>
      <w:r w:rsidRPr="00B70B1E">
        <w:rPr>
          <w:i/>
        </w:rPr>
        <w:t>ntyharju</w:t>
      </w:r>
      <w:r w:rsidRPr="00DC7991">
        <w:rPr>
          <w:lang w:val="uk-UA"/>
        </w:rPr>
        <w:t xml:space="preserve"> </w:t>
      </w:r>
      <w:r>
        <w:t>case</w:t>
      </w:r>
      <w:r>
        <w:rPr>
          <w:lang w:val="uk-UA"/>
        </w:rPr>
        <w:t>)).</w:t>
      </w:r>
    </w:p>
    <w:p w:rsidRPr="00DC7991" w:rsidR="00D002A0" w:rsidP="00311FEF">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24</w:t>
      </w:r>
      <w:r w:rsidRPr="00DC7991">
        <w:rPr>
          <w:lang w:val="uk-UA"/>
        </w:rPr>
        <w:fldChar w:fldCharType="end"/>
      </w:r>
      <w:r w:rsidRPr="00DC7991">
        <w:rPr>
          <w:lang w:val="uk-UA"/>
        </w:rPr>
        <w:t>.</w:t>
      </w:r>
      <w:r>
        <w:t>  </w:t>
      </w:r>
      <w:r>
        <w:rPr>
          <w:lang w:val="uk-UA"/>
        </w:rPr>
        <w:t>3 липня 1991 року Міністерство фінансів відхилило клопотання про компенсацію транспортних витрат, подане державним службовцем, місце роботи якого змінилося після включення поліцейського округу Аскола до складу поліцейських округів Мантсала та Порвоо. Це рішення було залишене в силі Регіональною адміністративною радою провінції Уусімаа та Вищим адміністративним судом 7 квітня 1993 року та 7 грудня 1994 року відповідно</w:t>
      </w:r>
      <w:r w:rsidRPr="00DC7991">
        <w:rPr>
          <w:lang w:val="uk-UA"/>
        </w:rPr>
        <w:t>.</w:t>
      </w:r>
    </w:p>
    <w:p w:rsidR="00D002A0" w:rsidP="00311FEF">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25</w:t>
      </w:r>
      <w:r w:rsidRPr="00DC7991">
        <w:rPr>
          <w:lang w:val="uk-UA"/>
        </w:rPr>
        <w:fldChar w:fldCharType="end"/>
      </w:r>
      <w:r w:rsidRPr="00DC7991">
        <w:rPr>
          <w:lang w:val="uk-UA"/>
        </w:rPr>
        <w:t>.</w:t>
      </w:r>
      <w:r>
        <w:t>  </w:t>
      </w:r>
      <w:r>
        <w:rPr>
          <w:lang w:val="uk-UA"/>
        </w:rPr>
        <w:t>Рішенням від 10 січня 1997 року Регіональна адміністративна рада провінції Північна Карелія призначила поліцейському компенсацію за роботу в місцевостях із суворими кліматичними умовами за ставкою першого рівня, а також індивідуальну надбавку до заробітної плати на відшкодування різниці між ставкою другого (Валтімо) і першого (Нурмес) рівня в результаті включення поліцейського округу Валтімо до складу поліцейського округу Нурмес (справа «</w:t>
      </w:r>
      <w:r w:rsidRPr="00F802AE">
        <w:rPr>
          <w:lang w:val="uk-UA"/>
        </w:rPr>
        <w:t>Нурмес</w:t>
      </w:r>
      <w:r>
        <w:rPr>
          <w:lang w:val="uk-UA"/>
        </w:rPr>
        <w:t>» (</w:t>
      </w:r>
      <w:r w:rsidRPr="00B70B1E">
        <w:rPr>
          <w:i/>
        </w:rPr>
        <w:t>Nurmes</w:t>
      </w:r>
      <w:r w:rsidRPr="00DC7991">
        <w:rPr>
          <w:i/>
          <w:lang w:val="uk-UA"/>
        </w:rPr>
        <w:t xml:space="preserve"> </w:t>
      </w:r>
      <w:r w:rsidRPr="00311FEF">
        <w:t>case</w:t>
      </w:r>
      <w:r>
        <w:rPr>
          <w:lang w:val="uk-UA"/>
        </w:rPr>
        <w:t>).</w:t>
      </w:r>
    </w:p>
    <w:p w:rsidRPr="00DC7991" w:rsidR="00D002A0" w:rsidP="00991B15">
      <w:pPr>
        <w:pStyle w:val="JuHA"/>
        <w:outlineLvl w:val="0"/>
        <w:rPr>
          <w:lang w:val="uk-UA"/>
        </w:rPr>
      </w:pPr>
      <w:r>
        <w:t>B</w:t>
      </w:r>
      <w:r w:rsidRPr="00DC7991">
        <w:rPr>
          <w:lang w:val="uk-UA"/>
        </w:rPr>
        <w:t>.</w:t>
      </w:r>
      <w:r>
        <w:t>  </w:t>
      </w:r>
      <w:r>
        <w:rPr>
          <w:lang w:val="uk-UA"/>
        </w:rPr>
        <w:t>Усний розгляд справи</w:t>
      </w:r>
    </w:p>
    <w:p w:rsidRPr="00DC7991" w:rsidR="00D002A0" w:rsidP="00F0625E">
      <w:pPr>
        <w:pStyle w:val="JuPara"/>
        <w:rPr>
          <w:lang w:val="ru-RU"/>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26</w:t>
      </w:r>
      <w:r w:rsidRPr="00DC7991">
        <w:rPr>
          <w:lang w:val="uk-UA"/>
        </w:rPr>
        <w:fldChar w:fldCharType="end"/>
      </w:r>
      <w:r w:rsidRPr="00DC7991">
        <w:rPr>
          <w:lang w:val="uk-UA"/>
        </w:rPr>
        <w:t>.</w:t>
      </w:r>
      <w:r>
        <w:t>  </w:t>
      </w:r>
      <w:r>
        <w:rPr>
          <w:lang w:val="uk-UA"/>
        </w:rPr>
        <w:t xml:space="preserve">Згідно з пунктом 1 статті 38 Закону про адміністративне судочинство </w:t>
      </w:r>
      <w:r w:rsidRPr="00DC7991">
        <w:rPr>
          <w:lang w:val="uk-UA"/>
        </w:rPr>
        <w:t>(</w:t>
      </w:r>
      <w:r w:rsidRPr="00AD179C">
        <w:rPr>
          <w:i/>
        </w:rPr>
        <w:t>hallintolaink</w:t>
      </w:r>
      <w:r w:rsidRPr="00DC7991">
        <w:rPr>
          <w:i/>
          <w:lang w:val="uk-UA"/>
        </w:rPr>
        <w:t>ä</w:t>
      </w:r>
      <w:r w:rsidRPr="00AD179C">
        <w:rPr>
          <w:i/>
        </w:rPr>
        <w:t>ytt</w:t>
      </w:r>
      <w:r w:rsidRPr="00DC7991">
        <w:rPr>
          <w:i/>
          <w:lang w:val="uk-UA"/>
        </w:rPr>
        <w:t>ö</w:t>
      </w:r>
      <w:r w:rsidRPr="00AD179C">
        <w:rPr>
          <w:i/>
        </w:rPr>
        <w:t>laki</w:t>
      </w:r>
      <w:r w:rsidRPr="00DC7991">
        <w:rPr>
          <w:i/>
          <w:lang w:val="uk-UA"/>
        </w:rPr>
        <w:t xml:space="preserve">, </w:t>
      </w:r>
      <w:r w:rsidRPr="00AD179C">
        <w:rPr>
          <w:i/>
        </w:rPr>
        <w:t>f</w:t>
      </w:r>
      <w:r w:rsidRPr="00DC7991">
        <w:rPr>
          <w:i/>
          <w:lang w:val="uk-UA"/>
        </w:rPr>
        <w:t>ö</w:t>
      </w:r>
      <w:r w:rsidRPr="00AD179C">
        <w:rPr>
          <w:i/>
        </w:rPr>
        <w:t>rvaltningsprocesslagen</w:t>
      </w:r>
      <w:r w:rsidRPr="00DC7991">
        <w:rPr>
          <w:lang w:val="uk-UA"/>
        </w:rPr>
        <w:t xml:space="preserve">; </w:t>
      </w:r>
      <w:r>
        <w:rPr>
          <w:lang w:val="uk-UA"/>
        </w:rPr>
        <w:t>Закон №</w:t>
      </w:r>
      <w:r w:rsidRPr="00DC7991">
        <w:rPr>
          <w:lang w:val="uk-UA"/>
        </w:rPr>
        <w:t xml:space="preserve"> 586/1996)</w:t>
      </w:r>
      <w:r>
        <w:rPr>
          <w:lang w:val="uk-UA"/>
        </w:rPr>
        <w:t>,</w:t>
      </w:r>
      <w:r w:rsidRPr="00DC7991">
        <w:rPr>
          <w:lang w:val="uk-UA"/>
        </w:rPr>
        <w:t xml:space="preserve"> </w:t>
      </w:r>
      <w:r>
        <w:rPr>
          <w:lang w:val="uk-UA"/>
        </w:rPr>
        <w:t>усний розгляд справи має бути проведений, якщо це вимагається однією зі сторін судового процесу. Усне слухання може, однак, не проводитись, якщо клопотання сторони визнано неприйнятним, або якщо, у зв’язку з характером справи або іншими обставинами, проведення усного слухання є явно зайвим.</w:t>
      </w:r>
    </w:p>
    <w:p w:rsidRPr="00DC7991" w:rsidR="00D002A0" w:rsidP="00F0625E">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27</w:t>
      </w:r>
      <w:r w:rsidRPr="00DC7991">
        <w:rPr>
          <w:lang w:val="ru-RU"/>
        </w:rPr>
        <w:fldChar w:fldCharType="end"/>
      </w:r>
      <w:r w:rsidRPr="00DC7991">
        <w:rPr>
          <w:lang w:val="ru-RU"/>
        </w:rPr>
        <w:t>.</w:t>
      </w:r>
      <w:r w:rsidRPr="00AD179C">
        <w:t>  </w:t>
      </w:r>
      <w:r>
        <w:rPr>
          <w:lang w:val="uk-UA"/>
        </w:rPr>
        <w:t xml:space="preserve">У пояснювальній доповіді до законопроекту </w:t>
      </w:r>
      <w:r w:rsidRPr="00DC7991">
        <w:rPr>
          <w:lang w:val="ru-RU"/>
        </w:rPr>
        <w:t>(</w:t>
      </w:r>
      <w:r>
        <w:rPr>
          <w:lang w:val="uk-UA"/>
        </w:rPr>
        <w:t>№</w:t>
      </w:r>
      <w:r w:rsidRPr="00DC7991">
        <w:rPr>
          <w:lang w:val="ru-RU"/>
        </w:rPr>
        <w:t xml:space="preserve"> 217/1995) </w:t>
      </w:r>
      <w:r>
        <w:rPr>
          <w:lang w:val="uk-UA"/>
        </w:rPr>
        <w:t>про адміністративне судочинство розглядається питання про право на усний розгляд справи, як це передбачено статтею 6 Конвенції, та про можливість непроведення усного розгляду справ, що торкаються адміністративних спорів, як це передбачено пунктом 1 статті 38 даного закону, якщо в цьому явно немає необхідності. У доповіді зазначається, що усний розгляд сприяє цілеспрямованому і швидкому вирішенню справи, але, оскільки він не завжди має конкретну практичну користь, треба забезпечити, щоб його проведення не впливало негативно на гнучкість та економічну ефективність адміністративного провадження. Усний розгляд повинен відбуватися, коли це необхідно для з’ясування окремих питань і коли його можна вважати корисним для справи в цілому.</w:t>
      </w:r>
    </w:p>
    <w:p w:rsidRPr="00DC7991" w:rsidR="00D002A0" w:rsidP="00991B15">
      <w:pPr>
        <w:pStyle w:val="JuHIRoman"/>
        <w:outlineLvl w:val="0"/>
        <w:rPr>
          <w:lang w:val="ru-RU"/>
        </w:rPr>
      </w:pPr>
      <w:r>
        <w:t>III</w:t>
      </w:r>
      <w:r w:rsidRPr="00DC7991">
        <w:rPr>
          <w:lang w:val="ru-RU"/>
        </w:rPr>
        <w:t>.</w:t>
      </w:r>
      <w:r>
        <w:t>  </w:t>
      </w:r>
      <w:r>
        <w:rPr>
          <w:lang w:val="uk-UA"/>
        </w:rPr>
        <w:t>ВІДПОВІДНЕ МІЖНАРОДНЕ ПРАВО ТА ПРАКТИКА</w:t>
      </w:r>
    </w:p>
    <w:p w:rsidRPr="00DC7991" w:rsidR="00D002A0" w:rsidP="00526B97">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28</w:t>
      </w:r>
      <w:r w:rsidRPr="00DC7991">
        <w:rPr>
          <w:lang w:val="ru-RU"/>
        </w:rPr>
        <w:fldChar w:fldCharType="end"/>
      </w:r>
      <w:r w:rsidRPr="00DC7991">
        <w:rPr>
          <w:lang w:val="ru-RU"/>
        </w:rPr>
        <w:t>.</w:t>
      </w:r>
      <w:r>
        <w:t>  </w:t>
      </w:r>
      <w:r>
        <w:rPr>
          <w:lang w:val="uk-UA"/>
        </w:rPr>
        <w:t>Міжнародне право та практика, на які Суд спирався в своєму рішенні у справі «</w:t>
      </w:r>
      <w:r w:rsidRPr="00316615">
        <w:rPr>
          <w:lang w:val="uk-UA"/>
        </w:rPr>
        <w:t>Пеллегрін проти Франції</w:t>
      </w:r>
      <w:r>
        <w:rPr>
          <w:lang w:val="uk-UA"/>
        </w:rPr>
        <w:t>»</w:t>
      </w:r>
      <w:r>
        <w:rPr>
          <w:i/>
          <w:lang w:val="uk-UA"/>
        </w:rPr>
        <w:t xml:space="preserve"> (</w:t>
      </w:r>
      <w:r w:rsidRPr="00D22943">
        <w:rPr>
          <w:i/>
        </w:rPr>
        <w:t>Pellegrin</w:t>
      </w:r>
      <w:r w:rsidRPr="00DC7991">
        <w:rPr>
          <w:i/>
          <w:lang w:val="ru-RU"/>
        </w:rPr>
        <w:t xml:space="preserve"> </w:t>
      </w:r>
      <w:r w:rsidRPr="00D22943">
        <w:rPr>
          <w:i/>
        </w:rPr>
        <w:t>v</w:t>
      </w:r>
      <w:r w:rsidRPr="00DC7991">
        <w:rPr>
          <w:i/>
          <w:lang w:val="ru-RU"/>
        </w:rPr>
        <w:t xml:space="preserve">. </w:t>
      </w:r>
      <w:r w:rsidRPr="00D22943">
        <w:rPr>
          <w:i/>
        </w:rPr>
        <w:t>France</w:t>
      </w:r>
      <w:r>
        <w:rPr>
          <w:i/>
          <w:lang w:val="uk-UA"/>
        </w:rPr>
        <w:t>)</w:t>
      </w:r>
      <w:r w:rsidRPr="00DC7991">
        <w:rPr>
          <w:lang w:val="ru-RU"/>
        </w:rPr>
        <w:t xml:space="preserve"> (</w:t>
      </w:r>
      <w:r w:rsidRPr="00DC7991">
        <w:rPr>
          <w:lang w:val="ru-RU" w:eastAsia="en-US"/>
        </w:rPr>
        <w:t>[</w:t>
      </w:r>
      <w:r>
        <w:rPr>
          <w:lang w:val="uk-UA" w:eastAsia="en-US"/>
        </w:rPr>
        <w:t>ВП</w:t>
      </w:r>
      <w:r w:rsidRPr="00DC7991">
        <w:rPr>
          <w:lang w:val="ru-RU" w:eastAsia="en-US"/>
        </w:rPr>
        <w:t xml:space="preserve">], </w:t>
      </w:r>
      <w:r>
        <w:rPr>
          <w:lang w:val="uk-UA" w:eastAsia="en-US"/>
        </w:rPr>
        <w:t>№</w:t>
      </w:r>
      <w:r w:rsidRPr="00DC7991">
        <w:rPr>
          <w:lang w:val="ru-RU" w:eastAsia="en-US"/>
        </w:rPr>
        <w:t xml:space="preserve"> 28541/95, </w:t>
      </w:r>
      <w:r w:rsidRPr="00CD2BD7">
        <w:rPr>
          <w:lang w:eastAsia="en-US"/>
        </w:rPr>
        <w:t>ECHR</w:t>
      </w:r>
      <w:r w:rsidRPr="00DC7991">
        <w:rPr>
          <w:lang w:val="ru-RU" w:eastAsia="en-US"/>
        </w:rPr>
        <w:t xml:space="preserve"> 1999</w:t>
      </w:r>
      <w:r w:rsidRPr="00DC7991">
        <w:rPr>
          <w:lang w:val="ru-RU" w:eastAsia="en-US"/>
        </w:rPr>
        <w:noBreakHyphen/>
      </w:r>
      <w:r w:rsidRPr="00CD2BD7">
        <w:rPr>
          <w:lang w:eastAsia="en-US"/>
        </w:rPr>
        <w:t>VIII</w:t>
      </w:r>
      <w:r w:rsidRPr="00DC7991">
        <w:rPr>
          <w:lang w:val="ru-RU" w:eastAsia="en-US"/>
        </w:rPr>
        <w:t>)</w:t>
      </w:r>
      <w:r>
        <w:rPr>
          <w:lang w:val="uk-UA" w:eastAsia="en-US"/>
        </w:rPr>
        <w:t>,</w:t>
      </w:r>
      <w:r w:rsidRPr="00DC7991">
        <w:rPr>
          <w:lang w:val="ru-RU" w:eastAsia="en-US"/>
        </w:rPr>
        <w:t xml:space="preserve"> </w:t>
      </w:r>
      <w:r>
        <w:rPr>
          <w:lang w:val="uk-UA" w:eastAsia="en-US"/>
        </w:rPr>
        <w:t>викладені у пунктах 37-41 цього рішення.</w:t>
      </w:r>
    </w:p>
    <w:p w:rsidRPr="00DC7991" w:rsidR="00D002A0" w:rsidP="00E847B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29</w:t>
      </w:r>
      <w:r w:rsidRPr="00DC7991">
        <w:rPr>
          <w:lang w:val="ru-RU"/>
        </w:rPr>
        <w:fldChar w:fldCharType="end"/>
      </w:r>
      <w:r w:rsidRPr="00DC7991">
        <w:rPr>
          <w:lang w:val="ru-RU"/>
        </w:rPr>
        <w:t>.</w:t>
      </w:r>
      <w:r>
        <w:t>  </w:t>
      </w:r>
      <w:bookmarkStart w:name="anArt55" w:id="2"/>
      <w:r>
        <w:rPr>
          <w:lang w:val="uk-UA"/>
        </w:rPr>
        <w:t>Стаття</w:t>
      </w:r>
      <w:r w:rsidRPr="00DC7991">
        <w:rPr>
          <w:lang w:val="ru-RU"/>
        </w:rPr>
        <w:t xml:space="preserve"> 47 </w:t>
      </w:r>
      <w:r>
        <w:rPr>
          <w:lang w:val="uk-UA"/>
        </w:rPr>
        <w:t>Хартії основних прав Європейського союзу, проголошеної 7 грудня 2000 року, яка стосується права на ефективний засіб правового захисту і на справедливий суд, передбачає</w:t>
      </w:r>
      <w:r w:rsidRPr="00DC7991">
        <w:rPr>
          <w:lang w:val="ru-RU"/>
        </w:rPr>
        <w:t>:</w:t>
      </w:r>
      <w:bookmarkEnd w:id="2"/>
    </w:p>
    <w:p w:rsidRPr="00DC7991" w:rsidR="00D002A0" w:rsidP="00E847B5">
      <w:pPr>
        <w:pStyle w:val="JuQuot"/>
        <w:rPr>
          <w:lang w:val="ru-RU"/>
        </w:rPr>
      </w:pPr>
      <w:r w:rsidRPr="00DC7991">
        <w:rPr>
          <w:lang w:val="ru-RU"/>
        </w:rPr>
        <w:t>“</w:t>
      </w:r>
      <w:r>
        <w:rPr>
          <w:lang w:val="uk-UA"/>
        </w:rPr>
        <w:t>Кожен, чиї права та свободи, гарантовані правом Європейського союзу, було порушено, має право на ефективний засіб правового захисту в суді відповідно до умов, викладених у цій статті</w:t>
      </w:r>
      <w:r w:rsidRPr="00DC7991">
        <w:rPr>
          <w:lang w:val="ru-RU"/>
        </w:rPr>
        <w:t>.</w:t>
      </w:r>
    </w:p>
    <w:p w:rsidRPr="00DC7991" w:rsidR="00D002A0" w:rsidP="00E847B5">
      <w:pPr>
        <w:pStyle w:val="JuQuot"/>
        <w:rPr>
          <w:lang w:val="ru-RU"/>
        </w:rPr>
      </w:pPr>
      <w:r>
        <w:rPr>
          <w:lang w:val="uk-UA"/>
        </w:rPr>
        <w:t>Кожен має право на справедливий і публічний розгляд його справи упродовж розумного строку незалежним і безстороннім судом, встановленим законом. Кожен повинен мати можливість отримувати поради, вибирати захисника та представника</w:t>
      </w:r>
      <w:r w:rsidRPr="00DC7991">
        <w:rPr>
          <w:lang w:val="ru-RU"/>
        </w:rPr>
        <w:t>.</w:t>
      </w:r>
    </w:p>
    <w:p w:rsidRPr="00DC7991" w:rsidR="00D002A0" w:rsidP="00A25DBC">
      <w:pPr>
        <w:pStyle w:val="JuQuot"/>
        <w:rPr>
          <w:lang w:val="ru-RU"/>
        </w:rPr>
      </w:pPr>
      <w:r>
        <w:rPr>
          <w:lang w:val="uk-UA"/>
        </w:rPr>
        <w:t>Безкоштовна юридична допомога повинна надаватися тим, хто не має достатніх коштів, тою мірою, якою така допомога необхідна для забезпечення ефективного доступу до правосуддя.</w:t>
      </w:r>
      <w:r w:rsidRPr="00DC7991">
        <w:rPr>
          <w:lang w:val="ru-RU"/>
        </w:rPr>
        <w:t>”</w:t>
      </w:r>
    </w:p>
    <w:p w:rsidRPr="00DC7991" w:rsidR="00D002A0" w:rsidP="00A25DBC">
      <w:pPr>
        <w:jc w:val="both"/>
        <w:rPr>
          <w:rStyle w:val="JuParaChar"/>
          <w:lang w:val="ru-RU"/>
        </w:rPr>
      </w:pPr>
      <w:r w:rsidRPr="00DC7991">
        <w:rPr>
          <w:rStyle w:val="JuParaChar"/>
          <w:lang w:val="ru-RU"/>
        </w:rPr>
        <w:fldChar w:fldCharType="begin"/>
      </w:r>
      <w:r w:rsidRPr="00DC7991">
        <w:rPr>
          <w:rStyle w:val="JuParaChar"/>
          <w:lang w:val="ru-RU"/>
        </w:rPr>
        <w:instrText xml:space="preserve"> </w:instrText>
      </w:r>
      <w:r>
        <w:rPr>
          <w:rStyle w:val="JuParaChar"/>
        </w:rPr>
        <w:instrText>SEQ</w:instrText>
      </w:r>
      <w:r w:rsidRPr="00DC7991">
        <w:rPr>
          <w:rStyle w:val="JuParaChar"/>
          <w:lang w:val="ru-RU"/>
        </w:rPr>
        <w:instrText xml:space="preserve"> </w:instrText>
      </w:r>
      <w:r>
        <w:rPr>
          <w:rStyle w:val="JuParaChar"/>
        </w:rPr>
        <w:instrText>level</w:instrText>
      </w:r>
      <w:r w:rsidRPr="00DC7991">
        <w:rPr>
          <w:rStyle w:val="JuParaChar"/>
          <w:lang w:val="ru-RU"/>
        </w:rPr>
        <w:instrText>0 \*</w:instrText>
      </w:r>
      <w:r>
        <w:rPr>
          <w:rStyle w:val="JuParaChar"/>
        </w:rPr>
        <w:instrText>arabic</w:instrText>
      </w:r>
      <w:r w:rsidRPr="00DC7991">
        <w:rPr>
          <w:rStyle w:val="JuParaChar"/>
          <w:lang w:val="ru-RU"/>
        </w:rPr>
        <w:instrText xml:space="preserve"> </w:instrText>
      </w:r>
      <w:r w:rsidRPr="00DC7991">
        <w:rPr>
          <w:rStyle w:val="JuParaChar"/>
          <w:lang w:val="ru-RU"/>
        </w:rPr>
        <w:fldChar w:fldCharType="separate"/>
      </w:r>
      <w:r w:rsidRPr="00DC7991">
        <w:rPr>
          <w:rStyle w:val="JuParaChar"/>
          <w:noProof/>
          <w:lang w:val="ru-RU"/>
        </w:rPr>
        <w:t>30</w:t>
      </w:r>
      <w:r w:rsidRPr="00DC7991">
        <w:rPr>
          <w:rStyle w:val="JuParaChar"/>
          <w:lang w:val="ru-RU"/>
        </w:rPr>
        <w:fldChar w:fldCharType="end"/>
      </w:r>
      <w:r w:rsidRPr="00DC7991">
        <w:rPr>
          <w:rStyle w:val="JuParaChar"/>
          <w:lang w:val="ru-RU"/>
        </w:rPr>
        <w:t>.</w:t>
      </w:r>
      <w:r>
        <w:rPr>
          <w:rStyle w:val="JuParaChar"/>
        </w:rPr>
        <w:t>  </w:t>
      </w:r>
      <w:r>
        <w:rPr>
          <w:rStyle w:val="JuParaChar"/>
          <w:lang w:val="uk-UA"/>
        </w:rPr>
        <w:t xml:space="preserve">Пояснення до Хартії основних прав, спочатку підготовлені під керівництвом президії Конвенту, яка розробила Хартію, і, нарешті, інтегровані в Заключний акт Договору про запровадження Конституції для Європи, не мають такої самої юридичної сили, що і Хартія. Однак, вони являють собою </w:t>
      </w:r>
      <w:r w:rsidRPr="00DC7991">
        <w:rPr>
          <w:rStyle w:val="JuParaChar"/>
          <w:lang w:val="ru-RU"/>
        </w:rPr>
        <w:t>“</w:t>
      </w:r>
      <w:r>
        <w:rPr>
          <w:rStyle w:val="JuParaChar"/>
          <w:lang w:val="uk-UA"/>
        </w:rPr>
        <w:t>цінний інструмент тлумачення Хартії, спрямований на роз’яснення її положень</w:t>
      </w:r>
      <w:r w:rsidRPr="00DC7991">
        <w:rPr>
          <w:rStyle w:val="JuParaChar"/>
          <w:lang w:val="ru-RU"/>
        </w:rPr>
        <w:t xml:space="preserve">”. </w:t>
      </w:r>
      <w:r>
        <w:rPr>
          <w:rStyle w:val="JuParaChar"/>
          <w:lang w:val="uk-UA"/>
        </w:rPr>
        <w:t>В них говориться наступне</w:t>
      </w:r>
      <w:r w:rsidRPr="00DC7991">
        <w:rPr>
          <w:rStyle w:val="JuParaChar"/>
          <w:lang w:val="ru-RU"/>
        </w:rPr>
        <w:t xml:space="preserve"> (</w:t>
      </w:r>
      <w:r>
        <w:rPr>
          <w:rStyle w:val="JuParaChar"/>
          <w:lang w:val="uk-UA"/>
        </w:rPr>
        <w:t>витяг</w:t>
      </w:r>
      <w:r w:rsidRPr="00DC7991">
        <w:rPr>
          <w:rStyle w:val="JuParaChar"/>
          <w:lang w:val="ru-RU"/>
        </w:rPr>
        <w:t>):</w:t>
      </w:r>
    </w:p>
    <w:p w:rsidRPr="00DC7991" w:rsidR="00D002A0" w:rsidP="00A25DBC">
      <w:pPr>
        <w:pStyle w:val="JuQuot"/>
        <w:rPr>
          <w:lang w:val="ru-RU"/>
        </w:rPr>
      </w:pPr>
      <w:r w:rsidRPr="00DC7991">
        <w:rPr>
          <w:lang w:val="ru-RU"/>
        </w:rPr>
        <w:t>“</w:t>
      </w:r>
      <w:r>
        <w:rPr>
          <w:lang w:val="uk-UA"/>
        </w:rPr>
        <w:t>Другий пункт</w:t>
      </w:r>
      <w:r w:rsidRPr="00DC7991">
        <w:rPr>
          <w:lang w:val="ru-RU"/>
        </w:rPr>
        <w:t xml:space="preserve"> [</w:t>
      </w:r>
      <w:r>
        <w:rPr>
          <w:lang w:val="uk-UA"/>
        </w:rPr>
        <w:t>статті</w:t>
      </w:r>
      <w:r w:rsidRPr="00DC7991">
        <w:rPr>
          <w:lang w:val="ru-RU"/>
        </w:rPr>
        <w:t xml:space="preserve"> 47] </w:t>
      </w:r>
      <w:r>
        <w:rPr>
          <w:lang w:val="uk-UA"/>
        </w:rPr>
        <w:t>відповідає пункту 1 статті 6 Європейської конвенції, який передбачає наступне</w:t>
      </w:r>
      <w:r w:rsidRPr="00DC7991">
        <w:rPr>
          <w:lang w:val="ru-RU"/>
        </w:rPr>
        <w:t>:</w:t>
      </w:r>
    </w:p>
    <w:p w:rsidRPr="00DC7991" w:rsidR="00D002A0" w:rsidP="00773DBF">
      <w:pPr>
        <w:pStyle w:val="JuQuotSub"/>
        <w:rPr>
          <w:lang w:val="ru-RU"/>
        </w:rPr>
      </w:pPr>
      <w:r>
        <w:rPr>
          <w:lang w:val="ru-RU"/>
        </w:rPr>
        <w:t>‘</w:t>
      </w:r>
      <w:r>
        <w:rPr>
          <w:lang w:val="uk-UA"/>
        </w:rPr>
        <w:t>Кожен має право на справедливий і публічний розгляд його справи упродовж розумного строку незалежним і безстороннім судом, встановленим законом, який вирішить спір щодо його прав та обов’язків цивільного характеру або встановить обґрунтованість будь-якого висунутого проти нього кримінального обвинувачення. Судове рішення проголошується публічно, але преса і публіка можуть бути не допущені в зал засідань протягом усього судового розгляду або його частини в інтересах моралі, громадського порядку чи національної безпеки в демократичному суспільстві, якщо того вимагають інтереси неповнолітніх або захист приватного життя сторін, або – тією мірою, що визнана судом суворо необхідною, - коли за особливих обставин публічність розгляду може зашкодити інтересам правосуддя.</w:t>
      </w:r>
      <w:r>
        <w:rPr>
          <w:lang w:val="ru-RU"/>
        </w:rPr>
        <w:t>’</w:t>
      </w:r>
    </w:p>
    <w:p w:rsidRPr="00DC7991" w:rsidR="00D002A0" w:rsidP="00A25DBC">
      <w:pPr>
        <w:pStyle w:val="JuQuot"/>
        <w:rPr>
          <w:lang w:val="ru-RU"/>
        </w:rPr>
      </w:pPr>
      <w:r>
        <w:rPr>
          <w:lang w:val="uk-UA"/>
        </w:rPr>
        <w:t xml:space="preserve">У праві Європейського союзу право на справедливий суд не обмежується спорами щодо прав і обов’язків цивільного характеру. Це один із наслідків того, що Європейський союз є співтовариством, заснованим на принципі верховенства права, як заявив Суд у справі </w:t>
      </w:r>
      <w:r w:rsidRPr="00DC7991">
        <w:rPr>
          <w:lang w:val="uk-UA"/>
        </w:rPr>
        <w:t>294/83</w:t>
      </w:r>
      <w:r>
        <w:rPr>
          <w:lang w:val="uk-UA"/>
        </w:rPr>
        <w:t xml:space="preserve"> </w:t>
      </w:r>
      <w:r w:rsidRPr="002A16E5">
        <w:rPr>
          <w:lang w:val="uk-UA"/>
        </w:rPr>
        <w:t>«Партія зелених проти Європейського парламенту»</w:t>
      </w:r>
      <w:r w:rsidRPr="00DC7991">
        <w:rPr>
          <w:lang w:val="uk-UA"/>
        </w:rPr>
        <w:t xml:space="preserve"> </w:t>
      </w:r>
      <w:r>
        <w:rPr>
          <w:lang w:val="uk-UA"/>
        </w:rPr>
        <w:t>(‘</w:t>
      </w:r>
      <w:r w:rsidRPr="001F43A8">
        <w:rPr>
          <w:i/>
        </w:rPr>
        <w:t>Les</w:t>
      </w:r>
      <w:r w:rsidRPr="00DC7991">
        <w:rPr>
          <w:i/>
          <w:lang w:val="uk-UA"/>
        </w:rPr>
        <w:t xml:space="preserve"> </w:t>
      </w:r>
      <w:r w:rsidRPr="001F43A8">
        <w:rPr>
          <w:i/>
        </w:rPr>
        <w:t>Verts</w:t>
      </w:r>
      <w:r>
        <w:rPr>
          <w:i/>
          <w:lang w:val="uk-UA"/>
        </w:rPr>
        <w:t>’</w:t>
      </w:r>
      <w:r w:rsidRPr="00DC7991">
        <w:rPr>
          <w:i/>
          <w:lang w:val="uk-UA"/>
        </w:rPr>
        <w:t xml:space="preserve"> </w:t>
      </w:r>
      <w:r w:rsidRPr="001F43A8">
        <w:rPr>
          <w:i/>
        </w:rPr>
        <w:t>v</w:t>
      </w:r>
      <w:r w:rsidRPr="00DC7991">
        <w:rPr>
          <w:i/>
          <w:lang w:val="uk-UA"/>
        </w:rPr>
        <w:t xml:space="preserve">. </w:t>
      </w:r>
      <w:r w:rsidRPr="001F43A8">
        <w:rPr>
          <w:i/>
        </w:rPr>
        <w:t>European</w:t>
      </w:r>
      <w:r w:rsidRPr="00DC7991">
        <w:rPr>
          <w:i/>
          <w:lang w:val="uk-UA"/>
        </w:rPr>
        <w:t xml:space="preserve"> </w:t>
      </w:r>
      <w:r w:rsidRPr="001F43A8">
        <w:rPr>
          <w:i/>
        </w:rPr>
        <w:t>Parliament</w:t>
      </w:r>
      <w:r>
        <w:rPr>
          <w:i/>
          <w:lang w:val="uk-UA"/>
        </w:rPr>
        <w:t>)</w:t>
      </w:r>
      <w:r w:rsidRPr="00DC7991">
        <w:rPr>
          <w:lang w:val="uk-UA"/>
        </w:rPr>
        <w:t xml:space="preserve"> (</w:t>
      </w:r>
      <w:r>
        <w:rPr>
          <w:lang w:val="uk-UA"/>
        </w:rPr>
        <w:t>постанова від</w:t>
      </w:r>
      <w:r w:rsidRPr="00DC7991">
        <w:rPr>
          <w:lang w:val="uk-UA"/>
        </w:rPr>
        <w:t xml:space="preserve"> 23 </w:t>
      </w:r>
      <w:r>
        <w:rPr>
          <w:lang w:val="uk-UA"/>
        </w:rPr>
        <w:t>квітня</w:t>
      </w:r>
      <w:r w:rsidRPr="00DC7991">
        <w:rPr>
          <w:lang w:val="uk-UA"/>
        </w:rPr>
        <w:t xml:space="preserve"> 1986</w:t>
      </w:r>
      <w:r>
        <w:rPr>
          <w:lang w:val="uk-UA"/>
        </w:rPr>
        <w:t xml:space="preserve"> року</w:t>
      </w:r>
      <w:r w:rsidRPr="00DC7991">
        <w:rPr>
          <w:lang w:val="uk-UA"/>
        </w:rPr>
        <w:t xml:space="preserve">, [1988] </w:t>
      </w:r>
      <w:r w:rsidRPr="00A25DBC">
        <w:t>ECR</w:t>
      </w:r>
      <w:r w:rsidRPr="00DC7991">
        <w:rPr>
          <w:lang w:val="uk-UA"/>
        </w:rPr>
        <w:t xml:space="preserve"> 1339). </w:t>
      </w:r>
      <w:r>
        <w:rPr>
          <w:lang w:val="uk-UA"/>
        </w:rPr>
        <w:t>Однак, за винятком їхньої сфери застосування, гарантії, що надаються Європейською конвенцією з прав людини, застосовуються таким же чином в Європейському союзі.</w:t>
      </w:r>
      <w:r w:rsidRPr="00DC7991">
        <w:rPr>
          <w:lang w:val="ru-RU"/>
        </w:rPr>
        <w:t>”</w:t>
      </w:r>
    </w:p>
    <w:p w:rsidRPr="00DC7991" w:rsidR="00D002A0" w:rsidP="00773DBF">
      <w:pPr>
        <w:pStyle w:val="JuPara"/>
        <w:rPr>
          <w:lang w:val="uk-UA"/>
        </w:rPr>
      </w:pPr>
      <w:r>
        <w:rPr>
          <w:lang w:val="uk-UA"/>
        </w:rPr>
        <w:t xml:space="preserve">З цього випливає, що стаття 47, в контексті права Європейського союзу, не обмежується цивільними правами та обов’язками або питаннями кримінального права у сенсі статті 6 Конвенції. У зв’язку з цим Хартія кодифікувала прецедентну практику Суду Європейських співтовариств </w:t>
      </w:r>
      <w:r w:rsidRPr="00DC7991">
        <w:rPr>
          <w:lang w:val="uk-UA"/>
        </w:rPr>
        <w:t>(</w:t>
      </w:r>
      <w:r>
        <w:rPr>
          <w:lang w:val="uk-UA"/>
        </w:rPr>
        <w:t>див. справу «</w:t>
      </w:r>
      <w:r w:rsidRPr="002A16E5">
        <w:rPr>
          <w:lang w:val="uk-UA"/>
        </w:rPr>
        <w:t>Маргарита Джонстон проти головного констебля Королівської поліції Ольстера</w:t>
      </w:r>
      <w:r>
        <w:rPr>
          <w:lang w:val="uk-UA"/>
        </w:rPr>
        <w:t>»</w:t>
      </w:r>
      <w:r w:rsidRPr="00DC7991">
        <w:rPr>
          <w:lang w:val="uk-UA"/>
        </w:rPr>
        <w:t xml:space="preserve"> </w:t>
      </w:r>
      <w:r>
        <w:rPr>
          <w:lang w:val="uk-UA"/>
        </w:rPr>
        <w:t>(</w:t>
      </w:r>
      <w:r w:rsidRPr="00773DBF">
        <w:rPr>
          <w:i/>
          <w:iCs/>
        </w:rPr>
        <w:t>Marguerite</w:t>
      </w:r>
      <w:r w:rsidRPr="00DC7991">
        <w:rPr>
          <w:i/>
          <w:iCs/>
          <w:lang w:val="uk-UA"/>
        </w:rPr>
        <w:t xml:space="preserve"> </w:t>
      </w:r>
      <w:r w:rsidRPr="00773DBF">
        <w:rPr>
          <w:i/>
          <w:iCs/>
        </w:rPr>
        <w:t>Johnston</w:t>
      </w:r>
      <w:r w:rsidRPr="00DC7991">
        <w:rPr>
          <w:i/>
          <w:iCs/>
          <w:lang w:val="uk-UA"/>
        </w:rPr>
        <w:t xml:space="preserve"> </w:t>
      </w:r>
      <w:r w:rsidRPr="00773DBF">
        <w:rPr>
          <w:i/>
          <w:iCs/>
        </w:rPr>
        <w:t>v</w:t>
      </w:r>
      <w:r w:rsidRPr="00DC7991">
        <w:rPr>
          <w:i/>
          <w:iCs/>
          <w:lang w:val="uk-UA"/>
        </w:rPr>
        <w:t xml:space="preserve">. </w:t>
      </w:r>
      <w:r w:rsidRPr="00773DBF">
        <w:rPr>
          <w:i/>
          <w:iCs/>
        </w:rPr>
        <w:t>Chief</w:t>
      </w:r>
      <w:r w:rsidRPr="00DC7991">
        <w:rPr>
          <w:i/>
          <w:iCs/>
          <w:lang w:val="uk-UA"/>
        </w:rPr>
        <w:t xml:space="preserve"> </w:t>
      </w:r>
      <w:r w:rsidRPr="00773DBF">
        <w:rPr>
          <w:i/>
          <w:iCs/>
        </w:rPr>
        <w:t>Constable</w:t>
      </w:r>
      <w:r w:rsidRPr="00DC7991">
        <w:rPr>
          <w:i/>
          <w:iCs/>
          <w:lang w:val="uk-UA"/>
        </w:rPr>
        <w:t xml:space="preserve"> </w:t>
      </w:r>
      <w:r w:rsidRPr="00773DBF">
        <w:rPr>
          <w:i/>
          <w:iCs/>
        </w:rPr>
        <w:t>of</w:t>
      </w:r>
      <w:r w:rsidRPr="00DC7991">
        <w:rPr>
          <w:i/>
          <w:iCs/>
          <w:lang w:val="uk-UA"/>
        </w:rPr>
        <w:t xml:space="preserve"> </w:t>
      </w:r>
      <w:r w:rsidRPr="00773DBF">
        <w:rPr>
          <w:i/>
          <w:iCs/>
        </w:rPr>
        <w:t>the</w:t>
      </w:r>
      <w:r w:rsidRPr="00DC7991">
        <w:rPr>
          <w:i/>
          <w:iCs/>
          <w:lang w:val="uk-UA"/>
        </w:rPr>
        <w:t xml:space="preserve"> </w:t>
      </w:r>
      <w:r w:rsidRPr="00773DBF">
        <w:rPr>
          <w:i/>
          <w:iCs/>
        </w:rPr>
        <w:t>Royal</w:t>
      </w:r>
      <w:r w:rsidRPr="00DC7991">
        <w:rPr>
          <w:i/>
          <w:iCs/>
          <w:lang w:val="uk-UA"/>
        </w:rPr>
        <w:t xml:space="preserve"> </w:t>
      </w:r>
      <w:r w:rsidRPr="00773DBF">
        <w:rPr>
          <w:i/>
          <w:iCs/>
        </w:rPr>
        <w:t>Ulster</w:t>
      </w:r>
      <w:r w:rsidRPr="00DC7991">
        <w:rPr>
          <w:i/>
          <w:iCs/>
          <w:lang w:val="uk-UA"/>
        </w:rPr>
        <w:t xml:space="preserve"> </w:t>
      </w:r>
      <w:r w:rsidRPr="00773DBF">
        <w:rPr>
          <w:i/>
          <w:iCs/>
        </w:rPr>
        <w:t>Constabulary</w:t>
      </w:r>
      <w:r>
        <w:rPr>
          <w:i/>
          <w:iCs/>
          <w:lang w:val="uk-UA"/>
        </w:rPr>
        <w:t>)</w:t>
      </w:r>
      <w:r w:rsidRPr="00DC7991">
        <w:rPr>
          <w:lang w:val="uk-UA"/>
        </w:rPr>
        <w:t xml:space="preserve">, </w:t>
      </w:r>
      <w:r>
        <w:rPr>
          <w:lang w:val="uk-UA"/>
        </w:rPr>
        <w:t>справа</w:t>
      </w:r>
      <w:r w:rsidRPr="00DC7991">
        <w:rPr>
          <w:lang w:val="uk-UA"/>
        </w:rPr>
        <w:t xml:space="preserve"> 222/84, [1986] </w:t>
      </w:r>
      <w:r>
        <w:t>ECR</w:t>
      </w:r>
      <w:r w:rsidRPr="00DC7991">
        <w:rPr>
          <w:lang w:val="uk-UA"/>
        </w:rPr>
        <w:t xml:space="preserve"> 1651</w:t>
      </w:r>
      <w:r>
        <w:rPr>
          <w:lang w:val="uk-UA"/>
        </w:rPr>
        <w:t>)</w:t>
      </w:r>
      <w:r w:rsidRPr="00DC7991">
        <w:rPr>
          <w:lang w:val="uk-UA"/>
        </w:rPr>
        <w:t xml:space="preserve">, </w:t>
      </w:r>
      <w:r>
        <w:rPr>
          <w:lang w:val="uk-UA"/>
        </w:rPr>
        <w:t>згадану в пункті 60 нижче)</w:t>
      </w:r>
      <w:r w:rsidRPr="00DC7991">
        <w:rPr>
          <w:lang w:val="uk-UA"/>
        </w:rPr>
        <w:t>.</w:t>
      </w:r>
    </w:p>
    <w:p w:rsidRPr="00DC7991" w:rsidR="00D002A0" w:rsidP="00991B15">
      <w:pPr>
        <w:pStyle w:val="JuHHead"/>
        <w:outlineLvl w:val="0"/>
        <w:rPr>
          <w:lang w:val="ru-RU"/>
        </w:rPr>
      </w:pPr>
      <w:r>
        <w:rPr>
          <w:lang w:val="uk-UA"/>
        </w:rPr>
        <w:t>ПРАВО</w:t>
      </w:r>
    </w:p>
    <w:p w:rsidRPr="00DC7991" w:rsidR="00D002A0" w:rsidP="00991B15">
      <w:pPr>
        <w:pStyle w:val="JuHIRoman"/>
        <w:outlineLvl w:val="0"/>
        <w:rPr>
          <w:lang w:val="ru-RU"/>
        </w:rPr>
      </w:pPr>
      <w:r>
        <w:t>I</w:t>
      </w:r>
      <w:r w:rsidRPr="00DC7991">
        <w:rPr>
          <w:lang w:val="ru-RU"/>
        </w:rPr>
        <w:t>.</w:t>
      </w:r>
      <w:r w:rsidRPr="0052708C">
        <w:t>  </w:t>
      </w:r>
      <w:r>
        <w:rPr>
          <w:lang w:val="uk-UA"/>
        </w:rPr>
        <w:t>СТВЕРДЖУВАНЕ ПОРУШЕННЯ ПУНКТУ 1 СТАТТІ 6 КОНВЕНЦІЇ</w:t>
      </w:r>
    </w:p>
    <w:p w:rsidRPr="00DC7991" w:rsidR="00D002A0" w:rsidP="005C7E6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31</w:t>
      </w:r>
      <w:r w:rsidRPr="00DC7991">
        <w:rPr>
          <w:lang w:val="ru-RU"/>
        </w:rPr>
        <w:fldChar w:fldCharType="end"/>
      </w:r>
      <w:r w:rsidRPr="00DC7991">
        <w:rPr>
          <w:lang w:val="ru-RU"/>
        </w:rPr>
        <w:t>.</w:t>
      </w:r>
      <w:r>
        <w:t>  </w:t>
      </w:r>
      <w:r>
        <w:rPr>
          <w:lang w:val="uk-UA"/>
        </w:rPr>
        <w:t>Заявники, посилаючись на пункт 1 статті 6 Конвенції, скаржилися на надмірну тривалість судового розгляду спору стосовно умов їхньої роботи у якості державних службовців та на непроведення державними органами усного розгляду справи.</w:t>
      </w:r>
    </w:p>
    <w:p w:rsidRPr="00DC7991" w:rsidR="00D002A0" w:rsidP="005C7E6C">
      <w:pPr>
        <w:pStyle w:val="JuPara"/>
        <w:rPr>
          <w:lang w:val="ru-RU"/>
        </w:rPr>
      </w:pPr>
      <w:r>
        <w:rPr>
          <w:lang w:val="uk-UA"/>
        </w:rPr>
        <w:t>Відповідне положення гласить</w:t>
      </w:r>
      <w:r w:rsidRPr="00DC7991">
        <w:rPr>
          <w:lang w:val="ru-RU"/>
        </w:rPr>
        <w:t>:</w:t>
      </w:r>
    </w:p>
    <w:p w:rsidRPr="009F73E4" w:rsidR="00D002A0" w:rsidP="005C7E6C">
      <w:pPr>
        <w:pStyle w:val="JuQuot"/>
        <w:rPr>
          <w:lang w:val="uk-UA"/>
        </w:rPr>
      </w:pPr>
      <w:r w:rsidRPr="00DC7991">
        <w:rPr>
          <w:lang w:val="ru-RU"/>
        </w:rPr>
        <w:t>“</w:t>
      </w:r>
      <w:r>
        <w:rPr>
          <w:lang w:val="uk-UA"/>
        </w:rPr>
        <w:t>Кожен має право на справедливий і публічний розгляд його справи упродовж розумного строку</w:t>
      </w:r>
      <w:r w:rsidRPr="00DC7991">
        <w:rPr>
          <w:lang w:val="ru-RU"/>
        </w:rPr>
        <w:t xml:space="preserve">... </w:t>
      </w:r>
      <w:r>
        <w:rPr>
          <w:lang w:val="uk-UA"/>
        </w:rPr>
        <w:t>судом</w:t>
      </w:r>
      <w:r w:rsidRPr="00DC7991">
        <w:rPr>
          <w:lang w:val="ru-RU"/>
        </w:rPr>
        <w:t xml:space="preserve"> ...</w:t>
      </w:r>
      <w:r>
        <w:rPr>
          <w:lang w:val="uk-UA"/>
        </w:rPr>
        <w:t>який вирішить спір щодо його прав і обов’язків цивільного характеру...</w:t>
      </w:r>
      <w:r w:rsidRPr="00DC7991">
        <w:rPr>
          <w:lang w:val="ru-RU"/>
        </w:rPr>
        <w:t>”</w:t>
      </w:r>
      <w:r>
        <w:rPr>
          <w:lang w:val="uk-UA"/>
        </w:rPr>
        <w:t>.</w:t>
      </w:r>
    </w:p>
    <w:p w:rsidR="00D002A0" w:rsidP="00991B15">
      <w:pPr>
        <w:pStyle w:val="JuHA"/>
        <w:outlineLvl w:val="0"/>
        <w:rPr>
          <w:lang w:val="uk-UA"/>
        </w:rPr>
      </w:pPr>
      <w:r w:rsidRPr="0052708C">
        <w:t>A</w:t>
      </w:r>
      <w:r w:rsidRPr="00DC7991">
        <w:rPr>
          <w:lang w:val="ru-RU"/>
        </w:rPr>
        <w:t>.</w:t>
      </w:r>
      <w:r w:rsidRPr="0052708C">
        <w:t>  </w:t>
      </w:r>
      <w:r>
        <w:rPr>
          <w:lang w:val="uk-UA"/>
        </w:rPr>
        <w:t>Доводи сторін</w:t>
      </w:r>
    </w:p>
    <w:p w:rsidRPr="00DC7991" w:rsidR="00D002A0" w:rsidP="00B07BF5">
      <w:pPr>
        <w:pStyle w:val="JuH1"/>
        <w:rPr>
          <w:lang w:val="ru-RU"/>
        </w:rPr>
      </w:pPr>
      <w:r w:rsidRPr="00DC7991">
        <w:rPr>
          <w:lang w:val="ru-RU"/>
        </w:rPr>
        <w:t>1.</w:t>
      </w:r>
      <w:r>
        <w:t>  </w:t>
      </w:r>
      <w:r>
        <w:rPr>
          <w:lang w:val="uk-UA"/>
        </w:rPr>
        <w:t>Заявники</w:t>
      </w:r>
    </w:p>
    <w:p w:rsidRPr="00DC7991" w:rsidR="00D002A0" w:rsidP="005C7E6C">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32</w:t>
      </w:r>
      <w:r w:rsidRPr="00DC7991">
        <w:rPr>
          <w:lang w:val="ru-RU"/>
        </w:rPr>
        <w:fldChar w:fldCharType="end"/>
      </w:r>
      <w:r w:rsidRPr="00DC7991">
        <w:rPr>
          <w:lang w:val="ru-RU"/>
        </w:rPr>
        <w:t>.</w:t>
      </w:r>
      <w:r w:rsidRPr="0052708C">
        <w:t>  </w:t>
      </w:r>
      <w:r>
        <w:rPr>
          <w:lang w:val="uk-UA"/>
        </w:rPr>
        <w:t>Заявники оскаржили твердження уряду про те, що стаття 6 Конвенції не застосовується до тих із них, хто служить у поліції. Вони наголосили на тому, що їхня служба та їхня зарплата не мають відношення до здійснення повноважень, що визначаються публічним правом. Предметом спору є їхнє право на заробітну плату, яке охоплюється цивільним правом. Розмір їхньої зарплати є питанням, яке регулюється колективним договором між працівником і роботодавцем. Заявники підкреслили, що вони не скаржаться на рішення про перенесення їхнього місця служби. Справа не стосується питань здійснення визначених публічним правом повноважень, найму, просування по службі або припинення трудових відносин. Спір також не має відношення до розміру їхніх пенсій.</w:t>
      </w:r>
    </w:p>
    <w:p w:rsidRPr="00DC7991" w:rsidR="00D002A0" w:rsidP="005C7E6C">
      <w:pPr>
        <w:pStyle w:val="JuPara"/>
        <w:rPr>
          <w:lang w:val="ru-RU"/>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33</w:t>
      </w:r>
      <w:r w:rsidRPr="00DC7991">
        <w:rPr>
          <w:lang w:val="uk-UA"/>
        </w:rPr>
        <w:fldChar w:fldCharType="end"/>
      </w:r>
      <w:r w:rsidRPr="00DC7991">
        <w:rPr>
          <w:lang w:val="uk-UA"/>
        </w:rPr>
        <w:t>.</w:t>
      </w:r>
      <w:r>
        <w:t>  </w:t>
      </w:r>
      <w:r>
        <w:rPr>
          <w:lang w:val="uk-UA"/>
        </w:rPr>
        <w:t>Заявники вважають, що розгляд їхньої справи почався 17 жовтня 1990 року, коли вони подали перше клопотання. 3 липня 1991 року Міністерство фінансів винесло своє рішення. 19 березня 1993 року, після майже двох років безплідних переговорів з державою, заявники звернулися до регіональної адміністративної ради. Розгляд клопотання Міністерством внутрішніх справ та регіональною адміністративною радою мають важливе значення, оскільки це було необхідною умовою для отримання рішення у справі. Заявники не змогли б звернутися до Окружного адміністративного суду, якби вони не отримали спочатку рішення місцевої адміністрації. Судовий розгляд завершився 27 квітня 2000 року. Заявники заперечили твердження уряду про те, що необхідно було дочекатися результату розгляду справи «</w:t>
      </w:r>
      <w:r w:rsidRPr="002A16E5">
        <w:rPr>
          <w:lang w:val="uk-UA"/>
        </w:rPr>
        <w:t>Аскола</w:t>
      </w:r>
      <w:r>
        <w:rPr>
          <w:lang w:val="uk-UA"/>
        </w:rPr>
        <w:t>» (</w:t>
      </w:r>
      <w:r w:rsidRPr="00213DC0">
        <w:rPr>
          <w:i/>
        </w:rPr>
        <w:t>Askola</w:t>
      </w:r>
      <w:r w:rsidRPr="00DC7991">
        <w:rPr>
          <w:lang w:val="ru-RU"/>
        </w:rPr>
        <w:t xml:space="preserve"> </w:t>
      </w:r>
      <w:r>
        <w:t>case</w:t>
      </w:r>
      <w:r>
        <w:rPr>
          <w:lang w:val="uk-UA"/>
        </w:rPr>
        <w:t>), вважаючи, що ця справа не може порівнюватися з їхньою справою. У будь-якому випадку рішення в цій справі набуло статусу остаточного 7 грудня 1994 року. Заявники діяли швидко, оскільки мова йшла про їхні основні засоби до існування.</w:t>
      </w:r>
    </w:p>
    <w:p w:rsidRPr="00DC7991" w:rsidR="00D002A0" w:rsidP="005C7E6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34</w:t>
      </w:r>
      <w:r w:rsidRPr="00DC7991">
        <w:rPr>
          <w:lang w:val="ru-RU"/>
        </w:rPr>
        <w:fldChar w:fldCharType="end"/>
      </w:r>
      <w:r w:rsidRPr="00DC7991">
        <w:rPr>
          <w:lang w:val="ru-RU"/>
        </w:rPr>
        <w:t>.</w:t>
      </w:r>
      <w:r>
        <w:t>  </w:t>
      </w:r>
      <w:r>
        <w:rPr>
          <w:lang w:val="uk-UA"/>
        </w:rPr>
        <w:t>Нарешті, заявники наполягали на тому, що для отримання їхніх усних свідчень стосовно конкретних обставин справи, мали бути організовані усні слухання. Адміністрація обіцяла їм виплатити компенсації. Дійсно, пункт 1 статті 38 Закону про адміністративне судочинство вимагає проведення усних слухань у тих випадках, коли це не є явно зайвим.</w:t>
      </w:r>
    </w:p>
    <w:p w:rsidRPr="00DC7991" w:rsidR="00D002A0" w:rsidP="00991B15">
      <w:pPr>
        <w:pStyle w:val="JuH1"/>
        <w:outlineLvl w:val="0"/>
        <w:rPr>
          <w:lang w:val="ru-RU"/>
        </w:rPr>
      </w:pPr>
      <w:r w:rsidRPr="00DC7991">
        <w:rPr>
          <w:lang w:val="ru-RU"/>
        </w:rPr>
        <w:t>2.</w:t>
      </w:r>
      <w:r>
        <w:t>  </w:t>
      </w:r>
      <w:r>
        <w:rPr>
          <w:lang w:val="uk-UA"/>
        </w:rPr>
        <w:t>Уряд</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35</w:t>
      </w:r>
      <w:r w:rsidRPr="00DC7991">
        <w:rPr>
          <w:lang w:val="ru-RU"/>
        </w:rPr>
        <w:fldChar w:fldCharType="end"/>
      </w:r>
      <w:r w:rsidRPr="00DC7991">
        <w:rPr>
          <w:lang w:val="ru-RU"/>
        </w:rPr>
        <w:t>.</w:t>
      </w:r>
      <w:r>
        <w:t>  </w:t>
      </w:r>
      <w:r>
        <w:rPr>
          <w:lang w:val="uk-UA"/>
        </w:rPr>
        <w:t>Уряд заперечує застосовність статті 6 Конвенції на тій підставі, що посади заявників, за винятком посади секретаря, передбачали безпосередню участь у здійсненні визначених публічним правом повноважень та обов’язків щодо захисту загальнодержавних інтересів (у цьому зв’язку він посилається на рішення у справі «</w:t>
      </w:r>
      <w:r w:rsidRPr="002214AB">
        <w:rPr>
          <w:lang w:val="uk-UA"/>
        </w:rPr>
        <w:t>Пеллегрін проти Франції</w:t>
      </w:r>
      <w:r>
        <w:rPr>
          <w:lang w:val="uk-UA"/>
        </w:rPr>
        <w:t>» (</w:t>
      </w:r>
      <w:r w:rsidRPr="00CD2BD7">
        <w:rPr>
          <w:i/>
          <w:lang w:eastAsia="en-US"/>
        </w:rPr>
        <w:t>Pellegrin</w:t>
      </w:r>
      <w:r w:rsidRPr="004C4821">
        <w:rPr>
          <w:i/>
          <w:lang w:eastAsia="en-US"/>
        </w:rPr>
        <w:t xml:space="preserve"> </w:t>
      </w:r>
      <w:r w:rsidRPr="00CD2BD7">
        <w:rPr>
          <w:i/>
          <w:lang w:eastAsia="en-US"/>
        </w:rPr>
        <w:t>v</w:t>
      </w:r>
      <w:r w:rsidRPr="004C4821">
        <w:rPr>
          <w:i/>
          <w:lang w:eastAsia="en-US"/>
        </w:rPr>
        <w:t xml:space="preserve">. </w:t>
      </w:r>
      <w:r w:rsidRPr="00CD2BD7">
        <w:rPr>
          <w:i/>
          <w:lang w:eastAsia="en-US"/>
        </w:rPr>
        <w:t>France</w:t>
      </w:r>
      <w:r>
        <w:rPr>
          <w:i/>
          <w:lang w:val="uk-UA" w:eastAsia="en-US"/>
        </w:rPr>
        <w:t>)</w:t>
      </w:r>
      <w:r w:rsidRPr="004C4821">
        <w:rPr>
          <w:i/>
          <w:lang w:eastAsia="en-US"/>
        </w:rPr>
        <w:t xml:space="preserve"> </w:t>
      </w:r>
      <w:r w:rsidRPr="004C4821">
        <w:rPr>
          <w:lang w:eastAsia="en-US"/>
        </w:rPr>
        <w:t>[</w:t>
      </w:r>
      <w:r>
        <w:rPr>
          <w:lang w:val="uk-UA" w:eastAsia="en-US"/>
        </w:rPr>
        <w:t>ВП</w:t>
      </w:r>
      <w:r w:rsidRPr="004C4821">
        <w:rPr>
          <w:lang w:eastAsia="en-US"/>
        </w:rPr>
        <w:t xml:space="preserve">], </w:t>
      </w:r>
      <w:r>
        <w:rPr>
          <w:lang w:val="uk-UA" w:eastAsia="en-US"/>
        </w:rPr>
        <w:t>№</w:t>
      </w:r>
      <w:r w:rsidRPr="004C4821">
        <w:rPr>
          <w:lang w:eastAsia="en-US"/>
        </w:rPr>
        <w:t xml:space="preserve"> 28541/95, </w:t>
      </w:r>
      <w:r>
        <w:rPr>
          <w:lang w:val="uk-UA" w:eastAsia="en-US"/>
        </w:rPr>
        <w:t>п.</w:t>
      </w:r>
      <w:r>
        <w:rPr>
          <w:lang w:eastAsia="en-US"/>
        </w:rPr>
        <w:t> </w:t>
      </w:r>
      <w:r w:rsidRPr="004C4821">
        <w:rPr>
          <w:lang w:eastAsia="en-US"/>
        </w:rPr>
        <w:t xml:space="preserve">66, </w:t>
      </w:r>
      <w:r>
        <w:rPr>
          <w:lang w:eastAsia="en-US"/>
        </w:rPr>
        <w:t>ECHR</w:t>
      </w:r>
      <w:r w:rsidRPr="004C4821">
        <w:rPr>
          <w:lang w:eastAsia="en-US"/>
        </w:rPr>
        <w:t xml:space="preserve"> 1999-</w:t>
      </w:r>
      <w:r>
        <w:rPr>
          <w:lang w:eastAsia="en-US"/>
        </w:rPr>
        <w:t>VIII</w:t>
      </w:r>
      <w:r w:rsidRPr="004C4821">
        <w:rPr>
          <w:lang w:eastAsia="en-US"/>
        </w:rPr>
        <w:t>)</w:t>
      </w:r>
      <w:r>
        <w:rPr>
          <w:lang w:val="uk-UA" w:eastAsia="en-US"/>
        </w:rPr>
        <w:t>)</w:t>
      </w:r>
      <w:r w:rsidRPr="004C4821">
        <w:t xml:space="preserve">. </w:t>
      </w:r>
      <w:r>
        <w:rPr>
          <w:lang w:val="uk-UA"/>
        </w:rPr>
        <w:t>Менш очевидним є те, чи передбачає посада секретаря непряму участь у здійсненні таких повноважень. Однак, уряд посилається на міркування Суду у справі «</w:t>
      </w:r>
      <w:r w:rsidRPr="002214AB">
        <w:rPr>
          <w:lang w:val="uk-UA"/>
        </w:rPr>
        <w:t>Вересова проти Словаччини</w:t>
      </w:r>
      <w:r>
        <w:rPr>
          <w:lang w:val="uk-UA"/>
        </w:rPr>
        <w:t>» (</w:t>
      </w:r>
      <w:r w:rsidRPr="00D93DDA">
        <w:rPr>
          <w:i/>
        </w:rPr>
        <w:t>Vere</w:t>
      </w:r>
      <w:r w:rsidRPr="00DC7991">
        <w:rPr>
          <w:i/>
          <w:lang w:val="uk-UA"/>
        </w:rPr>
        <w:t>š</w:t>
      </w:r>
      <w:r w:rsidRPr="00D93DDA">
        <w:rPr>
          <w:i/>
        </w:rPr>
        <w:t>ov</w:t>
      </w:r>
      <w:r w:rsidRPr="00DC7991">
        <w:rPr>
          <w:i/>
          <w:lang w:val="uk-UA"/>
        </w:rPr>
        <w:t xml:space="preserve">á </w:t>
      </w:r>
      <w:r w:rsidRPr="00D93DDA">
        <w:rPr>
          <w:i/>
        </w:rPr>
        <w:t>v</w:t>
      </w:r>
      <w:r w:rsidRPr="00DC7991">
        <w:rPr>
          <w:i/>
          <w:lang w:val="uk-UA"/>
        </w:rPr>
        <w:t xml:space="preserve">. </w:t>
      </w:r>
      <w:r w:rsidRPr="00D93DDA">
        <w:rPr>
          <w:i/>
        </w:rPr>
        <w:t>Slovakia</w:t>
      </w:r>
      <w:r>
        <w:rPr>
          <w:i/>
          <w:lang w:val="uk-UA"/>
        </w:rPr>
        <w:t>)</w:t>
      </w:r>
      <w:r w:rsidRPr="00DC7991">
        <w:rPr>
          <w:lang w:val="uk-UA"/>
        </w:rPr>
        <w:t xml:space="preserve"> (</w:t>
      </w:r>
      <w:r>
        <w:rPr>
          <w:lang w:val="uk-UA"/>
        </w:rPr>
        <w:t>ріш.</w:t>
      </w:r>
      <w:r w:rsidRPr="00DC7991">
        <w:rPr>
          <w:lang w:val="uk-UA"/>
        </w:rPr>
        <w:t xml:space="preserve">), </w:t>
      </w:r>
      <w:r>
        <w:rPr>
          <w:lang w:val="uk-UA"/>
        </w:rPr>
        <w:t>№</w:t>
      </w:r>
      <w:r>
        <w:t> </w:t>
      </w:r>
      <w:r w:rsidRPr="00DC7991">
        <w:rPr>
          <w:lang w:val="uk-UA"/>
        </w:rPr>
        <w:t xml:space="preserve">70497/01, 1 </w:t>
      </w:r>
      <w:r>
        <w:rPr>
          <w:lang w:val="uk-UA"/>
        </w:rPr>
        <w:t>лютого</w:t>
      </w:r>
      <w:r w:rsidRPr="00DC7991">
        <w:rPr>
          <w:lang w:val="uk-UA"/>
        </w:rPr>
        <w:t xml:space="preserve"> 2005</w:t>
      </w:r>
      <w:r>
        <w:rPr>
          <w:lang w:val="uk-UA"/>
        </w:rPr>
        <w:t xml:space="preserve"> р.</w:t>
      </w:r>
      <w:r w:rsidRPr="00DC7991">
        <w:rPr>
          <w:lang w:val="uk-UA"/>
        </w:rPr>
        <w:t>)</w:t>
      </w:r>
      <w:r>
        <w:rPr>
          <w:lang w:val="uk-UA"/>
        </w:rPr>
        <w:t xml:space="preserve">, в якій він дійшов висновку, що стаття 6 не може застосовуватися до юриста, який працює в поліції, і заявив, що «з урахуванням характеру функцій і обов’язків, пов’язаних із службою </w:t>
      </w:r>
      <w:r w:rsidRPr="00DC7991">
        <w:rPr>
          <w:lang w:val="ru-RU"/>
        </w:rPr>
        <w:t>[</w:t>
      </w:r>
      <w:r>
        <w:rPr>
          <w:lang w:val="uk-UA"/>
        </w:rPr>
        <w:t>в поліції</w:t>
      </w:r>
      <w:r w:rsidRPr="00DC7991">
        <w:rPr>
          <w:lang w:val="ru-RU"/>
        </w:rPr>
        <w:t>]</w:t>
      </w:r>
      <w:r>
        <w:rPr>
          <w:lang w:val="uk-UA"/>
        </w:rPr>
        <w:t>, роботу заявниці можна розглядати як пряму участь у здісненні визначених публічним правом повноважень і функцій, спрямованих на захист загальнодержавних інтересів».</w:t>
      </w:r>
      <w:r w:rsidRPr="00DC7991">
        <w:rPr>
          <w:lang w:val="ru-RU"/>
        </w:rPr>
        <w:t xml:space="preserve"> </w:t>
      </w:r>
      <w:r>
        <w:rPr>
          <w:lang w:val="uk-UA"/>
        </w:rPr>
        <w:t xml:space="preserve">Права і обов’язки працівників поліції мають явно «публічний», а не «цивільний» характер для цілей статті 6 Конвенції. Навіть якщо заявники стверджували, що мова йде про їхні матеріальні інтереси, цього недостатньо, щоб розгляд цієї справи підпадав під сферу дії статті 6, оскільки «розгляд справи не стає «цивільним» лише тому, що вона порушує економічні питання» </w:t>
      </w:r>
      <w:r w:rsidRPr="00DC7991">
        <w:rPr>
          <w:lang w:val="uk-UA"/>
        </w:rPr>
        <w:t>(</w:t>
      </w:r>
      <w:r>
        <w:rPr>
          <w:lang w:val="uk-UA"/>
        </w:rPr>
        <w:t>див. справу «</w:t>
      </w:r>
      <w:r w:rsidRPr="002214AB">
        <w:rPr>
          <w:lang w:val="uk-UA"/>
        </w:rPr>
        <w:t>П</w:t>
      </w:r>
      <w:r>
        <w:rPr>
          <w:lang w:val="uk-UA"/>
        </w:rPr>
        <w:t>’</w:t>
      </w:r>
      <w:r w:rsidRPr="002214AB">
        <w:rPr>
          <w:lang w:val="uk-UA"/>
        </w:rPr>
        <w:t>єр Блох проти Франції</w:t>
      </w:r>
      <w:r>
        <w:rPr>
          <w:lang w:val="uk-UA"/>
        </w:rPr>
        <w:t>»</w:t>
      </w:r>
      <w:r w:rsidRPr="00DC7991">
        <w:rPr>
          <w:lang w:val="uk-UA"/>
        </w:rPr>
        <w:t xml:space="preserve"> </w:t>
      </w:r>
      <w:r>
        <w:rPr>
          <w:lang w:val="uk-UA"/>
        </w:rPr>
        <w:t>(</w:t>
      </w:r>
      <w:r w:rsidRPr="008004F4">
        <w:rPr>
          <w:i/>
          <w:lang w:eastAsia="en-US"/>
        </w:rPr>
        <w:t>Pierre</w:t>
      </w:r>
      <w:r w:rsidRPr="00DC7991">
        <w:rPr>
          <w:i/>
          <w:lang w:val="uk-UA" w:eastAsia="en-US"/>
        </w:rPr>
        <w:t>-</w:t>
      </w:r>
      <w:r w:rsidRPr="008004F4">
        <w:rPr>
          <w:i/>
          <w:lang w:eastAsia="en-US"/>
        </w:rPr>
        <w:t>Bloch</w:t>
      </w:r>
      <w:r w:rsidRPr="00DC7991">
        <w:rPr>
          <w:i/>
          <w:lang w:val="uk-UA" w:eastAsia="en-US"/>
        </w:rPr>
        <w:t xml:space="preserve"> </w:t>
      </w:r>
      <w:r w:rsidRPr="008004F4">
        <w:rPr>
          <w:i/>
          <w:lang w:eastAsia="en-US"/>
        </w:rPr>
        <w:t>v</w:t>
      </w:r>
      <w:r w:rsidRPr="00DC7991">
        <w:rPr>
          <w:i/>
          <w:lang w:val="uk-UA" w:eastAsia="en-US"/>
        </w:rPr>
        <w:t xml:space="preserve">. </w:t>
      </w:r>
      <w:r w:rsidRPr="008004F4">
        <w:rPr>
          <w:i/>
          <w:lang w:eastAsia="en-US"/>
        </w:rPr>
        <w:t>France</w:t>
      </w:r>
      <w:r>
        <w:rPr>
          <w:i/>
          <w:lang w:val="uk-UA" w:eastAsia="en-US"/>
        </w:rPr>
        <w:t>)</w:t>
      </w:r>
      <w:r w:rsidRPr="00DC7991">
        <w:rPr>
          <w:lang w:val="uk-UA" w:eastAsia="en-US"/>
        </w:rPr>
        <w:t xml:space="preserve">, 21 </w:t>
      </w:r>
      <w:r>
        <w:rPr>
          <w:lang w:val="uk-UA" w:eastAsia="en-US"/>
        </w:rPr>
        <w:t>жовтня</w:t>
      </w:r>
      <w:r w:rsidRPr="00DC7991">
        <w:rPr>
          <w:lang w:val="uk-UA" w:eastAsia="en-US"/>
        </w:rPr>
        <w:t xml:space="preserve"> 1997</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51, </w:t>
      </w:r>
      <w:r>
        <w:rPr>
          <w:lang w:val="uk-UA" w:eastAsia="en-US"/>
        </w:rPr>
        <w:t>«</w:t>
      </w:r>
      <w:r w:rsidRPr="002214AB">
        <w:rPr>
          <w:lang w:val="uk-UA" w:eastAsia="en-US"/>
        </w:rPr>
        <w:t>Збірник ухвал і рішень</w:t>
      </w:r>
      <w:r>
        <w:rPr>
          <w:i/>
          <w:lang w:val="uk-UA" w:eastAsia="en-US"/>
        </w:rPr>
        <w:t>» (</w:t>
      </w:r>
      <w:r w:rsidRPr="008004F4">
        <w:rPr>
          <w:i/>
          <w:lang w:eastAsia="en-US"/>
        </w:rPr>
        <w:t>Reports</w:t>
      </w:r>
      <w:r w:rsidRPr="00DC7991">
        <w:rPr>
          <w:i/>
          <w:lang w:val="uk-UA" w:eastAsia="en-US"/>
        </w:rPr>
        <w:t xml:space="preserve"> </w:t>
      </w:r>
      <w:r w:rsidRPr="008004F4">
        <w:rPr>
          <w:i/>
          <w:lang w:eastAsia="en-US"/>
        </w:rPr>
        <w:t>of</w:t>
      </w:r>
      <w:r w:rsidRPr="00DC7991">
        <w:rPr>
          <w:i/>
          <w:lang w:val="uk-UA" w:eastAsia="en-US"/>
        </w:rPr>
        <w:t xml:space="preserve"> </w:t>
      </w:r>
      <w:r w:rsidRPr="008004F4">
        <w:rPr>
          <w:i/>
          <w:lang w:eastAsia="en-US"/>
        </w:rPr>
        <w:t>Judgments</w:t>
      </w:r>
      <w:r w:rsidRPr="00DC7991">
        <w:rPr>
          <w:i/>
          <w:lang w:val="uk-UA" w:eastAsia="en-US"/>
        </w:rPr>
        <w:t xml:space="preserve"> </w:t>
      </w:r>
      <w:r w:rsidRPr="008004F4">
        <w:rPr>
          <w:i/>
          <w:lang w:eastAsia="en-US"/>
        </w:rPr>
        <w:t>and</w:t>
      </w:r>
      <w:r w:rsidRPr="00DC7991">
        <w:rPr>
          <w:i/>
          <w:lang w:val="uk-UA" w:eastAsia="en-US"/>
        </w:rPr>
        <w:t xml:space="preserve"> </w:t>
      </w:r>
      <w:r w:rsidRPr="008004F4">
        <w:rPr>
          <w:i/>
          <w:lang w:eastAsia="en-US"/>
        </w:rPr>
        <w:t>Decisions</w:t>
      </w:r>
      <w:r>
        <w:rPr>
          <w:i/>
          <w:lang w:val="uk-UA" w:eastAsia="en-US"/>
        </w:rPr>
        <w:t>)</w:t>
      </w:r>
      <w:r w:rsidRPr="00DC7991">
        <w:rPr>
          <w:lang w:val="uk-UA" w:eastAsia="en-US"/>
        </w:rPr>
        <w:t xml:space="preserve"> 1997</w:t>
      </w:r>
      <w:r w:rsidRPr="00DC7991">
        <w:rPr>
          <w:lang w:val="uk-UA" w:eastAsia="en-US"/>
        </w:rPr>
        <w:noBreakHyphen/>
      </w:r>
      <w:r>
        <w:rPr>
          <w:lang w:eastAsia="en-US"/>
        </w:rPr>
        <w:t>VI</w:t>
      </w:r>
      <w:r w:rsidRPr="00DC7991">
        <w:rPr>
          <w:lang w:val="uk-UA" w:eastAsia="en-US"/>
        </w:rPr>
        <w:t xml:space="preserve">). </w:t>
      </w:r>
      <w:r>
        <w:rPr>
          <w:lang w:val="uk-UA" w:eastAsia="en-US"/>
        </w:rPr>
        <w:t xml:space="preserve">Отже, скарги заявників є несумісними </w:t>
      </w:r>
      <w:r w:rsidRPr="0065732F">
        <w:rPr>
          <w:i/>
        </w:rPr>
        <w:t>ratione</w:t>
      </w:r>
      <w:r w:rsidRPr="00DC7991">
        <w:rPr>
          <w:i/>
          <w:lang w:val="uk-UA"/>
        </w:rPr>
        <w:t xml:space="preserve"> </w:t>
      </w:r>
      <w:r w:rsidRPr="0065732F">
        <w:rPr>
          <w:i/>
        </w:rPr>
        <w:t>materiae</w:t>
      </w:r>
      <w:r w:rsidRPr="00DC7991">
        <w:rPr>
          <w:lang w:val="uk-UA"/>
        </w:rPr>
        <w:t xml:space="preserve"> </w:t>
      </w:r>
      <w:r>
        <w:rPr>
          <w:lang w:val="uk-UA"/>
        </w:rPr>
        <w:t>з положеннями Конвенції</w:t>
      </w:r>
      <w:r w:rsidRPr="00DC7991">
        <w:rPr>
          <w:lang w:val="uk-UA"/>
        </w:rPr>
        <w:t>.</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36</w:t>
      </w:r>
      <w:r w:rsidRPr="00DC7991">
        <w:rPr>
          <w:lang w:val="ru-RU"/>
        </w:rPr>
        <w:fldChar w:fldCharType="end"/>
      </w:r>
      <w:r w:rsidRPr="00DC7991">
        <w:rPr>
          <w:lang w:val="ru-RU"/>
        </w:rPr>
        <w:t>.</w:t>
      </w:r>
      <w:r>
        <w:t>  </w:t>
      </w:r>
      <w:r>
        <w:rPr>
          <w:lang w:val="uk-UA"/>
        </w:rPr>
        <w:t xml:space="preserve">Крім того, уряд заперечує застосовність статті 6 на тій підставі, що у заявників не було ніякого законного права на надбавку до зарплати. Ні колективний договір, ні директива про виплату надбавок до заробітної плати замість колишньої компенсації за роботу у віддалених районах не надавали заявникам права на отримання такої надбавки. Отже, у цьому відношенні, скарги всіх заявників є несумісними </w:t>
      </w:r>
      <w:r w:rsidRPr="00966883">
        <w:rPr>
          <w:i/>
          <w:iCs/>
        </w:rPr>
        <w:t>ratione</w:t>
      </w:r>
      <w:r w:rsidRPr="00DC7991">
        <w:rPr>
          <w:i/>
          <w:iCs/>
          <w:lang w:val="uk-UA"/>
        </w:rPr>
        <w:t xml:space="preserve"> </w:t>
      </w:r>
      <w:r w:rsidRPr="00966883">
        <w:rPr>
          <w:i/>
          <w:iCs/>
        </w:rPr>
        <w:t>materiae</w:t>
      </w:r>
      <w:r w:rsidRPr="00DC7991">
        <w:rPr>
          <w:lang w:val="uk-UA"/>
        </w:rPr>
        <w:t xml:space="preserve"> </w:t>
      </w:r>
      <w:r>
        <w:rPr>
          <w:lang w:val="uk-UA"/>
        </w:rPr>
        <w:t>з положеннями Конвенції</w:t>
      </w:r>
      <w:r w:rsidRPr="00DC7991">
        <w:rPr>
          <w:lang w:val="uk-UA"/>
        </w:rPr>
        <w:t>.</w:t>
      </w:r>
    </w:p>
    <w:p w:rsidRPr="00DC7991" w:rsidR="00D002A0" w:rsidP="002D202A">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37</w:t>
      </w:r>
      <w:r w:rsidRPr="00DC7991">
        <w:rPr>
          <w:lang w:val="ru-RU"/>
        </w:rPr>
        <w:fldChar w:fldCharType="end"/>
      </w:r>
      <w:r w:rsidRPr="00DC7991">
        <w:rPr>
          <w:lang w:val="ru-RU"/>
        </w:rPr>
        <w:t>.</w:t>
      </w:r>
      <w:r>
        <w:t>  </w:t>
      </w:r>
      <w:r>
        <w:rPr>
          <w:lang w:val="uk-UA"/>
        </w:rPr>
        <w:t>У тому разі, якщо Суд дійде іншого висновку, уряд стверджує, що в будь-якому випадку порушення пункту 1 статті 6 Конвенції не мало місця. На його думку, провадження у справі почалося 25 квітня 1997 року, коли заявники подали скаргу до Окружного адміністративного суду, і закінчилося 27 квітня 2000 року з винесенням рішення Вищим адміністративним судом. Справа не була складною. Місцева адміністрація призупинила провадження почасти тому, що вона хотіла дочекатися результату розгляду справи «</w:t>
      </w:r>
      <w:r w:rsidRPr="002214AB">
        <w:rPr>
          <w:lang w:val="uk-UA"/>
        </w:rPr>
        <w:t>Аскола</w:t>
      </w:r>
      <w:r>
        <w:rPr>
          <w:lang w:val="uk-UA"/>
        </w:rPr>
        <w:t>» (</w:t>
      </w:r>
      <w:r w:rsidRPr="00213DC0">
        <w:rPr>
          <w:i/>
        </w:rPr>
        <w:t>Askola</w:t>
      </w:r>
      <w:r w:rsidRPr="00DC7991">
        <w:rPr>
          <w:lang w:val="uk-UA"/>
        </w:rPr>
        <w:t xml:space="preserve"> </w:t>
      </w:r>
      <w:r>
        <w:t>case</w:t>
      </w:r>
      <w:r>
        <w:rPr>
          <w:lang w:val="uk-UA"/>
        </w:rPr>
        <w:t>) для того, щоб не поводитись у дискримінаційний спосіб з працівниками різних поліцейських округів, хоча справа заявників уже була вирішена. Те, що регіональна адміністративна рада розглядала клопотання заявників чотири роки, не має братися до уваги, оскільки ця процедура не була складовою частиною судового розгляду і, отже, не повинна враховуватися при визначенні тривалості</w:t>
      </w:r>
      <w:r w:rsidRPr="00DC7991">
        <w:rPr>
          <w:lang w:val="ru-RU"/>
        </w:rPr>
        <w:t xml:space="preserve"> </w:t>
      </w:r>
      <w:r>
        <w:rPr>
          <w:lang w:val="uk-UA"/>
        </w:rPr>
        <w:t>провадження. Справа не стосувалася питання про основні засоби до існування і з цієї причини, а також з інших причин, не мала термінового характеру. Було докладено зусиль на врегулювання спору шляхом переговорів, що відбулися 3 липня 1991 року та 19 березня 1993 року. У ході переговорів заявники були поінформовані про те, що надбавка до заробітної плати може бути надана тільки у тому випадку, якщо Вищий адміністративний суд змінить рішення суду першої інстанції у справі «</w:t>
      </w:r>
      <w:r w:rsidRPr="009015DF">
        <w:rPr>
          <w:lang w:val="uk-UA"/>
        </w:rPr>
        <w:t>Аскола</w:t>
      </w:r>
      <w:r>
        <w:rPr>
          <w:lang w:val="uk-UA"/>
        </w:rPr>
        <w:t>» (</w:t>
      </w:r>
      <w:r w:rsidRPr="00213DC0">
        <w:rPr>
          <w:i/>
        </w:rPr>
        <w:t>Askola</w:t>
      </w:r>
      <w:r w:rsidRPr="00DC7991">
        <w:rPr>
          <w:lang w:val="uk-UA"/>
        </w:rPr>
        <w:t xml:space="preserve"> </w:t>
      </w:r>
      <w:r>
        <w:t>case</w:t>
      </w:r>
      <w:r>
        <w:rPr>
          <w:lang w:val="uk-UA"/>
        </w:rPr>
        <w:t>).</w:t>
      </w:r>
    </w:p>
    <w:p w:rsidRPr="00DC7991" w:rsidR="00D002A0" w:rsidP="00D56783">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38</w:t>
      </w:r>
      <w:r w:rsidRPr="00DC7991">
        <w:rPr>
          <w:lang w:val="ru-RU"/>
        </w:rPr>
        <w:fldChar w:fldCharType="end"/>
      </w:r>
      <w:r w:rsidRPr="00DC7991">
        <w:rPr>
          <w:lang w:val="ru-RU"/>
        </w:rPr>
        <w:t>.</w:t>
      </w:r>
      <w:r>
        <w:t>  </w:t>
      </w:r>
      <w:r>
        <w:rPr>
          <w:lang w:val="uk-UA"/>
        </w:rPr>
        <w:t>Стосовно непроведення усного слухання у справі, уряд указав на те, що Окружний адміністративний суд дійшов висновку, що факти, які заявники хотіли викласти під час слухання, не могли вплинути на результат розгляду справи, і що Вищий адміністративний суд вирішив, що обіцянки, дані регіональним поліцейським управлінням, не мають юридичної значущості. Отже, обидва суди дійшли висновку, що у проведенні усних слухань не було необхідності. Заявникам була надана можливість подати додаткові письмові зауваження. Порушене заявниками питання мало технічний характер; його вирішення спиралося на розгляд документів, які стосувалися справи. Всі питання щодо фактів або права могли бути вирішені у відповідний спосіб на основі матеріалів справи та письмових зауважень сторін. Усні слухання за участю того чи іншого заявника не дозволили б зібрати додаткову інформацію.</w:t>
      </w:r>
    </w:p>
    <w:p w:rsidRPr="00DC7991" w:rsidR="00D002A0" w:rsidP="00991B15">
      <w:pPr>
        <w:pStyle w:val="JuHA"/>
        <w:outlineLvl w:val="0"/>
        <w:rPr>
          <w:lang w:val="ru-RU"/>
        </w:rPr>
      </w:pPr>
      <w:r w:rsidRPr="0052708C">
        <w:t>B</w:t>
      </w:r>
      <w:r w:rsidRPr="00DC7991">
        <w:rPr>
          <w:lang w:val="ru-RU"/>
        </w:rPr>
        <w:t>.</w:t>
      </w:r>
      <w:r w:rsidRPr="0052708C">
        <w:t>  </w:t>
      </w:r>
      <w:r>
        <w:rPr>
          <w:lang w:val="uk-UA"/>
        </w:rPr>
        <w:t>Оцінка Суду</w:t>
      </w:r>
    </w:p>
    <w:p w:rsidRPr="00DC7991" w:rsidR="00D002A0">
      <w:pPr>
        <w:pStyle w:val="JuH1"/>
        <w:rPr>
          <w:lang w:val="ru-RU"/>
        </w:rPr>
      </w:pPr>
      <w:r w:rsidRPr="00DC7991">
        <w:rPr>
          <w:lang w:val="ru-RU"/>
        </w:rPr>
        <w:t>1.</w:t>
      </w:r>
      <w:r w:rsidRPr="0052708C">
        <w:t>  </w:t>
      </w:r>
      <w:r>
        <w:rPr>
          <w:lang w:val="uk-UA"/>
        </w:rPr>
        <w:t>Застосовність статті 6</w:t>
      </w:r>
    </w:p>
    <w:p w:rsidRPr="00DC7991" w:rsidR="00D002A0" w:rsidP="00BE749D">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39</w:t>
      </w:r>
      <w:r w:rsidRPr="00DC7991">
        <w:rPr>
          <w:lang w:val="ru-RU"/>
        </w:rPr>
        <w:fldChar w:fldCharType="end"/>
      </w:r>
      <w:r w:rsidRPr="00DC7991">
        <w:rPr>
          <w:lang w:val="ru-RU"/>
        </w:rPr>
        <w:t>.</w:t>
      </w:r>
      <w:r>
        <w:t>  </w:t>
      </w:r>
      <w:r>
        <w:rPr>
          <w:lang w:val="uk-UA"/>
        </w:rPr>
        <w:t>Уряд заперечив застосовність статті 6 з двох причин: він вважає, що у заявників не було відповідного «права», а якщо таке право і було, то воно не мало «цивільного» характеру.</w:t>
      </w:r>
    </w:p>
    <w:p w:rsidRPr="00DC7991" w:rsidR="00D002A0" w:rsidP="00991B15">
      <w:pPr>
        <w:pStyle w:val="JuHa0"/>
        <w:outlineLvl w:val="0"/>
        <w:rPr>
          <w:lang w:val="ru-RU"/>
        </w:rPr>
      </w:pPr>
      <w:r w:rsidRPr="00DC7991">
        <w:rPr>
          <w:lang w:val="ru-RU"/>
        </w:rPr>
        <w:t>(</w:t>
      </w:r>
      <w:r>
        <w:t>a</w:t>
      </w:r>
      <w:r w:rsidRPr="00DC7991">
        <w:rPr>
          <w:lang w:val="ru-RU"/>
        </w:rPr>
        <w:t>)</w:t>
      </w:r>
      <w:r>
        <w:t>  </w:t>
      </w:r>
      <w:r>
        <w:rPr>
          <w:lang w:val="uk-UA"/>
        </w:rPr>
        <w:t>Існування права</w:t>
      </w:r>
    </w:p>
    <w:p w:rsidRPr="00DC7991" w:rsidR="00D002A0" w:rsidP="00BE749D">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40</w:t>
      </w:r>
      <w:r w:rsidRPr="00DC7991">
        <w:rPr>
          <w:lang w:val="ru-RU"/>
        </w:rPr>
        <w:fldChar w:fldCharType="end"/>
      </w:r>
      <w:r w:rsidRPr="00DC7991">
        <w:rPr>
          <w:lang w:val="ru-RU"/>
        </w:rPr>
        <w:t>.</w:t>
      </w:r>
      <w:r>
        <w:t>  </w:t>
      </w:r>
      <w:r>
        <w:rPr>
          <w:lang w:val="uk-UA"/>
        </w:rPr>
        <w:t xml:space="preserve">По-перше, Суд розглянув питання про те, чи мали заявники у даній справі відповідне «право». Згідно з принципами, викладеними в прецедентній практиці Суду </w:t>
      </w:r>
      <w:r w:rsidRPr="00DC7991">
        <w:rPr>
          <w:lang w:val="uk-UA"/>
        </w:rPr>
        <w:t>(</w:t>
      </w:r>
      <w:r>
        <w:rPr>
          <w:lang w:val="uk-UA"/>
        </w:rPr>
        <w:t>див., поміж іншого, рішення у справі «</w:t>
      </w:r>
      <w:r w:rsidRPr="009015DF">
        <w:rPr>
          <w:lang w:val="uk-UA"/>
        </w:rPr>
        <w:t>Пудас проти Швеції</w:t>
      </w:r>
      <w:r>
        <w:rPr>
          <w:lang w:val="uk-UA"/>
        </w:rPr>
        <w:t>» (</w:t>
      </w:r>
      <w:r w:rsidRPr="0035736C">
        <w:rPr>
          <w:i/>
          <w:lang w:eastAsia="en-US"/>
        </w:rPr>
        <w:t>Pudas</w:t>
      </w:r>
      <w:r w:rsidRPr="00DC7991">
        <w:rPr>
          <w:i/>
          <w:lang w:val="uk-UA" w:eastAsia="en-US"/>
        </w:rPr>
        <w:t xml:space="preserve"> </w:t>
      </w:r>
      <w:r w:rsidRPr="0035736C">
        <w:rPr>
          <w:i/>
          <w:lang w:eastAsia="en-US"/>
        </w:rPr>
        <w:t>v</w:t>
      </w:r>
      <w:r w:rsidRPr="00DC7991">
        <w:rPr>
          <w:i/>
          <w:lang w:val="uk-UA" w:eastAsia="en-US"/>
        </w:rPr>
        <w:t xml:space="preserve">. </w:t>
      </w:r>
      <w:r w:rsidRPr="0035736C">
        <w:rPr>
          <w:i/>
          <w:lang w:eastAsia="en-US"/>
        </w:rPr>
        <w:t>Sweden</w:t>
      </w:r>
      <w:r>
        <w:rPr>
          <w:i/>
          <w:lang w:val="uk-UA" w:eastAsia="en-US"/>
        </w:rPr>
        <w:t>)</w:t>
      </w:r>
      <w:r w:rsidRPr="00DC7991">
        <w:rPr>
          <w:lang w:val="uk-UA" w:eastAsia="en-US"/>
        </w:rPr>
        <w:t xml:space="preserve">, 27 </w:t>
      </w:r>
      <w:r>
        <w:rPr>
          <w:lang w:val="uk-UA" w:eastAsia="en-US"/>
        </w:rPr>
        <w:t>жовтня</w:t>
      </w:r>
      <w:r w:rsidRPr="00DC7991">
        <w:rPr>
          <w:lang w:val="uk-UA" w:eastAsia="en-US"/>
        </w:rPr>
        <w:t xml:space="preserve"> 1987</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31, </w:t>
      </w:r>
      <w:r>
        <w:rPr>
          <w:lang w:val="uk-UA" w:eastAsia="en-US"/>
        </w:rPr>
        <w:t>Серія</w:t>
      </w:r>
      <w:r w:rsidRPr="00DC7991">
        <w:rPr>
          <w:lang w:val="uk-UA" w:eastAsia="en-US"/>
        </w:rPr>
        <w:t xml:space="preserve"> </w:t>
      </w:r>
      <w:r w:rsidRPr="0035736C">
        <w:rPr>
          <w:lang w:eastAsia="en-US"/>
        </w:rPr>
        <w:t>A</w:t>
      </w:r>
      <w:r w:rsidRPr="00DC7991">
        <w:rPr>
          <w:lang w:val="uk-UA" w:eastAsia="en-US"/>
        </w:rPr>
        <w:t xml:space="preserve"> </w:t>
      </w:r>
      <w:r>
        <w:rPr>
          <w:lang w:val="uk-UA" w:eastAsia="en-US"/>
        </w:rPr>
        <w:t>№</w:t>
      </w:r>
      <w:r w:rsidRPr="00DC7991">
        <w:rPr>
          <w:lang w:val="uk-UA" w:eastAsia="en-US"/>
        </w:rPr>
        <w:t xml:space="preserve"> 125</w:t>
      </w:r>
      <w:r w:rsidRPr="00DC7991">
        <w:rPr>
          <w:lang w:val="uk-UA" w:eastAsia="en-US"/>
        </w:rPr>
        <w:noBreakHyphen/>
      </w:r>
      <w:r>
        <w:rPr>
          <w:lang w:eastAsia="en-US"/>
        </w:rPr>
        <w:t>A</w:t>
      </w:r>
      <w:r w:rsidRPr="00DC7991">
        <w:rPr>
          <w:lang w:val="uk-UA"/>
        </w:rPr>
        <w:t xml:space="preserve">), </w:t>
      </w:r>
      <w:r>
        <w:rPr>
          <w:lang w:val="uk-UA"/>
        </w:rPr>
        <w:t>спір щодо «права», яке можна вважати, навіть якщо це потребує доказів, визнаним у національному законодавстві, повинен бути справжнім і серйозним; він має стосуватися не тільки питання існування самого права, але й сфери його застосування та способу його здійснення; нарешті, результат судового розгляду повинен мати пряме і вирішальне значення для права, про яке йде мова.</w:t>
      </w:r>
    </w:p>
    <w:p w:rsidRPr="00DC7991" w:rsidR="00D002A0" w:rsidP="00BE749D">
      <w:pPr>
        <w:pStyle w:val="JuPara"/>
        <w:rPr>
          <w:lang w:val="uk-UA" w:eastAsia="en-US"/>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41</w:t>
      </w:r>
      <w:r w:rsidRPr="00DC7991">
        <w:rPr>
          <w:lang w:val="ru-RU"/>
        </w:rPr>
        <w:fldChar w:fldCharType="end"/>
      </w:r>
      <w:r w:rsidRPr="00DC7991">
        <w:rPr>
          <w:lang w:val="ru-RU"/>
        </w:rPr>
        <w:t>.</w:t>
      </w:r>
      <w:r>
        <w:t>  </w:t>
      </w:r>
      <w:r>
        <w:rPr>
          <w:lang w:val="uk-UA"/>
        </w:rPr>
        <w:t xml:space="preserve">Суд зазначив, що у даній справі не ставиться під сумнів той факт, що регіональне поліцейське управління пообіцяло компенсувати збитки заявників. Крім того, з матеріалів справи випливає, що індивідуальні надбавки до зарплат були надані в ситуаціях, які суттєво не відрізнялися від ситуації заявників. Національні суди не відмовили у розгляді позовів заявників з причини їхньої необґрунтованості. Навіть якщо скарги і були відхилені, можна вважати, що адміністративні суди розглянули заяви по суті і вирішили спір щодо прав заявників. Суд вважає, що за цих обставин заявники можуть претендувати на право, навіть якщо це потребує доказів </w:t>
      </w:r>
      <w:r w:rsidRPr="00DC7991">
        <w:rPr>
          <w:lang w:val="uk-UA"/>
        </w:rPr>
        <w:t>(</w:t>
      </w:r>
      <w:r>
        <w:rPr>
          <w:lang w:val="uk-UA"/>
        </w:rPr>
        <w:t>див.</w:t>
      </w:r>
      <w:r w:rsidRPr="00DC7991">
        <w:rPr>
          <w:lang w:val="uk-UA"/>
        </w:rPr>
        <w:t xml:space="preserve">, </w:t>
      </w:r>
      <w:r>
        <w:rPr>
          <w:lang w:val="uk-UA"/>
        </w:rPr>
        <w:t>крім іншого</w:t>
      </w:r>
      <w:r w:rsidRPr="00DC7991">
        <w:rPr>
          <w:lang w:val="uk-UA"/>
        </w:rPr>
        <w:t xml:space="preserve">, </w:t>
      </w:r>
      <w:r>
        <w:rPr>
          <w:lang w:val="uk-UA"/>
        </w:rPr>
        <w:t>рішення у справі «</w:t>
      </w:r>
      <w:r w:rsidRPr="009015DF">
        <w:rPr>
          <w:lang w:val="uk-UA"/>
        </w:rPr>
        <w:t>Невеш е Сільва проти Португалії</w:t>
      </w:r>
      <w:r>
        <w:rPr>
          <w:lang w:val="uk-UA"/>
        </w:rPr>
        <w:t>» (</w:t>
      </w:r>
      <w:r w:rsidRPr="007A4946">
        <w:rPr>
          <w:i/>
          <w:lang w:eastAsia="en-US"/>
        </w:rPr>
        <w:t>Neves</w:t>
      </w:r>
      <w:r w:rsidRPr="00DC7991">
        <w:rPr>
          <w:i/>
          <w:lang w:val="uk-UA" w:eastAsia="en-US"/>
        </w:rPr>
        <w:t xml:space="preserve"> </w:t>
      </w:r>
      <w:r w:rsidRPr="007A4946">
        <w:rPr>
          <w:i/>
          <w:lang w:eastAsia="en-US"/>
        </w:rPr>
        <w:t>e</w:t>
      </w:r>
      <w:r w:rsidRPr="00DC7991">
        <w:rPr>
          <w:i/>
          <w:lang w:val="uk-UA" w:eastAsia="en-US"/>
        </w:rPr>
        <w:t xml:space="preserve"> </w:t>
      </w:r>
      <w:r w:rsidRPr="007A4946">
        <w:rPr>
          <w:i/>
          <w:lang w:eastAsia="en-US"/>
        </w:rPr>
        <w:t>Silva</w:t>
      </w:r>
      <w:r w:rsidRPr="00DC7991">
        <w:rPr>
          <w:i/>
          <w:lang w:val="uk-UA" w:eastAsia="en-US"/>
        </w:rPr>
        <w:t xml:space="preserve"> </w:t>
      </w:r>
      <w:r w:rsidRPr="007A4946">
        <w:rPr>
          <w:i/>
          <w:lang w:eastAsia="en-US"/>
        </w:rPr>
        <w:t>v</w:t>
      </w:r>
      <w:r w:rsidRPr="00DC7991">
        <w:rPr>
          <w:i/>
          <w:lang w:val="uk-UA" w:eastAsia="en-US"/>
        </w:rPr>
        <w:t xml:space="preserve">. </w:t>
      </w:r>
      <w:r w:rsidRPr="007A4946">
        <w:rPr>
          <w:i/>
          <w:lang w:eastAsia="en-US"/>
        </w:rPr>
        <w:t>Portugal</w:t>
      </w:r>
      <w:r>
        <w:rPr>
          <w:i/>
          <w:lang w:val="uk-UA" w:eastAsia="en-US"/>
        </w:rPr>
        <w:t>)</w:t>
      </w:r>
      <w:r w:rsidRPr="00DC7991">
        <w:rPr>
          <w:lang w:val="uk-UA" w:eastAsia="en-US"/>
        </w:rPr>
        <w:t xml:space="preserve">, 27 </w:t>
      </w:r>
      <w:r>
        <w:rPr>
          <w:lang w:val="uk-UA" w:eastAsia="en-US"/>
        </w:rPr>
        <w:t>квітня</w:t>
      </w:r>
      <w:r w:rsidRPr="00DC7991">
        <w:rPr>
          <w:lang w:val="uk-UA" w:eastAsia="en-US"/>
        </w:rPr>
        <w:t xml:space="preserve"> 1989</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37, </w:t>
      </w:r>
      <w:r>
        <w:rPr>
          <w:lang w:val="uk-UA" w:eastAsia="en-US"/>
        </w:rPr>
        <w:t>Серія</w:t>
      </w:r>
      <w:r w:rsidRPr="00DC7991">
        <w:rPr>
          <w:lang w:val="uk-UA" w:eastAsia="en-US"/>
        </w:rPr>
        <w:t xml:space="preserve"> </w:t>
      </w:r>
      <w:r>
        <w:rPr>
          <w:lang w:eastAsia="en-US"/>
        </w:rPr>
        <w:t>A</w:t>
      </w:r>
      <w:r w:rsidRPr="00DC7991">
        <w:rPr>
          <w:lang w:val="uk-UA" w:eastAsia="en-US"/>
        </w:rPr>
        <w:t xml:space="preserve"> </w:t>
      </w:r>
      <w:r>
        <w:rPr>
          <w:lang w:val="uk-UA" w:eastAsia="en-US"/>
        </w:rPr>
        <w:t>№</w:t>
      </w:r>
      <w:r w:rsidRPr="00DC7991">
        <w:rPr>
          <w:lang w:val="uk-UA" w:eastAsia="en-US"/>
        </w:rPr>
        <w:t xml:space="preserve"> 153</w:t>
      </w:r>
      <w:r w:rsidRPr="00DC7991">
        <w:rPr>
          <w:lang w:val="uk-UA" w:eastAsia="en-US"/>
        </w:rPr>
        <w:noBreakHyphen/>
      </w:r>
      <w:r>
        <w:rPr>
          <w:lang w:eastAsia="en-US"/>
        </w:rPr>
        <w:t>A</w:t>
      </w:r>
      <w:r w:rsidRPr="00DC7991">
        <w:rPr>
          <w:lang w:val="uk-UA" w:eastAsia="en-US"/>
        </w:rPr>
        <w:t>)</w:t>
      </w:r>
      <w:r w:rsidRPr="00DC7991">
        <w:rPr>
          <w:lang w:val="uk-UA"/>
        </w:rPr>
        <w:t>.</w:t>
      </w:r>
    </w:p>
    <w:p w:rsidRPr="00DC7991" w:rsidR="00D002A0" w:rsidP="00991B15">
      <w:pPr>
        <w:pStyle w:val="JuHa0"/>
        <w:outlineLvl w:val="0"/>
        <w:rPr>
          <w:lang w:val="uk-UA"/>
        </w:rPr>
      </w:pPr>
      <w:r w:rsidRPr="00DC7991">
        <w:rPr>
          <w:lang w:val="uk-UA"/>
        </w:rPr>
        <w:t>(</w:t>
      </w:r>
      <w:r>
        <w:t>b</w:t>
      </w:r>
      <w:r w:rsidRPr="00DC7991">
        <w:rPr>
          <w:lang w:val="uk-UA"/>
        </w:rPr>
        <w:t>)</w:t>
      </w:r>
      <w:r>
        <w:t>  </w:t>
      </w:r>
      <w:r>
        <w:rPr>
          <w:lang w:val="uk-UA"/>
        </w:rPr>
        <w:t>Цивільний характер права</w:t>
      </w:r>
    </w:p>
    <w:p w:rsidRPr="00DC7991" w:rsidR="00D002A0" w:rsidP="00B07BF5">
      <w:pPr>
        <w:pStyle w:val="JuPara"/>
        <w:rPr>
          <w:lang w:val="ru-RU"/>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42</w:t>
      </w:r>
      <w:r w:rsidRPr="00DC7991">
        <w:rPr>
          <w:lang w:val="uk-UA"/>
        </w:rPr>
        <w:fldChar w:fldCharType="end"/>
      </w:r>
      <w:r w:rsidRPr="00DC7991">
        <w:rPr>
          <w:lang w:val="uk-UA"/>
        </w:rPr>
        <w:t>.</w:t>
      </w:r>
      <w:r w:rsidRPr="0074138A">
        <w:t>  </w:t>
      </w:r>
      <w:r>
        <w:rPr>
          <w:lang w:val="uk-UA"/>
        </w:rPr>
        <w:t>По-друге, Суд розглянув довід уряду, який посилається на вищезгадану справу «</w:t>
      </w:r>
      <w:r w:rsidRPr="009015DF">
        <w:rPr>
          <w:lang w:val="uk-UA"/>
        </w:rPr>
        <w:t>Пеллегрін</w:t>
      </w:r>
      <w:r>
        <w:rPr>
          <w:lang w:val="uk-UA"/>
        </w:rPr>
        <w:t>» (</w:t>
      </w:r>
      <w:r w:rsidRPr="00D14B7C">
        <w:rPr>
          <w:i/>
        </w:rPr>
        <w:t>Pellegrin</w:t>
      </w:r>
      <w:r>
        <w:rPr>
          <w:i/>
          <w:lang w:val="uk-UA"/>
        </w:rPr>
        <w:t xml:space="preserve">), </w:t>
      </w:r>
      <w:r>
        <w:rPr>
          <w:lang w:val="uk-UA"/>
        </w:rPr>
        <w:t>стосовно того, що стаття 6 Конвенції не може застосовуватися з тієї причини, що спори, які порушуються державними службовцями (такими, як працівники поліції), щодо умов їхньої праці, виходять за межі її сфери застосування. Ця справа стосується провадження, в рамках якого вирішувалося питання про те, чи мали п’ять перших заявників</w:t>
      </w:r>
      <w:r w:rsidRPr="00DC7991">
        <w:rPr>
          <w:lang w:val="ru-RU"/>
        </w:rPr>
        <w:t xml:space="preserve"> </w:t>
      </w:r>
      <w:r>
        <w:rPr>
          <w:lang w:val="uk-UA"/>
        </w:rPr>
        <w:t>і нині покійний пан Ханну Матті Лаппалайнен, які були державними службовцями, право на отримання надбавок до заробітної плати. Для того, щоб вирішити це питання, Суд повинен нагадати передумови та мотиви рішення у справі «</w:t>
      </w:r>
      <w:r w:rsidRPr="00BD52FF">
        <w:rPr>
          <w:lang w:val="uk-UA"/>
        </w:rPr>
        <w:t>Пеллегрін</w:t>
      </w:r>
      <w:r>
        <w:rPr>
          <w:lang w:val="uk-UA"/>
        </w:rPr>
        <w:t>» (</w:t>
      </w:r>
      <w:r w:rsidRPr="00AA4D8E">
        <w:rPr>
          <w:i/>
        </w:rPr>
        <w:t>Pellegrin</w:t>
      </w:r>
      <w:r>
        <w:rPr>
          <w:i/>
          <w:lang w:val="uk-UA"/>
        </w:rPr>
        <w:t>),</w:t>
      </w:r>
      <w:r w:rsidRPr="00DC7991">
        <w:rPr>
          <w:lang w:val="ru-RU"/>
        </w:rPr>
        <w:t xml:space="preserve"> </w:t>
      </w:r>
      <w:r>
        <w:rPr>
          <w:lang w:val="uk-UA"/>
        </w:rPr>
        <w:t>а також те, як воно застосовувалося на практиці у наступних справах.</w:t>
      </w:r>
    </w:p>
    <w:p w:rsidRPr="00DC7991" w:rsidR="00D002A0" w:rsidP="00991B15">
      <w:pPr>
        <w:pStyle w:val="JuHi"/>
        <w:outlineLvl w:val="0"/>
        <w:rPr>
          <w:lang w:val="ru-RU"/>
        </w:rPr>
      </w:pPr>
      <w:r w:rsidRPr="00DC7991">
        <w:rPr>
          <w:lang w:val="ru-RU"/>
        </w:rPr>
        <w:t>(</w:t>
      </w:r>
      <w:r>
        <w:t>i</w:t>
      </w:r>
      <w:r w:rsidRPr="00DC7991">
        <w:rPr>
          <w:lang w:val="ru-RU"/>
        </w:rPr>
        <w:t>)</w:t>
      </w:r>
      <w:r>
        <w:t>  </w:t>
      </w:r>
      <w:r>
        <w:rPr>
          <w:lang w:val="uk-UA"/>
        </w:rPr>
        <w:t>Короткий виклад прецедентної практики</w:t>
      </w:r>
    </w:p>
    <w:p w:rsidRPr="00DC7991" w:rsidR="00D002A0" w:rsidP="00794F05">
      <w:pPr>
        <w:pStyle w:val="JuPara"/>
        <w:rPr>
          <w:lang w:val="uk-UA" w:eastAsia="en-US"/>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43</w:t>
      </w:r>
      <w:r w:rsidRPr="00DC7991">
        <w:rPr>
          <w:lang w:val="ru-RU"/>
        </w:rPr>
        <w:fldChar w:fldCharType="end"/>
      </w:r>
      <w:r w:rsidRPr="00DC7991">
        <w:rPr>
          <w:lang w:val="ru-RU"/>
        </w:rPr>
        <w:t>.</w:t>
      </w:r>
      <w:r>
        <w:t>  </w:t>
      </w:r>
      <w:r>
        <w:rPr>
          <w:lang w:val="uk-UA"/>
        </w:rPr>
        <w:t>До винесення рішення у справі «</w:t>
      </w:r>
      <w:r w:rsidRPr="00784B2B">
        <w:rPr>
          <w:lang w:val="uk-UA"/>
        </w:rPr>
        <w:t>Пеллегрін</w:t>
      </w:r>
      <w:r>
        <w:rPr>
          <w:lang w:val="uk-UA"/>
        </w:rPr>
        <w:t>»</w:t>
      </w:r>
      <w:r>
        <w:t xml:space="preserve"> </w:t>
      </w:r>
      <w:r>
        <w:rPr>
          <w:lang w:val="uk-UA"/>
        </w:rPr>
        <w:t>(</w:t>
      </w:r>
      <w:r w:rsidRPr="00AA4D8E">
        <w:rPr>
          <w:i/>
        </w:rPr>
        <w:t>Pellegrin</w:t>
      </w:r>
      <w:r>
        <w:rPr>
          <w:i/>
          <w:lang w:val="uk-UA"/>
        </w:rPr>
        <w:t>)</w:t>
      </w:r>
      <w:r>
        <w:t xml:space="preserve">, </w:t>
      </w:r>
      <w:r>
        <w:rPr>
          <w:lang w:val="uk-UA"/>
        </w:rPr>
        <w:t>Суд дійшов висновку, що спори, які стосуються найму, просування по службі, припинення служби державних службовців, виходять за межі сфери застосування пункту 1 статті 6. Цей загальний принцип виключення, однак, обмежувався і уточнювався у низці судових рішень. Наприклад, у справах «</w:t>
      </w:r>
      <w:r w:rsidRPr="00784B2B">
        <w:rPr>
          <w:lang w:val="uk-UA"/>
        </w:rPr>
        <w:t>Франческо Ломбардо проти Італії</w:t>
      </w:r>
      <w:r>
        <w:rPr>
          <w:lang w:val="uk-UA"/>
        </w:rPr>
        <w:t>» (</w:t>
      </w:r>
      <w:r w:rsidRPr="00F510E9">
        <w:rPr>
          <w:i/>
          <w:lang w:eastAsia="en-US"/>
        </w:rPr>
        <w:t>Francesco</w:t>
      </w:r>
      <w:r w:rsidRPr="00DC7991">
        <w:rPr>
          <w:i/>
          <w:lang w:val="uk-UA" w:eastAsia="en-US"/>
        </w:rPr>
        <w:t xml:space="preserve"> </w:t>
      </w:r>
      <w:r w:rsidRPr="00F510E9">
        <w:rPr>
          <w:i/>
          <w:lang w:eastAsia="en-US"/>
        </w:rPr>
        <w:t>Lombardo</w:t>
      </w:r>
      <w:r w:rsidRPr="00DC7991">
        <w:rPr>
          <w:i/>
          <w:lang w:val="uk-UA" w:eastAsia="en-US"/>
        </w:rPr>
        <w:t xml:space="preserve"> </w:t>
      </w:r>
      <w:r w:rsidRPr="00F510E9">
        <w:rPr>
          <w:i/>
          <w:lang w:eastAsia="en-US"/>
        </w:rPr>
        <w:t>v</w:t>
      </w:r>
      <w:r w:rsidRPr="00DC7991">
        <w:rPr>
          <w:i/>
          <w:lang w:val="uk-UA" w:eastAsia="en-US"/>
        </w:rPr>
        <w:t xml:space="preserve">. </w:t>
      </w:r>
      <w:r w:rsidRPr="00F510E9">
        <w:rPr>
          <w:i/>
          <w:lang w:eastAsia="en-US"/>
        </w:rPr>
        <w:t>Italy</w:t>
      </w:r>
      <w:r>
        <w:rPr>
          <w:i/>
          <w:lang w:val="uk-UA" w:eastAsia="en-US"/>
        </w:rPr>
        <w:t>),</w:t>
      </w:r>
      <w:r w:rsidRPr="00DC7991">
        <w:rPr>
          <w:lang w:val="uk-UA" w:eastAsia="en-US"/>
        </w:rPr>
        <w:t xml:space="preserve"> 26</w:t>
      </w:r>
      <w:r>
        <w:rPr>
          <w:lang w:eastAsia="en-US"/>
        </w:rPr>
        <w:t> </w:t>
      </w:r>
      <w:r>
        <w:rPr>
          <w:lang w:val="uk-UA" w:eastAsia="en-US"/>
        </w:rPr>
        <w:t>листопада</w:t>
      </w:r>
      <w:r w:rsidRPr="00DC7991">
        <w:rPr>
          <w:lang w:val="uk-UA" w:eastAsia="en-US"/>
        </w:rPr>
        <w:t xml:space="preserve"> 1992</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17, </w:t>
      </w:r>
      <w:r>
        <w:rPr>
          <w:lang w:val="uk-UA" w:eastAsia="en-US"/>
        </w:rPr>
        <w:t>Серія</w:t>
      </w:r>
      <w:r w:rsidRPr="00DC7991">
        <w:rPr>
          <w:lang w:val="uk-UA" w:eastAsia="en-US"/>
        </w:rPr>
        <w:t xml:space="preserve"> </w:t>
      </w:r>
      <w:r w:rsidRPr="00F510E9">
        <w:rPr>
          <w:lang w:eastAsia="en-US"/>
        </w:rPr>
        <w:t>A</w:t>
      </w:r>
      <w:r w:rsidRPr="00DC7991">
        <w:rPr>
          <w:lang w:val="uk-UA" w:eastAsia="en-US"/>
        </w:rPr>
        <w:t xml:space="preserve"> </w:t>
      </w:r>
      <w:r>
        <w:rPr>
          <w:lang w:val="uk-UA" w:eastAsia="en-US"/>
        </w:rPr>
        <w:t>№</w:t>
      </w:r>
      <w:r w:rsidRPr="00DC7991">
        <w:rPr>
          <w:lang w:val="uk-UA" w:eastAsia="en-US"/>
        </w:rPr>
        <w:t xml:space="preserve"> 249</w:t>
      </w:r>
      <w:r w:rsidRPr="00DC7991">
        <w:rPr>
          <w:lang w:val="uk-UA" w:eastAsia="en-US"/>
        </w:rPr>
        <w:noBreakHyphen/>
      </w:r>
      <w:r w:rsidRPr="00F510E9">
        <w:rPr>
          <w:lang w:eastAsia="en-US"/>
        </w:rPr>
        <w:t>B</w:t>
      </w:r>
      <w:r w:rsidRPr="00DC7991">
        <w:rPr>
          <w:lang w:val="uk-UA" w:eastAsia="en-US"/>
        </w:rPr>
        <w:t xml:space="preserve">) </w:t>
      </w:r>
      <w:r>
        <w:rPr>
          <w:lang w:val="uk-UA" w:eastAsia="en-US"/>
        </w:rPr>
        <w:t>та</w:t>
      </w:r>
      <w:r w:rsidRPr="00DC7991">
        <w:rPr>
          <w:lang w:val="uk-UA"/>
        </w:rPr>
        <w:t xml:space="preserve"> </w:t>
      </w:r>
      <w:r>
        <w:rPr>
          <w:lang w:val="uk-UA"/>
        </w:rPr>
        <w:t>«</w:t>
      </w:r>
      <w:r w:rsidRPr="00784B2B">
        <w:rPr>
          <w:lang w:val="uk-UA"/>
        </w:rPr>
        <w:t>Масса проти Італії</w:t>
      </w:r>
      <w:r>
        <w:rPr>
          <w:lang w:val="uk-UA"/>
        </w:rPr>
        <w:t>» (</w:t>
      </w:r>
      <w:r w:rsidRPr="00EC17E2">
        <w:rPr>
          <w:i/>
          <w:lang w:eastAsia="en-US"/>
        </w:rPr>
        <w:t>Massa</w:t>
      </w:r>
      <w:r w:rsidRPr="00DC7991">
        <w:rPr>
          <w:i/>
          <w:lang w:val="uk-UA" w:eastAsia="en-US"/>
        </w:rPr>
        <w:t xml:space="preserve"> </w:t>
      </w:r>
      <w:r w:rsidRPr="00EC17E2">
        <w:rPr>
          <w:i/>
          <w:lang w:eastAsia="en-US"/>
        </w:rPr>
        <w:t>v</w:t>
      </w:r>
      <w:r w:rsidRPr="00DC7991">
        <w:rPr>
          <w:i/>
          <w:lang w:val="uk-UA" w:eastAsia="en-US"/>
        </w:rPr>
        <w:t xml:space="preserve">. </w:t>
      </w:r>
      <w:r w:rsidRPr="00EC17E2">
        <w:rPr>
          <w:i/>
          <w:lang w:eastAsia="en-US"/>
        </w:rPr>
        <w:t>Italy</w:t>
      </w:r>
      <w:r>
        <w:rPr>
          <w:i/>
          <w:lang w:val="uk-UA" w:eastAsia="en-US"/>
        </w:rPr>
        <w:t>),</w:t>
      </w:r>
      <w:r w:rsidRPr="00DC7991">
        <w:rPr>
          <w:lang w:val="uk-UA" w:eastAsia="en-US"/>
        </w:rPr>
        <w:t xml:space="preserve"> 24</w:t>
      </w:r>
      <w:r>
        <w:rPr>
          <w:lang w:eastAsia="en-US"/>
        </w:rPr>
        <w:t> </w:t>
      </w:r>
      <w:r>
        <w:rPr>
          <w:lang w:val="uk-UA" w:eastAsia="en-US"/>
        </w:rPr>
        <w:t>серпня</w:t>
      </w:r>
      <w:r w:rsidRPr="00DC7991">
        <w:rPr>
          <w:lang w:val="uk-UA" w:eastAsia="en-US"/>
        </w:rPr>
        <w:t xml:space="preserve"> 1993</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26, </w:t>
      </w:r>
      <w:r>
        <w:rPr>
          <w:lang w:val="uk-UA" w:eastAsia="en-US"/>
        </w:rPr>
        <w:t>Серія</w:t>
      </w:r>
      <w:r w:rsidRPr="00DC7991">
        <w:rPr>
          <w:lang w:val="uk-UA" w:eastAsia="en-US"/>
        </w:rPr>
        <w:t xml:space="preserve"> </w:t>
      </w:r>
      <w:r w:rsidRPr="00EC17E2">
        <w:rPr>
          <w:lang w:eastAsia="en-US"/>
        </w:rPr>
        <w:t>A</w:t>
      </w:r>
      <w:r w:rsidRPr="00DC7991">
        <w:rPr>
          <w:lang w:val="uk-UA" w:eastAsia="en-US"/>
        </w:rPr>
        <w:t xml:space="preserve"> </w:t>
      </w:r>
      <w:r>
        <w:rPr>
          <w:lang w:val="uk-UA" w:eastAsia="en-US"/>
        </w:rPr>
        <w:t>№</w:t>
      </w:r>
      <w:r w:rsidRPr="00DC7991">
        <w:rPr>
          <w:lang w:val="uk-UA" w:eastAsia="en-US"/>
        </w:rPr>
        <w:t xml:space="preserve"> 265</w:t>
      </w:r>
      <w:r w:rsidRPr="00DC7991">
        <w:rPr>
          <w:lang w:val="uk-UA" w:eastAsia="en-US"/>
        </w:rPr>
        <w:noBreakHyphen/>
      </w:r>
      <w:r w:rsidRPr="00EC17E2">
        <w:rPr>
          <w:lang w:eastAsia="en-US"/>
        </w:rPr>
        <w:t>B</w:t>
      </w:r>
      <w:r w:rsidRPr="00DC7991">
        <w:rPr>
          <w:lang w:val="uk-UA"/>
        </w:rPr>
        <w:t>)</w:t>
      </w:r>
      <w:r w:rsidRPr="00DC7991">
        <w:rPr>
          <w:lang w:val="uk-UA" w:eastAsia="en-US"/>
        </w:rPr>
        <w:t xml:space="preserve"> </w:t>
      </w:r>
      <w:r>
        <w:rPr>
          <w:lang w:val="uk-UA" w:eastAsia="en-US"/>
        </w:rPr>
        <w:t>Суд визнав, що скарги заявників не були пов’язані ні з «наймом», ні з «просуванням по службі» державних службовців, і лише непрямо стосувалися «припинення служби», оскільки вони містили вимоги виключно щодо майнових прав, які виникають за законом після припинення служби. За цих обставин і у зв’язку з тим, що італійська держава не використовувала «дискреційних повноважень» при виконанні своїх зобов’язань стосовно виплати відповідних пенсій і могла бути порівнянна з роботодавцем, який є стороною трудового договору, що регулюється приватним правом, Суд дійшов висновку, що вимоги заявників мали «цивільний характер» у сенсі пункту 1 статті 6.</w:t>
      </w:r>
    </w:p>
    <w:p w:rsidRPr="00DC7991" w:rsidR="00D002A0" w:rsidP="00794F05">
      <w:pPr>
        <w:pStyle w:val="JuPara"/>
        <w:rPr>
          <w:lang w:val="ru-RU" w:eastAsia="en-US"/>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44</w:t>
      </w:r>
      <w:r w:rsidRPr="00DC7991">
        <w:rPr>
          <w:lang w:val="uk-UA"/>
        </w:rPr>
        <w:fldChar w:fldCharType="end"/>
      </w:r>
      <w:r w:rsidRPr="00DC7991">
        <w:rPr>
          <w:lang w:val="uk-UA"/>
        </w:rPr>
        <w:t>.</w:t>
      </w:r>
      <w:r>
        <w:t>  </w:t>
      </w:r>
      <w:r>
        <w:rPr>
          <w:lang w:val="uk-UA"/>
        </w:rPr>
        <w:t>З іншого боку, в справі «</w:t>
      </w:r>
      <w:r w:rsidRPr="00784B2B">
        <w:rPr>
          <w:lang w:val="uk-UA"/>
        </w:rPr>
        <w:t>Нейгель проти Франції</w:t>
      </w:r>
      <w:r>
        <w:rPr>
          <w:lang w:val="uk-UA"/>
        </w:rPr>
        <w:t>» (</w:t>
      </w:r>
      <w:r w:rsidRPr="00F510E9">
        <w:rPr>
          <w:i/>
          <w:lang w:eastAsia="en-US"/>
        </w:rPr>
        <w:t>Neigel</w:t>
      </w:r>
      <w:r w:rsidRPr="00DC7991">
        <w:rPr>
          <w:i/>
          <w:lang w:val="uk-UA" w:eastAsia="en-US"/>
        </w:rPr>
        <w:t xml:space="preserve"> </w:t>
      </w:r>
      <w:r w:rsidRPr="00F510E9">
        <w:rPr>
          <w:i/>
          <w:lang w:eastAsia="en-US"/>
        </w:rPr>
        <w:t>v</w:t>
      </w:r>
      <w:r w:rsidRPr="00DC7991">
        <w:rPr>
          <w:i/>
          <w:lang w:val="uk-UA" w:eastAsia="en-US"/>
        </w:rPr>
        <w:t xml:space="preserve">. </w:t>
      </w:r>
      <w:r w:rsidRPr="00F510E9">
        <w:rPr>
          <w:i/>
          <w:lang w:eastAsia="en-US"/>
        </w:rPr>
        <w:t>France</w:t>
      </w:r>
      <w:r>
        <w:rPr>
          <w:i/>
          <w:lang w:val="uk-UA" w:eastAsia="en-US"/>
        </w:rPr>
        <w:t>),</w:t>
      </w:r>
      <w:r w:rsidRPr="00DC7991">
        <w:rPr>
          <w:lang w:val="uk-UA" w:eastAsia="en-US"/>
        </w:rPr>
        <w:t xml:space="preserve"> 17 </w:t>
      </w:r>
      <w:r>
        <w:rPr>
          <w:lang w:val="uk-UA" w:eastAsia="en-US"/>
        </w:rPr>
        <w:t>березня</w:t>
      </w:r>
      <w:r w:rsidRPr="00DC7991">
        <w:rPr>
          <w:lang w:val="uk-UA" w:eastAsia="en-US"/>
        </w:rPr>
        <w:t xml:space="preserve"> 1997</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44, </w:t>
      </w:r>
      <w:r w:rsidRPr="00784B2B">
        <w:rPr>
          <w:lang w:val="uk-UA" w:eastAsia="en-US"/>
        </w:rPr>
        <w:t>Збірник</w:t>
      </w:r>
      <w:r w:rsidRPr="00DC7991">
        <w:rPr>
          <w:i/>
          <w:lang w:val="uk-UA" w:eastAsia="en-US"/>
        </w:rPr>
        <w:t xml:space="preserve"> </w:t>
      </w:r>
      <w:r w:rsidRPr="00DC7991">
        <w:rPr>
          <w:lang w:val="uk-UA" w:eastAsia="en-US"/>
        </w:rPr>
        <w:t>1997</w:t>
      </w:r>
      <w:r w:rsidRPr="00DC7991">
        <w:rPr>
          <w:lang w:val="uk-UA" w:eastAsia="en-US"/>
        </w:rPr>
        <w:noBreakHyphen/>
      </w:r>
      <w:r>
        <w:rPr>
          <w:lang w:eastAsia="en-US"/>
        </w:rPr>
        <w:t>II</w:t>
      </w:r>
      <w:r w:rsidRPr="00DC7991">
        <w:rPr>
          <w:lang w:val="uk-UA"/>
        </w:rPr>
        <w:t>)</w:t>
      </w:r>
      <w:r>
        <w:rPr>
          <w:lang w:val="uk-UA"/>
        </w:rPr>
        <w:t>)</w:t>
      </w:r>
      <w:r w:rsidRPr="00DC7991">
        <w:rPr>
          <w:lang w:val="uk-UA"/>
        </w:rPr>
        <w:t xml:space="preserve"> </w:t>
      </w:r>
      <w:r>
        <w:rPr>
          <w:lang w:val="uk-UA"/>
        </w:rPr>
        <w:t>Суд визнав, що рішення, яке оскаржувалося заявницею, а саме відмова поновити її на постійній посаді державного службовця, зачіпало питання «її найму», «просування по службі» та «припинення служби». Вимоги заявниці про виплату заробітної плати, яку вона мала отримати у разі поновлення на службі, не впливали на застосовність пункту 1 статті 6, оскільки призначення такої компенсації адміністративним судом «прямо залежало від попереднього визнання ним незаконності рішення щодо відмови у поновленні на службі». Отже, Суд вирішив, що спір не стосувався будь-якого «цивільного» права у сенсі пункту 1 статті 6.</w:t>
      </w:r>
    </w:p>
    <w:p w:rsidRPr="00DC7991" w:rsidR="00D002A0" w:rsidP="00794F0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45</w:t>
      </w:r>
      <w:r w:rsidRPr="00DC7991">
        <w:rPr>
          <w:lang w:val="ru-RU"/>
        </w:rPr>
        <w:fldChar w:fldCharType="end"/>
      </w:r>
      <w:r w:rsidRPr="00DC7991">
        <w:rPr>
          <w:lang w:val="ru-RU"/>
        </w:rPr>
        <w:t>.</w:t>
      </w:r>
      <w:r>
        <w:t>  </w:t>
      </w:r>
      <w:r>
        <w:rPr>
          <w:lang w:val="uk-UA"/>
        </w:rPr>
        <w:t xml:space="preserve">Згідно з рішеннями Суду в інших справах, пункт 1 статті 6 застосовувався у тих випадках, коли скарга була пов’язаною з «виключно економічним правом» - таким, як виплата заробітної плати </w:t>
      </w:r>
      <w:r w:rsidRPr="00DC7991">
        <w:rPr>
          <w:lang w:val="ru-RU"/>
        </w:rPr>
        <w:t>(</w:t>
      </w:r>
      <w:r>
        <w:rPr>
          <w:lang w:val="uk-UA"/>
        </w:rPr>
        <w:t>див. «</w:t>
      </w:r>
      <w:r w:rsidRPr="00784B2B">
        <w:rPr>
          <w:lang w:val="uk-UA"/>
        </w:rPr>
        <w:t>Де Санта проти Італії</w:t>
      </w:r>
      <w:r>
        <w:rPr>
          <w:lang w:val="uk-UA"/>
        </w:rPr>
        <w:t>»</w:t>
      </w:r>
      <w:r w:rsidRPr="00FA6BC3">
        <w:rPr>
          <w:i/>
          <w:lang w:val="uk-UA"/>
        </w:rPr>
        <w:t xml:space="preserve">, </w:t>
      </w:r>
      <w:r>
        <w:rPr>
          <w:i/>
          <w:lang w:val="uk-UA"/>
        </w:rPr>
        <w:t>«</w:t>
      </w:r>
      <w:r w:rsidRPr="00784B2B">
        <w:rPr>
          <w:lang w:val="uk-UA"/>
        </w:rPr>
        <w:t>Лапалорча проти Італії</w:t>
      </w:r>
      <w:r>
        <w:rPr>
          <w:lang w:val="uk-UA"/>
        </w:rPr>
        <w:t>»</w:t>
      </w:r>
      <w:r w:rsidRPr="00FA6BC3">
        <w:rPr>
          <w:i/>
          <w:lang w:val="uk-UA"/>
        </w:rPr>
        <w:t xml:space="preserve"> </w:t>
      </w:r>
      <w:r w:rsidRPr="00784B2B">
        <w:rPr>
          <w:lang w:val="uk-UA"/>
        </w:rPr>
        <w:t xml:space="preserve">та </w:t>
      </w:r>
      <w:r>
        <w:rPr>
          <w:lang w:val="uk-UA"/>
        </w:rPr>
        <w:t>«</w:t>
      </w:r>
      <w:r w:rsidRPr="00784B2B">
        <w:rPr>
          <w:lang w:val="uk-UA"/>
        </w:rPr>
        <w:t>Абенаволі проти Італії</w:t>
      </w:r>
      <w:r>
        <w:rPr>
          <w:lang w:val="uk-UA"/>
        </w:rPr>
        <w:t>»</w:t>
      </w:r>
      <w:r w:rsidRPr="00DC7991">
        <w:rPr>
          <w:lang w:val="uk-UA"/>
        </w:rPr>
        <w:t xml:space="preserve"> </w:t>
      </w:r>
      <w:r>
        <w:rPr>
          <w:lang w:val="uk-UA"/>
        </w:rPr>
        <w:t>(</w:t>
      </w:r>
      <w:r w:rsidRPr="00C17D83">
        <w:rPr>
          <w:i/>
        </w:rPr>
        <w:t>De</w:t>
      </w:r>
      <w:r w:rsidRPr="00DC7991">
        <w:rPr>
          <w:i/>
          <w:lang w:val="uk-UA"/>
        </w:rPr>
        <w:t xml:space="preserve"> </w:t>
      </w:r>
      <w:r w:rsidRPr="00C17D83">
        <w:rPr>
          <w:i/>
        </w:rPr>
        <w:t>Santa</w:t>
      </w:r>
      <w:r w:rsidRPr="00DC7991">
        <w:rPr>
          <w:i/>
          <w:lang w:val="uk-UA"/>
        </w:rPr>
        <w:t xml:space="preserve"> </w:t>
      </w:r>
      <w:r w:rsidRPr="00C17D83">
        <w:rPr>
          <w:i/>
        </w:rPr>
        <w:t>v</w:t>
      </w:r>
      <w:r w:rsidRPr="00DC7991">
        <w:rPr>
          <w:i/>
          <w:lang w:val="uk-UA"/>
        </w:rPr>
        <w:t xml:space="preserve">. </w:t>
      </w:r>
      <w:r w:rsidRPr="00C17D83">
        <w:rPr>
          <w:i/>
        </w:rPr>
        <w:t>Italy</w:t>
      </w:r>
      <w:r w:rsidRPr="00DC7991">
        <w:rPr>
          <w:lang w:val="uk-UA"/>
        </w:rPr>
        <w:t xml:space="preserve">, </w:t>
      </w:r>
      <w:r w:rsidRPr="00C17D83">
        <w:rPr>
          <w:i/>
        </w:rPr>
        <w:t>Lapalorcia</w:t>
      </w:r>
      <w:r w:rsidRPr="00DC7991">
        <w:rPr>
          <w:i/>
          <w:lang w:val="uk-UA"/>
        </w:rPr>
        <w:t xml:space="preserve"> </w:t>
      </w:r>
      <w:r w:rsidRPr="00C17D83">
        <w:rPr>
          <w:i/>
        </w:rPr>
        <w:t>v</w:t>
      </w:r>
      <w:r w:rsidRPr="00DC7991">
        <w:rPr>
          <w:i/>
          <w:lang w:val="uk-UA"/>
        </w:rPr>
        <w:t xml:space="preserve">. </w:t>
      </w:r>
      <w:r w:rsidRPr="00C17D83">
        <w:rPr>
          <w:i/>
        </w:rPr>
        <w:t>Italy</w:t>
      </w:r>
      <w:r w:rsidRPr="00DC7991">
        <w:rPr>
          <w:lang w:val="uk-UA"/>
        </w:rPr>
        <w:t xml:space="preserve"> </w:t>
      </w:r>
      <w:r>
        <w:t>and</w:t>
      </w:r>
      <w:r w:rsidRPr="00DC7991">
        <w:rPr>
          <w:lang w:val="uk-UA"/>
        </w:rPr>
        <w:t xml:space="preserve"> </w:t>
      </w:r>
      <w:r w:rsidRPr="00C17D83">
        <w:rPr>
          <w:i/>
        </w:rPr>
        <w:t>Abenavoli</w:t>
      </w:r>
      <w:r w:rsidRPr="00DC7991">
        <w:rPr>
          <w:i/>
          <w:lang w:val="uk-UA"/>
        </w:rPr>
        <w:t xml:space="preserve"> </w:t>
      </w:r>
      <w:r w:rsidRPr="00C17D83">
        <w:rPr>
          <w:i/>
        </w:rPr>
        <w:t>v</w:t>
      </w:r>
      <w:r w:rsidRPr="00DC7991">
        <w:rPr>
          <w:i/>
          <w:lang w:val="uk-UA"/>
        </w:rPr>
        <w:t xml:space="preserve">. </w:t>
      </w:r>
      <w:r w:rsidRPr="00C17D83">
        <w:rPr>
          <w:i/>
        </w:rPr>
        <w:t>Italy</w:t>
      </w:r>
      <w:r>
        <w:rPr>
          <w:i/>
          <w:lang w:val="uk-UA"/>
        </w:rPr>
        <w:t>)</w:t>
      </w:r>
      <w:r w:rsidRPr="00DC7991">
        <w:rPr>
          <w:lang w:val="uk-UA"/>
        </w:rPr>
        <w:t>, 2</w:t>
      </w:r>
      <w:r>
        <w:t> </w:t>
      </w:r>
      <w:r>
        <w:rPr>
          <w:lang w:val="uk-UA"/>
        </w:rPr>
        <w:t>вересня</w:t>
      </w:r>
      <w:r w:rsidRPr="00DC7991">
        <w:rPr>
          <w:lang w:val="uk-UA"/>
        </w:rPr>
        <w:t xml:space="preserve"> 1997</w:t>
      </w:r>
      <w:r>
        <w:rPr>
          <w:lang w:val="uk-UA"/>
        </w:rPr>
        <w:t xml:space="preserve"> року</w:t>
      </w:r>
      <w:r w:rsidRPr="00DC7991">
        <w:rPr>
          <w:lang w:val="uk-UA"/>
        </w:rPr>
        <w:t xml:space="preserve">, </w:t>
      </w:r>
      <w:r>
        <w:rPr>
          <w:lang w:val="uk-UA"/>
        </w:rPr>
        <w:t>пп.</w:t>
      </w:r>
      <w:r w:rsidRPr="00DC7991">
        <w:rPr>
          <w:lang w:val="uk-UA"/>
        </w:rPr>
        <w:t xml:space="preserve"> 18, 21 </w:t>
      </w:r>
      <w:r>
        <w:rPr>
          <w:lang w:val="uk-UA"/>
        </w:rPr>
        <w:t>та</w:t>
      </w:r>
      <w:r w:rsidRPr="00DC7991">
        <w:rPr>
          <w:lang w:val="uk-UA"/>
        </w:rPr>
        <w:t xml:space="preserve"> 16 </w:t>
      </w:r>
      <w:r>
        <w:rPr>
          <w:lang w:val="uk-UA"/>
        </w:rPr>
        <w:t>відповідно</w:t>
      </w:r>
      <w:r w:rsidRPr="00DC7991">
        <w:rPr>
          <w:lang w:val="uk-UA"/>
        </w:rPr>
        <w:t xml:space="preserve">, </w:t>
      </w:r>
      <w:r w:rsidRPr="00784B2B">
        <w:rPr>
          <w:lang w:val="uk-UA"/>
        </w:rPr>
        <w:t>Збірник</w:t>
      </w:r>
      <w:r w:rsidRPr="00DC7991">
        <w:rPr>
          <w:i/>
          <w:lang w:val="uk-UA"/>
        </w:rPr>
        <w:t xml:space="preserve"> </w:t>
      </w:r>
      <w:r w:rsidRPr="00DC7991">
        <w:rPr>
          <w:lang w:val="uk-UA"/>
        </w:rPr>
        <w:t>1997-</w:t>
      </w:r>
      <w:r>
        <w:t>V</w:t>
      </w:r>
      <w:r w:rsidRPr="00DC7991">
        <w:rPr>
          <w:lang w:val="uk-UA"/>
        </w:rPr>
        <w:t xml:space="preserve">) – </w:t>
      </w:r>
      <w:r>
        <w:rPr>
          <w:lang w:val="uk-UA"/>
        </w:rPr>
        <w:t xml:space="preserve">або з «переважно економічним правом» </w:t>
      </w:r>
      <w:r w:rsidRPr="00DC7991">
        <w:rPr>
          <w:lang w:val="uk-UA"/>
        </w:rPr>
        <w:t>(</w:t>
      </w:r>
      <w:r>
        <w:rPr>
          <w:lang w:val="uk-UA"/>
        </w:rPr>
        <w:t>див.</w:t>
      </w:r>
      <w:r w:rsidRPr="00DC7991">
        <w:rPr>
          <w:lang w:val="uk-UA"/>
        </w:rPr>
        <w:t xml:space="preserve"> </w:t>
      </w:r>
      <w:r>
        <w:rPr>
          <w:lang w:val="uk-UA"/>
        </w:rPr>
        <w:t>«</w:t>
      </w:r>
      <w:r w:rsidRPr="00784B2B">
        <w:rPr>
          <w:lang w:val="uk-UA"/>
        </w:rPr>
        <w:t>Нікодемо проти Італії</w:t>
      </w:r>
      <w:r>
        <w:rPr>
          <w:lang w:val="uk-UA"/>
        </w:rPr>
        <w:t>» (</w:t>
      </w:r>
      <w:r w:rsidRPr="00C17D83">
        <w:rPr>
          <w:i/>
        </w:rPr>
        <w:t>Nicodemo</w:t>
      </w:r>
      <w:r w:rsidRPr="00DC7991">
        <w:rPr>
          <w:i/>
          <w:lang w:val="ru-RU"/>
        </w:rPr>
        <w:t xml:space="preserve"> </w:t>
      </w:r>
      <w:r w:rsidRPr="00C17D83">
        <w:rPr>
          <w:i/>
        </w:rPr>
        <w:t>v</w:t>
      </w:r>
      <w:r w:rsidRPr="00DC7991">
        <w:rPr>
          <w:i/>
          <w:lang w:val="ru-RU"/>
        </w:rPr>
        <w:t xml:space="preserve">. </w:t>
      </w:r>
      <w:r w:rsidRPr="00C17D83">
        <w:rPr>
          <w:i/>
        </w:rPr>
        <w:t>Italy</w:t>
      </w:r>
      <w:r>
        <w:rPr>
          <w:i/>
          <w:lang w:val="uk-UA"/>
        </w:rPr>
        <w:t>)</w:t>
      </w:r>
      <w:r w:rsidRPr="00DC7991">
        <w:rPr>
          <w:lang w:val="ru-RU"/>
        </w:rPr>
        <w:t xml:space="preserve">, 2 </w:t>
      </w:r>
      <w:r>
        <w:rPr>
          <w:lang w:val="uk-UA"/>
        </w:rPr>
        <w:t>вересня</w:t>
      </w:r>
      <w:r w:rsidRPr="00DC7991">
        <w:rPr>
          <w:lang w:val="ru-RU"/>
        </w:rPr>
        <w:t xml:space="preserve"> 1997</w:t>
      </w:r>
      <w:r>
        <w:rPr>
          <w:lang w:val="uk-UA"/>
        </w:rPr>
        <w:t xml:space="preserve"> року</w:t>
      </w:r>
      <w:r w:rsidRPr="00DC7991">
        <w:rPr>
          <w:lang w:val="ru-RU"/>
        </w:rPr>
        <w:t xml:space="preserve">, </w:t>
      </w:r>
      <w:r>
        <w:rPr>
          <w:lang w:val="uk-UA"/>
        </w:rPr>
        <w:t>п.</w:t>
      </w:r>
      <w:r w:rsidRPr="00DC7991">
        <w:rPr>
          <w:lang w:val="ru-RU"/>
        </w:rPr>
        <w:t xml:space="preserve"> 18, </w:t>
      </w:r>
      <w:r w:rsidRPr="00784B2B">
        <w:rPr>
          <w:lang w:val="uk-UA"/>
        </w:rPr>
        <w:t>Збірник</w:t>
      </w:r>
      <w:r w:rsidRPr="00DC7991">
        <w:rPr>
          <w:i/>
          <w:lang w:val="ru-RU"/>
        </w:rPr>
        <w:t xml:space="preserve"> </w:t>
      </w:r>
      <w:r w:rsidRPr="00DC7991">
        <w:rPr>
          <w:lang w:val="ru-RU"/>
        </w:rPr>
        <w:t>1997-</w:t>
      </w:r>
      <w:r>
        <w:t>V</w:t>
      </w:r>
      <w:r w:rsidRPr="00DC7991">
        <w:rPr>
          <w:lang w:val="ru-RU"/>
        </w:rPr>
        <w:t xml:space="preserve">) </w:t>
      </w:r>
      <w:r>
        <w:rPr>
          <w:lang w:val="uk-UA"/>
        </w:rPr>
        <w:t xml:space="preserve">і не ставила під сумнів головним чином «дискреційні повноваження органів влади» </w:t>
      </w:r>
      <w:r w:rsidRPr="00DC7991">
        <w:rPr>
          <w:lang w:val="ru-RU"/>
        </w:rPr>
        <w:t>(</w:t>
      </w:r>
      <w:r>
        <w:rPr>
          <w:lang w:val="uk-UA"/>
        </w:rPr>
        <w:t>див.</w:t>
      </w:r>
      <w:r w:rsidRPr="00DC7991">
        <w:rPr>
          <w:lang w:val="ru-RU"/>
        </w:rPr>
        <w:t xml:space="preserve"> </w:t>
      </w:r>
      <w:r>
        <w:rPr>
          <w:lang w:val="uk-UA"/>
        </w:rPr>
        <w:t>«</w:t>
      </w:r>
      <w:r w:rsidRPr="00784B2B">
        <w:rPr>
          <w:lang w:val="uk-UA"/>
        </w:rPr>
        <w:t>Бенкессіуер проти Франції</w:t>
      </w:r>
      <w:r>
        <w:rPr>
          <w:lang w:val="uk-UA"/>
        </w:rPr>
        <w:t>» (</w:t>
      </w:r>
      <w:r w:rsidRPr="00C17D83">
        <w:rPr>
          <w:i/>
        </w:rPr>
        <w:t>Benkessiouer</w:t>
      </w:r>
      <w:r w:rsidRPr="00DC7991">
        <w:rPr>
          <w:i/>
          <w:lang w:val="ru-RU"/>
        </w:rPr>
        <w:t xml:space="preserve"> </w:t>
      </w:r>
      <w:r w:rsidRPr="00C17D83">
        <w:rPr>
          <w:i/>
        </w:rPr>
        <w:t>v</w:t>
      </w:r>
      <w:r w:rsidRPr="00DC7991">
        <w:rPr>
          <w:i/>
          <w:lang w:val="ru-RU"/>
        </w:rPr>
        <w:t xml:space="preserve">. </w:t>
      </w:r>
      <w:r w:rsidRPr="00C17D83">
        <w:rPr>
          <w:i/>
        </w:rPr>
        <w:t>France</w:t>
      </w:r>
      <w:r>
        <w:rPr>
          <w:i/>
          <w:lang w:val="uk-UA"/>
        </w:rPr>
        <w:t>)</w:t>
      </w:r>
      <w:r w:rsidRPr="00DC7991">
        <w:rPr>
          <w:lang w:val="ru-RU"/>
        </w:rPr>
        <w:t xml:space="preserve"> </w:t>
      </w:r>
      <w:r>
        <w:rPr>
          <w:lang w:val="uk-UA"/>
        </w:rPr>
        <w:t>та</w:t>
      </w:r>
      <w:r w:rsidRPr="00DC7991">
        <w:rPr>
          <w:lang w:val="ru-RU"/>
        </w:rPr>
        <w:t xml:space="preserve"> </w:t>
      </w:r>
      <w:r>
        <w:rPr>
          <w:lang w:val="uk-UA"/>
        </w:rPr>
        <w:t>«</w:t>
      </w:r>
      <w:r w:rsidRPr="00784B2B">
        <w:rPr>
          <w:lang w:val="uk-UA"/>
        </w:rPr>
        <w:t>Куе проти Франції</w:t>
      </w:r>
      <w:r>
        <w:rPr>
          <w:lang w:val="uk-UA"/>
        </w:rPr>
        <w:t>» (</w:t>
      </w:r>
      <w:r w:rsidRPr="00C17D83">
        <w:rPr>
          <w:i/>
        </w:rPr>
        <w:t>Couez</w:t>
      </w:r>
      <w:r w:rsidRPr="00DC7991">
        <w:rPr>
          <w:i/>
          <w:lang w:val="ru-RU"/>
        </w:rPr>
        <w:t xml:space="preserve"> </w:t>
      </w:r>
      <w:r w:rsidRPr="00C17D83">
        <w:rPr>
          <w:i/>
        </w:rPr>
        <w:t>v</w:t>
      </w:r>
      <w:r w:rsidRPr="00DC7991">
        <w:rPr>
          <w:i/>
          <w:lang w:val="ru-RU"/>
        </w:rPr>
        <w:t xml:space="preserve">. </w:t>
      </w:r>
      <w:r w:rsidRPr="00C17D83">
        <w:rPr>
          <w:i/>
        </w:rPr>
        <w:t>France</w:t>
      </w:r>
      <w:r>
        <w:rPr>
          <w:i/>
          <w:lang w:val="uk-UA"/>
        </w:rPr>
        <w:t>)</w:t>
      </w:r>
      <w:r w:rsidRPr="00DC7991">
        <w:rPr>
          <w:lang w:val="ru-RU"/>
        </w:rPr>
        <w:t>, 24</w:t>
      </w:r>
      <w:r>
        <w:t> </w:t>
      </w:r>
      <w:r>
        <w:rPr>
          <w:lang w:val="uk-UA"/>
        </w:rPr>
        <w:t>січня</w:t>
      </w:r>
      <w:r w:rsidRPr="00DC7991">
        <w:rPr>
          <w:lang w:val="ru-RU"/>
        </w:rPr>
        <w:t xml:space="preserve"> 1998</w:t>
      </w:r>
      <w:r>
        <w:rPr>
          <w:lang w:val="uk-UA"/>
        </w:rPr>
        <w:t xml:space="preserve"> року</w:t>
      </w:r>
      <w:r w:rsidRPr="00DC7991">
        <w:rPr>
          <w:lang w:val="ru-RU"/>
        </w:rPr>
        <w:t xml:space="preserve">, </w:t>
      </w:r>
      <w:r>
        <w:rPr>
          <w:lang w:val="uk-UA"/>
        </w:rPr>
        <w:t>пп.</w:t>
      </w:r>
      <w:r w:rsidRPr="00DC7991">
        <w:rPr>
          <w:lang w:val="ru-RU"/>
        </w:rPr>
        <w:t xml:space="preserve"> 29-30 </w:t>
      </w:r>
      <w:r>
        <w:rPr>
          <w:lang w:val="uk-UA"/>
        </w:rPr>
        <w:t>та</w:t>
      </w:r>
      <w:r w:rsidRPr="00DC7991">
        <w:rPr>
          <w:lang w:val="ru-RU"/>
        </w:rPr>
        <w:t xml:space="preserve"> </w:t>
      </w:r>
      <w:r>
        <w:rPr>
          <w:lang w:val="uk-UA"/>
        </w:rPr>
        <w:t>п.</w:t>
      </w:r>
      <w:r w:rsidRPr="00DC7991">
        <w:rPr>
          <w:lang w:val="ru-RU"/>
        </w:rPr>
        <w:t xml:space="preserve"> 25 </w:t>
      </w:r>
      <w:r>
        <w:rPr>
          <w:lang w:val="uk-UA"/>
        </w:rPr>
        <w:t>відповідно</w:t>
      </w:r>
      <w:r w:rsidRPr="00DC7991">
        <w:rPr>
          <w:lang w:val="ru-RU"/>
        </w:rPr>
        <w:t xml:space="preserve">, </w:t>
      </w:r>
      <w:r w:rsidRPr="003E4390">
        <w:rPr>
          <w:lang w:val="uk-UA"/>
        </w:rPr>
        <w:t>Збірник</w:t>
      </w:r>
      <w:r w:rsidRPr="00DC7991">
        <w:rPr>
          <w:i/>
          <w:lang w:val="ru-RU"/>
        </w:rPr>
        <w:t xml:space="preserve"> </w:t>
      </w:r>
      <w:r w:rsidRPr="00DC7991">
        <w:rPr>
          <w:lang w:val="ru-RU"/>
        </w:rPr>
        <w:t>1998-</w:t>
      </w:r>
      <w:r>
        <w:t>V</w:t>
      </w:r>
      <w:r w:rsidRPr="00DC7991">
        <w:rPr>
          <w:lang w:val="ru-RU"/>
        </w:rPr>
        <w:t xml:space="preserve">; </w:t>
      </w:r>
      <w:r>
        <w:rPr>
          <w:lang w:val="uk-UA"/>
        </w:rPr>
        <w:t>«</w:t>
      </w:r>
      <w:r w:rsidRPr="003E4390">
        <w:rPr>
          <w:lang w:val="uk-UA"/>
        </w:rPr>
        <w:t>Ле Кальве проти Франції</w:t>
      </w:r>
      <w:r>
        <w:rPr>
          <w:lang w:val="uk-UA"/>
        </w:rPr>
        <w:t>» (</w:t>
      </w:r>
      <w:r w:rsidRPr="00C17D83">
        <w:rPr>
          <w:i/>
        </w:rPr>
        <w:t>Le</w:t>
      </w:r>
      <w:r w:rsidRPr="00DC7991">
        <w:rPr>
          <w:i/>
          <w:lang w:val="ru-RU"/>
        </w:rPr>
        <w:t xml:space="preserve"> </w:t>
      </w:r>
      <w:r w:rsidRPr="00C17D83">
        <w:rPr>
          <w:i/>
        </w:rPr>
        <w:t>Calvez</w:t>
      </w:r>
      <w:r w:rsidRPr="00DC7991">
        <w:rPr>
          <w:i/>
          <w:lang w:val="ru-RU"/>
        </w:rPr>
        <w:t xml:space="preserve"> </w:t>
      </w:r>
      <w:r>
        <w:rPr>
          <w:i/>
        </w:rPr>
        <w:t>v</w:t>
      </w:r>
      <w:r w:rsidRPr="00DC7991">
        <w:rPr>
          <w:i/>
          <w:lang w:val="ru-RU"/>
        </w:rPr>
        <w:t xml:space="preserve">. </w:t>
      </w:r>
      <w:r>
        <w:rPr>
          <w:i/>
        </w:rPr>
        <w:t>France</w:t>
      </w:r>
      <w:r>
        <w:rPr>
          <w:i/>
          <w:lang w:val="uk-UA"/>
        </w:rPr>
        <w:t>)</w:t>
      </w:r>
      <w:r w:rsidRPr="00DC7991">
        <w:rPr>
          <w:lang w:val="ru-RU"/>
        </w:rPr>
        <w:t xml:space="preserve">, 29 </w:t>
      </w:r>
      <w:r>
        <w:rPr>
          <w:lang w:val="uk-UA"/>
        </w:rPr>
        <w:t>липня</w:t>
      </w:r>
      <w:r w:rsidRPr="00DC7991">
        <w:rPr>
          <w:lang w:val="ru-RU"/>
        </w:rPr>
        <w:t xml:space="preserve"> 1998</w:t>
      </w:r>
      <w:r>
        <w:rPr>
          <w:lang w:val="uk-UA"/>
        </w:rPr>
        <w:t xml:space="preserve"> року</w:t>
      </w:r>
      <w:r w:rsidRPr="00DC7991">
        <w:rPr>
          <w:lang w:val="ru-RU"/>
        </w:rPr>
        <w:t xml:space="preserve">, </w:t>
      </w:r>
      <w:r>
        <w:rPr>
          <w:lang w:val="uk-UA"/>
        </w:rPr>
        <w:t>п.</w:t>
      </w:r>
      <w:r w:rsidRPr="00DC7991">
        <w:rPr>
          <w:lang w:val="ru-RU"/>
        </w:rPr>
        <w:t xml:space="preserve"> 58, </w:t>
      </w:r>
      <w:r w:rsidRPr="003E4390">
        <w:rPr>
          <w:lang w:val="uk-UA"/>
        </w:rPr>
        <w:t>Збірник</w:t>
      </w:r>
      <w:r w:rsidRPr="00DC7991">
        <w:rPr>
          <w:lang w:val="ru-RU"/>
        </w:rPr>
        <w:t xml:space="preserve"> 1998-</w:t>
      </w:r>
      <w:r>
        <w:t>V</w:t>
      </w:r>
      <w:r w:rsidRPr="00DC7991">
        <w:rPr>
          <w:lang w:val="ru-RU"/>
        </w:rPr>
        <w:t xml:space="preserve">; </w:t>
      </w:r>
      <w:r>
        <w:rPr>
          <w:lang w:val="uk-UA"/>
        </w:rPr>
        <w:t>та «</w:t>
      </w:r>
      <w:r w:rsidRPr="003E4390">
        <w:rPr>
          <w:lang w:val="uk-UA"/>
        </w:rPr>
        <w:t>Казенаве-де-ла-Рош проти Франції</w:t>
      </w:r>
      <w:r>
        <w:rPr>
          <w:lang w:val="uk-UA"/>
        </w:rPr>
        <w:t>» (</w:t>
      </w:r>
      <w:r w:rsidRPr="00C17D83">
        <w:rPr>
          <w:i/>
        </w:rPr>
        <w:t>Cazenave</w:t>
      </w:r>
      <w:r w:rsidRPr="00DC7991">
        <w:rPr>
          <w:i/>
          <w:lang w:val="ru-RU"/>
        </w:rPr>
        <w:t xml:space="preserve"> </w:t>
      </w:r>
      <w:r w:rsidRPr="00C17D83">
        <w:rPr>
          <w:i/>
        </w:rPr>
        <w:t>de</w:t>
      </w:r>
      <w:r w:rsidRPr="00DC7991">
        <w:rPr>
          <w:i/>
          <w:lang w:val="ru-RU"/>
        </w:rPr>
        <w:t xml:space="preserve"> </w:t>
      </w:r>
      <w:r w:rsidRPr="00C17D83">
        <w:rPr>
          <w:i/>
        </w:rPr>
        <w:t>la</w:t>
      </w:r>
      <w:r w:rsidRPr="00DC7991">
        <w:rPr>
          <w:i/>
          <w:lang w:val="ru-RU"/>
        </w:rPr>
        <w:t xml:space="preserve"> </w:t>
      </w:r>
      <w:r w:rsidRPr="00C17D83">
        <w:rPr>
          <w:i/>
        </w:rPr>
        <w:t>Roche</w:t>
      </w:r>
      <w:r w:rsidRPr="00DC7991">
        <w:rPr>
          <w:i/>
          <w:lang w:val="ru-RU"/>
        </w:rPr>
        <w:t xml:space="preserve"> </w:t>
      </w:r>
      <w:r>
        <w:rPr>
          <w:i/>
        </w:rPr>
        <w:t>v</w:t>
      </w:r>
      <w:r w:rsidRPr="00DC7991">
        <w:rPr>
          <w:i/>
          <w:lang w:val="ru-RU"/>
        </w:rPr>
        <w:t xml:space="preserve">. </w:t>
      </w:r>
      <w:r>
        <w:rPr>
          <w:i/>
        </w:rPr>
        <w:t>France</w:t>
      </w:r>
      <w:r>
        <w:rPr>
          <w:i/>
          <w:lang w:val="uk-UA"/>
        </w:rPr>
        <w:t>)</w:t>
      </w:r>
      <w:r w:rsidRPr="00DC7991">
        <w:rPr>
          <w:lang w:val="ru-RU"/>
        </w:rPr>
        <w:t xml:space="preserve">, 9 </w:t>
      </w:r>
      <w:r>
        <w:rPr>
          <w:lang w:val="uk-UA"/>
        </w:rPr>
        <w:t>червня</w:t>
      </w:r>
      <w:r w:rsidRPr="00DC7991">
        <w:rPr>
          <w:lang w:val="ru-RU"/>
        </w:rPr>
        <w:t xml:space="preserve"> 1998</w:t>
      </w:r>
      <w:r>
        <w:rPr>
          <w:lang w:val="uk-UA"/>
        </w:rPr>
        <w:t xml:space="preserve"> року</w:t>
      </w:r>
      <w:r w:rsidRPr="00DC7991">
        <w:rPr>
          <w:lang w:val="ru-RU"/>
        </w:rPr>
        <w:t xml:space="preserve">, </w:t>
      </w:r>
      <w:r>
        <w:rPr>
          <w:lang w:val="uk-UA"/>
        </w:rPr>
        <w:t>п.</w:t>
      </w:r>
      <w:r w:rsidRPr="00DC7991">
        <w:rPr>
          <w:lang w:val="ru-RU"/>
        </w:rPr>
        <w:t xml:space="preserve"> 43, </w:t>
      </w:r>
      <w:r w:rsidRPr="003E4390">
        <w:rPr>
          <w:lang w:val="uk-UA"/>
        </w:rPr>
        <w:t>Збірник</w:t>
      </w:r>
      <w:r w:rsidRPr="00DC7991">
        <w:rPr>
          <w:lang w:val="ru-RU"/>
        </w:rPr>
        <w:t xml:space="preserve"> 1998-</w:t>
      </w:r>
      <w:r>
        <w:t>III</w:t>
      </w:r>
      <w:r w:rsidRPr="00DC7991">
        <w:rPr>
          <w:lang w:val="ru-RU"/>
        </w:rPr>
        <w:t>).</w:t>
      </w:r>
    </w:p>
    <w:p w:rsidRPr="00DC7991" w:rsidR="00D002A0" w:rsidP="00794F05">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46</w:t>
      </w:r>
      <w:r w:rsidRPr="00DC7991">
        <w:rPr>
          <w:lang w:val="ru-RU"/>
        </w:rPr>
        <w:fldChar w:fldCharType="end"/>
      </w:r>
      <w:r w:rsidRPr="00DC7991">
        <w:rPr>
          <w:lang w:val="ru-RU"/>
        </w:rPr>
        <w:t>.</w:t>
      </w:r>
      <w:r>
        <w:t>  </w:t>
      </w:r>
      <w:r>
        <w:rPr>
          <w:lang w:val="uk-UA"/>
        </w:rPr>
        <w:t>Коли Суд підійшов до розгляду ситуації у справі «</w:t>
      </w:r>
      <w:r w:rsidRPr="003E4390">
        <w:rPr>
          <w:lang w:val="uk-UA"/>
        </w:rPr>
        <w:t>Пеллегрін</w:t>
      </w:r>
      <w:r>
        <w:rPr>
          <w:lang w:val="uk-UA"/>
        </w:rPr>
        <w:t>»</w:t>
      </w:r>
      <w:r w:rsidRPr="003E4390">
        <w:rPr>
          <w:lang w:val="uk-UA"/>
        </w:rPr>
        <w:t xml:space="preserve"> </w:t>
      </w:r>
      <w:r>
        <w:rPr>
          <w:lang w:val="uk-UA"/>
        </w:rPr>
        <w:t>(</w:t>
      </w:r>
      <w:r w:rsidRPr="00301473">
        <w:rPr>
          <w:i/>
        </w:rPr>
        <w:t>Pellegrin</w:t>
      </w:r>
      <w:r>
        <w:rPr>
          <w:i/>
          <w:lang w:val="uk-UA"/>
        </w:rPr>
        <w:t>)</w:t>
      </w:r>
      <w:r w:rsidRPr="004C4821">
        <w:t xml:space="preserve"> (</w:t>
      </w:r>
      <w:r>
        <w:rPr>
          <w:lang w:val="uk-UA"/>
        </w:rPr>
        <w:t>п.</w:t>
      </w:r>
      <w:r w:rsidRPr="004C4821">
        <w:t xml:space="preserve"> 60), </w:t>
      </w:r>
      <w:r>
        <w:rPr>
          <w:lang w:val="uk-UA"/>
        </w:rPr>
        <w:t>він визнав, що у разі спорів, що порушуються державними службовцями і стосуються умов їхньої праці, вищезгадана прецедентна практика має для Договірних Держав певну невизначеність щодо обсягу їхніх зобов’язань за пунктом 1 статті 6. Суд намагався покласти край цій невизначеності шляхом запровадження незалежного тлумачення терміна «державна служба», що дозволило б забезпечувати рівне поводження з державними службовцями, виконуючими схожі або подібні обов’язки в державах-учасницях Конвенції, незалежно від національної системи найму, зокрема, від характеру правовідносин між службовцями та адміністративними органами.</w:t>
      </w:r>
    </w:p>
    <w:p w:rsidRPr="00DC7991" w:rsidR="00D002A0" w:rsidP="00794F0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47</w:t>
      </w:r>
      <w:r w:rsidRPr="00DC7991">
        <w:rPr>
          <w:lang w:val="ru-RU"/>
        </w:rPr>
        <w:fldChar w:fldCharType="end"/>
      </w:r>
      <w:r w:rsidRPr="00DC7991">
        <w:rPr>
          <w:lang w:val="ru-RU"/>
        </w:rPr>
        <w:t>.</w:t>
      </w:r>
      <w:r>
        <w:t>  </w:t>
      </w:r>
      <w:r>
        <w:rPr>
          <w:lang w:val="uk-UA"/>
        </w:rPr>
        <w:t>У зв’язку з цим Суд запровадив функціональний критерій, заснований на характері обов’язків службовця та його відповідальності. Особи, що займають посади, пов’язані з виконанням обов’язків щодо захисту загальнодержавних інтересів або з участю у здійсненні визначених публічним правом повноважень, володіють частиною суверенної влади держави.</w:t>
      </w:r>
      <w:r w:rsidRPr="00DC7991">
        <w:rPr>
          <w:lang w:val="uk-UA"/>
        </w:rPr>
        <w:t xml:space="preserve"> </w:t>
      </w:r>
      <w:r>
        <w:rPr>
          <w:lang w:val="uk-UA"/>
        </w:rPr>
        <w:t xml:space="preserve">Держава має законний інтерес щодо налагодження з такими службовцями спеціальних відносин, заснованих на вірності та відданості. З іншого боку, щодо інших посад, які не мають у собі аспектів «державного управління», держава не має такого інтересу. </w:t>
      </w:r>
      <w:r w:rsidRPr="00DC7991">
        <w:rPr>
          <w:lang w:val="uk-UA"/>
        </w:rPr>
        <w:t>(</w:t>
      </w:r>
      <w:r>
        <w:rPr>
          <w:lang w:val="uk-UA"/>
        </w:rPr>
        <w:t>див.</w:t>
      </w:r>
      <w:r w:rsidRPr="00DC7991">
        <w:rPr>
          <w:lang w:val="uk-UA"/>
        </w:rPr>
        <w:t xml:space="preserve"> </w:t>
      </w:r>
      <w:r>
        <w:rPr>
          <w:lang w:val="uk-UA"/>
        </w:rPr>
        <w:t>згадану вище справу «</w:t>
      </w:r>
      <w:r w:rsidRPr="003E4390">
        <w:rPr>
          <w:lang w:val="uk-UA"/>
        </w:rPr>
        <w:t>Пеллегрін</w:t>
      </w:r>
      <w:r>
        <w:rPr>
          <w:lang w:val="uk-UA"/>
        </w:rPr>
        <w:t>» (</w:t>
      </w:r>
      <w:r w:rsidRPr="00991B15">
        <w:rPr>
          <w:i/>
        </w:rPr>
        <w:t>Pellegrin</w:t>
      </w:r>
      <w:r>
        <w:rPr>
          <w:i/>
          <w:lang w:val="uk-UA"/>
        </w:rPr>
        <w:t>)</w:t>
      </w:r>
      <w:r w:rsidRPr="00DC7991">
        <w:rPr>
          <w:lang w:val="uk-UA"/>
        </w:rPr>
        <w:t xml:space="preserve">, </w:t>
      </w:r>
      <w:r>
        <w:rPr>
          <w:lang w:val="uk-UA"/>
        </w:rPr>
        <w:t>п.</w:t>
      </w:r>
      <w:r w:rsidRPr="00DC7991">
        <w:rPr>
          <w:lang w:val="uk-UA"/>
        </w:rPr>
        <w:t xml:space="preserve"> 65). </w:t>
      </w:r>
      <w:r>
        <w:rPr>
          <w:lang w:val="uk-UA"/>
        </w:rPr>
        <w:t xml:space="preserve">Таким чином, Суд постановив, що із сфери застосування пункту 1 статті 6 вилучаються лише такі спори, що порушуються державними службовцями, чиї обов’язки є типовим прикладом специфічної діяльності, пов’язаної з державною службою, оскільки останні діють як представники державної влади і відповідають за захист загальнодержавних інтересів та інтересів інших державних органів. Яскравим прикладом такої діяльності є збройні сили та поліція </w:t>
      </w:r>
      <w:r w:rsidRPr="00DC7991">
        <w:rPr>
          <w:lang w:val="ru-RU"/>
        </w:rPr>
        <w:t>(</w:t>
      </w:r>
      <w:r>
        <w:rPr>
          <w:lang w:val="uk-UA"/>
        </w:rPr>
        <w:t>п.</w:t>
      </w:r>
      <w:r w:rsidRPr="00DC7991">
        <w:rPr>
          <w:lang w:val="ru-RU"/>
        </w:rPr>
        <w:t xml:space="preserve"> 66). </w:t>
      </w:r>
      <w:r>
        <w:rPr>
          <w:lang w:val="uk-UA"/>
        </w:rPr>
        <w:t xml:space="preserve">Суд дійшов висновку, що жодні спори між адміністративними органами та службовцями, які займають посади, пов’язані з виконанням покладених публічним правом повноважень, не входять до сфери застосування пункту 1 статті 6 </w:t>
      </w:r>
      <w:r w:rsidRPr="00DC7991">
        <w:rPr>
          <w:lang w:val="ru-RU"/>
        </w:rPr>
        <w:t>(</w:t>
      </w:r>
      <w:r>
        <w:rPr>
          <w:lang w:val="uk-UA"/>
        </w:rPr>
        <w:t>п.</w:t>
      </w:r>
      <w:r>
        <w:t> </w:t>
      </w:r>
      <w:r w:rsidRPr="00DC7991">
        <w:rPr>
          <w:lang w:val="ru-RU"/>
        </w:rPr>
        <w:t>67).</w:t>
      </w:r>
    </w:p>
    <w:p w:rsidRPr="00DC7991" w:rsidR="00D002A0" w:rsidP="00794F05">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48</w:t>
      </w:r>
      <w:r w:rsidRPr="00DC7991">
        <w:rPr>
          <w:lang w:val="ru-RU"/>
        </w:rPr>
        <w:fldChar w:fldCharType="end"/>
      </w:r>
      <w:r w:rsidRPr="00DC7991">
        <w:rPr>
          <w:lang w:val="ru-RU"/>
        </w:rPr>
        <w:t>.</w:t>
      </w:r>
      <w:r>
        <w:t>  </w:t>
      </w:r>
      <w:r>
        <w:rPr>
          <w:lang w:val="uk-UA"/>
        </w:rPr>
        <w:t>Суд зазначає, що рішення у справі «</w:t>
      </w:r>
      <w:r w:rsidRPr="003E4390">
        <w:rPr>
          <w:lang w:val="uk-UA"/>
        </w:rPr>
        <w:t>Пеллегрін</w:t>
      </w:r>
      <w:r>
        <w:rPr>
          <w:lang w:val="uk-UA"/>
        </w:rPr>
        <w:t>» (</w:t>
      </w:r>
      <w:r w:rsidRPr="002344FA">
        <w:rPr>
          <w:i/>
        </w:rPr>
        <w:t>Pellegrin</w:t>
      </w:r>
      <w:r>
        <w:rPr>
          <w:i/>
          <w:lang w:val="uk-UA"/>
        </w:rPr>
        <w:t>)</w:t>
      </w:r>
      <w:r w:rsidRPr="00DC7991">
        <w:rPr>
          <w:lang w:val="ru-RU"/>
        </w:rPr>
        <w:t xml:space="preserve"> </w:t>
      </w:r>
      <w:r>
        <w:rPr>
          <w:lang w:val="uk-UA"/>
        </w:rPr>
        <w:t xml:space="preserve">було сформульоване досить категорично; </w:t>
      </w:r>
      <w:r w:rsidRPr="00DC7991">
        <w:rPr>
          <w:lang w:val="ru-RU"/>
        </w:rPr>
        <w:t>я</w:t>
      </w:r>
      <w:r>
        <w:rPr>
          <w:lang w:val="uk-UA"/>
        </w:rPr>
        <w:t xml:space="preserve">кщо посада належала до зазначеної категорії, то всі спори, незалежно від їхньої природи, вилучалися із сфери застосування статті 6. Допускався тільки один виняток: всі спори, що стосувалися пенсій, підпадали під сферу застосування пункту 1 статті 6, оскільки з виходом на пенсію службовця, спеціальні відносини між ним та державними органами припиняються. Службовець опиняється в ситуації, яка прирівнюється до ситуації службовців, які працюють згідно з приватним правом: спеціальні відносини, засновані на вірності і відданості, що пов’язують його з державою, перестають існувати, і такий службовець не може більше володіти частиною суверенної влади держави </w:t>
      </w:r>
      <w:r w:rsidRPr="00DC7991">
        <w:rPr>
          <w:lang w:val="uk-UA"/>
        </w:rPr>
        <w:t>(</w:t>
      </w:r>
      <w:r>
        <w:rPr>
          <w:lang w:val="uk-UA"/>
        </w:rPr>
        <w:t>див. згадану вище справу «</w:t>
      </w:r>
      <w:r w:rsidRPr="003E4390">
        <w:rPr>
          <w:lang w:val="uk-UA"/>
        </w:rPr>
        <w:t>Пеллегрін</w:t>
      </w:r>
      <w:r>
        <w:rPr>
          <w:lang w:val="uk-UA"/>
        </w:rPr>
        <w:t>»</w:t>
      </w:r>
      <w:r w:rsidRPr="00DC7991">
        <w:rPr>
          <w:lang w:val="uk-UA"/>
        </w:rPr>
        <w:t xml:space="preserve"> </w:t>
      </w:r>
      <w:r>
        <w:rPr>
          <w:lang w:val="uk-UA"/>
        </w:rPr>
        <w:t>(</w:t>
      </w:r>
      <w:r w:rsidRPr="00991B15">
        <w:rPr>
          <w:i/>
        </w:rPr>
        <w:t>Pellegrin</w:t>
      </w:r>
      <w:r>
        <w:rPr>
          <w:i/>
          <w:lang w:val="uk-UA"/>
        </w:rPr>
        <w:t>)</w:t>
      </w:r>
      <w:r w:rsidRPr="00DC7991">
        <w:rPr>
          <w:lang w:val="uk-UA"/>
        </w:rPr>
        <w:t xml:space="preserve">, </w:t>
      </w:r>
      <w:r>
        <w:rPr>
          <w:lang w:val="uk-UA"/>
        </w:rPr>
        <w:t>п.</w:t>
      </w:r>
      <w:r w:rsidRPr="00DC7991">
        <w:rPr>
          <w:lang w:val="uk-UA"/>
        </w:rPr>
        <w:t xml:space="preserve"> 67).</w:t>
      </w:r>
    </w:p>
    <w:p w:rsidRPr="00DC7991" w:rsidR="00D002A0" w:rsidP="00794F05">
      <w:pPr>
        <w:pStyle w:val="JuPara"/>
        <w:rPr>
          <w:lang w:val="uk-UA" w:eastAsia="en-US"/>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49</w:t>
      </w:r>
      <w:r w:rsidRPr="00DC7991">
        <w:rPr>
          <w:lang w:val="uk-UA"/>
        </w:rPr>
        <w:fldChar w:fldCharType="end"/>
      </w:r>
      <w:r w:rsidRPr="00DC7991">
        <w:rPr>
          <w:lang w:val="uk-UA"/>
        </w:rPr>
        <w:t>.</w:t>
      </w:r>
      <w:r>
        <w:t>  </w:t>
      </w:r>
      <w:r>
        <w:rPr>
          <w:lang w:val="uk-UA"/>
        </w:rPr>
        <w:t xml:space="preserve">Важливо відзначити, що Суд підкреслив, що при використанні функціонального критерію він повинен, виходячи з предмета та цілей Конвенції, застосовувати обмежувальне тлумачення винятків із гарантій, що надаються пунктом 1 статті 6. Це має зменшити число випадків, коли державні службовці не могли б скористатися наданим їм конкретним і ефективним захистом </w:t>
      </w:r>
      <w:r w:rsidRPr="00DC7991">
        <w:rPr>
          <w:lang w:val="uk-UA"/>
        </w:rPr>
        <w:t>(</w:t>
      </w:r>
      <w:r>
        <w:rPr>
          <w:lang w:val="uk-UA"/>
        </w:rPr>
        <w:t>як це підтверджується у рішенні «</w:t>
      </w:r>
      <w:r w:rsidRPr="00FC0A61">
        <w:rPr>
          <w:lang w:val="uk-UA"/>
        </w:rPr>
        <w:t>Фрідлендер проти Франції</w:t>
      </w:r>
      <w:r>
        <w:rPr>
          <w:lang w:val="uk-UA"/>
        </w:rPr>
        <w:t>»</w:t>
      </w:r>
      <w:r w:rsidRPr="00DC7991">
        <w:rPr>
          <w:lang w:val="uk-UA"/>
        </w:rPr>
        <w:t xml:space="preserve"> </w:t>
      </w:r>
      <w:r>
        <w:rPr>
          <w:lang w:val="uk-UA"/>
        </w:rPr>
        <w:t>(</w:t>
      </w:r>
      <w:r w:rsidRPr="005D3E3E">
        <w:rPr>
          <w:i/>
          <w:lang w:eastAsia="en-US"/>
        </w:rPr>
        <w:t>Frydlender</w:t>
      </w:r>
      <w:r w:rsidRPr="00DC7991">
        <w:rPr>
          <w:i/>
          <w:lang w:val="uk-UA" w:eastAsia="en-US"/>
        </w:rPr>
        <w:t xml:space="preserve"> </w:t>
      </w:r>
      <w:r w:rsidRPr="005D3E3E">
        <w:rPr>
          <w:i/>
          <w:lang w:eastAsia="en-US"/>
        </w:rPr>
        <w:t>v</w:t>
      </w:r>
      <w:r w:rsidRPr="00DC7991">
        <w:rPr>
          <w:i/>
          <w:lang w:val="uk-UA" w:eastAsia="en-US"/>
        </w:rPr>
        <w:t xml:space="preserve">. </w:t>
      </w:r>
      <w:r w:rsidRPr="005D3E3E">
        <w:rPr>
          <w:i/>
          <w:lang w:eastAsia="en-US"/>
        </w:rPr>
        <w:t>France</w:t>
      </w:r>
      <w:r>
        <w:rPr>
          <w:i/>
          <w:lang w:val="uk-UA" w:eastAsia="en-US"/>
        </w:rPr>
        <w:t>)</w:t>
      </w:r>
      <w:r w:rsidRPr="00DC7991">
        <w:rPr>
          <w:lang w:val="uk-UA" w:eastAsia="en-US"/>
        </w:rPr>
        <w:t xml:space="preserve"> [</w:t>
      </w:r>
      <w:r>
        <w:rPr>
          <w:lang w:val="uk-UA" w:eastAsia="en-US"/>
        </w:rPr>
        <w:t>ВП</w:t>
      </w:r>
      <w:r w:rsidRPr="00DC7991">
        <w:rPr>
          <w:lang w:val="uk-UA" w:eastAsia="en-US"/>
        </w:rPr>
        <w:t xml:space="preserve">], </w:t>
      </w:r>
      <w:r>
        <w:rPr>
          <w:lang w:val="uk-UA" w:eastAsia="en-US"/>
        </w:rPr>
        <w:t>№</w:t>
      </w:r>
      <w:r>
        <w:rPr>
          <w:lang w:eastAsia="en-US"/>
        </w:rPr>
        <w:t> </w:t>
      </w:r>
      <w:r w:rsidRPr="00DC7991">
        <w:rPr>
          <w:lang w:val="uk-UA" w:eastAsia="en-US"/>
        </w:rPr>
        <w:t xml:space="preserve">30979/96, </w:t>
      </w:r>
      <w:r>
        <w:rPr>
          <w:lang w:val="uk-UA" w:eastAsia="en-US"/>
        </w:rPr>
        <w:t>п.</w:t>
      </w:r>
      <w:r w:rsidRPr="00DC7991">
        <w:rPr>
          <w:lang w:val="uk-UA" w:eastAsia="en-US"/>
        </w:rPr>
        <w:t xml:space="preserve"> 40, </w:t>
      </w:r>
      <w:r w:rsidRPr="005D3E3E">
        <w:rPr>
          <w:lang w:eastAsia="en-US"/>
        </w:rPr>
        <w:t>ECHR</w:t>
      </w:r>
      <w:r w:rsidRPr="00DC7991">
        <w:rPr>
          <w:lang w:val="uk-UA" w:eastAsia="en-US"/>
        </w:rPr>
        <w:t xml:space="preserve"> 2000</w:t>
      </w:r>
      <w:r w:rsidRPr="00DC7991">
        <w:rPr>
          <w:lang w:val="uk-UA" w:eastAsia="en-US"/>
        </w:rPr>
        <w:noBreakHyphen/>
      </w:r>
      <w:r w:rsidRPr="005D3E3E">
        <w:rPr>
          <w:lang w:eastAsia="en-US"/>
        </w:rPr>
        <w:t>VII</w:t>
      </w:r>
      <w:r w:rsidRPr="00DC7991">
        <w:rPr>
          <w:lang w:val="uk-UA"/>
        </w:rPr>
        <w:t>).</w:t>
      </w:r>
    </w:p>
    <w:p w:rsidRPr="00DC7991" w:rsidR="00D002A0" w:rsidP="00C84518">
      <w:pPr>
        <w:pStyle w:val="JuHi"/>
        <w:rPr>
          <w:lang w:val="ru-RU"/>
        </w:rPr>
      </w:pPr>
      <w:r w:rsidRPr="00DC7991">
        <w:rPr>
          <w:lang w:val="ru-RU"/>
        </w:rPr>
        <w:t>(</w:t>
      </w:r>
      <w:r>
        <w:t>ii</w:t>
      </w:r>
      <w:r w:rsidRPr="00DC7991">
        <w:rPr>
          <w:lang w:val="ru-RU"/>
        </w:rPr>
        <w:t>)</w:t>
      </w:r>
      <w:r>
        <w:t>  </w:t>
      </w:r>
      <w:r>
        <w:rPr>
          <w:lang w:val="uk-UA"/>
        </w:rPr>
        <w:t>Щодо необхідності розвивати прецедентне право</w:t>
      </w:r>
    </w:p>
    <w:p w:rsidRPr="00DC7991" w:rsidR="00D002A0" w:rsidP="00794F05">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50</w:t>
      </w:r>
      <w:r w:rsidRPr="00DC7991">
        <w:rPr>
          <w:lang w:val="ru-RU"/>
        </w:rPr>
        <w:fldChar w:fldCharType="end"/>
      </w:r>
      <w:r w:rsidRPr="00DC7991">
        <w:rPr>
          <w:lang w:val="ru-RU"/>
        </w:rPr>
        <w:t>.</w:t>
      </w:r>
      <w:r>
        <w:t>  </w:t>
      </w:r>
      <w:r>
        <w:rPr>
          <w:lang w:val="uk-UA"/>
        </w:rPr>
        <w:t>Рішення у справі «</w:t>
      </w:r>
      <w:r w:rsidRPr="00FC0A61">
        <w:rPr>
          <w:lang w:val="uk-UA"/>
        </w:rPr>
        <w:t>Пеллегрін</w:t>
      </w:r>
      <w:r>
        <w:rPr>
          <w:lang w:val="uk-UA"/>
        </w:rPr>
        <w:t>» (</w:t>
      </w:r>
      <w:r w:rsidRPr="00440FD8">
        <w:rPr>
          <w:i/>
        </w:rPr>
        <w:t>Pellegrin</w:t>
      </w:r>
      <w:r>
        <w:rPr>
          <w:i/>
          <w:lang w:val="uk-UA"/>
        </w:rPr>
        <w:t>)</w:t>
      </w:r>
      <w:r w:rsidRPr="004C4821">
        <w:t xml:space="preserve">, </w:t>
      </w:r>
      <w:r>
        <w:rPr>
          <w:lang w:val="uk-UA"/>
        </w:rPr>
        <w:t>яке є останньою значною ланкою у розвитку прецедентного права з цього питання, було призначене запровадити працездатний критерій, на базі якого можна було б перевіряти у кожному конкретному випадку, чи передбачала посада заявника – з урахуванням пов’язаних з нею обов’язків і відповідальності – пряму або непряму участь у здійсненні наданих публічним правом повноважень і обов’язків, спрямованих на захист загальнодержавних інтересів або інтересів інших державних органів. Після цього треба було визначити, чи дійсно заявник, займаючи одну з цих категорій посад, виконував фукції, які можуть визнаватись як виконання державних повноважень, тобто, чи було становище заявника в державній ієрархії достатньо важливим і високим, щоб говорити про участь у здійсненні державної влади.</w:t>
      </w:r>
    </w:p>
    <w:p w:rsidRPr="00DC7991" w:rsidR="00D002A0" w:rsidP="00794F05">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51</w:t>
      </w:r>
      <w:r w:rsidRPr="00DC7991">
        <w:rPr>
          <w:lang w:val="ru-RU"/>
        </w:rPr>
        <w:fldChar w:fldCharType="end"/>
      </w:r>
      <w:r w:rsidRPr="00DC7991">
        <w:rPr>
          <w:lang w:val="ru-RU"/>
        </w:rPr>
        <w:t>.</w:t>
      </w:r>
      <w:r>
        <w:t>  </w:t>
      </w:r>
      <w:r>
        <w:rPr>
          <w:lang w:val="uk-UA"/>
        </w:rPr>
        <w:t>Дана справа, однак, вказує на те, що застосування функціонального критерію може само по собі призводити до неправильних результатів. На момент, про який йдеться у справі, заявники працювали на Міністерство внутрішніх справ. П’ятеро з них служили поліцейськими, тобто виконували роботу, яка, як зазначалося вище, є типовим прикладом специфічної діяльності, пов’язаної з державною службою. Це передбачало безпосередню участь у здійсненні повноважень, наданих публічним правом, і виконання обов’язків, спрямованих на захист загальних інтересів держави. Функції заявниці, що займала посаду секретаря, мали виключно адміністративний характер і не передбачали повноважень, пов’язаних із прийняттям рішень, або прямого чи непрямого здійснення державної влади. Таким чином, її функції не відрізнялися від функцій будь-якого секретаря в державному або приватному секторі. Як зазначалося вище у справі «</w:t>
      </w:r>
      <w:r w:rsidRPr="00FC0A61">
        <w:rPr>
          <w:lang w:val="uk-UA"/>
        </w:rPr>
        <w:t>Пеллегрін</w:t>
      </w:r>
      <w:r>
        <w:rPr>
          <w:lang w:val="uk-UA"/>
        </w:rPr>
        <w:t>»</w:t>
      </w:r>
      <w:r w:rsidRPr="00FC0A61">
        <w:rPr>
          <w:lang w:val="uk-UA"/>
        </w:rPr>
        <w:t xml:space="preserve"> </w:t>
      </w:r>
      <w:r>
        <w:rPr>
          <w:lang w:val="uk-UA"/>
        </w:rPr>
        <w:t>(</w:t>
      </w:r>
      <w:r w:rsidRPr="00682C4F">
        <w:rPr>
          <w:i/>
        </w:rPr>
        <w:t>Pellegrin</w:t>
      </w:r>
      <w:r>
        <w:rPr>
          <w:i/>
          <w:lang w:val="uk-UA"/>
        </w:rPr>
        <w:t>)</w:t>
      </w:r>
      <w:r>
        <w:rPr>
          <w:lang w:val="uk-UA"/>
        </w:rPr>
        <w:t>, служба в поліції є яскравим прикладом діяльності, пов’язаної зі здійсненням державної влади, що виключає цілу категорію осіб зі сфери застосування статті 6. Якщо суворо застосовувати підхід, сформульований у справі «</w:t>
      </w:r>
      <w:r w:rsidRPr="00FC0A61">
        <w:rPr>
          <w:lang w:val="uk-UA"/>
        </w:rPr>
        <w:t>Пеллегрін</w:t>
      </w:r>
      <w:r>
        <w:rPr>
          <w:lang w:val="uk-UA"/>
        </w:rPr>
        <w:t>» (</w:t>
      </w:r>
      <w:r w:rsidRPr="00682C4F">
        <w:rPr>
          <w:i/>
        </w:rPr>
        <w:t>Pellegrin</w:t>
      </w:r>
      <w:r>
        <w:rPr>
          <w:i/>
          <w:lang w:val="uk-UA"/>
        </w:rPr>
        <w:t>)</w:t>
      </w:r>
      <w:r>
        <w:rPr>
          <w:lang w:val="uk-UA"/>
        </w:rPr>
        <w:t>, то виявляється, що заявниця, яка займала посаду секретаря, користується гарантіями, які надаються пунктом 1 статті 6, у той час як заявники, що працювали поліцейськими, без всяких сумнівів, - ні, і це незважаючи на те, що всі вони були заявниками в одному спорі.</w:t>
      </w:r>
    </w:p>
    <w:p w:rsidRPr="00DC7991" w:rsidR="00D002A0" w:rsidP="000356D8">
      <w:pPr>
        <w:pStyle w:val="JuPara"/>
        <w:rPr>
          <w:lang w:val="ru-RU"/>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52</w:t>
      </w:r>
      <w:r w:rsidRPr="00DC7991">
        <w:rPr>
          <w:lang w:val="uk-UA"/>
        </w:rPr>
        <w:fldChar w:fldCharType="end"/>
      </w:r>
      <w:r w:rsidRPr="00DC7991">
        <w:rPr>
          <w:lang w:val="uk-UA"/>
        </w:rPr>
        <w:t>.</w:t>
      </w:r>
      <w:r>
        <w:t>  </w:t>
      </w:r>
      <w:r>
        <w:rPr>
          <w:lang w:val="uk-UA"/>
        </w:rPr>
        <w:t>Крім того, вивчення справ, рішення у яких приймалося після рішення у справі «</w:t>
      </w:r>
      <w:r w:rsidRPr="00921F47">
        <w:rPr>
          <w:lang w:val="uk-UA"/>
        </w:rPr>
        <w:t>Пеллегрін</w:t>
      </w:r>
      <w:r>
        <w:rPr>
          <w:lang w:val="uk-UA"/>
        </w:rPr>
        <w:t>» (</w:t>
      </w:r>
      <w:r w:rsidRPr="00C607B3">
        <w:rPr>
          <w:i/>
        </w:rPr>
        <w:t>Pellegrin</w:t>
      </w:r>
      <w:r>
        <w:rPr>
          <w:i/>
          <w:lang w:val="uk-UA"/>
        </w:rPr>
        <w:t xml:space="preserve">), </w:t>
      </w:r>
      <w:r w:rsidRPr="002F23A8">
        <w:rPr>
          <w:lang w:val="uk-UA"/>
        </w:rPr>
        <w:t>вказує на те</w:t>
      </w:r>
      <w:r>
        <w:rPr>
          <w:lang w:val="uk-UA"/>
        </w:rPr>
        <w:t>, що з’ясування характеру і статусу функцій заявника є нелегким завданням.Також не завжди легко, виходячи з фактичної ролі заявника, з точністю визначити категорію державних службовців, до якої він належить. У деяких випадках неясно, якою мірою належність до того чи іншого сектора державної служби є достатньою, щоб виключити можливість застосування статті 6 без урахування характеру обов’язків особи.</w:t>
      </w:r>
    </w:p>
    <w:p w:rsidRPr="00DC7991" w:rsidR="00D002A0" w:rsidP="000356D8">
      <w:pPr>
        <w:pStyle w:val="JuPara"/>
        <w:rPr>
          <w:lang w:val="ru-RU"/>
        </w:rPr>
      </w:pPr>
      <w:r>
        <w:rPr>
          <w:lang w:val="uk-UA"/>
        </w:rPr>
        <w:t>Наприклад, у справі «</w:t>
      </w:r>
      <w:r w:rsidRPr="00921F47">
        <w:rPr>
          <w:lang w:val="uk-UA"/>
        </w:rPr>
        <w:t>Кепка проти Польщі</w:t>
      </w:r>
      <w:r>
        <w:rPr>
          <w:lang w:val="uk-UA"/>
        </w:rPr>
        <w:t>» (</w:t>
      </w:r>
      <w:r w:rsidRPr="0062728A">
        <w:rPr>
          <w:i/>
          <w:lang w:eastAsia="en-US"/>
        </w:rPr>
        <w:t>K</w:t>
      </w:r>
      <w:r w:rsidRPr="00DC7991">
        <w:rPr>
          <w:i/>
          <w:lang w:val="ru-RU" w:eastAsia="en-US"/>
        </w:rPr>
        <w:t>ę</w:t>
      </w:r>
      <w:r w:rsidRPr="0062728A">
        <w:rPr>
          <w:i/>
          <w:lang w:eastAsia="en-US"/>
        </w:rPr>
        <w:t>pka</w:t>
      </w:r>
      <w:r w:rsidRPr="00DC7991">
        <w:rPr>
          <w:i/>
          <w:lang w:val="ru-RU" w:eastAsia="en-US"/>
        </w:rPr>
        <w:t xml:space="preserve"> </w:t>
      </w:r>
      <w:r w:rsidRPr="0062728A">
        <w:rPr>
          <w:i/>
          <w:lang w:eastAsia="en-US"/>
        </w:rPr>
        <w:t>v</w:t>
      </w:r>
      <w:r w:rsidRPr="00DC7991">
        <w:rPr>
          <w:i/>
          <w:lang w:val="ru-RU" w:eastAsia="en-US"/>
        </w:rPr>
        <w:t xml:space="preserve">. </w:t>
      </w:r>
      <w:r w:rsidRPr="0062728A">
        <w:rPr>
          <w:i/>
          <w:lang w:eastAsia="en-US"/>
        </w:rPr>
        <w:t>Poland</w:t>
      </w:r>
      <w:r>
        <w:rPr>
          <w:i/>
          <w:lang w:val="uk-UA" w:eastAsia="en-US"/>
        </w:rPr>
        <w:t>)</w:t>
      </w:r>
      <w:r w:rsidRPr="00DC7991">
        <w:rPr>
          <w:lang w:val="ru-RU" w:eastAsia="en-US"/>
        </w:rPr>
        <w:t xml:space="preserve"> (</w:t>
      </w:r>
      <w:r>
        <w:rPr>
          <w:lang w:val="uk-UA" w:eastAsia="en-US"/>
        </w:rPr>
        <w:t>ріш</w:t>
      </w:r>
      <w:r w:rsidRPr="00DC7991">
        <w:rPr>
          <w:lang w:val="ru-RU" w:eastAsia="en-US"/>
        </w:rPr>
        <w:t xml:space="preserve">.), </w:t>
      </w:r>
      <w:r>
        <w:rPr>
          <w:lang w:val="uk-UA" w:eastAsia="en-US"/>
        </w:rPr>
        <w:t>№</w:t>
      </w:r>
      <w:r w:rsidRPr="00DC7991">
        <w:rPr>
          <w:lang w:val="ru-RU" w:eastAsia="en-US"/>
        </w:rPr>
        <w:t xml:space="preserve"> 31439/96 </w:t>
      </w:r>
      <w:r>
        <w:rPr>
          <w:lang w:val="uk-UA" w:eastAsia="en-US"/>
        </w:rPr>
        <w:t>та</w:t>
      </w:r>
      <w:r w:rsidRPr="00DC7991">
        <w:rPr>
          <w:lang w:val="ru-RU" w:eastAsia="en-US"/>
        </w:rPr>
        <w:t xml:space="preserve"> 35123/97, </w:t>
      </w:r>
      <w:r w:rsidRPr="0062728A">
        <w:rPr>
          <w:lang w:eastAsia="en-US"/>
        </w:rPr>
        <w:t>ECHR</w:t>
      </w:r>
      <w:r w:rsidRPr="00DC7991">
        <w:rPr>
          <w:lang w:val="ru-RU" w:eastAsia="en-US"/>
        </w:rPr>
        <w:t xml:space="preserve"> 2000</w:t>
      </w:r>
      <w:r w:rsidRPr="00DC7991">
        <w:rPr>
          <w:lang w:val="ru-RU" w:eastAsia="en-US"/>
        </w:rPr>
        <w:noBreakHyphen/>
      </w:r>
      <w:r w:rsidRPr="0062728A">
        <w:rPr>
          <w:lang w:eastAsia="en-US"/>
        </w:rPr>
        <w:t>IX</w:t>
      </w:r>
      <w:r w:rsidRPr="00DC7991">
        <w:rPr>
          <w:lang w:val="ru-RU" w:eastAsia="en-US"/>
        </w:rPr>
        <w:t xml:space="preserve">) </w:t>
      </w:r>
      <w:r>
        <w:rPr>
          <w:lang w:val="uk-UA" w:eastAsia="en-US"/>
        </w:rPr>
        <w:t xml:space="preserve">Суд дійшов висновку, що навіть якщо заявник, визнаний непридатним брати участь у гасінні пожеж, працював протягом всієї своєї кар’єри в національній пожежній службі лектором, його функції, що полягали у проведенні досліджень та передбачали доступ до інформації конфіденційного характеру, повинні були розглядатись як такі, що мають відношення до сфери національної оборони, в якій держава здійснює суверенні повноваження, і як такі, що передбачають, принаймні, непряму участь у виконанні обов’язків, спрямованих на захист загальнодержавних інтересів </w:t>
      </w:r>
      <w:r w:rsidRPr="00DC7991">
        <w:rPr>
          <w:lang w:val="ru-RU"/>
        </w:rPr>
        <w:t>(</w:t>
      </w:r>
      <w:r>
        <w:rPr>
          <w:lang w:val="uk-UA"/>
        </w:rPr>
        <w:t>порівняти з вищезгаданою справою «</w:t>
      </w:r>
      <w:r w:rsidRPr="00921F47">
        <w:rPr>
          <w:lang w:val="uk-UA"/>
        </w:rPr>
        <w:t>Фрідлендер</w:t>
      </w:r>
      <w:r>
        <w:rPr>
          <w:lang w:val="uk-UA"/>
        </w:rPr>
        <w:t>»</w:t>
      </w:r>
      <w:r w:rsidRPr="00DC7991">
        <w:rPr>
          <w:lang w:val="ru-RU"/>
        </w:rPr>
        <w:t xml:space="preserve"> </w:t>
      </w:r>
      <w:r>
        <w:rPr>
          <w:lang w:val="uk-UA"/>
        </w:rPr>
        <w:t>(</w:t>
      </w:r>
      <w:r w:rsidRPr="00A23B4A">
        <w:rPr>
          <w:i/>
        </w:rPr>
        <w:t>Frydlender</w:t>
      </w:r>
      <w:r>
        <w:rPr>
          <w:i/>
          <w:lang w:val="uk-UA"/>
        </w:rPr>
        <w:t>)</w:t>
      </w:r>
      <w:r w:rsidRPr="00DC7991">
        <w:rPr>
          <w:lang w:val="ru-RU"/>
        </w:rPr>
        <w:t xml:space="preserve">, </w:t>
      </w:r>
      <w:r>
        <w:rPr>
          <w:lang w:val="uk-UA"/>
        </w:rPr>
        <w:t>п.</w:t>
      </w:r>
      <w:r w:rsidRPr="00DC7991">
        <w:rPr>
          <w:lang w:val="ru-RU"/>
        </w:rPr>
        <w:t xml:space="preserve"> 39). </w:t>
      </w:r>
      <w:r>
        <w:rPr>
          <w:lang w:val="uk-UA"/>
        </w:rPr>
        <w:t>Згідно з цим стаття 6 не могла бути застосованою. Ще один приклад: справа «</w:t>
      </w:r>
      <w:r w:rsidRPr="00921F47">
        <w:rPr>
          <w:lang w:val="uk-UA"/>
        </w:rPr>
        <w:t>Канаєв проти Росії</w:t>
      </w:r>
      <w:r>
        <w:rPr>
          <w:lang w:val="uk-UA"/>
        </w:rPr>
        <w:t>» (</w:t>
      </w:r>
      <w:r w:rsidRPr="00FF6F2F">
        <w:rPr>
          <w:i/>
          <w:lang w:eastAsia="en-US"/>
        </w:rPr>
        <w:t>Kanayev</w:t>
      </w:r>
      <w:r w:rsidRPr="00DC7991">
        <w:rPr>
          <w:i/>
          <w:lang w:val="uk-UA" w:eastAsia="en-US"/>
        </w:rPr>
        <w:t xml:space="preserve"> </w:t>
      </w:r>
      <w:r w:rsidRPr="00FF6F2F">
        <w:rPr>
          <w:i/>
          <w:lang w:eastAsia="en-US"/>
        </w:rPr>
        <w:t>v</w:t>
      </w:r>
      <w:r w:rsidRPr="00DC7991">
        <w:rPr>
          <w:i/>
          <w:lang w:val="uk-UA" w:eastAsia="en-US"/>
        </w:rPr>
        <w:t xml:space="preserve">. </w:t>
      </w:r>
      <w:r w:rsidRPr="00FF6F2F">
        <w:rPr>
          <w:i/>
          <w:lang w:eastAsia="en-US"/>
        </w:rPr>
        <w:t>Russia</w:t>
      </w:r>
      <w:r>
        <w:rPr>
          <w:i/>
          <w:lang w:val="uk-UA" w:eastAsia="en-US"/>
        </w:rPr>
        <w:t>)</w:t>
      </w:r>
      <w:r w:rsidRPr="00DC7991">
        <w:rPr>
          <w:lang w:val="uk-UA" w:eastAsia="en-US"/>
        </w:rPr>
        <w:t xml:space="preserve"> (</w:t>
      </w:r>
      <w:r>
        <w:rPr>
          <w:lang w:val="uk-UA" w:eastAsia="en-US"/>
        </w:rPr>
        <w:t>№</w:t>
      </w:r>
      <w:r w:rsidRPr="00DC7991">
        <w:rPr>
          <w:lang w:val="uk-UA" w:eastAsia="en-US"/>
        </w:rPr>
        <w:t xml:space="preserve"> 43726/02, </w:t>
      </w:r>
      <w:r>
        <w:rPr>
          <w:lang w:val="uk-UA" w:eastAsia="en-US"/>
        </w:rPr>
        <w:t>п.</w:t>
      </w:r>
      <w:r w:rsidRPr="00DC7991">
        <w:rPr>
          <w:lang w:val="uk-UA" w:eastAsia="en-US"/>
        </w:rPr>
        <w:t xml:space="preserve"> 18, 27 </w:t>
      </w:r>
      <w:r>
        <w:rPr>
          <w:lang w:val="uk-UA" w:eastAsia="en-US"/>
        </w:rPr>
        <w:t>липня</w:t>
      </w:r>
      <w:r w:rsidRPr="00DC7991">
        <w:rPr>
          <w:lang w:val="uk-UA" w:eastAsia="en-US"/>
        </w:rPr>
        <w:t xml:space="preserve"> 2006</w:t>
      </w:r>
      <w:r>
        <w:rPr>
          <w:lang w:val="uk-UA" w:eastAsia="en-US"/>
        </w:rPr>
        <w:t xml:space="preserve"> року</w:t>
      </w:r>
      <w:r w:rsidRPr="00DC7991">
        <w:rPr>
          <w:lang w:val="uk-UA" w:eastAsia="en-US"/>
        </w:rPr>
        <w:t xml:space="preserve">), </w:t>
      </w:r>
      <w:r>
        <w:rPr>
          <w:lang w:val="uk-UA" w:eastAsia="en-US"/>
        </w:rPr>
        <w:t>в якій заявник був діючим офіцером російського флоту у званні капітана третього рангу і, отже, в цій якості «володів частиною суверенної влади держави». Суд постановив, що пункт 1 статті 6 не може застосовуватись, хоча спір і був пов’язаний з невиконанням рішення суду, винесеного на його користь, стосовно компенсації транспортних витрат.</w:t>
      </w:r>
      <w:r w:rsidRPr="00DC7991">
        <w:rPr>
          <w:lang w:val="ru-RU"/>
        </w:rPr>
        <w:t xml:space="preserve"> </w:t>
      </w:r>
      <w:r>
        <w:rPr>
          <w:lang w:val="uk-UA"/>
        </w:rPr>
        <w:t>У згаданій вище справі «</w:t>
      </w:r>
      <w:r w:rsidRPr="00921F47">
        <w:rPr>
          <w:lang w:val="uk-UA"/>
        </w:rPr>
        <w:t>Вересова</w:t>
      </w:r>
      <w:r>
        <w:rPr>
          <w:lang w:val="uk-UA"/>
        </w:rPr>
        <w:t>» (</w:t>
      </w:r>
      <w:r w:rsidRPr="009419C6">
        <w:rPr>
          <w:i/>
          <w:iCs/>
        </w:rPr>
        <w:t>Vere</w:t>
      </w:r>
      <w:r w:rsidRPr="00DC7991">
        <w:rPr>
          <w:i/>
          <w:iCs/>
          <w:lang w:val="ru-RU"/>
        </w:rPr>
        <w:t>š</w:t>
      </w:r>
      <w:r w:rsidRPr="009419C6">
        <w:rPr>
          <w:i/>
          <w:iCs/>
        </w:rPr>
        <w:t>ov</w:t>
      </w:r>
      <w:r w:rsidRPr="00DC7991">
        <w:rPr>
          <w:i/>
          <w:iCs/>
          <w:lang w:val="ru-RU"/>
        </w:rPr>
        <w:t>á</w:t>
      </w:r>
      <w:r>
        <w:rPr>
          <w:i/>
          <w:iCs/>
          <w:lang w:val="uk-UA"/>
        </w:rPr>
        <w:t xml:space="preserve">) </w:t>
      </w:r>
      <w:r w:rsidRPr="00F960E0">
        <w:rPr>
          <w:iCs/>
          <w:lang w:val="uk-UA"/>
        </w:rPr>
        <w:t>Суд вирішив, що пункт 1 статті 6 не може застосовуватися щодо юриста, працюючого в поліції</w:t>
      </w:r>
      <w:r w:rsidRPr="00DC7991">
        <w:rPr>
          <w:lang w:val="ru-RU"/>
        </w:rPr>
        <w:t xml:space="preserve">, </w:t>
      </w:r>
      <w:r>
        <w:rPr>
          <w:lang w:val="uk-UA"/>
        </w:rPr>
        <w:t>беручи до уваги характер функцій та обов’язків, пов’язаних зі службою в поліції в цілому, і явно не враховуючи індивідуальну роль заявниці в цій організації.</w:t>
      </w:r>
    </w:p>
    <w:p w:rsidRPr="00DC7991" w:rsidR="00D002A0" w:rsidP="006E4D32">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53</w:t>
      </w:r>
      <w:r w:rsidRPr="00DC7991">
        <w:rPr>
          <w:lang w:val="ru-RU"/>
        </w:rPr>
        <w:fldChar w:fldCharType="end"/>
      </w:r>
      <w:r w:rsidRPr="00DC7991">
        <w:rPr>
          <w:lang w:val="ru-RU"/>
        </w:rPr>
        <w:t>.</w:t>
      </w:r>
      <w:r>
        <w:t>  </w:t>
      </w:r>
      <w:r>
        <w:rPr>
          <w:lang w:val="uk-UA"/>
        </w:rPr>
        <w:t>Крім того, особливо вражає те, що у буквальному розумінні «функціональний підхід» вимагає не застосовувати статтю 6 до спорів, в яких становище заявника як державного службовця не відрізняється від становища будь-якого іншого заявника, або, інакше кажучи, коли спір між працівником і роботодавцем не стосується «спеціальних відносин, заснованих на вірності та відданості».</w:t>
      </w:r>
    </w:p>
    <w:p w:rsidRPr="00DC7991" w:rsidR="00D002A0" w:rsidP="006E4D32">
      <w:pPr>
        <w:pStyle w:val="JuPara"/>
        <w:rPr>
          <w:lang w:val="ru-RU"/>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54</w:t>
      </w:r>
      <w:r w:rsidRPr="00DC7991">
        <w:rPr>
          <w:lang w:val="uk-UA"/>
        </w:rPr>
        <w:fldChar w:fldCharType="end"/>
      </w:r>
      <w:r w:rsidRPr="00DC7991">
        <w:rPr>
          <w:lang w:val="uk-UA"/>
        </w:rPr>
        <w:t>.</w:t>
      </w:r>
      <w:r>
        <w:t>  </w:t>
      </w:r>
      <w:r>
        <w:rPr>
          <w:lang w:val="uk-UA"/>
        </w:rPr>
        <w:t>Однак, у справі «</w:t>
      </w:r>
      <w:r w:rsidRPr="00416A56">
        <w:rPr>
          <w:lang w:val="uk-UA"/>
        </w:rPr>
        <w:t>Мартіні проти Франції</w:t>
      </w:r>
      <w:r>
        <w:rPr>
          <w:lang w:val="uk-UA"/>
        </w:rPr>
        <w:t xml:space="preserve">» </w:t>
      </w:r>
      <w:r>
        <w:rPr>
          <w:i/>
          <w:szCs w:val="24"/>
          <w:lang w:val="uk-UA" w:eastAsia="en-US"/>
        </w:rPr>
        <w:t>(</w:t>
      </w:r>
      <w:r w:rsidRPr="00DA24C9">
        <w:rPr>
          <w:i/>
          <w:szCs w:val="24"/>
          <w:lang w:eastAsia="en-US"/>
        </w:rPr>
        <w:t>Martinie</w:t>
      </w:r>
      <w:r w:rsidRPr="00DC7991">
        <w:rPr>
          <w:i/>
          <w:szCs w:val="24"/>
          <w:lang w:val="uk-UA" w:eastAsia="en-US"/>
        </w:rPr>
        <w:t xml:space="preserve"> </w:t>
      </w:r>
      <w:r w:rsidRPr="00DA24C9">
        <w:rPr>
          <w:i/>
          <w:szCs w:val="24"/>
          <w:lang w:eastAsia="en-US"/>
        </w:rPr>
        <w:t>v</w:t>
      </w:r>
      <w:r w:rsidRPr="00DC7991">
        <w:rPr>
          <w:i/>
          <w:szCs w:val="24"/>
          <w:lang w:val="uk-UA" w:eastAsia="en-US"/>
        </w:rPr>
        <w:t xml:space="preserve">. </w:t>
      </w:r>
      <w:r w:rsidRPr="00DA24C9">
        <w:rPr>
          <w:i/>
          <w:szCs w:val="24"/>
          <w:lang w:eastAsia="en-US"/>
        </w:rPr>
        <w:t>France</w:t>
      </w:r>
      <w:r>
        <w:rPr>
          <w:i/>
          <w:szCs w:val="24"/>
          <w:lang w:val="uk-UA" w:eastAsia="en-US"/>
        </w:rPr>
        <w:t>)</w:t>
      </w:r>
      <w:r w:rsidRPr="00DC7991">
        <w:rPr>
          <w:szCs w:val="24"/>
          <w:lang w:val="uk-UA" w:eastAsia="en-US"/>
        </w:rPr>
        <w:t xml:space="preserve"> [</w:t>
      </w:r>
      <w:r>
        <w:rPr>
          <w:szCs w:val="24"/>
          <w:lang w:val="uk-UA" w:eastAsia="en-US"/>
        </w:rPr>
        <w:t>ВП</w:t>
      </w:r>
      <w:r w:rsidRPr="00DC7991">
        <w:rPr>
          <w:szCs w:val="24"/>
          <w:lang w:val="uk-UA" w:eastAsia="en-US"/>
        </w:rPr>
        <w:t xml:space="preserve">], </w:t>
      </w:r>
      <w:r>
        <w:rPr>
          <w:szCs w:val="24"/>
          <w:lang w:val="uk-UA" w:eastAsia="en-US"/>
        </w:rPr>
        <w:t>№</w:t>
      </w:r>
      <w:r w:rsidRPr="00DC7991">
        <w:rPr>
          <w:szCs w:val="24"/>
          <w:lang w:val="uk-UA" w:eastAsia="en-US"/>
        </w:rPr>
        <w:t xml:space="preserve"> 58675/00, </w:t>
      </w:r>
      <w:r>
        <w:rPr>
          <w:szCs w:val="24"/>
          <w:lang w:val="uk-UA" w:eastAsia="en-US"/>
        </w:rPr>
        <w:t>п.</w:t>
      </w:r>
      <w:r w:rsidRPr="00DC7991">
        <w:rPr>
          <w:szCs w:val="24"/>
          <w:lang w:val="uk-UA" w:eastAsia="en-US"/>
        </w:rPr>
        <w:t xml:space="preserve"> 30, </w:t>
      </w:r>
      <w:r>
        <w:rPr>
          <w:szCs w:val="24"/>
          <w:lang w:eastAsia="en-US"/>
        </w:rPr>
        <w:t>ECHR</w:t>
      </w:r>
      <w:r w:rsidRPr="00DC7991">
        <w:rPr>
          <w:szCs w:val="24"/>
          <w:lang w:val="uk-UA" w:eastAsia="en-US"/>
        </w:rPr>
        <w:t xml:space="preserve"> 2006-</w:t>
      </w:r>
      <w:r>
        <w:rPr>
          <w:szCs w:val="24"/>
          <w:lang w:eastAsia="en-US"/>
        </w:rPr>
        <w:t>VI</w:t>
      </w:r>
      <w:r w:rsidRPr="00DC7991">
        <w:rPr>
          <w:szCs w:val="24"/>
          <w:lang w:val="uk-UA" w:eastAsia="en-US"/>
        </w:rPr>
        <w:t xml:space="preserve">) </w:t>
      </w:r>
      <w:r>
        <w:rPr>
          <w:szCs w:val="24"/>
          <w:lang w:val="uk-UA" w:eastAsia="en-US"/>
        </w:rPr>
        <w:t>Суд підтвердив, що вирішальне значення має становище заявника, а не характер спору. В цій справі і Велика Палата, і Палата (рішення щодо прийнятності від 13 січня 2004 року) дійшли висновку про застосовність пункту 1 статті 6, хоча і на основі різних міркувань. Велика Палата взяла до уваги той факт, що заявник, який був державним службовцем і працював бухгалтером у школі, не брав участі у здійсненні наданих публічним правом повноважень. Палата, у свою чергу, враховувала головним чином характер спору між заявником і державою, який стосувався його обов’язку повернути виплачені без дозволу грошові суми, для того, щоб дійти висновку, що за змістом пункту 1 статті 6 обов’язки заявника були «цивільними» і що у справі переважали аспекти приватного права.</w:t>
      </w:r>
    </w:p>
    <w:p w:rsidRPr="00DC7991" w:rsidR="00D002A0" w:rsidP="006E4D32">
      <w:pPr>
        <w:pStyle w:val="JuPara"/>
        <w:rPr>
          <w:lang w:val="ru-RU" w:eastAsia="en-US"/>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55</w:t>
      </w:r>
      <w:r w:rsidRPr="00DC7991">
        <w:rPr>
          <w:lang w:val="ru-RU"/>
        </w:rPr>
        <w:fldChar w:fldCharType="end"/>
      </w:r>
      <w:r w:rsidRPr="00DC7991">
        <w:rPr>
          <w:lang w:val="ru-RU"/>
        </w:rPr>
        <w:t>.</w:t>
      </w:r>
      <w:r>
        <w:t>  </w:t>
      </w:r>
      <w:r>
        <w:rPr>
          <w:lang w:val="uk-UA"/>
        </w:rPr>
        <w:t xml:space="preserve">Суд може лише констатувати, що функціональний критерій, у тій формі, у якій він застосовується на практиці, не спростив аналізу питання про застосовність статті 6 у спорах, у яких однією зі сторін є державний службовець, і що він не призвів, як передбачалося, до більшої визначеності в цьому питанні </w:t>
      </w:r>
      <w:r w:rsidRPr="00DC7991">
        <w:rPr>
          <w:lang w:val="ru-RU"/>
        </w:rPr>
        <w:t>(</w:t>
      </w:r>
      <w:r>
        <w:rPr>
          <w:lang w:val="uk-UA"/>
        </w:rPr>
        <w:t>див.</w:t>
      </w:r>
      <w:r w:rsidRPr="00DC7991">
        <w:rPr>
          <w:lang w:val="ru-RU"/>
        </w:rPr>
        <w:t xml:space="preserve">, </w:t>
      </w:r>
      <w:r w:rsidRPr="00A47068">
        <w:rPr>
          <w:i/>
        </w:rPr>
        <w:t>mutatis</w:t>
      </w:r>
      <w:r w:rsidRPr="00DC7991">
        <w:rPr>
          <w:i/>
          <w:lang w:val="ru-RU"/>
        </w:rPr>
        <w:t xml:space="preserve"> </w:t>
      </w:r>
      <w:r w:rsidRPr="00A47068">
        <w:rPr>
          <w:i/>
        </w:rPr>
        <w:t>mutandis</w:t>
      </w:r>
      <w:r w:rsidRPr="00DC7991">
        <w:rPr>
          <w:lang w:val="ru-RU"/>
        </w:rPr>
        <w:t xml:space="preserve">, </w:t>
      </w:r>
      <w:r>
        <w:rPr>
          <w:lang w:val="uk-UA"/>
        </w:rPr>
        <w:t>«</w:t>
      </w:r>
      <w:r w:rsidRPr="00416A56">
        <w:rPr>
          <w:lang w:val="uk-UA"/>
        </w:rPr>
        <w:t>Перез проти Франції</w:t>
      </w:r>
      <w:r>
        <w:rPr>
          <w:lang w:val="uk-UA"/>
        </w:rPr>
        <w:t>»</w:t>
      </w:r>
      <w:r w:rsidRPr="00416A56">
        <w:rPr>
          <w:lang w:val="uk-UA"/>
        </w:rPr>
        <w:t xml:space="preserve"> </w:t>
      </w:r>
      <w:r>
        <w:rPr>
          <w:lang w:val="uk-UA"/>
        </w:rPr>
        <w:t>(</w:t>
      </w:r>
      <w:r w:rsidRPr="00A47068">
        <w:rPr>
          <w:i/>
          <w:lang w:eastAsia="en-US"/>
        </w:rPr>
        <w:t>Perez</w:t>
      </w:r>
      <w:r w:rsidRPr="00DC7991">
        <w:rPr>
          <w:i/>
          <w:lang w:val="ru-RU" w:eastAsia="en-US"/>
        </w:rPr>
        <w:t xml:space="preserve"> </w:t>
      </w:r>
      <w:r w:rsidRPr="00A47068">
        <w:rPr>
          <w:i/>
          <w:lang w:eastAsia="en-US"/>
        </w:rPr>
        <w:t>v</w:t>
      </w:r>
      <w:r w:rsidRPr="00DC7991">
        <w:rPr>
          <w:i/>
          <w:lang w:val="ru-RU" w:eastAsia="en-US"/>
        </w:rPr>
        <w:t xml:space="preserve">. </w:t>
      </w:r>
      <w:r w:rsidRPr="00A47068">
        <w:rPr>
          <w:i/>
          <w:lang w:eastAsia="en-US"/>
        </w:rPr>
        <w:t>France</w:t>
      </w:r>
      <w:r>
        <w:rPr>
          <w:i/>
          <w:lang w:val="uk-UA" w:eastAsia="en-US"/>
        </w:rPr>
        <w:t>)</w:t>
      </w:r>
      <w:r w:rsidRPr="00DC7991">
        <w:rPr>
          <w:i/>
          <w:lang w:val="ru-RU" w:eastAsia="en-US"/>
        </w:rPr>
        <w:t xml:space="preserve"> </w:t>
      </w:r>
      <w:r w:rsidRPr="00DC7991">
        <w:rPr>
          <w:lang w:val="ru-RU" w:eastAsia="en-US"/>
        </w:rPr>
        <w:t>[</w:t>
      </w:r>
      <w:r>
        <w:rPr>
          <w:lang w:val="uk-UA" w:eastAsia="en-US"/>
        </w:rPr>
        <w:t>ВП</w:t>
      </w:r>
      <w:r w:rsidRPr="00DC7991">
        <w:rPr>
          <w:lang w:val="ru-RU" w:eastAsia="en-US"/>
        </w:rPr>
        <w:t xml:space="preserve">], </w:t>
      </w:r>
      <w:r>
        <w:rPr>
          <w:lang w:val="uk-UA" w:eastAsia="en-US"/>
        </w:rPr>
        <w:t>№</w:t>
      </w:r>
      <w:r w:rsidRPr="00DC7991">
        <w:rPr>
          <w:lang w:val="ru-RU" w:eastAsia="en-US"/>
        </w:rPr>
        <w:t xml:space="preserve"> 47287/99, </w:t>
      </w:r>
      <w:r>
        <w:rPr>
          <w:lang w:val="uk-UA" w:eastAsia="en-US"/>
        </w:rPr>
        <w:t>п.</w:t>
      </w:r>
      <w:r w:rsidRPr="00DC7991">
        <w:rPr>
          <w:lang w:val="ru-RU" w:eastAsia="en-US"/>
        </w:rPr>
        <w:t xml:space="preserve"> 55, </w:t>
      </w:r>
      <w:r w:rsidRPr="00A47068">
        <w:rPr>
          <w:lang w:eastAsia="en-US"/>
        </w:rPr>
        <w:t>ECHR</w:t>
      </w:r>
      <w:r w:rsidRPr="00DC7991">
        <w:rPr>
          <w:lang w:val="ru-RU" w:eastAsia="en-US"/>
        </w:rPr>
        <w:t xml:space="preserve"> 2004</w:t>
      </w:r>
      <w:r w:rsidRPr="00DC7991">
        <w:rPr>
          <w:lang w:val="ru-RU" w:eastAsia="en-US"/>
        </w:rPr>
        <w:noBreakHyphen/>
      </w:r>
      <w:r w:rsidRPr="00A47068">
        <w:rPr>
          <w:lang w:eastAsia="en-US"/>
        </w:rPr>
        <w:t>I</w:t>
      </w:r>
      <w:r w:rsidRPr="00DC7991">
        <w:rPr>
          <w:lang w:val="ru-RU"/>
        </w:rPr>
        <w:t>).</w:t>
      </w:r>
    </w:p>
    <w:p w:rsidRPr="00DC7991" w:rsidR="00D002A0" w:rsidP="00F033CA">
      <w:pPr>
        <w:pStyle w:val="JuPara"/>
        <w:rPr>
          <w:lang w:val="uk-UA" w:eastAsia="en-US"/>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56</w:t>
      </w:r>
      <w:r w:rsidRPr="00DC7991">
        <w:rPr>
          <w:lang w:val="ru-RU"/>
        </w:rPr>
        <w:fldChar w:fldCharType="end"/>
      </w:r>
      <w:r w:rsidRPr="00DC7991">
        <w:rPr>
          <w:lang w:val="ru-RU"/>
        </w:rPr>
        <w:t>.</w:t>
      </w:r>
      <w:r>
        <w:t>  </w:t>
      </w:r>
      <w:r>
        <w:rPr>
          <w:lang w:val="uk-UA"/>
        </w:rPr>
        <w:t>Саме в цьому контексті і з цих причин Суд вважає, що функціональний критерій, запроваджений у справі «</w:t>
      </w:r>
      <w:r w:rsidRPr="00092A41">
        <w:rPr>
          <w:lang w:val="uk-UA"/>
        </w:rPr>
        <w:t>Пеллегрін</w:t>
      </w:r>
      <w:r>
        <w:rPr>
          <w:lang w:val="uk-UA"/>
        </w:rPr>
        <w:t>»</w:t>
      </w:r>
      <w:r w:rsidRPr="00092A41">
        <w:rPr>
          <w:lang w:val="uk-UA"/>
        </w:rPr>
        <w:t xml:space="preserve"> </w:t>
      </w:r>
      <w:r>
        <w:rPr>
          <w:lang w:val="uk-UA"/>
        </w:rPr>
        <w:t>(</w:t>
      </w:r>
      <w:r w:rsidRPr="00F60D4D">
        <w:rPr>
          <w:i/>
        </w:rPr>
        <w:t>Pellegrin</w:t>
      </w:r>
      <w:r>
        <w:rPr>
          <w:i/>
          <w:lang w:val="uk-UA"/>
        </w:rPr>
        <w:t xml:space="preserve">), </w:t>
      </w:r>
      <w:r>
        <w:rPr>
          <w:lang w:val="uk-UA"/>
        </w:rPr>
        <w:t xml:space="preserve">має бути вдосконалений. Дійсно, в інтересах правової визначеності, передбачуваності і рівності перед законом Суд не повинен, без поважних причин, відхилятися від своїх рішень у попередніх справах; однак, відмова Суду від динамічного і еволютивного підходу може стати перешкодою для будь-яких реформ або вдосконалень </w:t>
      </w:r>
      <w:r w:rsidRPr="00DC7991">
        <w:rPr>
          <w:lang w:val="uk-UA"/>
        </w:rPr>
        <w:t>(</w:t>
      </w:r>
      <w:r>
        <w:rPr>
          <w:lang w:val="uk-UA"/>
        </w:rPr>
        <w:t>див.</w:t>
      </w:r>
      <w:r w:rsidRPr="00DC7991">
        <w:rPr>
          <w:lang w:val="uk-UA"/>
        </w:rPr>
        <w:t xml:space="preserve">, </w:t>
      </w:r>
      <w:r w:rsidRPr="00A47068">
        <w:rPr>
          <w:i/>
        </w:rPr>
        <w:t>mutatis</w:t>
      </w:r>
      <w:r w:rsidRPr="00DC7991">
        <w:rPr>
          <w:i/>
          <w:lang w:val="uk-UA"/>
        </w:rPr>
        <w:t xml:space="preserve"> </w:t>
      </w:r>
      <w:r w:rsidRPr="00A47068">
        <w:rPr>
          <w:i/>
        </w:rPr>
        <w:t>mutandis</w:t>
      </w:r>
      <w:r w:rsidRPr="00DC7991">
        <w:rPr>
          <w:lang w:val="uk-UA"/>
        </w:rPr>
        <w:t xml:space="preserve">, </w:t>
      </w:r>
      <w:r>
        <w:rPr>
          <w:lang w:val="uk-UA"/>
        </w:rPr>
        <w:t>«</w:t>
      </w:r>
      <w:r w:rsidRPr="00036262">
        <w:rPr>
          <w:lang w:val="uk-UA"/>
        </w:rPr>
        <w:t>Маматкулов та Аскаров проти Туреччини</w:t>
      </w:r>
      <w:r>
        <w:rPr>
          <w:lang w:val="uk-UA"/>
        </w:rPr>
        <w:t>» (</w:t>
      </w:r>
      <w:r w:rsidRPr="00D57625">
        <w:rPr>
          <w:i/>
          <w:lang w:eastAsia="en-US"/>
        </w:rPr>
        <w:t>Mamatkulov</w:t>
      </w:r>
      <w:r w:rsidRPr="00DC7991">
        <w:rPr>
          <w:i/>
          <w:lang w:val="uk-UA" w:eastAsia="en-US"/>
        </w:rPr>
        <w:t xml:space="preserve"> </w:t>
      </w:r>
      <w:r w:rsidRPr="00D57625">
        <w:rPr>
          <w:i/>
          <w:lang w:eastAsia="en-US"/>
        </w:rPr>
        <w:t>and</w:t>
      </w:r>
      <w:r w:rsidRPr="00DC7991">
        <w:rPr>
          <w:i/>
          <w:lang w:val="uk-UA" w:eastAsia="en-US"/>
        </w:rPr>
        <w:t xml:space="preserve"> </w:t>
      </w:r>
      <w:r w:rsidRPr="00D57625">
        <w:rPr>
          <w:i/>
          <w:lang w:eastAsia="en-US"/>
        </w:rPr>
        <w:t>Askarov</w:t>
      </w:r>
      <w:r w:rsidRPr="00DC7991">
        <w:rPr>
          <w:i/>
          <w:lang w:val="uk-UA" w:eastAsia="en-US"/>
        </w:rPr>
        <w:t xml:space="preserve"> </w:t>
      </w:r>
      <w:r w:rsidRPr="00D57625">
        <w:rPr>
          <w:i/>
          <w:lang w:eastAsia="en-US"/>
        </w:rPr>
        <w:t>v</w:t>
      </w:r>
      <w:r w:rsidRPr="00DC7991">
        <w:rPr>
          <w:i/>
          <w:lang w:val="uk-UA" w:eastAsia="en-US"/>
        </w:rPr>
        <w:t xml:space="preserve">. </w:t>
      </w:r>
      <w:r w:rsidRPr="00D57625">
        <w:rPr>
          <w:i/>
          <w:lang w:eastAsia="en-US"/>
        </w:rPr>
        <w:t>Turkey</w:t>
      </w:r>
      <w:r>
        <w:rPr>
          <w:i/>
          <w:lang w:val="uk-UA" w:eastAsia="en-US"/>
        </w:rPr>
        <w:t>)</w:t>
      </w:r>
      <w:r w:rsidRPr="00DC7991">
        <w:rPr>
          <w:i/>
          <w:lang w:val="uk-UA" w:eastAsia="en-US"/>
        </w:rPr>
        <w:t xml:space="preserve"> </w:t>
      </w:r>
      <w:r w:rsidRPr="00DC7991">
        <w:rPr>
          <w:lang w:val="uk-UA" w:eastAsia="en-US"/>
        </w:rPr>
        <w:t>[</w:t>
      </w:r>
      <w:r>
        <w:rPr>
          <w:lang w:val="uk-UA" w:eastAsia="en-US"/>
        </w:rPr>
        <w:t>ВП</w:t>
      </w:r>
      <w:r w:rsidRPr="00DC7991">
        <w:rPr>
          <w:lang w:val="uk-UA" w:eastAsia="en-US"/>
        </w:rPr>
        <w:t xml:space="preserve">], </w:t>
      </w:r>
      <w:r>
        <w:rPr>
          <w:lang w:val="uk-UA" w:eastAsia="en-US"/>
        </w:rPr>
        <w:t>№</w:t>
      </w:r>
      <w:r w:rsidRPr="00DC7991">
        <w:rPr>
          <w:lang w:val="uk-UA" w:eastAsia="en-US"/>
        </w:rPr>
        <w:t xml:space="preserve"> 46827/99 </w:t>
      </w:r>
      <w:r>
        <w:rPr>
          <w:lang w:val="uk-UA" w:eastAsia="en-US"/>
        </w:rPr>
        <w:t>та</w:t>
      </w:r>
      <w:r w:rsidRPr="00DC7991">
        <w:rPr>
          <w:lang w:val="uk-UA" w:eastAsia="en-US"/>
        </w:rPr>
        <w:t xml:space="preserve"> 46951/99, </w:t>
      </w:r>
      <w:r>
        <w:rPr>
          <w:lang w:val="uk-UA" w:eastAsia="en-US"/>
        </w:rPr>
        <w:t>п.</w:t>
      </w:r>
      <w:r w:rsidRPr="00DC7991">
        <w:rPr>
          <w:lang w:val="uk-UA" w:eastAsia="en-US"/>
        </w:rPr>
        <w:t xml:space="preserve"> 121, </w:t>
      </w:r>
      <w:r w:rsidRPr="00D57625">
        <w:rPr>
          <w:lang w:eastAsia="en-US"/>
        </w:rPr>
        <w:t>ECHR</w:t>
      </w:r>
      <w:r w:rsidRPr="00DC7991">
        <w:rPr>
          <w:lang w:val="uk-UA" w:eastAsia="en-US"/>
        </w:rPr>
        <w:t xml:space="preserve"> 2005</w:t>
      </w:r>
      <w:r w:rsidRPr="00DC7991">
        <w:rPr>
          <w:lang w:val="uk-UA" w:eastAsia="en-US"/>
        </w:rPr>
        <w:noBreakHyphen/>
      </w:r>
      <w:r>
        <w:rPr>
          <w:lang w:eastAsia="en-US"/>
        </w:rPr>
        <w:t>I</w:t>
      </w:r>
      <w:r w:rsidRPr="00DC7991">
        <w:rPr>
          <w:lang w:val="uk-UA"/>
        </w:rPr>
        <w:t>).</w:t>
      </w:r>
    </w:p>
    <w:p w:rsidRPr="00DC7991" w:rsidR="00D002A0" w:rsidP="00590FE2">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57</w:t>
      </w:r>
      <w:r w:rsidRPr="00DC7991">
        <w:rPr>
          <w:lang w:val="uk-UA"/>
        </w:rPr>
        <w:fldChar w:fldCharType="end"/>
      </w:r>
      <w:r w:rsidRPr="00DC7991">
        <w:rPr>
          <w:lang w:val="uk-UA"/>
        </w:rPr>
        <w:t>.</w:t>
      </w:r>
      <w:r w:rsidRPr="003B10DB">
        <w:t>  </w:t>
      </w:r>
      <w:r>
        <w:rPr>
          <w:lang w:val="uk-UA"/>
        </w:rPr>
        <w:t>Рішення у справі «</w:t>
      </w:r>
      <w:r w:rsidRPr="00036262">
        <w:rPr>
          <w:lang w:val="uk-UA"/>
        </w:rPr>
        <w:t>Пеллегрін</w:t>
      </w:r>
      <w:r>
        <w:rPr>
          <w:lang w:val="uk-UA"/>
        </w:rPr>
        <w:t>» (</w:t>
      </w:r>
      <w:r w:rsidRPr="003E597D">
        <w:rPr>
          <w:i/>
        </w:rPr>
        <w:t>Pellegrin</w:t>
      </w:r>
      <w:r>
        <w:rPr>
          <w:i/>
          <w:lang w:val="uk-UA"/>
        </w:rPr>
        <w:t>)</w:t>
      </w:r>
      <w:r>
        <w:rPr>
          <w:lang w:val="uk-UA"/>
        </w:rPr>
        <w:t xml:space="preserve"> має бути інтерпретоване у світлі попередньої прецедентної практики Суду як перший відступ від колишнього принципу незастосовності статті 6 до державної служби та як перший крок до її часткової застосовності. Це рішення відбиває базовий постулат, згідно з яким деякі державні службовці, внаслідок своїх функцій, підтримують зі своїм роботодавцем відносини, засновані на вірності та відданості.</w:t>
      </w:r>
      <w:r w:rsidRPr="00DC7991">
        <w:rPr>
          <w:lang w:val="uk-UA"/>
        </w:rPr>
        <w:t xml:space="preserve"> </w:t>
      </w:r>
      <w:r>
        <w:rPr>
          <w:lang w:val="uk-UA"/>
        </w:rPr>
        <w:t>Однак, як випливає з розглянутих пізніше справ, у дуже багатьох Договірних Державах державним службовцям надається доступ до суду, що дозволяє їм звертатися з позовом про заробітну плату і додаткові виплати, і навіть про звільнення або прийняття на роботу, так само, як і працівникам приватного сектору.</w:t>
      </w:r>
      <w:r w:rsidRPr="00DC7991">
        <w:rPr>
          <w:lang w:val="uk-UA"/>
        </w:rPr>
        <w:t xml:space="preserve"> </w:t>
      </w:r>
      <w:r>
        <w:rPr>
          <w:lang w:val="uk-UA"/>
        </w:rPr>
        <w:t xml:space="preserve">За таких обставин внутрішні правові системи не вбачають конфлікту між життєво важливими інтересами держави і правом людини на захист. Дійсно, ні Конвенція, ні Протоколи до неї не гарантують права найму на державну службу. Однак, це не означає, що в інших відношеннях державні службовці не підпадають під сферу застосування Конвенції </w:t>
      </w:r>
      <w:r w:rsidRPr="00DC7991">
        <w:rPr>
          <w:lang w:val="uk-UA"/>
        </w:rPr>
        <w:t>(</w:t>
      </w:r>
      <w:r>
        <w:rPr>
          <w:lang w:val="uk-UA"/>
        </w:rPr>
        <w:t>див.</w:t>
      </w:r>
      <w:r w:rsidRPr="00DC7991">
        <w:rPr>
          <w:lang w:val="uk-UA"/>
        </w:rPr>
        <w:t xml:space="preserve">, </w:t>
      </w:r>
      <w:r w:rsidRPr="003D052A">
        <w:rPr>
          <w:i/>
        </w:rPr>
        <w:t>mutatis</w:t>
      </w:r>
      <w:r w:rsidRPr="00DC7991">
        <w:rPr>
          <w:i/>
          <w:lang w:val="uk-UA"/>
        </w:rPr>
        <w:t xml:space="preserve"> </w:t>
      </w:r>
      <w:r w:rsidRPr="003D052A">
        <w:rPr>
          <w:i/>
        </w:rPr>
        <w:t>mutandis</w:t>
      </w:r>
      <w:r w:rsidRPr="00DC7991">
        <w:rPr>
          <w:lang w:val="uk-UA"/>
        </w:rPr>
        <w:t xml:space="preserve">, </w:t>
      </w:r>
      <w:r>
        <w:rPr>
          <w:lang w:val="uk-UA"/>
        </w:rPr>
        <w:t>«</w:t>
      </w:r>
      <w:r w:rsidRPr="00036262">
        <w:rPr>
          <w:lang w:val="uk-UA"/>
        </w:rPr>
        <w:t>Абдулазіз, Кабалес і Балкандалі проти Сполученого Королівства</w:t>
      </w:r>
      <w:r>
        <w:rPr>
          <w:lang w:val="uk-UA"/>
        </w:rPr>
        <w:t>» (</w:t>
      </w:r>
      <w:r w:rsidRPr="00AC1064">
        <w:rPr>
          <w:i/>
        </w:rPr>
        <w:t>Abdulaziz</w:t>
      </w:r>
      <w:r w:rsidRPr="00DC7991">
        <w:rPr>
          <w:i/>
          <w:lang w:val="uk-UA"/>
        </w:rPr>
        <w:t xml:space="preserve">, </w:t>
      </w:r>
      <w:r w:rsidRPr="00AC1064">
        <w:rPr>
          <w:i/>
        </w:rPr>
        <w:t>Cabales</w:t>
      </w:r>
      <w:r w:rsidRPr="00DC7991">
        <w:rPr>
          <w:i/>
          <w:lang w:val="uk-UA"/>
        </w:rPr>
        <w:t xml:space="preserve"> </w:t>
      </w:r>
      <w:r w:rsidRPr="00AC1064">
        <w:rPr>
          <w:i/>
        </w:rPr>
        <w:t>and</w:t>
      </w:r>
      <w:r w:rsidRPr="00DC7991">
        <w:rPr>
          <w:i/>
          <w:lang w:val="uk-UA"/>
        </w:rPr>
        <w:t xml:space="preserve"> </w:t>
      </w:r>
      <w:r w:rsidRPr="00AC1064">
        <w:rPr>
          <w:i/>
        </w:rPr>
        <w:t>Balkandali</w:t>
      </w:r>
      <w:r w:rsidRPr="00DC7991">
        <w:rPr>
          <w:i/>
          <w:lang w:val="uk-UA"/>
        </w:rPr>
        <w:t xml:space="preserve"> </w:t>
      </w:r>
      <w:r>
        <w:rPr>
          <w:i/>
        </w:rPr>
        <w:t>v</w:t>
      </w:r>
      <w:r w:rsidRPr="00DC7991">
        <w:rPr>
          <w:i/>
          <w:lang w:val="uk-UA"/>
        </w:rPr>
        <w:t xml:space="preserve">. </w:t>
      </w:r>
      <w:r>
        <w:rPr>
          <w:i/>
        </w:rPr>
        <w:t>the</w:t>
      </w:r>
      <w:r w:rsidRPr="00DC7991">
        <w:rPr>
          <w:i/>
          <w:lang w:val="uk-UA"/>
        </w:rPr>
        <w:t xml:space="preserve"> </w:t>
      </w:r>
      <w:r>
        <w:rPr>
          <w:i/>
        </w:rPr>
        <w:t>United</w:t>
      </w:r>
      <w:r w:rsidRPr="00DC7991">
        <w:rPr>
          <w:i/>
          <w:lang w:val="uk-UA"/>
        </w:rPr>
        <w:t xml:space="preserve"> </w:t>
      </w:r>
      <w:r>
        <w:rPr>
          <w:i/>
        </w:rPr>
        <w:t>Kingdom</w:t>
      </w:r>
      <w:r>
        <w:rPr>
          <w:i/>
          <w:lang w:val="uk-UA"/>
        </w:rPr>
        <w:t>)</w:t>
      </w:r>
      <w:r w:rsidRPr="00DC7991">
        <w:rPr>
          <w:lang w:val="uk-UA"/>
        </w:rPr>
        <w:t>, 28</w:t>
      </w:r>
      <w:r>
        <w:t> </w:t>
      </w:r>
      <w:r>
        <w:rPr>
          <w:lang w:val="uk-UA"/>
        </w:rPr>
        <w:t>травня</w:t>
      </w:r>
      <w:r w:rsidRPr="00DC7991">
        <w:rPr>
          <w:lang w:val="uk-UA"/>
        </w:rPr>
        <w:t xml:space="preserve"> 1985</w:t>
      </w:r>
      <w:r>
        <w:rPr>
          <w:lang w:val="uk-UA"/>
        </w:rPr>
        <w:t xml:space="preserve"> року</w:t>
      </w:r>
      <w:r w:rsidRPr="00DC7991">
        <w:rPr>
          <w:lang w:val="uk-UA"/>
        </w:rPr>
        <w:t xml:space="preserve">, </w:t>
      </w:r>
      <w:r>
        <w:rPr>
          <w:lang w:val="uk-UA"/>
        </w:rPr>
        <w:t>п.</w:t>
      </w:r>
      <w:r w:rsidRPr="00DC7991">
        <w:rPr>
          <w:lang w:val="uk-UA"/>
        </w:rPr>
        <w:t xml:space="preserve"> 60, </w:t>
      </w:r>
      <w:r>
        <w:rPr>
          <w:lang w:val="uk-UA"/>
        </w:rPr>
        <w:t>Серія</w:t>
      </w:r>
      <w:r w:rsidRPr="00DC7991">
        <w:rPr>
          <w:lang w:val="uk-UA"/>
        </w:rPr>
        <w:t xml:space="preserve"> </w:t>
      </w:r>
      <w:r>
        <w:t>A</w:t>
      </w:r>
      <w:r w:rsidRPr="00DC7991">
        <w:rPr>
          <w:lang w:val="uk-UA"/>
        </w:rPr>
        <w:t xml:space="preserve"> </w:t>
      </w:r>
      <w:r>
        <w:rPr>
          <w:lang w:val="uk-UA"/>
        </w:rPr>
        <w:t>№</w:t>
      </w:r>
      <w:r w:rsidRPr="00DC7991">
        <w:rPr>
          <w:lang w:val="uk-UA"/>
        </w:rPr>
        <w:t xml:space="preserve"> 94, </w:t>
      </w:r>
      <w:r>
        <w:rPr>
          <w:lang w:val="uk-UA"/>
        </w:rPr>
        <w:t>та</w:t>
      </w:r>
      <w:r w:rsidRPr="00DC7991">
        <w:rPr>
          <w:lang w:val="uk-UA"/>
        </w:rPr>
        <w:t xml:space="preserve"> </w:t>
      </w:r>
      <w:r>
        <w:rPr>
          <w:lang w:val="uk-UA"/>
        </w:rPr>
        <w:t>«</w:t>
      </w:r>
      <w:r w:rsidRPr="00036262">
        <w:rPr>
          <w:lang w:val="uk-UA"/>
        </w:rPr>
        <w:t>Глазенап проти Німеччини</w:t>
      </w:r>
      <w:r>
        <w:rPr>
          <w:lang w:val="uk-UA"/>
        </w:rPr>
        <w:t xml:space="preserve">» </w:t>
      </w:r>
      <w:r>
        <w:rPr>
          <w:i/>
          <w:lang w:val="uk-UA" w:eastAsia="en-US"/>
        </w:rPr>
        <w:t>(</w:t>
      </w:r>
      <w:r w:rsidRPr="00597B89">
        <w:rPr>
          <w:i/>
          <w:lang w:eastAsia="en-US"/>
        </w:rPr>
        <w:t>Glasenapp</w:t>
      </w:r>
      <w:r w:rsidRPr="00DC7991">
        <w:rPr>
          <w:i/>
          <w:lang w:val="uk-UA" w:eastAsia="en-US"/>
        </w:rPr>
        <w:t xml:space="preserve"> </w:t>
      </w:r>
      <w:r w:rsidRPr="00597B89">
        <w:rPr>
          <w:i/>
          <w:lang w:eastAsia="en-US"/>
        </w:rPr>
        <w:t>v</w:t>
      </w:r>
      <w:r w:rsidRPr="00DC7991">
        <w:rPr>
          <w:i/>
          <w:lang w:val="uk-UA" w:eastAsia="en-US"/>
        </w:rPr>
        <w:t xml:space="preserve">. </w:t>
      </w:r>
      <w:r w:rsidRPr="00597B89">
        <w:rPr>
          <w:i/>
          <w:lang w:eastAsia="en-US"/>
        </w:rPr>
        <w:t>Germany</w:t>
      </w:r>
      <w:r>
        <w:rPr>
          <w:i/>
          <w:lang w:val="uk-UA" w:eastAsia="en-US"/>
        </w:rPr>
        <w:t>)</w:t>
      </w:r>
      <w:r w:rsidRPr="00DC7991">
        <w:rPr>
          <w:lang w:val="uk-UA" w:eastAsia="en-US"/>
        </w:rPr>
        <w:t xml:space="preserve">, 28 </w:t>
      </w:r>
      <w:r>
        <w:rPr>
          <w:lang w:val="uk-UA" w:eastAsia="en-US"/>
        </w:rPr>
        <w:t>серпня</w:t>
      </w:r>
      <w:r w:rsidRPr="00DC7991">
        <w:rPr>
          <w:lang w:val="uk-UA" w:eastAsia="en-US"/>
        </w:rPr>
        <w:t xml:space="preserve"> 1986</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49, </w:t>
      </w:r>
      <w:r>
        <w:rPr>
          <w:lang w:val="uk-UA" w:eastAsia="en-US"/>
        </w:rPr>
        <w:t>Серія</w:t>
      </w:r>
      <w:r w:rsidRPr="00DC7991">
        <w:rPr>
          <w:lang w:val="uk-UA" w:eastAsia="en-US"/>
        </w:rPr>
        <w:t xml:space="preserve"> </w:t>
      </w:r>
      <w:r>
        <w:rPr>
          <w:lang w:eastAsia="en-US"/>
        </w:rPr>
        <w:t>A</w:t>
      </w:r>
      <w:r w:rsidRPr="00DC7991">
        <w:rPr>
          <w:lang w:val="uk-UA" w:eastAsia="en-US"/>
        </w:rPr>
        <w:t xml:space="preserve"> </w:t>
      </w:r>
      <w:r>
        <w:rPr>
          <w:lang w:val="uk-UA" w:eastAsia="en-US"/>
        </w:rPr>
        <w:t>№</w:t>
      </w:r>
      <w:r w:rsidRPr="00DC7991">
        <w:rPr>
          <w:lang w:val="uk-UA" w:eastAsia="en-US"/>
        </w:rPr>
        <w:t xml:space="preserve"> 104</w:t>
      </w:r>
      <w:r w:rsidRPr="00DC7991">
        <w:rPr>
          <w:lang w:val="uk-UA"/>
        </w:rPr>
        <w:t>).</w:t>
      </w:r>
    </w:p>
    <w:p w:rsidRPr="00DC7991" w:rsidR="00D002A0" w:rsidP="00590FE2">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58</w:t>
      </w:r>
      <w:r w:rsidRPr="00DC7991">
        <w:rPr>
          <w:lang w:val="ru-RU"/>
        </w:rPr>
        <w:fldChar w:fldCharType="end"/>
      </w:r>
      <w:r w:rsidRPr="00DC7991">
        <w:rPr>
          <w:lang w:val="ru-RU"/>
        </w:rPr>
        <w:t>.</w:t>
      </w:r>
      <w:r>
        <w:t>  </w:t>
      </w:r>
      <w:r>
        <w:rPr>
          <w:lang w:val="uk-UA"/>
        </w:rPr>
        <w:t xml:space="preserve">Крім того, статті 1 та 14 Конвенції передбачають, що «кожний, хто перебуває під </w:t>
      </w:r>
      <w:r w:rsidRPr="00DC7991">
        <w:rPr>
          <w:lang w:val="ru-RU"/>
        </w:rPr>
        <w:t>[</w:t>
      </w:r>
      <w:r>
        <w:rPr>
          <w:lang w:val="uk-UA"/>
        </w:rPr>
        <w:t>...</w:t>
      </w:r>
      <w:r w:rsidRPr="00DC7991">
        <w:rPr>
          <w:lang w:val="ru-RU"/>
        </w:rPr>
        <w:t xml:space="preserve">] </w:t>
      </w:r>
      <w:r>
        <w:rPr>
          <w:lang w:val="uk-UA"/>
        </w:rPr>
        <w:t xml:space="preserve">юрисдикцією» Договірної Держави, повинен користуватися правами і свободами, визначеними в розділі І, «без дискримінації за будь-якою ознакою» </w:t>
      </w:r>
      <w:r w:rsidRPr="00DC7991">
        <w:rPr>
          <w:lang w:val="uk-UA"/>
        </w:rPr>
        <w:t>(</w:t>
      </w:r>
      <w:r>
        <w:rPr>
          <w:lang w:val="uk-UA"/>
        </w:rPr>
        <w:t>див.</w:t>
      </w:r>
      <w:r w:rsidRPr="00DC7991">
        <w:rPr>
          <w:lang w:val="uk-UA"/>
        </w:rPr>
        <w:t xml:space="preserve">, </w:t>
      </w:r>
      <w:r w:rsidRPr="003C3344">
        <w:rPr>
          <w:i/>
        </w:rPr>
        <w:t>mutatis</w:t>
      </w:r>
      <w:r w:rsidRPr="00DC7991">
        <w:rPr>
          <w:i/>
          <w:lang w:val="uk-UA"/>
        </w:rPr>
        <w:t xml:space="preserve"> </w:t>
      </w:r>
      <w:r w:rsidRPr="003C3344">
        <w:rPr>
          <w:i/>
        </w:rPr>
        <w:t>mutandis</w:t>
      </w:r>
      <w:r w:rsidRPr="00DC7991">
        <w:rPr>
          <w:lang w:val="uk-UA"/>
        </w:rPr>
        <w:t xml:space="preserve">, </w:t>
      </w:r>
      <w:r>
        <w:rPr>
          <w:lang w:val="uk-UA"/>
        </w:rPr>
        <w:t>«</w:t>
      </w:r>
      <w:r w:rsidRPr="00036262">
        <w:rPr>
          <w:lang w:val="uk-UA"/>
        </w:rPr>
        <w:t>Енгель та інші проти Нідерландів</w:t>
      </w:r>
      <w:r>
        <w:rPr>
          <w:lang w:val="uk-UA"/>
        </w:rPr>
        <w:t>» (</w:t>
      </w:r>
      <w:r w:rsidRPr="003C3344">
        <w:rPr>
          <w:i/>
          <w:lang w:eastAsia="en-US"/>
        </w:rPr>
        <w:t>Engel</w:t>
      </w:r>
      <w:r w:rsidRPr="00DC7991">
        <w:rPr>
          <w:i/>
          <w:lang w:val="uk-UA" w:eastAsia="en-US"/>
        </w:rPr>
        <w:t xml:space="preserve"> </w:t>
      </w:r>
      <w:r w:rsidRPr="003C3344">
        <w:rPr>
          <w:i/>
          <w:lang w:eastAsia="en-US"/>
        </w:rPr>
        <w:t>and</w:t>
      </w:r>
      <w:r w:rsidRPr="00DC7991">
        <w:rPr>
          <w:i/>
          <w:lang w:val="uk-UA" w:eastAsia="en-US"/>
        </w:rPr>
        <w:t xml:space="preserve"> </w:t>
      </w:r>
      <w:r w:rsidRPr="003C3344">
        <w:rPr>
          <w:i/>
          <w:lang w:eastAsia="en-US"/>
        </w:rPr>
        <w:t>Others</w:t>
      </w:r>
      <w:r w:rsidRPr="00DC7991">
        <w:rPr>
          <w:i/>
          <w:lang w:val="uk-UA" w:eastAsia="en-US"/>
        </w:rPr>
        <w:t xml:space="preserve"> </w:t>
      </w:r>
      <w:r w:rsidRPr="003C3344">
        <w:rPr>
          <w:i/>
          <w:lang w:eastAsia="en-US"/>
        </w:rPr>
        <w:t>v</w:t>
      </w:r>
      <w:r w:rsidRPr="00DC7991">
        <w:rPr>
          <w:i/>
          <w:lang w:val="uk-UA" w:eastAsia="en-US"/>
        </w:rPr>
        <w:t xml:space="preserve">. </w:t>
      </w:r>
      <w:r w:rsidRPr="003C3344">
        <w:rPr>
          <w:i/>
          <w:lang w:eastAsia="en-US"/>
        </w:rPr>
        <w:t>the</w:t>
      </w:r>
      <w:r w:rsidRPr="00DC7991">
        <w:rPr>
          <w:i/>
          <w:lang w:val="uk-UA" w:eastAsia="en-US"/>
        </w:rPr>
        <w:t xml:space="preserve"> </w:t>
      </w:r>
      <w:r w:rsidRPr="003C3344">
        <w:rPr>
          <w:i/>
          <w:lang w:eastAsia="en-US"/>
        </w:rPr>
        <w:t>Netherlands</w:t>
      </w:r>
      <w:r>
        <w:rPr>
          <w:i/>
          <w:lang w:val="uk-UA" w:eastAsia="en-US"/>
        </w:rPr>
        <w:t>)</w:t>
      </w:r>
      <w:r w:rsidRPr="00DC7991">
        <w:rPr>
          <w:lang w:val="uk-UA" w:eastAsia="en-US"/>
        </w:rPr>
        <w:t xml:space="preserve">, 8 </w:t>
      </w:r>
      <w:r>
        <w:rPr>
          <w:lang w:val="uk-UA" w:eastAsia="en-US"/>
        </w:rPr>
        <w:t>червня</w:t>
      </w:r>
      <w:r w:rsidRPr="00DC7991">
        <w:rPr>
          <w:lang w:val="uk-UA" w:eastAsia="en-US"/>
        </w:rPr>
        <w:t xml:space="preserve"> 1976</w:t>
      </w:r>
      <w:r>
        <w:rPr>
          <w:lang w:val="uk-UA" w:eastAsia="en-US"/>
        </w:rPr>
        <w:t xml:space="preserve"> року</w:t>
      </w:r>
      <w:r w:rsidRPr="00DC7991">
        <w:rPr>
          <w:lang w:val="uk-UA" w:eastAsia="en-US"/>
        </w:rPr>
        <w:t xml:space="preserve">, </w:t>
      </w:r>
      <w:r>
        <w:rPr>
          <w:lang w:val="uk-UA" w:eastAsia="en-US"/>
        </w:rPr>
        <w:t>п.</w:t>
      </w:r>
      <w:r>
        <w:rPr>
          <w:lang w:eastAsia="en-US"/>
        </w:rPr>
        <w:t> </w:t>
      </w:r>
      <w:r w:rsidRPr="00DC7991">
        <w:rPr>
          <w:lang w:val="uk-UA" w:eastAsia="en-US"/>
        </w:rPr>
        <w:t xml:space="preserve">54, </w:t>
      </w:r>
      <w:r>
        <w:rPr>
          <w:lang w:val="uk-UA" w:eastAsia="en-US"/>
        </w:rPr>
        <w:t>Серія</w:t>
      </w:r>
      <w:r w:rsidRPr="00DC7991">
        <w:rPr>
          <w:lang w:val="uk-UA" w:eastAsia="en-US"/>
        </w:rPr>
        <w:t xml:space="preserve"> </w:t>
      </w:r>
      <w:r w:rsidRPr="003C3344">
        <w:rPr>
          <w:lang w:eastAsia="en-US"/>
        </w:rPr>
        <w:t>A</w:t>
      </w:r>
      <w:r w:rsidRPr="00DC7991">
        <w:rPr>
          <w:lang w:val="uk-UA" w:eastAsia="en-US"/>
        </w:rPr>
        <w:t xml:space="preserve"> </w:t>
      </w:r>
      <w:r>
        <w:rPr>
          <w:lang w:val="uk-UA" w:eastAsia="en-US"/>
        </w:rPr>
        <w:t>№</w:t>
      </w:r>
      <w:r w:rsidRPr="00DC7991">
        <w:rPr>
          <w:lang w:val="uk-UA"/>
        </w:rPr>
        <w:t xml:space="preserve"> 22). </w:t>
      </w:r>
      <w:r>
        <w:rPr>
          <w:lang w:val="uk-UA"/>
        </w:rPr>
        <w:t xml:space="preserve">Як правило, гарантії Конвенції поширюються на державних службовців </w:t>
      </w:r>
      <w:r w:rsidRPr="00DC7991">
        <w:rPr>
          <w:lang w:val="uk-UA"/>
        </w:rPr>
        <w:t>(</w:t>
      </w:r>
      <w:r>
        <w:rPr>
          <w:lang w:val="uk-UA"/>
        </w:rPr>
        <w:t>див.</w:t>
      </w:r>
      <w:r w:rsidRPr="00DC7991">
        <w:rPr>
          <w:lang w:val="uk-UA"/>
        </w:rPr>
        <w:t xml:space="preserve">, </w:t>
      </w:r>
      <w:r w:rsidRPr="00011A8F">
        <w:rPr>
          <w:i/>
        </w:rPr>
        <w:t>mutatis</w:t>
      </w:r>
      <w:r w:rsidRPr="00DC7991">
        <w:rPr>
          <w:i/>
          <w:lang w:val="uk-UA"/>
        </w:rPr>
        <w:t xml:space="preserve"> </w:t>
      </w:r>
      <w:r w:rsidRPr="00011A8F">
        <w:rPr>
          <w:i/>
        </w:rPr>
        <w:t>mutandis</w:t>
      </w:r>
      <w:r w:rsidRPr="00DC7991">
        <w:rPr>
          <w:lang w:val="uk-UA"/>
        </w:rPr>
        <w:t xml:space="preserve">, </w:t>
      </w:r>
      <w:r>
        <w:rPr>
          <w:lang w:val="uk-UA"/>
        </w:rPr>
        <w:t>«</w:t>
      </w:r>
      <w:r w:rsidRPr="00036262">
        <w:rPr>
          <w:lang w:val="uk-UA"/>
        </w:rPr>
        <w:t>Шмідт і Дальстрем проти Швеції</w:t>
      </w:r>
      <w:r>
        <w:rPr>
          <w:lang w:val="uk-UA"/>
        </w:rPr>
        <w:t>» (</w:t>
      </w:r>
      <w:r w:rsidRPr="00672163">
        <w:rPr>
          <w:i/>
        </w:rPr>
        <w:t>Schmidt</w:t>
      </w:r>
      <w:r w:rsidRPr="00DC7991">
        <w:rPr>
          <w:i/>
          <w:lang w:val="uk-UA"/>
        </w:rPr>
        <w:t xml:space="preserve"> </w:t>
      </w:r>
      <w:r w:rsidRPr="00672163">
        <w:rPr>
          <w:i/>
        </w:rPr>
        <w:t>and</w:t>
      </w:r>
      <w:r w:rsidRPr="00DC7991">
        <w:rPr>
          <w:i/>
          <w:lang w:val="uk-UA"/>
        </w:rPr>
        <w:t xml:space="preserve"> </w:t>
      </w:r>
      <w:r w:rsidRPr="00672163">
        <w:rPr>
          <w:i/>
        </w:rPr>
        <w:t>Dahlstr</w:t>
      </w:r>
      <w:r w:rsidRPr="00DC7991">
        <w:rPr>
          <w:i/>
          <w:lang w:val="uk-UA"/>
        </w:rPr>
        <w:t>ö</w:t>
      </w:r>
      <w:r w:rsidRPr="00672163">
        <w:rPr>
          <w:i/>
        </w:rPr>
        <w:t>m</w:t>
      </w:r>
      <w:r w:rsidRPr="00DC7991">
        <w:rPr>
          <w:i/>
          <w:lang w:val="uk-UA"/>
        </w:rPr>
        <w:t xml:space="preserve"> </w:t>
      </w:r>
      <w:r>
        <w:rPr>
          <w:i/>
        </w:rPr>
        <w:t>v</w:t>
      </w:r>
      <w:r w:rsidRPr="00DC7991">
        <w:rPr>
          <w:i/>
          <w:lang w:val="uk-UA"/>
        </w:rPr>
        <w:t xml:space="preserve">. </w:t>
      </w:r>
      <w:r>
        <w:rPr>
          <w:i/>
        </w:rPr>
        <w:t>Sweden</w:t>
      </w:r>
      <w:r>
        <w:rPr>
          <w:i/>
          <w:lang w:val="uk-UA"/>
        </w:rPr>
        <w:t>)</w:t>
      </w:r>
      <w:r w:rsidRPr="00DC7991">
        <w:rPr>
          <w:lang w:val="uk-UA"/>
        </w:rPr>
        <w:t xml:space="preserve">, 6 </w:t>
      </w:r>
      <w:r>
        <w:rPr>
          <w:lang w:val="uk-UA"/>
        </w:rPr>
        <w:t>лютого</w:t>
      </w:r>
      <w:r w:rsidRPr="00DC7991">
        <w:rPr>
          <w:lang w:val="uk-UA"/>
        </w:rPr>
        <w:t xml:space="preserve"> 1976</w:t>
      </w:r>
      <w:r>
        <w:rPr>
          <w:lang w:val="uk-UA"/>
        </w:rPr>
        <w:t xml:space="preserve"> року</w:t>
      </w:r>
      <w:r w:rsidRPr="00DC7991">
        <w:rPr>
          <w:lang w:val="uk-UA"/>
        </w:rPr>
        <w:t xml:space="preserve">, </w:t>
      </w:r>
      <w:r>
        <w:rPr>
          <w:lang w:val="uk-UA"/>
        </w:rPr>
        <w:t>п.</w:t>
      </w:r>
      <w:r w:rsidRPr="00DC7991">
        <w:rPr>
          <w:lang w:val="uk-UA"/>
        </w:rPr>
        <w:t xml:space="preserve"> 33, </w:t>
      </w:r>
      <w:r>
        <w:rPr>
          <w:lang w:val="uk-UA"/>
        </w:rPr>
        <w:t>Серія</w:t>
      </w:r>
      <w:r w:rsidRPr="00DC7991">
        <w:rPr>
          <w:lang w:val="uk-UA"/>
        </w:rPr>
        <w:t xml:space="preserve"> </w:t>
      </w:r>
      <w:r>
        <w:t>A</w:t>
      </w:r>
      <w:r w:rsidRPr="00DC7991">
        <w:rPr>
          <w:lang w:val="uk-UA"/>
        </w:rPr>
        <w:t xml:space="preserve"> </w:t>
      </w:r>
      <w:r>
        <w:rPr>
          <w:lang w:val="uk-UA"/>
        </w:rPr>
        <w:t>№</w:t>
      </w:r>
      <w:r w:rsidRPr="00DC7991">
        <w:rPr>
          <w:lang w:val="uk-UA"/>
        </w:rPr>
        <w:t xml:space="preserve"> 21; </w:t>
      </w:r>
      <w:r>
        <w:rPr>
          <w:lang w:val="uk-UA"/>
        </w:rPr>
        <w:t>вищезгадану справу «</w:t>
      </w:r>
      <w:r w:rsidRPr="00036262">
        <w:rPr>
          <w:lang w:val="uk-UA"/>
        </w:rPr>
        <w:t>Енгель та інші проти Нідерландів</w:t>
      </w:r>
      <w:r>
        <w:rPr>
          <w:lang w:val="uk-UA"/>
        </w:rPr>
        <w:t>» (</w:t>
      </w:r>
      <w:r w:rsidRPr="00672163">
        <w:rPr>
          <w:i/>
        </w:rPr>
        <w:t>Engel</w:t>
      </w:r>
      <w:r w:rsidRPr="00DC7991">
        <w:rPr>
          <w:i/>
          <w:lang w:val="uk-UA"/>
        </w:rPr>
        <w:t xml:space="preserve"> </w:t>
      </w:r>
      <w:r w:rsidRPr="00672163">
        <w:rPr>
          <w:i/>
        </w:rPr>
        <w:t>and</w:t>
      </w:r>
      <w:r w:rsidRPr="00DC7991">
        <w:rPr>
          <w:i/>
          <w:lang w:val="uk-UA"/>
        </w:rPr>
        <w:t xml:space="preserve"> </w:t>
      </w:r>
      <w:r w:rsidRPr="00672163">
        <w:rPr>
          <w:i/>
        </w:rPr>
        <w:t>Others</w:t>
      </w:r>
      <w:r>
        <w:rPr>
          <w:i/>
          <w:lang w:val="uk-UA"/>
        </w:rPr>
        <w:t>)</w:t>
      </w:r>
      <w:r w:rsidRPr="00DC7991">
        <w:rPr>
          <w:lang w:val="uk-UA"/>
        </w:rPr>
        <w:t xml:space="preserve">, </w:t>
      </w:r>
      <w:r>
        <w:rPr>
          <w:lang w:val="uk-UA"/>
        </w:rPr>
        <w:t>п.</w:t>
      </w:r>
      <w:r w:rsidRPr="00DC7991">
        <w:rPr>
          <w:lang w:val="uk-UA"/>
        </w:rPr>
        <w:t xml:space="preserve"> 54; </w:t>
      </w:r>
      <w:r>
        <w:rPr>
          <w:lang w:val="uk-UA"/>
        </w:rPr>
        <w:t>вищезгадану справу «</w:t>
      </w:r>
      <w:r w:rsidRPr="00036262">
        <w:rPr>
          <w:lang w:val="uk-UA"/>
        </w:rPr>
        <w:t>Глазенап проти Німеччини</w:t>
      </w:r>
      <w:r>
        <w:rPr>
          <w:lang w:val="uk-UA"/>
        </w:rPr>
        <w:t>» (</w:t>
      </w:r>
      <w:r w:rsidRPr="00011A8F">
        <w:rPr>
          <w:i/>
          <w:lang w:eastAsia="en-US"/>
        </w:rPr>
        <w:t>Glasenapp</w:t>
      </w:r>
      <w:r>
        <w:rPr>
          <w:i/>
          <w:lang w:val="uk-UA" w:eastAsia="en-US"/>
        </w:rPr>
        <w:t>)</w:t>
      </w:r>
      <w:r w:rsidRPr="00DC7991">
        <w:rPr>
          <w:lang w:val="uk-UA" w:eastAsia="en-US"/>
        </w:rPr>
        <w:t xml:space="preserve">, </w:t>
      </w:r>
      <w:r>
        <w:rPr>
          <w:lang w:val="uk-UA" w:eastAsia="en-US"/>
        </w:rPr>
        <w:t xml:space="preserve">п. </w:t>
      </w:r>
      <w:r w:rsidRPr="00DC7991">
        <w:rPr>
          <w:lang w:val="uk-UA" w:eastAsia="en-US"/>
        </w:rPr>
        <w:t xml:space="preserve">49; </w:t>
      </w:r>
      <w:r>
        <w:rPr>
          <w:lang w:val="uk-UA" w:eastAsia="en-US"/>
        </w:rPr>
        <w:t>та «</w:t>
      </w:r>
      <w:r w:rsidRPr="00036262">
        <w:rPr>
          <w:lang w:val="uk-UA" w:eastAsia="en-US"/>
        </w:rPr>
        <w:t>Ахмед та інші проти Сполученого Королівства</w:t>
      </w:r>
      <w:r>
        <w:rPr>
          <w:lang w:val="uk-UA" w:eastAsia="en-US"/>
        </w:rPr>
        <w:t>»</w:t>
      </w:r>
      <w:r w:rsidRPr="00DC7991">
        <w:rPr>
          <w:lang w:val="uk-UA"/>
        </w:rPr>
        <w:t xml:space="preserve"> </w:t>
      </w:r>
      <w:r>
        <w:rPr>
          <w:lang w:val="uk-UA"/>
        </w:rPr>
        <w:t>(</w:t>
      </w:r>
      <w:r w:rsidRPr="003A1177">
        <w:rPr>
          <w:i/>
          <w:lang w:eastAsia="en-US"/>
        </w:rPr>
        <w:t>Ahmed</w:t>
      </w:r>
      <w:r w:rsidRPr="00DC7991">
        <w:rPr>
          <w:i/>
          <w:lang w:val="uk-UA" w:eastAsia="en-US"/>
        </w:rPr>
        <w:t xml:space="preserve"> </w:t>
      </w:r>
      <w:r w:rsidRPr="003A1177">
        <w:rPr>
          <w:i/>
          <w:lang w:eastAsia="en-US"/>
        </w:rPr>
        <w:t>and</w:t>
      </w:r>
      <w:r w:rsidRPr="00DC7991">
        <w:rPr>
          <w:i/>
          <w:lang w:val="uk-UA" w:eastAsia="en-US"/>
        </w:rPr>
        <w:t xml:space="preserve"> </w:t>
      </w:r>
      <w:r w:rsidRPr="003A1177">
        <w:rPr>
          <w:i/>
          <w:lang w:eastAsia="en-US"/>
        </w:rPr>
        <w:t>Others</w:t>
      </w:r>
      <w:r w:rsidRPr="00DC7991">
        <w:rPr>
          <w:i/>
          <w:lang w:val="uk-UA" w:eastAsia="en-US"/>
        </w:rPr>
        <w:t xml:space="preserve"> </w:t>
      </w:r>
      <w:r w:rsidRPr="003A1177">
        <w:rPr>
          <w:i/>
          <w:lang w:eastAsia="en-US"/>
        </w:rPr>
        <w:t>v</w:t>
      </w:r>
      <w:r w:rsidRPr="00DC7991">
        <w:rPr>
          <w:i/>
          <w:lang w:val="uk-UA" w:eastAsia="en-US"/>
        </w:rPr>
        <w:t xml:space="preserve">. </w:t>
      </w:r>
      <w:r w:rsidRPr="003A1177">
        <w:rPr>
          <w:i/>
          <w:lang w:eastAsia="en-US"/>
        </w:rPr>
        <w:t>the</w:t>
      </w:r>
      <w:r w:rsidRPr="00DC7991">
        <w:rPr>
          <w:i/>
          <w:lang w:val="uk-UA" w:eastAsia="en-US"/>
        </w:rPr>
        <w:t xml:space="preserve"> </w:t>
      </w:r>
      <w:r w:rsidRPr="003A1177">
        <w:rPr>
          <w:i/>
          <w:lang w:eastAsia="en-US"/>
        </w:rPr>
        <w:t>United</w:t>
      </w:r>
      <w:r w:rsidRPr="00DC7991">
        <w:rPr>
          <w:i/>
          <w:lang w:val="uk-UA" w:eastAsia="en-US"/>
        </w:rPr>
        <w:t xml:space="preserve"> </w:t>
      </w:r>
      <w:r w:rsidRPr="003A1177">
        <w:rPr>
          <w:i/>
          <w:lang w:eastAsia="en-US"/>
        </w:rPr>
        <w:t>Kingdom</w:t>
      </w:r>
      <w:r>
        <w:rPr>
          <w:i/>
          <w:lang w:val="uk-UA" w:eastAsia="en-US"/>
        </w:rPr>
        <w:t>)</w:t>
      </w:r>
      <w:r w:rsidRPr="00DC7991">
        <w:rPr>
          <w:lang w:val="uk-UA" w:eastAsia="en-US"/>
        </w:rPr>
        <w:t xml:space="preserve">, 2 </w:t>
      </w:r>
      <w:r>
        <w:rPr>
          <w:lang w:val="uk-UA" w:eastAsia="en-US"/>
        </w:rPr>
        <w:t>вересня</w:t>
      </w:r>
      <w:r w:rsidRPr="00DC7991">
        <w:rPr>
          <w:lang w:val="uk-UA" w:eastAsia="en-US"/>
        </w:rPr>
        <w:t xml:space="preserve"> 1998</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56, </w:t>
      </w:r>
      <w:r w:rsidRPr="00036262">
        <w:rPr>
          <w:lang w:val="uk-UA" w:eastAsia="en-US"/>
        </w:rPr>
        <w:t>Збірник</w:t>
      </w:r>
      <w:r w:rsidRPr="00DC7991">
        <w:rPr>
          <w:i/>
          <w:lang w:val="uk-UA" w:eastAsia="en-US"/>
        </w:rPr>
        <w:t xml:space="preserve"> </w:t>
      </w:r>
      <w:r w:rsidRPr="00DC7991">
        <w:rPr>
          <w:lang w:val="uk-UA" w:eastAsia="en-US"/>
        </w:rPr>
        <w:t>1998</w:t>
      </w:r>
      <w:r w:rsidRPr="00DC7991">
        <w:rPr>
          <w:lang w:val="uk-UA" w:eastAsia="en-US"/>
        </w:rPr>
        <w:noBreakHyphen/>
      </w:r>
      <w:r>
        <w:rPr>
          <w:lang w:eastAsia="en-US"/>
        </w:rPr>
        <w:t>VI</w:t>
      </w:r>
      <w:r w:rsidRPr="00DC7991">
        <w:rPr>
          <w:lang w:val="uk-UA" w:eastAsia="en-US"/>
        </w:rPr>
        <w:t>)</w:t>
      </w:r>
      <w:r w:rsidRPr="00DC7991">
        <w:rPr>
          <w:lang w:val="uk-UA"/>
        </w:rPr>
        <w:t>.</w:t>
      </w:r>
    </w:p>
    <w:p w:rsidRPr="00DC7991" w:rsidR="00D002A0" w:rsidP="00590FE2">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59</w:t>
      </w:r>
      <w:r w:rsidRPr="00DC7991">
        <w:rPr>
          <w:lang w:val="uk-UA"/>
        </w:rPr>
        <w:fldChar w:fldCharType="end"/>
      </w:r>
      <w:r w:rsidRPr="00DC7991">
        <w:rPr>
          <w:lang w:val="uk-UA"/>
        </w:rPr>
        <w:t>.</w:t>
      </w:r>
      <w:r>
        <w:t>  </w:t>
      </w:r>
      <w:r>
        <w:rPr>
          <w:lang w:val="uk-UA"/>
        </w:rPr>
        <w:t>Якщо застосовувати обмежувальне тлумачення функціонального критерію, запровадженого у справі «</w:t>
      </w:r>
      <w:r w:rsidRPr="00036262">
        <w:rPr>
          <w:lang w:val="uk-UA"/>
        </w:rPr>
        <w:t>Пеллегрін</w:t>
      </w:r>
      <w:r>
        <w:rPr>
          <w:lang w:val="uk-UA"/>
        </w:rPr>
        <w:t>»</w:t>
      </w:r>
      <w:r w:rsidRPr="00036262">
        <w:rPr>
          <w:lang w:val="uk-UA"/>
        </w:rPr>
        <w:t xml:space="preserve"> </w:t>
      </w:r>
      <w:r>
        <w:rPr>
          <w:lang w:val="uk-UA"/>
        </w:rPr>
        <w:t>(</w:t>
      </w:r>
      <w:r w:rsidRPr="00595C41">
        <w:rPr>
          <w:i/>
        </w:rPr>
        <w:t>Pellegrin</w:t>
      </w:r>
      <w:r>
        <w:rPr>
          <w:i/>
          <w:lang w:val="uk-UA"/>
        </w:rPr>
        <w:t xml:space="preserve">), </w:t>
      </w:r>
      <w:r>
        <w:rPr>
          <w:lang w:val="uk-UA"/>
        </w:rPr>
        <w:t>то випливає, що повинні існувати переконливі причини для позбавлення будь-якої категорії заявників захисту,</w:t>
      </w:r>
      <w:r w:rsidRPr="00DC7991">
        <w:rPr>
          <w:lang w:val="uk-UA"/>
        </w:rPr>
        <w:t xml:space="preserve"> </w:t>
      </w:r>
      <w:r>
        <w:rPr>
          <w:lang w:val="uk-UA"/>
        </w:rPr>
        <w:t>гарантованого пунктом 1 статті 6. У даній справі працівники поліції та секретар, згідно з національним правом, мали право подати на розгляд суду позови про виплату надбавки до заробітної плати. Отже, не було висунуто жодних підстав, пов’язаних з ефективним функціонуванням держави або з іншою державною необхідністю, для того, щоб вимагати позбавлення заявників захисту від несправедливого або занадто тривалого судового розгляду, що надається Конвенцією.</w:t>
      </w:r>
    </w:p>
    <w:p w:rsidRPr="00DC7991" w:rsidR="00D002A0" w:rsidP="00BA5790">
      <w:pPr>
        <w:pStyle w:val="JuPara"/>
        <w:rPr>
          <w:lang w:val="ru-RU" w:eastAsia="en-US"/>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60</w:t>
      </w:r>
      <w:r w:rsidRPr="00DC7991">
        <w:rPr>
          <w:lang w:val="ru-RU"/>
        </w:rPr>
        <w:fldChar w:fldCharType="end"/>
      </w:r>
      <w:r w:rsidRPr="00DC7991">
        <w:rPr>
          <w:lang w:val="ru-RU"/>
        </w:rPr>
        <w:t>.</w:t>
      </w:r>
      <w:r>
        <w:t>  </w:t>
      </w:r>
      <w:r>
        <w:rPr>
          <w:lang w:val="uk-UA"/>
        </w:rPr>
        <w:t xml:space="preserve">Спираючись на європейське право взагалі, яке є джерелом корисних орієнтирів </w:t>
      </w:r>
      <w:r w:rsidRPr="00DC7991">
        <w:rPr>
          <w:lang w:val="ru-RU"/>
        </w:rPr>
        <w:t>(</w:t>
      </w:r>
      <w:r>
        <w:rPr>
          <w:lang w:val="uk-UA"/>
        </w:rPr>
        <w:t>див. «</w:t>
      </w:r>
      <w:r w:rsidRPr="00CD0E6F">
        <w:rPr>
          <w:lang w:val="uk-UA"/>
        </w:rPr>
        <w:t>Крістіна Гудвін</w:t>
      </w:r>
      <w:r w:rsidRPr="00DC7991">
        <w:rPr>
          <w:lang w:val="uk-UA"/>
        </w:rPr>
        <w:t xml:space="preserve"> </w:t>
      </w:r>
      <w:r w:rsidRPr="00CD0E6F">
        <w:rPr>
          <w:lang w:val="uk-UA"/>
        </w:rPr>
        <w:t>проти Сполученого Королівства</w:t>
      </w:r>
      <w:r>
        <w:rPr>
          <w:lang w:val="uk-UA"/>
        </w:rPr>
        <w:t>» (</w:t>
      </w:r>
      <w:r w:rsidRPr="00A47068">
        <w:rPr>
          <w:i/>
          <w:lang w:eastAsia="en-US"/>
        </w:rPr>
        <w:t>Christine</w:t>
      </w:r>
      <w:r w:rsidRPr="00DC7991">
        <w:rPr>
          <w:i/>
          <w:lang w:val="uk-UA" w:eastAsia="en-US"/>
        </w:rPr>
        <w:t xml:space="preserve"> </w:t>
      </w:r>
      <w:r w:rsidRPr="00A47068">
        <w:rPr>
          <w:i/>
          <w:lang w:eastAsia="en-US"/>
        </w:rPr>
        <w:t>Goodwin</w:t>
      </w:r>
      <w:r w:rsidRPr="00DC7991">
        <w:rPr>
          <w:i/>
          <w:lang w:val="uk-UA" w:eastAsia="en-US"/>
        </w:rPr>
        <w:t xml:space="preserve"> </w:t>
      </w:r>
      <w:r w:rsidRPr="00A47068">
        <w:rPr>
          <w:i/>
          <w:lang w:eastAsia="en-US"/>
        </w:rPr>
        <w:t>v</w:t>
      </w:r>
      <w:r w:rsidRPr="00DC7991">
        <w:rPr>
          <w:i/>
          <w:lang w:val="uk-UA" w:eastAsia="en-US"/>
        </w:rPr>
        <w:t xml:space="preserve">. </w:t>
      </w:r>
      <w:r w:rsidRPr="00A47068">
        <w:rPr>
          <w:i/>
          <w:lang w:eastAsia="en-US"/>
        </w:rPr>
        <w:t>the</w:t>
      </w:r>
      <w:r w:rsidRPr="00DC7991">
        <w:rPr>
          <w:i/>
          <w:lang w:val="uk-UA" w:eastAsia="en-US"/>
        </w:rPr>
        <w:t xml:space="preserve"> </w:t>
      </w:r>
      <w:r w:rsidRPr="00A47068">
        <w:rPr>
          <w:i/>
          <w:lang w:eastAsia="en-US"/>
        </w:rPr>
        <w:t>United</w:t>
      </w:r>
      <w:r w:rsidRPr="00DC7991">
        <w:rPr>
          <w:i/>
          <w:lang w:val="uk-UA" w:eastAsia="en-US"/>
        </w:rPr>
        <w:t xml:space="preserve"> </w:t>
      </w:r>
      <w:r w:rsidRPr="00A47068">
        <w:rPr>
          <w:i/>
          <w:lang w:eastAsia="en-US"/>
        </w:rPr>
        <w:t>Kingdom</w:t>
      </w:r>
      <w:r>
        <w:rPr>
          <w:i/>
          <w:lang w:val="uk-UA" w:eastAsia="en-US"/>
        </w:rPr>
        <w:t>)</w:t>
      </w:r>
      <w:r w:rsidRPr="00DC7991">
        <w:rPr>
          <w:lang w:val="uk-UA" w:eastAsia="en-US"/>
        </w:rPr>
        <w:t xml:space="preserve"> [</w:t>
      </w:r>
      <w:r>
        <w:rPr>
          <w:lang w:val="uk-UA" w:eastAsia="en-US"/>
        </w:rPr>
        <w:t>ВП</w:t>
      </w:r>
      <w:r w:rsidRPr="00DC7991">
        <w:rPr>
          <w:lang w:val="uk-UA" w:eastAsia="en-US"/>
        </w:rPr>
        <w:t xml:space="preserve">], </w:t>
      </w:r>
      <w:r>
        <w:rPr>
          <w:lang w:val="uk-UA" w:eastAsia="en-US"/>
        </w:rPr>
        <w:t>№</w:t>
      </w:r>
      <w:r w:rsidRPr="00DC7991">
        <w:rPr>
          <w:lang w:val="uk-UA" w:eastAsia="en-US"/>
        </w:rPr>
        <w:t xml:space="preserve"> 28957/95, </w:t>
      </w:r>
      <w:r>
        <w:rPr>
          <w:lang w:val="uk-UA" w:eastAsia="en-US"/>
        </w:rPr>
        <w:t>пп.</w:t>
      </w:r>
      <w:r>
        <w:rPr>
          <w:lang w:eastAsia="en-US"/>
        </w:rPr>
        <w:t> </w:t>
      </w:r>
      <w:r w:rsidRPr="00DC7991">
        <w:rPr>
          <w:lang w:val="uk-UA" w:eastAsia="en-US"/>
        </w:rPr>
        <w:t>43</w:t>
      </w:r>
      <w:r w:rsidRPr="00DC7991">
        <w:rPr>
          <w:lang w:val="uk-UA" w:eastAsia="en-US"/>
        </w:rPr>
        <w:noBreakHyphen/>
        <w:t xml:space="preserve">45, 92 </w:t>
      </w:r>
      <w:r>
        <w:rPr>
          <w:lang w:val="uk-UA" w:eastAsia="en-US"/>
        </w:rPr>
        <w:t xml:space="preserve">та </w:t>
      </w:r>
      <w:r w:rsidRPr="00DC7991">
        <w:rPr>
          <w:lang w:val="uk-UA" w:eastAsia="en-US"/>
        </w:rPr>
        <w:t xml:space="preserve">100, </w:t>
      </w:r>
      <w:r w:rsidRPr="00A47068">
        <w:rPr>
          <w:lang w:eastAsia="en-US"/>
        </w:rPr>
        <w:t>ECHR</w:t>
      </w:r>
      <w:r w:rsidRPr="00DC7991">
        <w:rPr>
          <w:lang w:val="uk-UA" w:eastAsia="en-US"/>
        </w:rPr>
        <w:t xml:space="preserve"> 2002</w:t>
      </w:r>
      <w:r w:rsidRPr="00DC7991">
        <w:rPr>
          <w:lang w:val="uk-UA" w:eastAsia="en-US"/>
        </w:rPr>
        <w:noBreakHyphen/>
      </w:r>
      <w:r w:rsidRPr="00A47068">
        <w:rPr>
          <w:lang w:eastAsia="en-US"/>
        </w:rPr>
        <w:t>VI</w:t>
      </w:r>
      <w:r w:rsidRPr="00DC7991">
        <w:rPr>
          <w:lang w:val="uk-UA" w:eastAsia="en-US"/>
        </w:rPr>
        <w:t xml:space="preserve">; </w:t>
      </w:r>
      <w:r>
        <w:rPr>
          <w:lang w:val="uk-UA" w:eastAsia="en-US"/>
        </w:rPr>
        <w:t>«</w:t>
      </w:r>
      <w:r w:rsidRPr="00CD0E6F">
        <w:rPr>
          <w:lang w:val="uk-UA" w:eastAsia="en-US"/>
        </w:rPr>
        <w:t>Пості та Рахко проти Фінляндії</w:t>
      </w:r>
      <w:r>
        <w:rPr>
          <w:lang w:val="uk-UA" w:eastAsia="en-US"/>
        </w:rPr>
        <w:t>» (</w:t>
      </w:r>
      <w:r w:rsidRPr="001A62BD">
        <w:rPr>
          <w:i/>
          <w:lang w:eastAsia="en-US"/>
        </w:rPr>
        <w:t>Posti</w:t>
      </w:r>
      <w:r w:rsidRPr="00DC7991">
        <w:rPr>
          <w:i/>
          <w:lang w:val="uk-UA" w:eastAsia="en-US"/>
        </w:rPr>
        <w:t xml:space="preserve"> </w:t>
      </w:r>
      <w:r w:rsidRPr="001A62BD">
        <w:rPr>
          <w:i/>
          <w:lang w:eastAsia="en-US"/>
        </w:rPr>
        <w:t>and</w:t>
      </w:r>
      <w:r w:rsidRPr="00DC7991">
        <w:rPr>
          <w:i/>
          <w:lang w:val="uk-UA" w:eastAsia="en-US"/>
        </w:rPr>
        <w:t xml:space="preserve"> </w:t>
      </w:r>
      <w:r w:rsidRPr="001A62BD">
        <w:rPr>
          <w:i/>
          <w:lang w:eastAsia="en-US"/>
        </w:rPr>
        <w:t>Rahko</w:t>
      </w:r>
      <w:r w:rsidRPr="00DC7991">
        <w:rPr>
          <w:i/>
          <w:lang w:val="uk-UA" w:eastAsia="en-US"/>
        </w:rPr>
        <w:t xml:space="preserve"> </w:t>
      </w:r>
      <w:r w:rsidRPr="001A62BD">
        <w:rPr>
          <w:i/>
          <w:lang w:eastAsia="en-US"/>
        </w:rPr>
        <w:t>v</w:t>
      </w:r>
      <w:r w:rsidRPr="00DC7991">
        <w:rPr>
          <w:i/>
          <w:lang w:val="uk-UA" w:eastAsia="en-US"/>
        </w:rPr>
        <w:t xml:space="preserve">. </w:t>
      </w:r>
      <w:r w:rsidRPr="001A62BD">
        <w:rPr>
          <w:i/>
          <w:lang w:eastAsia="en-US"/>
        </w:rPr>
        <w:t>Finland</w:t>
      </w:r>
      <w:r>
        <w:rPr>
          <w:i/>
          <w:lang w:val="uk-UA" w:eastAsia="en-US"/>
        </w:rPr>
        <w:t>)</w:t>
      </w:r>
      <w:r w:rsidRPr="00DC7991">
        <w:rPr>
          <w:lang w:val="uk-UA" w:eastAsia="en-US"/>
        </w:rPr>
        <w:t xml:space="preserve">, </w:t>
      </w:r>
      <w:r>
        <w:rPr>
          <w:lang w:val="uk-UA" w:eastAsia="en-US"/>
        </w:rPr>
        <w:t>№</w:t>
      </w:r>
      <w:r>
        <w:rPr>
          <w:lang w:eastAsia="en-US"/>
        </w:rPr>
        <w:t> </w:t>
      </w:r>
      <w:r w:rsidRPr="00DC7991">
        <w:rPr>
          <w:lang w:val="uk-UA" w:eastAsia="en-US"/>
        </w:rPr>
        <w:t xml:space="preserve">27824/95, </w:t>
      </w:r>
      <w:r>
        <w:rPr>
          <w:lang w:val="uk-UA" w:eastAsia="en-US"/>
        </w:rPr>
        <w:t>п.</w:t>
      </w:r>
      <w:r w:rsidRPr="00DC7991">
        <w:rPr>
          <w:lang w:val="uk-UA" w:eastAsia="en-US"/>
        </w:rPr>
        <w:t xml:space="preserve"> 54, </w:t>
      </w:r>
      <w:r w:rsidRPr="001A62BD">
        <w:rPr>
          <w:lang w:eastAsia="en-US"/>
        </w:rPr>
        <w:t>ECHR</w:t>
      </w:r>
      <w:r w:rsidRPr="00DC7991">
        <w:rPr>
          <w:lang w:val="uk-UA" w:eastAsia="en-US"/>
        </w:rPr>
        <w:t xml:space="preserve"> 2002</w:t>
      </w:r>
      <w:r w:rsidRPr="00DC7991">
        <w:rPr>
          <w:lang w:val="uk-UA" w:eastAsia="en-US"/>
        </w:rPr>
        <w:noBreakHyphen/>
      </w:r>
      <w:r w:rsidRPr="001A62BD">
        <w:rPr>
          <w:lang w:eastAsia="en-US"/>
        </w:rPr>
        <w:t>VII</w:t>
      </w:r>
      <w:r w:rsidRPr="00DC7991">
        <w:rPr>
          <w:lang w:val="uk-UA" w:eastAsia="en-US"/>
        </w:rPr>
        <w:t xml:space="preserve">; </w:t>
      </w:r>
      <w:r>
        <w:rPr>
          <w:lang w:val="uk-UA" w:eastAsia="en-US"/>
        </w:rPr>
        <w:t>та</w:t>
      </w:r>
      <w:r w:rsidRPr="00DC7991">
        <w:rPr>
          <w:lang w:val="uk-UA" w:eastAsia="en-US"/>
        </w:rPr>
        <w:t xml:space="preserve"> </w:t>
      </w:r>
      <w:r>
        <w:rPr>
          <w:lang w:val="uk-UA" w:eastAsia="en-US"/>
        </w:rPr>
        <w:t>«</w:t>
      </w:r>
      <w:r w:rsidRPr="00CD0E6F">
        <w:rPr>
          <w:lang w:val="uk-UA" w:eastAsia="en-US"/>
        </w:rPr>
        <w:t>Мефта та інші проти Франції</w:t>
      </w:r>
      <w:r>
        <w:rPr>
          <w:lang w:val="uk-UA" w:eastAsia="en-US"/>
        </w:rPr>
        <w:t>» (</w:t>
      </w:r>
      <w:r w:rsidRPr="001A62BD">
        <w:rPr>
          <w:i/>
          <w:lang w:eastAsia="en-US"/>
        </w:rPr>
        <w:t>Meftah</w:t>
      </w:r>
      <w:r w:rsidRPr="00DC7991">
        <w:rPr>
          <w:i/>
          <w:lang w:val="uk-UA" w:eastAsia="en-US"/>
        </w:rPr>
        <w:t xml:space="preserve"> </w:t>
      </w:r>
      <w:r w:rsidRPr="001A62BD">
        <w:rPr>
          <w:i/>
          <w:lang w:eastAsia="en-US"/>
        </w:rPr>
        <w:t>and</w:t>
      </w:r>
      <w:r w:rsidRPr="00DC7991">
        <w:rPr>
          <w:i/>
          <w:lang w:val="uk-UA" w:eastAsia="en-US"/>
        </w:rPr>
        <w:t xml:space="preserve"> </w:t>
      </w:r>
      <w:r w:rsidRPr="001A62BD">
        <w:rPr>
          <w:i/>
          <w:lang w:eastAsia="en-US"/>
        </w:rPr>
        <w:t>Others</w:t>
      </w:r>
      <w:r w:rsidRPr="00DC7991">
        <w:rPr>
          <w:i/>
          <w:lang w:val="uk-UA" w:eastAsia="en-US"/>
        </w:rPr>
        <w:t xml:space="preserve"> </w:t>
      </w:r>
      <w:r w:rsidRPr="001A62BD">
        <w:rPr>
          <w:i/>
          <w:lang w:eastAsia="en-US"/>
        </w:rPr>
        <w:t>v</w:t>
      </w:r>
      <w:r w:rsidRPr="00DC7991">
        <w:rPr>
          <w:i/>
          <w:lang w:val="uk-UA" w:eastAsia="en-US"/>
        </w:rPr>
        <w:t xml:space="preserve">. </w:t>
      </w:r>
      <w:r w:rsidRPr="001A62BD">
        <w:rPr>
          <w:i/>
          <w:lang w:eastAsia="en-US"/>
        </w:rPr>
        <w:t>France</w:t>
      </w:r>
      <w:r>
        <w:rPr>
          <w:i/>
          <w:lang w:val="uk-UA" w:eastAsia="en-US"/>
        </w:rPr>
        <w:t>)</w:t>
      </w:r>
      <w:r w:rsidRPr="00DC7991">
        <w:rPr>
          <w:lang w:val="uk-UA" w:eastAsia="en-US"/>
        </w:rPr>
        <w:t xml:space="preserve"> [</w:t>
      </w:r>
      <w:r>
        <w:rPr>
          <w:lang w:val="uk-UA" w:eastAsia="en-US"/>
        </w:rPr>
        <w:t>ВП</w:t>
      </w:r>
      <w:r w:rsidRPr="00DC7991">
        <w:rPr>
          <w:lang w:val="uk-UA" w:eastAsia="en-US"/>
        </w:rPr>
        <w:t xml:space="preserve">], </w:t>
      </w:r>
      <w:r>
        <w:rPr>
          <w:lang w:val="uk-UA" w:eastAsia="en-US"/>
        </w:rPr>
        <w:t>№</w:t>
      </w:r>
      <w:r w:rsidRPr="00DC7991">
        <w:rPr>
          <w:lang w:val="uk-UA" w:eastAsia="en-US"/>
        </w:rPr>
        <w:t xml:space="preserve"> 32911/96, 35237/97 </w:t>
      </w:r>
      <w:r>
        <w:rPr>
          <w:lang w:val="uk-UA" w:eastAsia="en-US"/>
        </w:rPr>
        <w:t>та</w:t>
      </w:r>
      <w:r w:rsidRPr="00DC7991">
        <w:rPr>
          <w:lang w:val="uk-UA" w:eastAsia="en-US"/>
        </w:rPr>
        <w:t xml:space="preserve"> 34595/97, </w:t>
      </w:r>
      <w:r>
        <w:rPr>
          <w:lang w:val="uk-UA" w:eastAsia="en-US"/>
        </w:rPr>
        <w:t>п.</w:t>
      </w:r>
      <w:r w:rsidRPr="00DC7991">
        <w:rPr>
          <w:lang w:val="uk-UA" w:eastAsia="en-US"/>
        </w:rPr>
        <w:t xml:space="preserve"> 45, </w:t>
      </w:r>
      <w:r w:rsidRPr="001A62BD">
        <w:rPr>
          <w:lang w:eastAsia="en-US"/>
        </w:rPr>
        <w:t>ECHR</w:t>
      </w:r>
      <w:r w:rsidRPr="00DC7991">
        <w:rPr>
          <w:lang w:val="uk-UA" w:eastAsia="en-US"/>
        </w:rPr>
        <w:t xml:space="preserve"> 2002</w:t>
      </w:r>
      <w:r w:rsidRPr="00DC7991">
        <w:rPr>
          <w:lang w:val="uk-UA" w:eastAsia="en-US"/>
        </w:rPr>
        <w:noBreakHyphen/>
      </w:r>
      <w:r w:rsidRPr="001A62BD">
        <w:rPr>
          <w:lang w:eastAsia="en-US"/>
        </w:rPr>
        <w:t>VII</w:t>
      </w:r>
      <w:r w:rsidRPr="00DC7991">
        <w:rPr>
          <w:lang w:val="uk-UA" w:eastAsia="en-US"/>
        </w:rPr>
        <w:t>)</w:t>
      </w:r>
      <w:r w:rsidRPr="00DC7991">
        <w:rPr>
          <w:lang w:val="uk-UA"/>
        </w:rPr>
        <w:t xml:space="preserve">, </w:t>
      </w:r>
      <w:r>
        <w:rPr>
          <w:lang w:val="uk-UA"/>
        </w:rPr>
        <w:t>Суд зазначає, що у своєму рішенні у справі «</w:t>
      </w:r>
      <w:r w:rsidRPr="00CD0E6F">
        <w:rPr>
          <w:lang w:val="uk-UA"/>
        </w:rPr>
        <w:t>Пеллегрін</w:t>
      </w:r>
      <w:r>
        <w:rPr>
          <w:lang w:val="uk-UA"/>
        </w:rPr>
        <w:t>»</w:t>
      </w:r>
      <w:r w:rsidRPr="00CD0E6F">
        <w:rPr>
          <w:lang w:val="uk-UA"/>
        </w:rPr>
        <w:t xml:space="preserve"> </w:t>
      </w:r>
      <w:r>
        <w:rPr>
          <w:lang w:val="uk-UA"/>
        </w:rPr>
        <w:t>(</w:t>
      </w:r>
      <w:r w:rsidRPr="00BA3695">
        <w:rPr>
          <w:i/>
        </w:rPr>
        <w:t>Pellegrin</w:t>
      </w:r>
      <w:r>
        <w:rPr>
          <w:i/>
          <w:lang w:val="uk-UA"/>
        </w:rPr>
        <w:t>)</w:t>
      </w:r>
      <w:r w:rsidRPr="00DC7991">
        <w:rPr>
          <w:lang w:val="uk-UA"/>
        </w:rPr>
        <w:t xml:space="preserve"> </w:t>
      </w:r>
      <w:r>
        <w:rPr>
          <w:lang w:val="uk-UA"/>
        </w:rPr>
        <w:t>він керується категоріями діяльності та посад, що перелічені Європейською комісією та Судом Європейських співтовариств у зв’язку з відступом від принципу свободи пересування (див. «</w:t>
      </w:r>
      <w:r w:rsidRPr="00CD0E6F">
        <w:rPr>
          <w:lang w:val="uk-UA"/>
        </w:rPr>
        <w:t>Пеллегрін</w:t>
      </w:r>
      <w:r>
        <w:rPr>
          <w:lang w:val="uk-UA"/>
        </w:rPr>
        <w:t>» (</w:t>
      </w:r>
      <w:r w:rsidRPr="00BA3695">
        <w:rPr>
          <w:i/>
        </w:rPr>
        <w:t>Pellegrin</w:t>
      </w:r>
      <w:r>
        <w:rPr>
          <w:lang w:val="uk-UA"/>
        </w:rPr>
        <w:t>), п. 66). Однак Суд відзначає, що Суд ЄС сам застосовує більш широкий підхід на користь судового контролю, про що свідчить його принципіально нове рішення у справі «</w:t>
      </w:r>
      <w:r w:rsidRPr="00CD0E6F">
        <w:rPr>
          <w:lang w:val="uk-UA"/>
        </w:rPr>
        <w:t>Маргаріта Джонстон проти головного констебля Королівської поліції Ольстера</w:t>
      </w:r>
      <w:r>
        <w:rPr>
          <w:lang w:val="uk-UA"/>
        </w:rPr>
        <w:t>»</w:t>
      </w:r>
      <w:r w:rsidRPr="00CD0E6F">
        <w:rPr>
          <w:lang w:val="uk-UA"/>
        </w:rPr>
        <w:t xml:space="preserve"> </w:t>
      </w:r>
      <w:r>
        <w:rPr>
          <w:lang w:val="uk-UA"/>
        </w:rPr>
        <w:t>(</w:t>
      </w:r>
      <w:r w:rsidRPr="00575AFD">
        <w:rPr>
          <w:i/>
          <w:iCs/>
        </w:rPr>
        <w:t>Marguerite</w:t>
      </w:r>
      <w:r w:rsidRPr="00DC7991">
        <w:rPr>
          <w:i/>
          <w:iCs/>
          <w:lang w:val="uk-UA"/>
        </w:rPr>
        <w:t xml:space="preserve"> </w:t>
      </w:r>
      <w:r w:rsidRPr="00575AFD">
        <w:rPr>
          <w:i/>
          <w:iCs/>
        </w:rPr>
        <w:t>Johnston</w:t>
      </w:r>
      <w:r w:rsidRPr="00DC7991">
        <w:rPr>
          <w:i/>
          <w:lang w:val="uk-UA"/>
        </w:rPr>
        <w:t xml:space="preserve"> </w:t>
      </w:r>
      <w:r w:rsidRPr="00FD0051">
        <w:rPr>
          <w:i/>
        </w:rPr>
        <w:t>v</w:t>
      </w:r>
      <w:r w:rsidRPr="00DC7991">
        <w:rPr>
          <w:i/>
          <w:lang w:val="uk-UA"/>
        </w:rPr>
        <w:t xml:space="preserve">. </w:t>
      </w:r>
      <w:r w:rsidRPr="00FD0051">
        <w:rPr>
          <w:i/>
        </w:rPr>
        <w:t>Chief</w:t>
      </w:r>
      <w:r w:rsidRPr="00DC7991">
        <w:rPr>
          <w:i/>
          <w:lang w:val="uk-UA"/>
        </w:rPr>
        <w:t xml:space="preserve"> </w:t>
      </w:r>
      <w:r w:rsidRPr="00FD0051">
        <w:rPr>
          <w:i/>
        </w:rPr>
        <w:t>Constable</w:t>
      </w:r>
      <w:r w:rsidRPr="00DC7991">
        <w:rPr>
          <w:i/>
          <w:lang w:val="uk-UA"/>
        </w:rPr>
        <w:t xml:space="preserve"> </w:t>
      </w:r>
      <w:r w:rsidRPr="00FD0051">
        <w:rPr>
          <w:i/>
        </w:rPr>
        <w:t>of</w:t>
      </w:r>
      <w:r w:rsidRPr="00DC7991">
        <w:rPr>
          <w:i/>
          <w:lang w:val="uk-UA"/>
        </w:rPr>
        <w:t xml:space="preserve"> </w:t>
      </w:r>
      <w:r w:rsidRPr="00FD0051">
        <w:rPr>
          <w:i/>
        </w:rPr>
        <w:t>the</w:t>
      </w:r>
      <w:r w:rsidRPr="00DC7991">
        <w:rPr>
          <w:i/>
          <w:lang w:val="uk-UA"/>
        </w:rPr>
        <w:t xml:space="preserve"> </w:t>
      </w:r>
      <w:r w:rsidRPr="00FD0051">
        <w:rPr>
          <w:i/>
        </w:rPr>
        <w:t>Royal</w:t>
      </w:r>
      <w:r w:rsidRPr="00DC7991">
        <w:rPr>
          <w:i/>
          <w:lang w:val="uk-UA"/>
        </w:rPr>
        <w:t xml:space="preserve"> </w:t>
      </w:r>
      <w:r w:rsidRPr="00FD0051">
        <w:rPr>
          <w:i/>
        </w:rPr>
        <w:t>Ulster</w:t>
      </w:r>
      <w:r w:rsidRPr="00DC7991">
        <w:rPr>
          <w:i/>
          <w:lang w:val="uk-UA"/>
        </w:rPr>
        <w:t xml:space="preserve"> </w:t>
      </w:r>
      <w:r w:rsidRPr="00FD0051">
        <w:rPr>
          <w:i/>
        </w:rPr>
        <w:t>Constabulary</w:t>
      </w:r>
      <w:r>
        <w:rPr>
          <w:i/>
          <w:lang w:val="uk-UA"/>
        </w:rPr>
        <w:t>)</w:t>
      </w:r>
      <w:r w:rsidRPr="00DC7991">
        <w:rPr>
          <w:lang w:val="uk-UA"/>
        </w:rPr>
        <w:t xml:space="preserve"> (</w:t>
      </w:r>
      <w:r>
        <w:rPr>
          <w:lang w:val="uk-UA"/>
        </w:rPr>
        <w:t>справа</w:t>
      </w:r>
      <w:r w:rsidRPr="00DC7991">
        <w:rPr>
          <w:lang w:val="uk-UA"/>
        </w:rPr>
        <w:t xml:space="preserve"> 222/84, </w:t>
      </w:r>
      <w:r>
        <w:rPr>
          <w:lang w:val="uk-UA"/>
        </w:rPr>
        <w:t>п.</w:t>
      </w:r>
      <w:r w:rsidRPr="00DC7991">
        <w:rPr>
          <w:lang w:val="uk-UA"/>
        </w:rPr>
        <w:t xml:space="preserve"> 18, [1986] </w:t>
      </w:r>
      <w:r>
        <w:t>ECR</w:t>
      </w:r>
      <w:r w:rsidRPr="00DC7991">
        <w:rPr>
          <w:lang w:val="uk-UA"/>
        </w:rPr>
        <w:t xml:space="preserve"> 1651)</w:t>
      </w:r>
      <w:r>
        <w:rPr>
          <w:lang w:val="uk-UA"/>
        </w:rPr>
        <w:t>, порушеній за заявою працівниці поліції на підставі Директиви про недискримінацію. Суд ЄС дійшов таких висновків</w:t>
      </w:r>
      <w:r w:rsidRPr="00DC7991">
        <w:rPr>
          <w:lang w:val="ru-RU"/>
        </w:rPr>
        <w:t>:</w:t>
      </w:r>
    </w:p>
    <w:p w:rsidRPr="00DC7991" w:rsidR="00D002A0" w:rsidP="00BA5790">
      <w:pPr>
        <w:pStyle w:val="JuQuot"/>
        <w:rPr>
          <w:lang w:val="uk-UA"/>
        </w:rPr>
      </w:pPr>
      <w:r w:rsidRPr="00DC7991">
        <w:rPr>
          <w:lang w:val="ru-RU"/>
        </w:rPr>
        <w:t>“</w:t>
      </w:r>
      <w:r>
        <w:rPr>
          <w:lang w:val="uk-UA"/>
        </w:rPr>
        <w:t>Вимога щодо судового контролю, яка міститься у статті 6 Директиви ЄС, відбиває загальний правовий принцип, що лежить в основі спільних для держав-членів конституційних традицій. Цей принцип є також закріпленим у статтях 6 та 13 Європейської конвенції про захист прав людини і основних свобод від 4 листопада 1950 року. Як було визнано Європейським парламентом, Радою ЄС та Європейською комісією у Спільній декларації від 5 квітня 1977 року... а також у прецедентній практиці Суду, принципи, на яких ґрунтується ця Конвенція, повинні братися до уваги і в рамках права Європейського співтовариства</w:t>
      </w:r>
      <w:r w:rsidRPr="00DC7991">
        <w:rPr>
          <w:lang w:val="uk-UA"/>
        </w:rPr>
        <w:t>.”</w:t>
      </w:r>
    </w:p>
    <w:p w:rsidRPr="00DC7991" w:rsidR="00D002A0" w:rsidP="00BA5790">
      <w:pPr>
        <w:pStyle w:val="JuPara"/>
        <w:rPr>
          <w:lang w:val="ru-RU"/>
        </w:rPr>
      </w:pPr>
      <w:r>
        <w:rPr>
          <w:lang w:val="uk-UA"/>
        </w:rPr>
        <w:t xml:space="preserve">Ця та інша прецедентна практика в питаннях, пов’язаних із правом ЄС, показують, що сфера застосування принципу судового контролю в праві ЄС є широкою. Якщо особа може скористатися матеріальним правом, гарантованим правом ЄС, то її статус носія державної влади не впливає на застосовність вимоги судового контролю. Більше того, посилаючись на статті 6 та 13 Конвенції </w:t>
      </w:r>
      <w:r w:rsidRPr="00DC7991">
        <w:rPr>
          <w:lang w:val="uk-UA"/>
        </w:rPr>
        <w:t>(</w:t>
      </w:r>
      <w:r>
        <w:rPr>
          <w:lang w:val="uk-UA"/>
        </w:rPr>
        <w:t>див. вищезгадану справу «</w:t>
      </w:r>
      <w:r w:rsidRPr="000B4905">
        <w:rPr>
          <w:lang w:val="uk-UA"/>
        </w:rPr>
        <w:t>Маргаріта Джонстон</w:t>
      </w:r>
      <w:r>
        <w:rPr>
          <w:lang w:val="uk-UA"/>
        </w:rPr>
        <w:t>» (</w:t>
      </w:r>
      <w:r w:rsidRPr="004866F5">
        <w:rPr>
          <w:i/>
        </w:rPr>
        <w:t>Marguerite</w:t>
      </w:r>
      <w:r w:rsidRPr="00DC7991">
        <w:rPr>
          <w:i/>
          <w:iCs/>
          <w:lang w:val="uk-UA"/>
        </w:rPr>
        <w:t xml:space="preserve"> </w:t>
      </w:r>
      <w:r w:rsidRPr="00375A9C">
        <w:rPr>
          <w:i/>
        </w:rPr>
        <w:t>Johnston</w:t>
      </w:r>
      <w:r>
        <w:rPr>
          <w:i/>
          <w:lang w:val="uk-UA"/>
        </w:rPr>
        <w:t xml:space="preserve">) </w:t>
      </w:r>
      <w:r w:rsidRPr="000B4905">
        <w:rPr>
          <w:lang w:val="uk-UA"/>
        </w:rPr>
        <w:t xml:space="preserve">та справу </w:t>
      </w:r>
      <w:r>
        <w:rPr>
          <w:lang w:val="uk-UA"/>
        </w:rPr>
        <w:t>«</w:t>
      </w:r>
      <w:r w:rsidRPr="000B4905">
        <w:rPr>
          <w:lang w:val="uk-UA"/>
        </w:rPr>
        <w:t>Панайотова та інші проти Міністра зовнішньої торгівлі та інтеграції</w:t>
      </w:r>
      <w:r>
        <w:rPr>
          <w:lang w:val="uk-UA"/>
        </w:rPr>
        <w:t>»</w:t>
      </w:r>
      <w:r w:rsidRPr="00DC7991">
        <w:rPr>
          <w:lang w:val="uk-UA"/>
        </w:rPr>
        <w:t xml:space="preserve"> </w:t>
      </w:r>
      <w:r>
        <w:rPr>
          <w:lang w:val="uk-UA"/>
        </w:rPr>
        <w:t>(</w:t>
      </w:r>
      <w:r w:rsidRPr="00375A9C">
        <w:rPr>
          <w:i/>
        </w:rPr>
        <w:t>Panayotova</w:t>
      </w:r>
      <w:r w:rsidRPr="00DC7991">
        <w:rPr>
          <w:i/>
          <w:lang w:val="uk-UA"/>
        </w:rPr>
        <w:t xml:space="preserve"> </w:t>
      </w:r>
      <w:r w:rsidRPr="00375A9C">
        <w:rPr>
          <w:i/>
        </w:rPr>
        <w:t>and</w:t>
      </w:r>
      <w:r w:rsidRPr="00DC7991">
        <w:rPr>
          <w:i/>
          <w:lang w:val="uk-UA"/>
        </w:rPr>
        <w:t xml:space="preserve"> </w:t>
      </w:r>
      <w:r w:rsidRPr="00375A9C">
        <w:rPr>
          <w:i/>
        </w:rPr>
        <w:t>Others</w:t>
      </w:r>
      <w:r w:rsidRPr="00DC7991">
        <w:rPr>
          <w:i/>
          <w:lang w:val="uk-UA"/>
        </w:rPr>
        <w:t xml:space="preserve"> </w:t>
      </w:r>
      <w:r w:rsidRPr="00375A9C">
        <w:rPr>
          <w:i/>
        </w:rPr>
        <w:t>v</w:t>
      </w:r>
      <w:r w:rsidRPr="00DC7991">
        <w:rPr>
          <w:i/>
          <w:lang w:val="uk-UA"/>
        </w:rPr>
        <w:t xml:space="preserve">. </w:t>
      </w:r>
      <w:r w:rsidRPr="00375A9C">
        <w:rPr>
          <w:i/>
        </w:rPr>
        <w:t>Minister</w:t>
      </w:r>
      <w:r w:rsidRPr="00DC7991">
        <w:rPr>
          <w:i/>
          <w:lang w:val="uk-UA"/>
        </w:rPr>
        <w:t xml:space="preserve"> </w:t>
      </w:r>
      <w:r w:rsidRPr="00375A9C">
        <w:rPr>
          <w:i/>
        </w:rPr>
        <w:t>voor</w:t>
      </w:r>
      <w:r w:rsidRPr="00DC7991">
        <w:rPr>
          <w:i/>
          <w:lang w:val="uk-UA"/>
        </w:rPr>
        <w:t xml:space="preserve"> </w:t>
      </w:r>
      <w:r w:rsidRPr="00375A9C">
        <w:rPr>
          <w:i/>
        </w:rPr>
        <w:t>Vreemdelingenzaken</w:t>
      </w:r>
      <w:r w:rsidRPr="00DC7991">
        <w:rPr>
          <w:i/>
          <w:lang w:val="uk-UA"/>
        </w:rPr>
        <w:t xml:space="preserve"> </w:t>
      </w:r>
      <w:r w:rsidRPr="00375A9C">
        <w:rPr>
          <w:i/>
        </w:rPr>
        <w:t>en</w:t>
      </w:r>
      <w:r w:rsidRPr="00DC7991">
        <w:rPr>
          <w:i/>
          <w:lang w:val="uk-UA"/>
        </w:rPr>
        <w:t xml:space="preserve"> </w:t>
      </w:r>
      <w:r w:rsidRPr="00375A9C">
        <w:rPr>
          <w:i/>
        </w:rPr>
        <w:t>Integratie</w:t>
      </w:r>
      <w:r>
        <w:rPr>
          <w:i/>
          <w:lang w:val="uk-UA"/>
        </w:rPr>
        <w:t>)</w:t>
      </w:r>
      <w:r w:rsidRPr="00DC7991">
        <w:rPr>
          <w:lang w:val="uk-UA"/>
        </w:rPr>
        <w:t>,</w:t>
      </w:r>
      <w:r w:rsidRPr="00DC7991">
        <w:rPr>
          <w:rFonts w:ascii="Times New (W1)" w:hAnsi="Times New (W1)"/>
          <w:lang w:val="uk-UA"/>
        </w:rPr>
        <w:t xml:space="preserve"> </w:t>
      </w:r>
      <w:r>
        <w:rPr>
          <w:rFonts w:ascii="Calibri" w:hAnsi="Calibri"/>
          <w:lang w:val="uk-UA"/>
        </w:rPr>
        <w:t>справа</w:t>
      </w:r>
      <w:r w:rsidRPr="00F10C79">
        <w:t> C</w:t>
      </w:r>
      <w:r w:rsidRPr="00DC7991">
        <w:rPr>
          <w:lang w:val="uk-UA"/>
        </w:rPr>
        <w:noBreakHyphen/>
        <w:t xml:space="preserve">327/02, [2004] </w:t>
      </w:r>
      <w:r w:rsidRPr="00F10C79">
        <w:t>ECR</w:t>
      </w:r>
      <w:r w:rsidRPr="00DC7991">
        <w:rPr>
          <w:lang w:val="uk-UA"/>
        </w:rPr>
        <w:t xml:space="preserve"> </w:t>
      </w:r>
      <w:r w:rsidRPr="00F10C79">
        <w:t>I</w:t>
      </w:r>
      <w:r w:rsidRPr="00DC7991">
        <w:rPr>
          <w:lang w:val="uk-UA"/>
        </w:rPr>
        <w:t xml:space="preserve">-11055, </w:t>
      </w:r>
      <w:r>
        <w:rPr>
          <w:lang w:val="uk-UA"/>
        </w:rPr>
        <w:t>п.</w:t>
      </w:r>
      <w:r w:rsidRPr="00DC7991">
        <w:rPr>
          <w:lang w:val="uk-UA"/>
        </w:rPr>
        <w:t xml:space="preserve"> 27), </w:t>
      </w:r>
      <w:r>
        <w:rPr>
          <w:lang w:val="uk-UA"/>
        </w:rPr>
        <w:t>Суд ЄС наголосив на широкій сфері застосування принципу ефективного судового контролю. Це також підкреслюється в Хартії ЄС про основні права (див. пп. 29-30 вище).</w:t>
      </w:r>
    </w:p>
    <w:p w:rsidRPr="00DC7991" w:rsidR="00D002A0" w:rsidP="00D716E2">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61</w:t>
      </w:r>
      <w:r w:rsidRPr="00DC7991">
        <w:rPr>
          <w:lang w:val="ru-RU"/>
        </w:rPr>
        <w:fldChar w:fldCharType="end"/>
      </w:r>
      <w:r w:rsidRPr="00DC7991">
        <w:rPr>
          <w:lang w:val="ru-RU"/>
        </w:rPr>
        <w:t>.</w:t>
      </w:r>
      <w:r>
        <w:t>  </w:t>
      </w:r>
      <w:r>
        <w:rPr>
          <w:lang w:val="uk-UA"/>
        </w:rPr>
        <w:t xml:space="preserve">Суд визнає інтереси держави в обмеженні доступу до суду для певних категорій працівників. Але не Суд, а Договірні Держави, а зокрема компетентні національні законодавчі органи, повинні чітко визначати ті сфери державної служби, пов’язані зі здійсненням дискреційних повноважень, які є невід’ємною частиною державного суверенітету, де особисті інтереси мають поступатися місцем державним інтересам. Суд здійснює свій конроль із дотриманням принципу субсидіарності </w:t>
      </w:r>
      <w:r w:rsidRPr="00DC7991">
        <w:rPr>
          <w:lang w:val="uk-UA"/>
        </w:rPr>
        <w:t>(</w:t>
      </w:r>
      <w:r>
        <w:rPr>
          <w:lang w:val="uk-UA"/>
        </w:rPr>
        <w:t>див. «</w:t>
      </w:r>
      <w:r w:rsidRPr="000B4905">
        <w:rPr>
          <w:lang w:val="fr-FR"/>
        </w:rPr>
        <w:t>Z</w:t>
      </w:r>
      <w:r w:rsidRPr="00DC7991">
        <w:rPr>
          <w:lang w:val="uk-UA"/>
        </w:rPr>
        <w:t xml:space="preserve"> та </w:t>
      </w:r>
      <w:r w:rsidRPr="000B4905">
        <w:rPr>
          <w:lang w:val="uk-UA"/>
        </w:rPr>
        <w:t>інші проти Сполученого Королівства</w:t>
      </w:r>
      <w:r>
        <w:rPr>
          <w:lang w:val="uk-UA"/>
        </w:rPr>
        <w:t>»</w:t>
      </w:r>
      <w:r w:rsidRPr="00DC7991">
        <w:rPr>
          <w:lang w:val="uk-UA"/>
        </w:rPr>
        <w:t xml:space="preserve"> </w:t>
      </w:r>
      <w:r>
        <w:rPr>
          <w:lang w:val="uk-UA"/>
        </w:rPr>
        <w:t>(</w:t>
      </w:r>
      <w:r w:rsidRPr="00C46DF4">
        <w:rPr>
          <w:i/>
          <w:lang w:eastAsia="en-US"/>
        </w:rPr>
        <w:t>Z</w:t>
      </w:r>
      <w:r w:rsidRPr="00DC7991">
        <w:rPr>
          <w:i/>
          <w:lang w:val="uk-UA" w:eastAsia="en-US"/>
        </w:rPr>
        <w:t xml:space="preserve"> </w:t>
      </w:r>
      <w:r w:rsidRPr="00C46DF4">
        <w:rPr>
          <w:i/>
          <w:lang w:eastAsia="en-US"/>
        </w:rPr>
        <w:t>and</w:t>
      </w:r>
      <w:r w:rsidRPr="00DC7991">
        <w:rPr>
          <w:i/>
          <w:lang w:val="uk-UA" w:eastAsia="en-US"/>
        </w:rPr>
        <w:t xml:space="preserve"> </w:t>
      </w:r>
      <w:r w:rsidRPr="00C46DF4">
        <w:rPr>
          <w:i/>
          <w:lang w:eastAsia="en-US"/>
        </w:rPr>
        <w:t>Others</w:t>
      </w:r>
      <w:r w:rsidRPr="00DC7991">
        <w:rPr>
          <w:i/>
          <w:lang w:val="uk-UA" w:eastAsia="en-US"/>
        </w:rPr>
        <w:t xml:space="preserve"> </w:t>
      </w:r>
      <w:r w:rsidRPr="00C46DF4">
        <w:rPr>
          <w:i/>
          <w:lang w:eastAsia="en-US"/>
        </w:rPr>
        <w:t>v</w:t>
      </w:r>
      <w:r w:rsidRPr="00DC7991">
        <w:rPr>
          <w:i/>
          <w:lang w:val="uk-UA" w:eastAsia="en-US"/>
        </w:rPr>
        <w:t xml:space="preserve">. </w:t>
      </w:r>
      <w:r w:rsidRPr="00C46DF4">
        <w:rPr>
          <w:i/>
          <w:lang w:eastAsia="en-US"/>
        </w:rPr>
        <w:t>the</w:t>
      </w:r>
      <w:r w:rsidRPr="00DC7991">
        <w:rPr>
          <w:i/>
          <w:lang w:val="uk-UA" w:eastAsia="en-US"/>
        </w:rPr>
        <w:t xml:space="preserve"> </w:t>
      </w:r>
      <w:r w:rsidRPr="00C46DF4">
        <w:rPr>
          <w:i/>
          <w:lang w:eastAsia="en-US"/>
        </w:rPr>
        <w:t>United</w:t>
      </w:r>
      <w:r w:rsidRPr="00DC7991">
        <w:rPr>
          <w:i/>
          <w:lang w:val="uk-UA" w:eastAsia="en-US"/>
        </w:rPr>
        <w:t xml:space="preserve"> </w:t>
      </w:r>
      <w:r w:rsidRPr="00C46DF4">
        <w:rPr>
          <w:i/>
          <w:lang w:eastAsia="en-US"/>
        </w:rPr>
        <w:t>Kingdom</w:t>
      </w:r>
      <w:r>
        <w:rPr>
          <w:i/>
          <w:lang w:val="uk-UA" w:eastAsia="en-US"/>
        </w:rPr>
        <w:t>)</w:t>
      </w:r>
      <w:r w:rsidRPr="00DC7991">
        <w:rPr>
          <w:i/>
          <w:lang w:val="uk-UA" w:eastAsia="en-US"/>
        </w:rPr>
        <w:t xml:space="preserve"> </w:t>
      </w:r>
      <w:r w:rsidRPr="00DC7991">
        <w:rPr>
          <w:lang w:val="uk-UA" w:eastAsia="en-US"/>
        </w:rPr>
        <w:t>[</w:t>
      </w:r>
      <w:r>
        <w:rPr>
          <w:lang w:val="uk-UA" w:eastAsia="en-US"/>
        </w:rPr>
        <w:t>ВП</w:t>
      </w:r>
      <w:r w:rsidRPr="00DC7991">
        <w:rPr>
          <w:lang w:val="uk-UA" w:eastAsia="en-US"/>
        </w:rPr>
        <w:t xml:space="preserve">], </w:t>
      </w:r>
      <w:r>
        <w:rPr>
          <w:lang w:val="uk-UA" w:eastAsia="en-US"/>
        </w:rPr>
        <w:t>№</w:t>
      </w:r>
      <w:r w:rsidRPr="00DC7991">
        <w:rPr>
          <w:lang w:val="uk-UA" w:eastAsia="en-US"/>
        </w:rPr>
        <w:t xml:space="preserve"> 29392/95, </w:t>
      </w:r>
      <w:r>
        <w:rPr>
          <w:lang w:val="uk-UA" w:eastAsia="en-US"/>
        </w:rPr>
        <w:t>п.</w:t>
      </w:r>
      <w:r w:rsidRPr="00DC7991">
        <w:rPr>
          <w:lang w:val="uk-UA" w:eastAsia="en-US"/>
        </w:rPr>
        <w:t xml:space="preserve"> 103, </w:t>
      </w:r>
      <w:r w:rsidRPr="00C46DF4">
        <w:rPr>
          <w:lang w:eastAsia="en-US"/>
        </w:rPr>
        <w:t>ECHR</w:t>
      </w:r>
      <w:r w:rsidRPr="00DC7991">
        <w:rPr>
          <w:lang w:val="uk-UA" w:eastAsia="en-US"/>
        </w:rPr>
        <w:t xml:space="preserve"> 2001</w:t>
      </w:r>
      <w:r w:rsidRPr="00DC7991">
        <w:rPr>
          <w:lang w:val="uk-UA" w:eastAsia="en-US"/>
        </w:rPr>
        <w:noBreakHyphen/>
      </w:r>
      <w:r w:rsidRPr="00C46DF4">
        <w:rPr>
          <w:lang w:eastAsia="en-US"/>
        </w:rPr>
        <w:t>V</w:t>
      </w:r>
      <w:r w:rsidRPr="00DC7991">
        <w:rPr>
          <w:lang w:val="uk-UA" w:eastAsia="en-US"/>
        </w:rPr>
        <w:t xml:space="preserve">). </w:t>
      </w:r>
      <w:r>
        <w:rPr>
          <w:lang w:val="uk-UA" w:eastAsia="en-US"/>
        </w:rPr>
        <w:t>Якщо національна правова система перекриває доступ до суду, Суд має перевірити, чи виправдовує характер спору незастосування гарантій, передбачених статтею 6. Якщо це не так, то ніяких проблем не виникає, і пункт 1 статті 6 застосовується.</w:t>
      </w:r>
    </w:p>
    <w:p w:rsidRPr="00DC7991" w:rsidR="00D002A0" w:rsidP="00D716E2">
      <w:pPr>
        <w:pStyle w:val="JuPara"/>
        <w:rPr>
          <w:lang w:val="ru-RU" w:eastAsia="en-US"/>
        </w:rPr>
      </w:pPr>
      <w:r>
        <w:rPr>
          <w:lang w:val="uk-UA"/>
        </w:rPr>
        <w:t xml:space="preserve">Слід, однак, підкреслити, що ситуація у даній справі відрізняється від ситуацій, що виникали в інших справах, і які, з причини висунутих вимог, виходили за межі цивільних і кримінальних аспектів пункту 1 статті 6 Конвенції </w:t>
      </w:r>
      <w:r w:rsidRPr="00DC7991">
        <w:rPr>
          <w:lang w:val="ru-RU"/>
        </w:rPr>
        <w:t>(</w:t>
      </w:r>
      <w:r>
        <w:rPr>
          <w:lang w:val="uk-UA"/>
        </w:rPr>
        <w:t>див.</w:t>
      </w:r>
      <w:r w:rsidRPr="00DC7991">
        <w:rPr>
          <w:lang w:val="ru-RU"/>
        </w:rPr>
        <w:t xml:space="preserve">, </w:t>
      </w:r>
      <w:r>
        <w:rPr>
          <w:lang w:val="uk-UA"/>
        </w:rPr>
        <w:t>поміж інших, щодо питання оцінки розміру податків, справу «</w:t>
      </w:r>
      <w:r w:rsidRPr="00920F33">
        <w:rPr>
          <w:lang w:val="uk-UA"/>
        </w:rPr>
        <w:t>Феррадзіні проти Італії</w:t>
      </w:r>
      <w:r>
        <w:rPr>
          <w:lang w:val="uk-UA"/>
        </w:rPr>
        <w:t>»</w:t>
      </w:r>
      <w:r w:rsidRPr="00DC7991">
        <w:rPr>
          <w:lang w:val="ru-RU"/>
        </w:rPr>
        <w:t xml:space="preserve"> </w:t>
      </w:r>
      <w:r>
        <w:rPr>
          <w:lang w:val="uk-UA"/>
        </w:rPr>
        <w:t>(</w:t>
      </w:r>
      <w:r w:rsidRPr="00A26FE7">
        <w:rPr>
          <w:i/>
          <w:lang w:eastAsia="en-US"/>
        </w:rPr>
        <w:t>Ferrazzini</w:t>
      </w:r>
      <w:r w:rsidRPr="00DC7991">
        <w:rPr>
          <w:i/>
          <w:lang w:val="ru-RU" w:eastAsia="en-US"/>
        </w:rPr>
        <w:t xml:space="preserve"> </w:t>
      </w:r>
      <w:r w:rsidRPr="00A26FE7">
        <w:rPr>
          <w:i/>
          <w:lang w:eastAsia="en-US"/>
        </w:rPr>
        <w:t>v</w:t>
      </w:r>
      <w:r w:rsidRPr="00DC7991">
        <w:rPr>
          <w:i/>
          <w:lang w:val="ru-RU" w:eastAsia="en-US"/>
        </w:rPr>
        <w:t xml:space="preserve">. </w:t>
      </w:r>
      <w:r w:rsidRPr="00A26FE7">
        <w:rPr>
          <w:i/>
          <w:lang w:eastAsia="en-US"/>
        </w:rPr>
        <w:t>Italy</w:t>
      </w:r>
      <w:r>
        <w:rPr>
          <w:i/>
          <w:lang w:val="uk-UA" w:eastAsia="en-US"/>
        </w:rPr>
        <w:t>)</w:t>
      </w:r>
      <w:r w:rsidRPr="00DC7991">
        <w:rPr>
          <w:lang w:val="ru-RU" w:eastAsia="en-US"/>
        </w:rPr>
        <w:t xml:space="preserve"> ([</w:t>
      </w:r>
      <w:r>
        <w:rPr>
          <w:lang w:val="uk-UA" w:eastAsia="en-US"/>
        </w:rPr>
        <w:t>ВП</w:t>
      </w:r>
      <w:r w:rsidRPr="00DC7991">
        <w:rPr>
          <w:lang w:val="ru-RU" w:eastAsia="en-US"/>
        </w:rPr>
        <w:t xml:space="preserve">], </w:t>
      </w:r>
      <w:r>
        <w:rPr>
          <w:lang w:val="uk-UA" w:eastAsia="en-US"/>
        </w:rPr>
        <w:t>№</w:t>
      </w:r>
      <w:r w:rsidRPr="00DC7991">
        <w:rPr>
          <w:lang w:val="ru-RU" w:eastAsia="en-US"/>
        </w:rPr>
        <w:t xml:space="preserve"> 44759/98, </w:t>
      </w:r>
      <w:r w:rsidRPr="00A26FE7">
        <w:rPr>
          <w:lang w:eastAsia="en-US"/>
        </w:rPr>
        <w:t>ECHR</w:t>
      </w:r>
      <w:r w:rsidRPr="00DC7991">
        <w:rPr>
          <w:lang w:val="ru-RU" w:eastAsia="en-US"/>
        </w:rPr>
        <w:t xml:space="preserve"> 2001</w:t>
      </w:r>
      <w:r w:rsidRPr="00DC7991">
        <w:rPr>
          <w:lang w:val="ru-RU" w:eastAsia="en-US"/>
        </w:rPr>
        <w:noBreakHyphen/>
      </w:r>
      <w:r w:rsidRPr="00A26FE7">
        <w:rPr>
          <w:lang w:eastAsia="en-US"/>
        </w:rPr>
        <w:t>VII</w:t>
      </w:r>
      <w:r w:rsidRPr="00DC7991">
        <w:rPr>
          <w:lang w:val="ru-RU" w:eastAsia="en-US"/>
        </w:rPr>
        <w:t xml:space="preserve">); </w:t>
      </w:r>
      <w:r>
        <w:rPr>
          <w:lang w:val="uk-UA" w:eastAsia="en-US"/>
        </w:rPr>
        <w:t>щодо питань громадянства, проживання в країні та надання притулку, справу «</w:t>
      </w:r>
      <w:r w:rsidRPr="00920F33">
        <w:rPr>
          <w:lang w:val="uk-UA" w:eastAsia="en-US"/>
        </w:rPr>
        <w:t>Маауйя проти Франції</w:t>
      </w:r>
      <w:r>
        <w:rPr>
          <w:lang w:val="uk-UA" w:eastAsia="en-US"/>
        </w:rPr>
        <w:t>» (</w:t>
      </w:r>
      <w:r w:rsidRPr="00F65A5E">
        <w:rPr>
          <w:i/>
          <w:lang w:eastAsia="en-US"/>
        </w:rPr>
        <w:t>Maaouia</w:t>
      </w:r>
      <w:r w:rsidRPr="00DC7991">
        <w:rPr>
          <w:i/>
          <w:lang w:val="ru-RU" w:eastAsia="en-US"/>
        </w:rPr>
        <w:t xml:space="preserve"> </w:t>
      </w:r>
      <w:r w:rsidRPr="00F65A5E">
        <w:rPr>
          <w:i/>
          <w:lang w:eastAsia="en-US"/>
        </w:rPr>
        <w:t>v</w:t>
      </w:r>
      <w:r w:rsidRPr="00DC7991">
        <w:rPr>
          <w:i/>
          <w:lang w:val="ru-RU" w:eastAsia="en-US"/>
        </w:rPr>
        <w:t xml:space="preserve">. </w:t>
      </w:r>
      <w:r w:rsidRPr="00F65A5E">
        <w:rPr>
          <w:i/>
          <w:lang w:eastAsia="en-US"/>
        </w:rPr>
        <w:t>France</w:t>
      </w:r>
      <w:r>
        <w:rPr>
          <w:i/>
          <w:lang w:val="uk-UA" w:eastAsia="en-US"/>
        </w:rPr>
        <w:t>)</w:t>
      </w:r>
      <w:r w:rsidRPr="00DC7991">
        <w:rPr>
          <w:lang w:val="ru-RU" w:eastAsia="en-US"/>
        </w:rPr>
        <w:t xml:space="preserve"> ([</w:t>
      </w:r>
      <w:r>
        <w:rPr>
          <w:lang w:val="uk-UA" w:eastAsia="en-US"/>
        </w:rPr>
        <w:t>ВП</w:t>
      </w:r>
      <w:r w:rsidRPr="00DC7991">
        <w:rPr>
          <w:lang w:val="ru-RU" w:eastAsia="en-US"/>
        </w:rPr>
        <w:t xml:space="preserve">], </w:t>
      </w:r>
      <w:r>
        <w:rPr>
          <w:lang w:val="uk-UA" w:eastAsia="en-US"/>
        </w:rPr>
        <w:t>№</w:t>
      </w:r>
      <w:r w:rsidRPr="00DC7991">
        <w:rPr>
          <w:lang w:val="ru-RU" w:eastAsia="en-US"/>
        </w:rPr>
        <w:t xml:space="preserve"> 39652/98, </w:t>
      </w:r>
      <w:r w:rsidRPr="00F65A5E">
        <w:rPr>
          <w:lang w:eastAsia="en-US"/>
        </w:rPr>
        <w:t>ECHR</w:t>
      </w:r>
      <w:r w:rsidRPr="00DC7991">
        <w:rPr>
          <w:lang w:val="ru-RU" w:eastAsia="en-US"/>
        </w:rPr>
        <w:t xml:space="preserve"> 2000</w:t>
      </w:r>
      <w:r w:rsidRPr="00DC7991">
        <w:rPr>
          <w:lang w:val="ru-RU" w:eastAsia="en-US"/>
        </w:rPr>
        <w:noBreakHyphen/>
      </w:r>
      <w:r w:rsidRPr="00F65A5E">
        <w:rPr>
          <w:lang w:eastAsia="en-US"/>
        </w:rPr>
        <w:t>X</w:t>
      </w:r>
      <w:r w:rsidRPr="00DC7991">
        <w:rPr>
          <w:lang w:val="ru-RU" w:eastAsia="en-US"/>
        </w:rPr>
        <w:t xml:space="preserve">); </w:t>
      </w:r>
      <w:r>
        <w:rPr>
          <w:lang w:val="uk-UA" w:eastAsia="en-US"/>
        </w:rPr>
        <w:t>щодо питань обрання депутатів парламенту, справу «</w:t>
      </w:r>
      <w:r w:rsidRPr="00920F33">
        <w:rPr>
          <w:lang w:val="uk-UA" w:eastAsia="en-US"/>
        </w:rPr>
        <w:t>П</w:t>
      </w:r>
      <w:r>
        <w:rPr>
          <w:lang w:val="uk-UA" w:eastAsia="en-US"/>
        </w:rPr>
        <w:t>’</w:t>
      </w:r>
      <w:r w:rsidRPr="00920F33">
        <w:rPr>
          <w:lang w:val="uk-UA" w:eastAsia="en-US"/>
        </w:rPr>
        <w:t>єр Блох</w:t>
      </w:r>
      <w:r>
        <w:rPr>
          <w:lang w:val="uk-UA" w:eastAsia="en-US"/>
        </w:rPr>
        <w:t>» (</w:t>
      </w:r>
      <w:r w:rsidRPr="00002454">
        <w:rPr>
          <w:i/>
          <w:lang w:eastAsia="en-US"/>
        </w:rPr>
        <w:t>Pierre</w:t>
      </w:r>
      <w:r w:rsidRPr="00DC7991">
        <w:rPr>
          <w:i/>
          <w:lang w:val="ru-RU" w:eastAsia="en-US"/>
        </w:rPr>
        <w:t>-</w:t>
      </w:r>
      <w:r w:rsidRPr="00002454">
        <w:rPr>
          <w:i/>
          <w:lang w:eastAsia="en-US"/>
        </w:rPr>
        <w:t>Bloch</w:t>
      </w:r>
      <w:r>
        <w:rPr>
          <w:i/>
          <w:lang w:val="uk-UA" w:eastAsia="en-US"/>
        </w:rPr>
        <w:t>)</w:t>
      </w:r>
      <w:r w:rsidRPr="00DC7991">
        <w:rPr>
          <w:lang w:val="ru-RU" w:eastAsia="en-US"/>
        </w:rPr>
        <w:t xml:space="preserve">, </w:t>
      </w:r>
      <w:r>
        <w:rPr>
          <w:lang w:val="uk-UA" w:eastAsia="en-US"/>
        </w:rPr>
        <w:t>згадану вище</w:t>
      </w:r>
      <w:r w:rsidRPr="00DC7991">
        <w:rPr>
          <w:lang w:val="ru-RU"/>
        </w:rPr>
        <w:t xml:space="preserve">). </w:t>
      </w:r>
      <w:r>
        <w:rPr>
          <w:lang w:val="uk-UA"/>
        </w:rPr>
        <w:t>Отже, в даній справі міркування обмежуються становищем державних службовців.</w:t>
      </w:r>
    </w:p>
    <w:p w:rsidRPr="00DC7991" w:rsidR="00D002A0" w:rsidP="00D716E2">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62</w:t>
      </w:r>
      <w:r w:rsidRPr="00DC7991">
        <w:rPr>
          <w:lang w:val="ru-RU"/>
        </w:rPr>
        <w:fldChar w:fldCharType="end"/>
      </w:r>
      <w:r w:rsidRPr="00DC7991">
        <w:rPr>
          <w:lang w:val="ru-RU"/>
        </w:rPr>
        <w:t>.</w:t>
      </w:r>
      <w:r>
        <w:t>  </w:t>
      </w:r>
      <w:r>
        <w:rPr>
          <w:lang w:val="uk-UA"/>
        </w:rPr>
        <w:t>Підводячи підсумок, слід зауважити, що для того, щоб держава-відповідач могла для позбавлення заявника</w:t>
      </w:r>
      <w:r w:rsidRPr="007A0684">
        <w:rPr>
          <w:lang w:val="uk-UA"/>
        </w:rPr>
        <w:t xml:space="preserve"> </w:t>
      </w:r>
      <w:r>
        <w:rPr>
          <w:lang w:val="uk-UA"/>
        </w:rPr>
        <w:t>захисту, передбаченого статтею 6, посилатися у Суді на його статус державного службовця, повинні бути дотримані дві умови. По-перше, законодавство держави повинно чітко передбачати позбавлення осіб, що займають певні посади або категорії посад, права на звернення до Суду. По-друге, таке позбавлення має бути обґрунтованим об’єктивними підставами, пов’язаними з інтересами держави. Той факт, що заявник працює в секторі або в службі, які передбачають участь у здійсненні повноважень, наданих публічним правом, сам по собі не є вирішальним. Для того, щоб позбавлення доступу до суду було виправданим, державі недостатньо встановити, що державний службовець бере участь у здійсненні державної влади або що, використовуючи слова із рішення у справі «</w:t>
      </w:r>
      <w:r w:rsidRPr="00920F33">
        <w:rPr>
          <w:lang w:val="uk-UA"/>
        </w:rPr>
        <w:t>Пеллегрін</w:t>
      </w:r>
      <w:r>
        <w:rPr>
          <w:lang w:val="uk-UA"/>
        </w:rPr>
        <w:t>» (</w:t>
      </w:r>
      <w:r w:rsidRPr="00D716E2">
        <w:rPr>
          <w:i/>
        </w:rPr>
        <w:t>Pellegrin</w:t>
      </w:r>
      <w:r>
        <w:rPr>
          <w:i/>
          <w:lang w:val="uk-UA"/>
        </w:rPr>
        <w:t>)</w:t>
      </w:r>
      <w:r w:rsidRPr="00DC7991">
        <w:rPr>
          <w:lang w:val="uk-UA"/>
        </w:rPr>
        <w:t>,</w:t>
      </w:r>
      <w:r>
        <w:rPr>
          <w:lang w:val="uk-UA"/>
        </w:rPr>
        <w:t xml:space="preserve"> державний службовець підтримує з державою як роботодавцем «спеціальні відносини, засновані на вірності та відданості».</w:t>
      </w:r>
      <w:r w:rsidRPr="00DC7991">
        <w:rPr>
          <w:lang w:val="uk-UA"/>
        </w:rPr>
        <w:t xml:space="preserve"> </w:t>
      </w:r>
      <w:r>
        <w:rPr>
          <w:lang w:val="uk-UA"/>
        </w:rPr>
        <w:t>Крім того, держава повинна довести, що предмет спору має відношення до здійснення державної влади або ставить під сумнів існування спеціальних відносин. Таким чином, не може бути в принципі ніяких підстав для виключення зі сфери застосування статті 6 звичайних трудових спорів, як ті, що стосуються питань заробітної плати, надбавок або аналогічних виплат, на основі особливого характеру відносин між конкретним державним службовцем та державою. У цьому випадку буде існувати презумпція застосовності статті 6. Держава-відповідач повинна буде довести, по-перше, що відповідно до національного законодавства державний службовець не має права на доступ до суду, по-друге, що позбавлення державного службовця прав, передбачених статтею 6, є виправданим</w:t>
      </w:r>
      <w:r w:rsidRPr="00DC7991">
        <w:rPr>
          <w:lang w:val="ru-RU"/>
        </w:rPr>
        <w:t>.</w:t>
      </w:r>
    </w:p>
    <w:p w:rsidRPr="00DC7991" w:rsidR="00D002A0" w:rsidP="00794F0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63</w:t>
      </w:r>
      <w:r w:rsidRPr="00DC7991">
        <w:rPr>
          <w:lang w:val="ru-RU"/>
        </w:rPr>
        <w:fldChar w:fldCharType="end"/>
      </w:r>
      <w:r w:rsidRPr="00DC7991">
        <w:rPr>
          <w:lang w:val="ru-RU"/>
        </w:rPr>
        <w:t>.</w:t>
      </w:r>
      <w:r>
        <w:t>  </w:t>
      </w:r>
      <w:r>
        <w:rPr>
          <w:lang w:val="uk-UA"/>
        </w:rPr>
        <w:t>У даній справі очевидно, що відповідно до національного законодавства всі заявники мали доступ до суду. Отже, пункт 1 статті 6 є застосовним.</w:t>
      </w:r>
    </w:p>
    <w:p w:rsidRPr="00DC7991" w:rsidR="00D002A0" w:rsidP="00794F0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64</w:t>
      </w:r>
      <w:r w:rsidRPr="00DC7991">
        <w:rPr>
          <w:lang w:val="ru-RU"/>
        </w:rPr>
        <w:fldChar w:fldCharType="end"/>
      </w:r>
      <w:r w:rsidRPr="00DC7991">
        <w:rPr>
          <w:lang w:val="ru-RU"/>
        </w:rPr>
        <w:t>.</w:t>
      </w:r>
      <w:r>
        <w:t>  </w:t>
      </w:r>
      <w:r>
        <w:rPr>
          <w:lang w:val="uk-UA"/>
        </w:rPr>
        <w:t>Суд хотів би зазначити, що його висновок про застосовність статті 6 не зачіпає питання про те, як різні гарантії, що надаються цією статтею (наприклад, межі контролю, який національні суди повинні здійснювати – див. справу «</w:t>
      </w:r>
      <w:r w:rsidRPr="00E77B16">
        <w:rPr>
          <w:lang w:val="uk-UA"/>
        </w:rPr>
        <w:t>Цумтобель проти Австрії</w:t>
      </w:r>
      <w:r>
        <w:rPr>
          <w:lang w:val="uk-UA"/>
        </w:rPr>
        <w:t>» (</w:t>
      </w:r>
      <w:r w:rsidRPr="00375A9C">
        <w:rPr>
          <w:i/>
          <w:lang w:eastAsia="en-US"/>
        </w:rPr>
        <w:t>Zumtobel</w:t>
      </w:r>
      <w:r w:rsidRPr="00DC7991">
        <w:rPr>
          <w:i/>
          <w:lang w:val="uk-UA" w:eastAsia="en-US"/>
        </w:rPr>
        <w:t xml:space="preserve"> </w:t>
      </w:r>
      <w:r w:rsidRPr="00375A9C">
        <w:rPr>
          <w:i/>
          <w:lang w:eastAsia="en-US"/>
        </w:rPr>
        <w:t>v</w:t>
      </w:r>
      <w:r w:rsidRPr="00DC7991">
        <w:rPr>
          <w:i/>
          <w:lang w:val="uk-UA" w:eastAsia="en-US"/>
        </w:rPr>
        <w:t xml:space="preserve">. </w:t>
      </w:r>
      <w:r w:rsidRPr="00375A9C">
        <w:rPr>
          <w:i/>
          <w:lang w:eastAsia="en-US"/>
        </w:rPr>
        <w:t>Austria</w:t>
      </w:r>
      <w:r>
        <w:rPr>
          <w:i/>
          <w:lang w:val="uk-UA" w:eastAsia="en-US"/>
        </w:rPr>
        <w:t>)</w:t>
      </w:r>
      <w:r w:rsidRPr="00DC7991">
        <w:rPr>
          <w:lang w:val="uk-UA" w:eastAsia="en-US"/>
        </w:rPr>
        <w:t xml:space="preserve">, 21 </w:t>
      </w:r>
      <w:r>
        <w:rPr>
          <w:lang w:val="uk-UA" w:eastAsia="en-US"/>
        </w:rPr>
        <w:t>вересня</w:t>
      </w:r>
      <w:r w:rsidRPr="00DC7991">
        <w:rPr>
          <w:lang w:val="uk-UA" w:eastAsia="en-US"/>
        </w:rPr>
        <w:t xml:space="preserve"> 1993</w:t>
      </w:r>
      <w:r>
        <w:rPr>
          <w:lang w:val="uk-UA" w:eastAsia="en-US"/>
        </w:rPr>
        <w:t xml:space="preserve"> року</w:t>
      </w:r>
      <w:r w:rsidRPr="00DC7991">
        <w:rPr>
          <w:lang w:val="uk-UA" w:eastAsia="en-US"/>
        </w:rPr>
        <w:t xml:space="preserve">, </w:t>
      </w:r>
      <w:r>
        <w:rPr>
          <w:lang w:val="uk-UA" w:eastAsia="en-US"/>
        </w:rPr>
        <w:t>п.</w:t>
      </w:r>
      <w:r w:rsidRPr="00DC7991">
        <w:rPr>
          <w:lang w:val="uk-UA" w:eastAsia="en-US"/>
        </w:rPr>
        <w:t xml:space="preserve"> 32, </w:t>
      </w:r>
      <w:r>
        <w:rPr>
          <w:lang w:val="uk-UA" w:eastAsia="en-US"/>
        </w:rPr>
        <w:t>Серія</w:t>
      </w:r>
      <w:r w:rsidRPr="00DC7991">
        <w:rPr>
          <w:lang w:val="uk-UA" w:eastAsia="en-US"/>
        </w:rPr>
        <w:t xml:space="preserve"> </w:t>
      </w:r>
      <w:r>
        <w:rPr>
          <w:lang w:eastAsia="en-US"/>
        </w:rPr>
        <w:t>A</w:t>
      </w:r>
      <w:r w:rsidRPr="00DC7991">
        <w:rPr>
          <w:lang w:val="uk-UA" w:eastAsia="en-US"/>
        </w:rPr>
        <w:t xml:space="preserve"> </w:t>
      </w:r>
      <w:r>
        <w:rPr>
          <w:lang w:val="uk-UA" w:eastAsia="en-US"/>
        </w:rPr>
        <w:t>№</w:t>
      </w:r>
      <w:r w:rsidRPr="00DC7991">
        <w:rPr>
          <w:lang w:val="uk-UA" w:eastAsia="en-US"/>
        </w:rPr>
        <w:t xml:space="preserve"> 268</w:t>
      </w:r>
      <w:r w:rsidRPr="00DC7991">
        <w:rPr>
          <w:lang w:val="uk-UA" w:eastAsia="en-US"/>
        </w:rPr>
        <w:noBreakHyphen/>
      </w:r>
      <w:r>
        <w:rPr>
          <w:lang w:eastAsia="en-US"/>
        </w:rPr>
        <w:t>A</w:t>
      </w:r>
      <w:r w:rsidRPr="00DC7991">
        <w:rPr>
          <w:lang w:val="uk-UA"/>
        </w:rPr>
        <w:t>)</w:t>
      </w:r>
      <w:r>
        <w:rPr>
          <w:lang w:val="uk-UA"/>
        </w:rPr>
        <w:t>, повинні застосовуватися щодо спорів, які стосуються державних службовців. У даній справі Суд повинен розглянути тільки дві такі гарантії, а саме ті, що стосуються тривалості судового розгляду і проведення усних слухань.</w:t>
      </w:r>
    </w:p>
    <w:p w:rsidR="00D002A0" w:rsidP="00991B15">
      <w:pPr>
        <w:pStyle w:val="JuH1"/>
        <w:outlineLvl w:val="0"/>
        <w:rPr>
          <w:lang w:val="uk-UA"/>
        </w:rPr>
      </w:pPr>
      <w:r w:rsidRPr="00DC7991">
        <w:rPr>
          <w:lang w:val="ru-RU"/>
        </w:rPr>
        <w:t>2.</w:t>
      </w:r>
      <w:r>
        <w:t>  </w:t>
      </w:r>
      <w:r>
        <w:rPr>
          <w:lang w:val="uk-UA"/>
        </w:rPr>
        <w:t>Додержання вимог статті 6</w:t>
      </w:r>
    </w:p>
    <w:p w:rsidRPr="00DC7991" w:rsidR="00D002A0" w:rsidP="00B07BF5">
      <w:pPr>
        <w:pStyle w:val="JuHa0"/>
        <w:rPr>
          <w:lang w:val="ru-RU"/>
        </w:rPr>
      </w:pPr>
      <w:r w:rsidRPr="00DC7991">
        <w:rPr>
          <w:lang w:val="ru-RU"/>
        </w:rPr>
        <w:t>(</w:t>
      </w:r>
      <w:r>
        <w:t>a</w:t>
      </w:r>
      <w:r w:rsidRPr="00DC7991">
        <w:rPr>
          <w:lang w:val="ru-RU"/>
        </w:rPr>
        <w:t>)</w:t>
      </w:r>
      <w:r>
        <w:t>  </w:t>
      </w:r>
      <w:r>
        <w:rPr>
          <w:lang w:val="uk-UA"/>
        </w:rPr>
        <w:t>Тривалість судового розгляду</w:t>
      </w:r>
    </w:p>
    <w:p w:rsidRPr="00DC7991" w:rsidR="00D002A0" w:rsidP="00986A9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65</w:t>
      </w:r>
      <w:r w:rsidRPr="00DC7991">
        <w:rPr>
          <w:lang w:val="ru-RU"/>
        </w:rPr>
        <w:fldChar w:fldCharType="end"/>
      </w:r>
      <w:r w:rsidRPr="00DC7991">
        <w:rPr>
          <w:lang w:val="ru-RU"/>
        </w:rPr>
        <w:t>.</w:t>
      </w:r>
      <w:r>
        <w:t>  </w:t>
      </w:r>
      <w:r>
        <w:rPr>
          <w:lang w:val="uk-UA"/>
        </w:rPr>
        <w:t xml:space="preserve">Суд нагадує, що в цивільних справах відлик розумного строку може починатися, за певних обставин, навіть до видання наказу про відкриття провадження у справі судом, до якого позивач звернувся з заявою </w:t>
      </w:r>
      <w:r w:rsidRPr="00DC7991">
        <w:rPr>
          <w:lang w:val="ru-RU"/>
        </w:rPr>
        <w:t>(</w:t>
      </w:r>
      <w:r>
        <w:rPr>
          <w:lang w:val="uk-UA"/>
        </w:rPr>
        <w:t>див. «</w:t>
      </w:r>
      <w:r w:rsidRPr="00E77B16">
        <w:rPr>
          <w:lang w:val="uk-UA"/>
        </w:rPr>
        <w:t>Голдер проти Сполученого Королівства</w:t>
      </w:r>
      <w:r>
        <w:rPr>
          <w:lang w:val="uk-UA"/>
        </w:rPr>
        <w:t>»</w:t>
      </w:r>
      <w:r w:rsidRPr="00DC7991">
        <w:rPr>
          <w:lang w:val="ru-RU"/>
        </w:rPr>
        <w:t xml:space="preserve"> </w:t>
      </w:r>
      <w:r>
        <w:rPr>
          <w:lang w:val="uk-UA"/>
        </w:rPr>
        <w:t>(</w:t>
      </w:r>
      <w:r w:rsidRPr="00FC1A48">
        <w:rPr>
          <w:i/>
          <w:lang w:eastAsia="en-US"/>
        </w:rPr>
        <w:t>Golder</w:t>
      </w:r>
      <w:r w:rsidRPr="00DC7991">
        <w:rPr>
          <w:i/>
          <w:lang w:val="ru-RU" w:eastAsia="en-US"/>
        </w:rPr>
        <w:t xml:space="preserve"> </w:t>
      </w:r>
      <w:r w:rsidRPr="00FC1A48">
        <w:rPr>
          <w:i/>
          <w:lang w:eastAsia="en-US"/>
        </w:rPr>
        <w:t>v</w:t>
      </w:r>
      <w:r w:rsidRPr="00DC7991">
        <w:rPr>
          <w:i/>
          <w:lang w:val="ru-RU" w:eastAsia="en-US"/>
        </w:rPr>
        <w:t xml:space="preserve">. </w:t>
      </w:r>
      <w:r w:rsidRPr="00FC1A48">
        <w:rPr>
          <w:i/>
          <w:lang w:eastAsia="en-US"/>
        </w:rPr>
        <w:t>the</w:t>
      </w:r>
      <w:r w:rsidRPr="00DC7991">
        <w:rPr>
          <w:i/>
          <w:lang w:val="ru-RU" w:eastAsia="en-US"/>
        </w:rPr>
        <w:t xml:space="preserve"> </w:t>
      </w:r>
      <w:r w:rsidRPr="00FC1A48">
        <w:rPr>
          <w:i/>
          <w:lang w:eastAsia="en-US"/>
        </w:rPr>
        <w:t>United</w:t>
      </w:r>
      <w:r w:rsidRPr="00DC7991">
        <w:rPr>
          <w:i/>
          <w:lang w:val="ru-RU" w:eastAsia="en-US"/>
        </w:rPr>
        <w:t xml:space="preserve"> </w:t>
      </w:r>
      <w:r w:rsidRPr="00FC1A48">
        <w:rPr>
          <w:i/>
          <w:lang w:eastAsia="en-US"/>
        </w:rPr>
        <w:t>Kingdom</w:t>
      </w:r>
      <w:r>
        <w:rPr>
          <w:i/>
          <w:lang w:val="uk-UA" w:eastAsia="en-US"/>
        </w:rPr>
        <w:t>)</w:t>
      </w:r>
      <w:r w:rsidRPr="00DC7991">
        <w:rPr>
          <w:lang w:val="ru-RU" w:eastAsia="en-US"/>
        </w:rPr>
        <w:t xml:space="preserve">, 21 </w:t>
      </w:r>
      <w:r>
        <w:rPr>
          <w:lang w:val="uk-UA" w:eastAsia="en-US"/>
        </w:rPr>
        <w:t>лютого</w:t>
      </w:r>
      <w:r w:rsidRPr="00DC7991">
        <w:rPr>
          <w:lang w:val="ru-RU" w:eastAsia="en-US"/>
        </w:rPr>
        <w:t xml:space="preserve"> 1975</w:t>
      </w:r>
      <w:r>
        <w:rPr>
          <w:lang w:val="uk-UA" w:eastAsia="en-US"/>
        </w:rPr>
        <w:t xml:space="preserve"> року</w:t>
      </w:r>
      <w:r w:rsidRPr="00DC7991">
        <w:rPr>
          <w:lang w:val="ru-RU" w:eastAsia="en-US"/>
        </w:rPr>
        <w:t xml:space="preserve">, </w:t>
      </w:r>
      <w:r>
        <w:rPr>
          <w:lang w:val="uk-UA" w:eastAsia="en-US"/>
        </w:rPr>
        <w:t>п.</w:t>
      </w:r>
      <w:r w:rsidRPr="00DC7991">
        <w:rPr>
          <w:lang w:val="ru-RU" w:eastAsia="en-US"/>
        </w:rPr>
        <w:t xml:space="preserve"> 32, </w:t>
      </w:r>
      <w:r>
        <w:rPr>
          <w:lang w:val="uk-UA" w:eastAsia="en-US"/>
        </w:rPr>
        <w:t>Серія А</w:t>
      </w:r>
      <w:r w:rsidRPr="00DC7991">
        <w:rPr>
          <w:lang w:val="ru-RU" w:eastAsia="en-US"/>
        </w:rPr>
        <w:t xml:space="preserve"> </w:t>
      </w:r>
      <w:r>
        <w:rPr>
          <w:lang w:val="uk-UA" w:eastAsia="en-US"/>
        </w:rPr>
        <w:t>№</w:t>
      </w:r>
      <w:r w:rsidRPr="00DC7991">
        <w:rPr>
          <w:lang w:val="ru-RU" w:eastAsia="en-US"/>
        </w:rPr>
        <w:t xml:space="preserve"> 18</w:t>
      </w:r>
      <w:r w:rsidRPr="00DC7991">
        <w:rPr>
          <w:lang w:val="ru-RU"/>
        </w:rPr>
        <w:t xml:space="preserve">). </w:t>
      </w:r>
      <w:r>
        <w:rPr>
          <w:lang w:val="uk-UA"/>
        </w:rPr>
        <w:t xml:space="preserve">Така ситуація виникла і у даній справі, коли заявники не могли звернутися до Окружного адміністративного Суду доти, поки стосовно їхнього клопотання про перегляд </w:t>
      </w:r>
      <w:r w:rsidRPr="00DC7991">
        <w:rPr>
          <w:lang w:val="ru-RU"/>
        </w:rPr>
        <w:t>(</w:t>
      </w:r>
      <w:r>
        <w:rPr>
          <w:lang w:val="uk-UA"/>
        </w:rPr>
        <w:t>див.</w:t>
      </w:r>
      <w:r w:rsidRPr="00DC7991">
        <w:rPr>
          <w:lang w:val="ru-RU"/>
        </w:rPr>
        <w:t xml:space="preserve"> </w:t>
      </w:r>
      <w:r>
        <w:rPr>
          <w:lang w:val="uk-UA"/>
        </w:rPr>
        <w:t>пункт</w:t>
      </w:r>
      <w:r w:rsidRPr="00DC7991">
        <w:rPr>
          <w:lang w:val="ru-RU"/>
        </w:rPr>
        <w:t xml:space="preserve"> 19) </w:t>
      </w:r>
      <w:r>
        <w:rPr>
          <w:lang w:val="uk-UA"/>
        </w:rPr>
        <w:t xml:space="preserve">не було винесене рішення, яке вони могли оскаржити </w:t>
      </w:r>
      <w:r w:rsidRPr="00DC7991">
        <w:rPr>
          <w:lang w:val="ru-RU"/>
        </w:rPr>
        <w:t>(</w:t>
      </w:r>
      <w:r>
        <w:rPr>
          <w:lang w:val="uk-UA"/>
        </w:rPr>
        <w:t>див.</w:t>
      </w:r>
      <w:r w:rsidRPr="00DC7991">
        <w:rPr>
          <w:lang w:val="ru-RU"/>
        </w:rPr>
        <w:t xml:space="preserve">, </w:t>
      </w:r>
      <w:r w:rsidRPr="00FC1A48">
        <w:rPr>
          <w:i/>
        </w:rPr>
        <w:t>mutatis</w:t>
      </w:r>
      <w:r w:rsidRPr="00DC7991">
        <w:rPr>
          <w:i/>
          <w:lang w:val="ru-RU"/>
        </w:rPr>
        <w:t xml:space="preserve"> </w:t>
      </w:r>
      <w:r w:rsidRPr="00FC1A48">
        <w:rPr>
          <w:i/>
        </w:rPr>
        <w:t>mutandis</w:t>
      </w:r>
      <w:r w:rsidRPr="00DC7991">
        <w:rPr>
          <w:lang w:val="ru-RU"/>
        </w:rPr>
        <w:t xml:space="preserve">, </w:t>
      </w:r>
      <w:r>
        <w:rPr>
          <w:lang w:val="uk-UA"/>
        </w:rPr>
        <w:t>«</w:t>
      </w:r>
      <w:r w:rsidRPr="00E77B16">
        <w:rPr>
          <w:lang w:val="uk-UA"/>
        </w:rPr>
        <w:t>Кьоніг проти Німеччини</w:t>
      </w:r>
      <w:r>
        <w:rPr>
          <w:lang w:val="uk-UA"/>
        </w:rPr>
        <w:t>» (</w:t>
      </w:r>
      <w:r w:rsidRPr="00FC1A48">
        <w:rPr>
          <w:i/>
        </w:rPr>
        <w:t>K</w:t>
      </w:r>
      <w:r w:rsidRPr="00DC7991">
        <w:rPr>
          <w:i/>
          <w:lang w:val="ru-RU"/>
        </w:rPr>
        <w:t>ö</w:t>
      </w:r>
      <w:r w:rsidRPr="00FC1A48">
        <w:rPr>
          <w:i/>
        </w:rPr>
        <w:t>nig</w:t>
      </w:r>
      <w:r w:rsidRPr="00DC7991">
        <w:rPr>
          <w:i/>
          <w:lang w:val="ru-RU"/>
        </w:rPr>
        <w:t xml:space="preserve"> </w:t>
      </w:r>
      <w:r w:rsidRPr="00FC1A48">
        <w:rPr>
          <w:i/>
        </w:rPr>
        <w:t>v</w:t>
      </w:r>
      <w:r w:rsidRPr="00DC7991">
        <w:rPr>
          <w:i/>
          <w:lang w:val="ru-RU"/>
        </w:rPr>
        <w:t xml:space="preserve">. </w:t>
      </w:r>
      <w:r w:rsidRPr="00FC1A48">
        <w:rPr>
          <w:i/>
        </w:rPr>
        <w:t>Germany</w:t>
      </w:r>
      <w:r>
        <w:rPr>
          <w:i/>
          <w:lang w:val="uk-UA"/>
        </w:rPr>
        <w:t>)</w:t>
      </w:r>
      <w:r w:rsidRPr="00DC7991">
        <w:rPr>
          <w:lang w:val="ru-RU"/>
        </w:rPr>
        <w:t xml:space="preserve">, 28 </w:t>
      </w:r>
      <w:r>
        <w:rPr>
          <w:lang w:val="uk-UA"/>
        </w:rPr>
        <w:t>червня</w:t>
      </w:r>
      <w:r w:rsidRPr="00DC7991">
        <w:rPr>
          <w:lang w:val="ru-RU"/>
        </w:rPr>
        <w:t xml:space="preserve"> 1978</w:t>
      </w:r>
      <w:r>
        <w:rPr>
          <w:lang w:val="uk-UA"/>
        </w:rPr>
        <w:t xml:space="preserve"> року</w:t>
      </w:r>
      <w:r w:rsidRPr="00DC7991">
        <w:rPr>
          <w:lang w:val="ru-RU"/>
        </w:rPr>
        <w:t xml:space="preserve">, </w:t>
      </w:r>
      <w:r>
        <w:rPr>
          <w:lang w:val="uk-UA"/>
        </w:rPr>
        <w:t>п.</w:t>
      </w:r>
      <w:r w:rsidRPr="00DC7991">
        <w:rPr>
          <w:lang w:val="ru-RU"/>
        </w:rPr>
        <w:t xml:space="preserve"> 98, </w:t>
      </w:r>
      <w:r>
        <w:rPr>
          <w:lang w:val="uk-UA"/>
        </w:rPr>
        <w:t>Серія</w:t>
      </w:r>
      <w:r w:rsidRPr="00DC7991">
        <w:rPr>
          <w:lang w:val="ru-RU"/>
        </w:rPr>
        <w:t xml:space="preserve"> </w:t>
      </w:r>
      <w:r w:rsidRPr="00FC1A48">
        <w:t>A</w:t>
      </w:r>
      <w:r w:rsidRPr="00DC7991">
        <w:rPr>
          <w:lang w:val="ru-RU"/>
        </w:rPr>
        <w:t xml:space="preserve"> </w:t>
      </w:r>
      <w:r>
        <w:rPr>
          <w:lang w:val="uk-UA"/>
        </w:rPr>
        <w:t>№</w:t>
      </w:r>
      <w:r w:rsidRPr="00DC7991">
        <w:rPr>
          <w:lang w:val="ru-RU"/>
        </w:rPr>
        <w:t xml:space="preserve"> 27; </w:t>
      </w:r>
      <w:r>
        <w:rPr>
          <w:lang w:val="uk-UA"/>
        </w:rPr>
        <w:t>«</w:t>
      </w:r>
      <w:r w:rsidRPr="00E77B16">
        <w:rPr>
          <w:lang w:val="uk-UA"/>
        </w:rPr>
        <w:t>Янссен проти Німеччини</w:t>
      </w:r>
      <w:r>
        <w:rPr>
          <w:lang w:val="uk-UA"/>
        </w:rPr>
        <w:t>» (</w:t>
      </w:r>
      <w:r w:rsidRPr="00620CD2">
        <w:rPr>
          <w:i/>
          <w:lang w:eastAsia="en-US"/>
        </w:rPr>
        <w:t>Janssen</w:t>
      </w:r>
      <w:r w:rsidRPr="00DC7991">
        <w:rPr>
          <w:i/>
          <w:lang w:val="ru-RU" w:eastAsia="en-US"/>
        </w:rPr>
        <w:t xml:space="preserve"> </w:t>
      </w:r>
      <w:r w:rsidRPr="00620CD2">
        <w:rPr>
          <w:i/>
          <w:lang w:eastAsia="en-US"/>
        </w:rPr>
        <w:t>v</w:t>
      </w:r>
      <w:r w:rsidRPr="00DC7991">
        <w:rPr>
          <w:i/>
          <w:lang w:val="ru-RU" w:eastAsia="en-US"/>
        </w:rPr>
        <w:t xml:space="preserve">. </w:t>
      </w:r>
      <w:r w:rsidRPr="00620CD2">
        <w:rPr>
          <w:i/>
          <w:lang w:eastAsia="en-US"/>
        </w:rPr>
        <w:t>Germany</w:t>
      </w:r>
      <w:r>
        <w:rPr>
          <w:i/>
          <w:lang w:val="uk-UA" w:eastAsia="en-US"/>
        </w:rPr>
        <w:t>)</w:t>
      </w:r>
      <w:r w:rsidRPr="00DC7991">
        <w:rPr>
          <w:lang w:val="ru-RU" w:eastAsia="en-US"/>
        </w:rPr>
        <w:t xml:space="preserve">, </w:t>
      </w:r>
      <w:r>
        <w:rPr>
          <w:lang w:val="uk-UA" w:eastAsia="en-US"/>
        </w:rPr>
        <w:t>№</w:t>
      </w:r>
      <w:r w:rsidRPr="00DC7991">
        <w:rPr>
          <w:lang w:val="ru-RU" w:eastAsia="en-US"/>
        </w:rPr>
        <w:t xml:space="preserve"> 23959/94, </w:t>
      </w:r>
      <w:r>
        <w:rPr>
          <w:lang w:val="uk-UA" w:eastAsia="en-US"/>
        </w:rPr>
        <w:t>п.</w:t>
      </w:r>
      <w:r w:rsidRPr="00DC7991">
        <w:rPr>
          <w:lang w:val="ru-RU" w:eastAsia="en-US"/>
        </w:rPr>
        <w:t xml:space="preserve"> 40, 20 </w:t>
      </w:r>
      <w:r>
        <w:rPr>
          <w:lang w:val="uk-UA" w:eastAsia="en-US"/>
        </w:rPr>
        <w:t>грудня</w:t>
      </w:r>
      <w:r w:rsidRPr="00DC7991">
        <w:rPr>
          <w:lang w:val="ru-RU" w:eastAsia="en-US"/>
        </w:rPr>
        <w:t xml:space="preserve"> 2001</w:t>
      </w:r>
      <w:r>
        <w:rPr>
          <w:lang w:val="uk-UA" w:eastAsia="en-US"/>
        </w:rPr>
        <w:t xml:space="preserve"> року</w:t>
      </w:r>
      <w:r w:rsidRPr="00DC7991">
        <w:rPr>
          <w:lang w:val="ru-RU" w:eastAsia="en-US"/>
        </w:rPr>
        <w:t xml:space="preserve">; </w:t>
      </w:r>
      <w:r>
        <w:rPr>
          <w:lang w:val="uk-UA" w:eastAsia="en-US"/>
        </w:rPr>
        <w:t>та</w:t>
      </w:r>
      <w:r w:rsidRPr="00DC7991">
        <w:rPr>
          <w:lang w:val="ru-RU" w:eastAsia="en-US"/>
        </w:rPr>
        <w:t xml:space="preserve"> </w:t>
      </w:r>
      <w:r>
        <w:rPr>
          <w:lang w:val="uk-UA" w:eastAsia="en-US"/>
        </w:rPr>
        <w:t>«</w:t>
      </w:r>
      <w:r w:rsidRPr="00E77B16">
        <w:rPr>
          <w:lang w:val="uk-UA" w:eastAsia="en-US"/>
        </w:rPr>
        <w:t>Хеллборг проти Швеції</w:t>
      </w:r>
      <w:r>
        <w:rPr>
          <w:lang w:val="uk-UA" w:eastAsia="en-US"/>
        </w:rPr>
        <w:t xml:space="preserve">» </w:t>
      </w:r>
      <w:r>
        <w:rPr>
          <w:i/>
          <w:lang w:val="uk-UA" w:eastAsia="en-US"/>
        </w:rPr>
        <w:t>(</w:t>
      </w:r>
      <w:r w:rsidRPr="00620CD2">
        <w:rPr>
          <w:i/>
          <w:lang w:eastAsia="en-US"/>
        </w:rPr>
        <w:t>Hellborg</w:t>
      </w:r>
      <w:r w:rsidRPr="00DC7991">
        <w:rPr>
          <w:i/>
          <w:lang w:val="ru-RU" w:eastAsia="en-US"/>
        </w:rPr>
        <w:t xml:space="preserve"> </w:t>
      </w:r>
      <w:r w:rsidRPr="00620CD2">
        <w:rPr>
          <w:i/>
          <w:lang w:eastAsia="en-US"/>
        </w:rPr>
        <w:t>v</w:t>
      </w:r>
      <w:r w:rsidRPr="00DC7991">
        <w:rPr>
          <w:i/>
          <w:lang w:val="ru-RU" w:eastAsia="en-US"/>
        </w:rPr>
        <w:t xml:space="preserve">. </w:t>
      </w:r>
      <w:r w:rsidRPr="00620CD2">
        <w:rPr>
          <w:i/>
          <w:lang w:eastAsia="en-US"/>
        </w:rPr>
        <w:t>Sweden</w:t>
      </w:r>
      <w:r>
        <w:rPr>
          <w:i/>
          <w:lang w:val="uk-UA" w:eastAsia="en-US"/>
        </w:rPr>
        <w:t>)</w:t>
      </w:r>
      <w:r w:rsidRPr="00DC7991">
        <w:rPr>
          <w:lang w:val="ru-RU" w:eastAsia="en-US"/>
        </w:rPr>
        <w:t xml:space="preserve">, </w:t>
      </w:r>
      <w:r>
        <w:rPr>
          <w:lang w:val="uk-UA" w:eastAsia="en-US"/>
        </w:rPr>
        <w:t>№</w:t>
      </w:r>
      <w:r w:rsidRPr="00DC7991">
        <w:rPr>
          <w:lang w:val="ru-RU" w:eastAsia="en-US"/>
        </w:rPr>
        <w:t xml:space="preserve"> 47473/99, </w:t>
      </w:r>
      <w:r>
        <w:rPr>
          <w:lang w:val="uk-UA" w:eastAsia="en-US"/>
        </w:rPr>
        <w:t>п.</w:t>
      </w:r>
      <w:r w:rsidRPr="00DC7991">
        <w:rPr>
          <w:lang w:val="ru-RU" w:eastAsia="en-US"/>
        </w:rPr>
        <w:t xml:space="preserve"> 59, 28 </w:t>
      </w:r>
      <w:r>
        <w:rPr>
          <w:lang w:val="uk-UA" w:eastAsia="en-US"/>
        </w:rPr>
        <w:t>лютого</w:t>
      </w:r>
      <w:r w:rsidRPr="00DC7991">
        <w:rPr>
          <w:lang w:val="ru-RU" w:eastAsia="en-US"/>
        </w:rPr>
        <w:t xml:space="preserve"> 2006</w:t>
      </w:r>
      <w:r>
        <w:rPr>
          <w:lang w:val="uk-UA" w:eastAsia="en-US"/>
        </w:rPr>
        <w:t xml:space="preserve"> року</w:t>
      </w:r>
      <w:r w:rsidRPr="00DC7991">
        <w:rPr>
          <w:lang w:val="ru-RU" w:eastAsia="en-US"/>
        </w:rPr>
        <w:t>).</w:t>
      </w:r>
    </w:p>
    <w:p w:rsidRPr="00DC7991" w:rsidR="00D002A0" w:rsidP="00986A9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66</w:t>
      </w:r>
      <w:r w:rsidRPr="00DC7991">
        <w:rPr>
          <w:lang w:val="ru-RU"/>
        </w:rPr>
        <w:fldChar w:fldCharType="end"/>
      </w:r>
      <w:r w:rsidRPr="00DC7991">
        <w:rPr>
          <w:lang w:val="ru-RU"/>
        </w:rPr>
        <w:t>.</w:t>
      </w:r>
      <w:r w:rsidRPr="00FC1A48">
        <w:t>  </w:t>
      </w:r>
      <w:r>
        <w:rPr>
          <w:lang w:val="uk-UA"/>
        </w:rPr>
        <w:t>Отже, у даній справі відлик розумного строку, передбаченого пунктом 1 статті 6, почався з того моменту, коли заявники звернулися з позовом до регіональної адміністрацїї , тобто з 19 березня 1993 року (див. попередній пункт). Не викликає сумнівів те, що провадження у справі завершилось ухваленням 27 квітня 2000 року рішення Вищим адміністративним судом. Таким чином, воно тривало більше семи років.</w:t>
      </w:r>
    </w:p>
    <w:p w:rsidRPr="00DC7991" w:rsidR="00D002A0" w:rsidP="00986A9C">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67</w:t>
      </w:r>
      <w:r w:rsidRPr="00DC7991">
        <w:rPr>
          <w:lang w:val="ru-RU"/>
        </w:rPr>
        <w:fldChar w:fldCharType="end"/>
      </w:r>
      <w:r w:rsidRPr="00DC7991">
        <w:rPr>
          <w:lang w:val="ru-RU"/>
        </w:rPr>
        <w:t>.</w:t>
      </w:r>
      <w:r w:rsidRPr="00FC1A48">
        <w:t>  </w:t>
      </w:r>
      <w:r>
        <w:rPr>
          <w:lang w:val="uk-UA"/>
        </w:rPr>
        <w:t xml:space="preserve">Суд оцінюватиме розумність строку розгляду справи у світлі конкретних обставин справи та з урахуванням критеріїв, викладених у його прецедентній практиці, а саме складності справи та поведінки заявників і відповідних органів влади. Що стосується останнього питання, має також братися до уваги важливість предмета спору для заявника </w:t>
      </w:r>
      <w:r w:rsidRPr="00DC7991">
        <w:rPr>
          <w:lang w:val="ru-RU"/>
        </w:rPr>
        <w:t>(</w:t>
      </w:r>
      <w:r>
        <w:rPr>
          <w:lang w:val="uk-UA"/>
        </w:rPr>
        <w:t>див. «</w:t>
      </w:r>
      <w:r w:rsidRPr="008C2682">
        <w:rPr>
          <w:lang w:val="uk-UA"/>
        </w:rPr>
        <w:t>Філіс проти Греції</w:t>
      </w:r>
      <w:r>
        <w:rPr>
          <w:lang w:val="uk-UA"/>
        </w:rPr>
        <w:t>» (</w:t>
      </w:r>
      <w:r w:rsidRPr="00FC1A48">
        <w:rPr>
          <w:i/>
          <w:iCs/>
        </w:rPr>
        <w:t>Philis</w:t>
      </w:r>
      <w:r w:rsidRPr="00DC7991">
        <w:rPr>
          <w:i/>
          <w:iCs/>
          <w:lang w:val="uk-UA"/>
        </w:rPr>
        <w:t xml:space="preserve"> </w:t>
      </w:r>
      <w:r w:rsidRPr="00FC1A48">
        <w:rPr>
          <w:i/>
          <w:iCs/>
        </w:rPr>
        <w:t>v</w:t>
      </w:r>
      <w:r w:rsidRPr="00DC7991">
        <w:rPr>
          <w:i/>
          <w:iCs/>
          <w:lang w:val="uk-UA"/>
        </w:rPr>
        <w:t xml:space="preserve">. </w:t>
      </w:r>
      <w:r w:rsidRPr="00FC1A48">
        <w:rPr>
          <w:i/>
          <w:iCs/>
        </w:rPr>
        <w:t>Greece</w:t>
      </w:r>
      <w:r>
        <w:rPr>
          <w:i/>
          <w:iCs/>
          <w:lang w:val="uk-UA"/>
        </w:rPr>
        <w:t>)</w:t>
      </w:r>
      <w:r w:rsidRPr="00DC7991">
        <w:rPr>
          <w:i/>
          <w:iCs/>
          <w:lang w:val="uk-UA"/>
        </w:rPr>
        <w:t xml:space="preserve"> (</w:t>
      </w:r>
      <w:r>
        <w:rPr>
          <w:i/>
          <w:iCs/>
          <w:lang w:val="uk-UA"/>
        </w:rPr>
        <w:t>№</w:t>
      </w:r>
      <w:r w:rsidRPr="00DC7991">
        <w:rPr>
          <w:i/>
          <w:iCs/>
          <w:lang w:val="uk-UA"/>
        </w:rPr>
        <w:t>. 2)</w:t>
      </w:r>
      <w:r w:rsidRPr="00DC7991">
        <w:rPr>
          <w:iCs/>
          <w:lang w:val="uk-UA"/>
        </w:rPr>
        <w:t>,</w:t>
      </w:r>
      <w:r w:rsidRPr="00DC7991">
        <w:rPr>
          <w:lang w:val="uk-UA"/>
        </w:rPr>
        <w:t xml:space="preserve"> 27 </w:t>
      </w:r>
      <w:r>
        <w:rPr>
          <w:lang w:val="uk-UA"/>
        </w:rPr>
        <w:t>червня</w:t>
      </w:r>
      <w:r w:rsidRPr="00DC7991">
        <w:rPr>
          <w:lang w:val="uk-UA"/>
        </w:rPr>
        <w:t xml:space="preserve"> 1997</w:t>
      </w:r>
      <w:r>
        <w:rPr>
          <w:lang w:val="uk-UA"/>
        </w:rPr>
        <w:t xml:space="preserve"> року</w:t>
      </w:r>
      <w:r w:rsidRPr="00DC7991">
        <w:rPr>
          <w:lang w:val="uk-UA"/>
        </w:rPr>
        <w:t xml:space="preserve">, </w:t>
      </w:r>
      <w:r>
        <w:rPr>
          <w:lang w:val="uk-UA"/>
        </w:rPr>
        <w:t>п.</w:t>
      </w:r>
      <w:r w:rsidRPr="00DC7991">
        <w:rPr>
          <w:lang w:val="uk-UA"/>
        </w:rPr>
        <w:t xml:space="preserve"> 35, </w:t>
      </w:r>
      <w:r w:rsidRPr="008C2682">
        <w:rPr>
          <w:lang w:val="uk-UA"/>
        </w:rPr>
        <w:t>Збірник</w:t>
      </w:r>
      <w:r w:rsidRPr="00DC7991">
        <w:rPr>
          <w:iCs/>
          <w:lang w:val="uk-UA"/>
        </w:rPr>
        <w:t xml:space="preserve"> </w:t>
      </w:r>
      <w:r w:rsidRPr="00DC7991">
        <w:rPr>
          <w:lang w:val="uk-UA"/>
        </w:rPr>
        <w:t>1997-</w:t>
      </w:r>
      <w:r>
        <w:t>IV</w:t>
      </w:r>
      <w:r w:rsidRPr="00DC7991">
        <w:rPr>
          <w:lang w:val="uk-UA"/>
        </w:rPr>
        <w:t>).</w:t>
      </w:r>
    </w:p>
    <w:p w:rsidRPr="00DC7991" w:rsidR="00D002A0" w:rsidP="00986A9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68</w:t>
      </w:r>
      <w:r w:rsidRPr="00DC7991">
        <w:rPr>
          <w:lang w:val="ru-RU"/>
        </w:rPr>
        <w:fldChar w:fldCharType="end"/>
      </w:r>
      <w:r w:rsidRPr="00DC7991">
        <w:rPr>
          <w:lang w:val="ru-RU"/>
        </w:rPr>
        <w:t>.</w:t>
      </w:r>
      <w:r w:rsidRPr="00FC1A48">
        <w:t>  </w:t>
      </w:r>
      <w:r>
        <w:rPr>
          <w:lang w:val="uk-UA"/>
        </w:rPr>
        <w:t>Суд згоден з думкою сторін, що справа не була складною. Предмет спору не мав виключного характеру.</w:t>
      </w:r>
    </w:p>
    <w:p w:rsidRPr="00DC7991" w:rsidR="00D002A0" w:rsidP="00986A9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69</w:t>
      </w:r>
      <w:r w:rsidRPr="00DC7991">
        <w:rPr>
          <w:lang w:val="ru-RU"/>
        </w:rPr>
        <w:fldChar w:fldCharType="end"/>
      </w:r>
      <w:r w:rsidRPr="00DC7991">
        <w:rPr>
          <w:lang w:val="ru-RU"/>
        </w:rPr>
        <w:t>.</w:t>
      </w:r>
      <w:r w:rsidRPr="00FC1A48">
        <w:t>  </w:t>
      </w:r>
      <w:r>
        <w:rPr>
          <w:lang w:val="uk-UA"/>
        </w:rPr>
        <w:t>Що стосується поведінки заявників, вони не затягували розгляд справи. Що стосується поведінки органів влади, Суд зазначає, що місцева адміністрація отримала клопотання 19 березня 1993 року. Їй були адресовані з цього приводу зауваження, які вона передала заявникам для коментарів. Після цього вона винесла 19 березня 1997 року своє рішення. Таким чином, розгляд справи у місцевій адміністрації забрав чотири роки. Такі строки не пояснюються ні вжитими процедурними заходами, ні необхідністю дочекатися рішення у справі «</w:t>
      </w:r>
      <w:r w:rsidRPr="008C2682">
        <w:rPr>
          <w:lang w:val="uk-UA"/>
        </w:rPr>
        <w:t>Аскола</w:t>
      </w:r>
      <w:r>
        <w:rPr>
          <w:lang w:val="uk-UA"/>
        </w:rPr>
        <w:t>» (</w:t>
      </w:r>
      <w:r w:rsidRPr="00F65A5E">
        <w:rPr>
          <w:i/>
        </w:rPr>
        <w:t>Askola</w:t>
      </w:r>
      <w:r w:rsidRPr="00DC7991">
        <w:rPr>
          <w:lang w:val="ru-RU"/>
        </w:rPr>
        <w:t xml:space="preserve"> </w:t>
      </w:r>
      <w:r>
        <w:t>case</w:t>
      </w:r>
      <w:r>
        <w:rPr>
          <w:lang w:val="uk-UA"/>
        </w:rPr>
        <w:t>), яке стало остаточним уже 7 грудня 1994 року.</w:t>
      </w:r>
    </w:p>
    <w:p w:rsidR="00D002A0" w:rsidP="00986A9C">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70</w:t>
      </w:r>
      <w:r w:rsidRPr="00DC7991">
        <w:rPr>
          <w:lang w:val="ru-RU"/>
        </w:rPr>
        <w:fldChar w:fldCharType="end"/>
      </w:r>
      <w:r w:rsidRPr="00DC7991">
        <w:rPr>
          <w:lang w:val="ru-RU"/>
        </w:rPr>
        <w:t>.</w:t>
      </w:r>
      <w:r w:rsidRPr="00FC1A48">
        <w:t>  </w:t>
      </w:r>
      <w:r>
        <w:rPr>
          <w:lang w:val="uk-UA"/>
        </w:rPr>
        <w:t>Що стосується розгляду справи Окружним адміністративним судом та Вищим адміністративним судом, Суд дійшов висновку, що провадження у цих судових інстанцях забрало в цілому близько трьох років і не викликає як таке жодних питань.</w:t>
      </w:r>
    </w:p>
    <w:p w:rsidR="00D002A0" w:rsidP="00986A9C">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71</w:t>
      </w:r>
      <w:r w:rsidRPr="00DC7991">
        <w:rPr>
          <w:lang w:val="ru-RU"/>
        </w:rPr>
        <w:fldChar w:fldCharType="end"/>
      </w:r>
      <w:r w:rsidRPr="00DC7991">
        <w:rPr>
          <w:lang w:val="ru-RU"/>
        </w:rPr>
        <w:t>.</w:t>
      </w:r>
      <w:r w:rsidRPr="00FC1A48">
        <w:t>  </w:t>
      </w:r>
      <w:r>
        <w:rPr>
          <w:lang w:val="uk-UA"/>
        </w:rPr>
        <w:t>У підсумку, Суд дійшов висновку, що розгляд справи місцевою адміністрацією був проведений із затримками, яким він не знайшов достатнього пояснення. Отже, мало місце порушення пункту 1 статті 6 у зв’язку з тривалістю судового розгляду.</w:t>
      </w:r>
    </w:p>
    <w:p w:rsidRPr="002266AD" w:rsidR="00D002A0" w:rsidP="00991B15">
      <w:pPr>
        <w:pStyle w:val="JuHa0"/>
        <w:outlineLvl w:val="0"/>
        <w:rPr>
          <w:lang w:val="uk-UA"/>
        </w:rPr>
      </w:pPr>
      <w:r w:rsidRPr="00DC7991">
        <w:rPr>
          <w:lang w:val="ru-RU"/>
        </w:rPr>
        <w:t>(</w:t>
      </w:r>
      <w:r>
        <w:t>b</w:t>
      </w:r>
      <w:r w:rsidRPr="00DC7991">
        <w:rPr>
          <w:lang w:val="ru-RU"/>
        </w:rPr>
        <w:t>)</w:t>
      </w:r>
      <w:r>
        <w:t>  </w:t>
      </w:r>
      <w:r>
        <w:rPr>
          <w:lang w:val="uk-UA"/>
        </w:rPr>
        <w:t>Усний розгляд справи</w:t>
      </w:r>
    </w:p>
    <w:p w:rsidRPr="00DC7991" w:rsidR="00D002A0" w:rsidP="00F60A81">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72</w:t>
      </w:r>
      <w:r w:rsidRPr="00DC7991">
        <w:rPr>
          <w:lang w:val="ru-RU"/>
        </w:rPr>
        <w:fldChar w:fldCharType="end"/>
      </w:r>
      <w:r w:rsidRPr="00DC7991">
        <w:rPr>
          <w:lang w:val="ru-RU"/>
        </w:rPr>
        <w:t>.</w:t>
      </w:r>
      <w:r>
        <w:t>  </w:t>
      </w:r>
      <w:r>
        <w:rPr>
          <w:lang w:val="uk-UA"/>
        </w:rPr>
        <w:t>Принципи, що застосовуються при розгляді цього питання, викладені у рішенні Суду у справі «Юссіла проти Фінляндії» (</w:t>
      </w:r>
      <w:r w:rsidRPr="00F65A5E">
        <w:rPr>
          <w:i/>
        </w:rPr>
        <w:t>Jussila</w:t>
      </w:r>
      <w:r w:rsidRPr="00DC7991">
        <w:rPr>
          <w:i/>
          <w:lang w:val="ru-RU"/>
        </w:rPr>
        <w:t xml:space="preserve"> </w:t>
      </w:r>
      <w:r w:rsidRPr="00F65A5E">
        <w:rPr>
          <w:i/>
        </w:rPr>
        <w:t>v</w:t>
      </w:r>
      <w:r w:rsidRPr="00DC7991">
        <w:rPr>
          <w:i/>
          <w:lang w:val="ru-RU"/>
        </w:rPr>
        <w:t xml:space="preserve">. </w:t>
      </w:r>
      <w:r w:rsidRPr="00F65A5E">
        <w:rPr>
          <w:i/>
        </w:rPr>
        <w:t>Finland</w:t>
      </w:r>
      <w:r>
        <w:rPr>
          <w:i/>
          <w:lang w:val="uk-UA"/>
        </w:rPr>
        <w:t>)</w:t>
      </w:r>
      <w:r w:rsidRPr="00DC7991">
        <w:rPr>
          <w:lang w:val="ru-RU"/>
        </w:rPr>
        <w:t xml:space="preserve"> ([</w:t>
      </w:r>
      <w:r>
        <w:rPr>
          <w:lang w:val="uk-UA"/>
        </w:rPr>
        <w:t>ВП</w:t>
      </w:r>
      <w:r w:rsidRPr="00DC7991">
        <w:rPr>
          <w:lang w:val="ru-RU"/>
        </w:rPr>
        <w:t xml:space="preserve">], </w:t>
      </w:r>
      <w:r>
        <w:rPr>
          <w:lang w:val="uk-UA"/>
        </w:rPr>
        <w:t>№</w:t>
      </w:r>
      <w:r w:rsidRPr="00DC7991">
        <w:rPr>
          <w:lang w:val="ru-RU"/>
        </w:rPr>
        <w:t xml:space="preserve"> 73053/01, </w:t>
      </w:r>
      <w:r>
        <w:rPr>
          <w:lang w:val="uk-UA"/>
        </w:rPr>
        <w:t>пп.</w:t>
      </w:r>
      <w:r w:rsidRPr="00DC7991">
        <w:rPr>
          <w:lang w:val="ru-RU"/>
        </w:rPr>
        <w:t xml:space="preserve"> 40-45, </w:t>
      </w:r>
      <w:r>
        <w:t>ECHR</w:t>
      </w:r>
      <w:r w:rsidRPr="00DC7991">
        <w:rPr>
          <w:lang w:val="ru-RU"/>
        </w:rPr>
        <w:t xml:space="preserve"> 2006</w:t>
      </w:r>
      <w:r w:rsidRPr="00DC7991">
        <w:rPr>
          <w:lang w:val="ru-RU"/>
        </w:rPr>
        <w:noBreakHyphen/>
      </w:r>
      <w:r>
        <w:t>XIV</w:t>
      </w:r>
      <w:r w:rsidRPr="00DC7991">
        <w:rPr>
          <w:lang w:val="ru-RU"/>
        </w:rPr>
        <w:t>).</w:t>
      </w:r>
    </w:p>
    <w:p w:rsidR="00D002A0" w:rsidP="00F60A81">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73</w:t>
      </w:r>
      <w:r w:rsidRPr="00DC7991">
        <w:rPr>
          <w:lang w:val="ru-RU"/>
        </w:rPr>
        <w:fldChar w:fldCharType="end"/>
      </w:r>
      <w:r w:rsidRPr="00DC7991">
        <w:rPr>
          <w:lang w:val="ru-RU"/>
        </w:rPr>
        <w:t>.</w:t>
      </w:r>
      <w:r>
        <w:t>  </w:t>
      </w:r>
      <w:r>
        <w:rPr>
          <w:lang w:val="uk-UA"/>
        </w:rPr>
        <w:t>У даній справі заявники вимагали проведення усного слухання для того, щоб довести, що поліцейське управління обіцяло їм відшкодувати зазнані економічні збитки. Адміністративні суди дійшли висновку, що за існуючих обставин проведення усних слухань було явно зайвим, оскільки стверджувана обіцянка не мала ніякого значення у справі. Суд підтримав довід уряду, згідно з яким всі питання щодо фактів і права, які виникли в цій справі, могли бути належним чином розглянуті і вирішені на основі письмових зауважень сторін.</w:t>
      </w:r>
    </w:p>
    <w:p w:rsidRPr="00DC7991" w:rsidR="00D002A0" w:rsidP="00F60A81">
      <w:pPr>
        <w:pStyle w:val="JuPara"/>
        <w:rPr>
          <w:szCs w:val="24"/>
          <w:lang w:val="ru-RU" w:eastAsia="en-US"/>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74</w:t>
      </w:r>
      <w:r w:rsidRPr="00DC7991">
        <w:rPr>
          <w:lang w:val="uk-UA"/>
        </w:rPr>
        <w:fldChar w:fldCharType="end"/>
      </w:r>
      <w:r w:rsidRPr="00DC7991">
        <w:rPr>
          <w:lang w:val="uk-UA"/>
        </w:rPr>
        <w:t>.</w:t>
      </w:r>
      <w:r>
        <w:t>  </w:t>
      </w:r>
      <w:r>
        <w:rPr>
          <w:lang w:val="uk-UA"/>
        </w:rPr>
        <w:t xml:space="preserve">Крім того, Суд зазначає, що заявники не були позбавлені можливості вимагати усний розгляд справи, хоча приймати рішення про необхідність його проведення належало суду </w:t>
      </w:r>
      <w:r w:rsidRPr="00DC7991">
        <w:rPr>
          <w:lang w:val="uk-UA"/>
        </w:rPr>
        <w:t>(</w:t>
      </w:r>
      <w:r>
        <w:rPr>
          <w:lang w:val="uk-UA"/>
        </w:rPr>
        <w:t>див.</w:t>
      </w:r>
      <w:r w:rsidRPr="00DC7991">
        <w:rPr>
          <w:lang w:val="uk-UA"/>
        </w:rPr>
        <w:t xml:space="preserve">, </w:t>
      </w:r>
      <w:r w:rsidRPr="00F864DB">
        <w:rPr>
          <w:i/>
        </w:rPr>
        <w:t>mutatis</w:t>
      </w:r>
      <w:r w:rsidRPr="00DC7991">
        <w:rPr>
          <w:i/>
          <w:lang w:val="uk-UA"/>
        </w:rPr>
        <w:t xml:space="preserve"> </w:t>
      </w:r>
      <w:r w:rsidRPr="00F864DB">
        <w:rPr>
          <w:i/>
        </w:rPr>
        <w:t>mutandis</w:t>
      </w:r>
      <w:r w:rsidRPr="00DC7991">
        <w:rPr>
          <w:lang w:val="uk-UA"/>
        </w:rPr>
        <w:t xml:space="preserve">, </w:t>
      </w:r>
      <w:r>
        <w:rPr>
          <w:lang w:val="uk-UA"/>
        </w:rPr>
        <w:t>справу «Мартіні» (</w:t>
      </w:r>
      <w:r w:rsidRPr="00F864DB">
        <w:rPr>
          <w:i/>
          <w:szCs w:val="24"/>
          <w:lang w:eastAsia="en-US"/>
        </w:rPr>
        <w:t>Martinie</w:t>
      </w:r>
      <w:r>
        <w:rPr>
          <w:i/>
          <w:szCs w:val="24"/>
          <w:lang w:val="uk-UA" w:eastAsia="en-US"/>
        </w:rPr>
        <w:t>)</w:t>
      </w:r>
      <w:r w:rsidRPr="00DC7991">
        <w:rPr>
          <w:szCs w:val="24"/>
          <w:lang w:val="uk-UA" w:eastAsia="en-US"/>
        </w:rPr>
        <w:t xml:space="preserve">, </w:t>
      </w:r>
      <w:r>
        <w:rPr>
          <w:szCs w:val="24"/>
          <w:lang w:val="uk-UA" w:eastAsia="en-US"/>
        </w:rPr>
        <w:t>згадану вище</w:t>
      </w:r>
      <w:r w:rsidRPr="00DC7991">
        <w:rPr>
          <w:szCs w:val="24"/>
          <w:lang w:val="uk-UA" w:eastAsia="en-US"/>
        </w:rPr>
        <w:t xml:space="preserve">, </w:t>
      </w:r>
      <w:r>
        <w:rPr>
          <w:szCs w:val="24"/>
          <w:lang w:val="uk-UA" w:eastAsia="en-US"/>
        </w:rPr>
        <w:t>п.</w:t>
      </w:r>
      <w:r w:rsidRPr="00DC7991">
        <w:rPr>
          <w:szCs w:val="24"/>
          <w:lang w:val="uk-UA" w:eastAsia="en-US"/>
        </w:rPr>
        <w:t xml:space="preserve"> 44)</w:t>
      </w:r>
      <w:r>
        <w:rPr>
          <w:lang w:val="uk-UA"/>
        </w:rPr>
        <w:t>. Адміністративні суди вказали на причини непроведення усного розгляду. Оскільки заявникам була надана значна можливість висувати свої доводи у письмовій формі і коментувати зауваження, подані іншою стороною, Суд вважає, що вимоги справедливості судового розгляду були дотримані і дозволили не проводити усного слухання.</w:t>
      </w:r>
    </w:p>
    <w:p w:rsidRPr="00DC7991" w:rsidR="00D002A0" w:rsidP="00E614C4">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75</w:t>
      </w:r>
      <w:r w:rsidRPr="00DC7991">
        <w:rPr>
          <w:lang w:val="ru-RU"/>
        </w:rPr>
        <w:fldChar w:fldCharType="end"/>
      </w:r>
      <w:r w:rsidRPr="00DC7991">
        <w:rPr>
          <w:lang w:val="ru-RU"/>
        </w:rPr>
        <w:t>.</w:t>
      </w:r>
      <w:r>
        <w:t>  </w:t>
      </w:r>
      <w:r>
        <w:rPr>
          <w:lang w:val="uk-UA"/>
        </w:rPr>
        <w:t>Таким чином, порушення пункту 1 статті 6 Конвенції у зв’язку з непроведенням усного розгляду справи не мало місця.</w:t>
      </w:r>
    </w:p>
    <w:p w:rsidR="00D002A0" w:rsidP="00991B15">
      <w:pPr>
        <w:pStyle w:val="JuHIRoman"/>
        <w:outlineLvl w:val="0"/>
        <w:rPr>
          <w:lang w:val="uk-UA"/>
        </w:rPr>
      </w:pPr>
      <w:r>
        <w:t>II</w:t>
      </w:r>
      <w:r w:rsidRPr="00DC7991">
        <w:rPr>
          <w:lang w:val="ru-RU"/>
        </w:rPr>
        <w:t>.</w:t>
      </w:r>
      <w:r>
        <w:t>  </w:t>
      </w:r>
      <w:r>
        <w:rPr>
          <w:lang w:val="uk-UA"/>
        </w:rPr>
        <w:t>СТВЕРДЖУВАНЕ ПОРУШЕННЯ СТАТТІ 13 КОНВЕНЦІЇ</w:t>
      </w:r>
    </w:p>
    <w:p w:rsidRPr="00DC7991" w:rsidR="00D002A0" w:rsidP="005C7E6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76</w:t>
      </w:r>
      <w:r w:rsidRPr="00DC7991">
        <w:rPr>
          <w:lang w:val="ru-RU"/>
        </w:rPr>
        <w:fldChar w:fldCharType="end"/>
      </w:r>
      <w:r w:rsidRPr="00DC7991">
        <w:rPr>
          <w:lang w:val="ru-RU"/>
        </w:rPr>
        <w:t>.</w:t>
      </w:r>
      <w:r>
        <w:t>  </w:t>
      </w:r>
      <w:r>
        <w:rPr>
          <w:lang w:val="uk-UA"/>
        </w:rPr>
        <w:t>Заявники стверджували, що вони є жертвами порушення статті 13 Конвенції, яка гласить</w:t>
      </w:r>
      <w:r w:rsidRPr="00DC7991">
        <w:rPr>
          <w:lang w:val="ru-RU"/>
        </w:rPr>
        <w:t>:</w:t>
      </w:r>
    </w:p>
    <w:p w:rsidRPr="00DC7991" w:rsidR="00D002A0" w:rsidP="005C7E6C">
      <w:pPr>
        <w:pStyle w:val="JuQuot"/>
        <w:rPr>
          <w:lang w:val="ru-RU"/>
        </w:rPr>
      </w:pPr>
      <w:r w:rsidRPr="00DC7991">
        <w:rPr>
          <w:lang w:val="ru-RU"/>
        </w:rPr>
        <w:t>“</w:t>
      </w:r>
      <w:r>
        <w:rPr>
          <w:lang w:val="uk-UA"/>
        </w:rPr>
        <w:t>Кожен, чиї права та свободи, визнані в цій Конвенції, було порушено, має право на ефективний засіб правового захисту в національному органі, навіть якщо таке порушення було вчинене особами, які здійснювали свої офіційні повноваження</w:t>
      </w:r>
      <w:r w:rsidRPr="00DC7991">
        <w:rPr>
          <w:lang w:val="ru-RU"/>
        </w:rPr>
        <w:t>.”</w:t>
      </w:r>
    </w:p>
    <w:p w:rsidR="00D002A0" w:rsidP="00991B15">
      <w:pPr>
        <w:pStyle w:val="JuHA"/>
        <w:outlineLvl w:val="0"/>
        <w:rPr>
          <w:lang w:val="uk-UA"/>
        </w:rPr>
      </w:pPr>
      <w:r>
        <w:t>A</w:t>
      </w:r>
      <w:r w:rsidRPr="00DC7991">
        <w:rPr>
          <w:lang w:val="ru-RU"/>
        </w:rPr>
        <w:t>.</w:t>
      </w:r>
      <w:r>
        <w:t>  </w:t>
      </w:r>
      <w:r>
        <w:rPr>
          <w:lang w:val="uk-UA"/>
        </w:rPr>
        <w:t>Доводи сторін</w:t>
      </w:r>
    </w:p>
    <w:p w:rsidRPr="000C215F" w:rsidR="00D002A0" w:rsidP="00697CEC">
      <w:pPr>
        <w:pStyle w:val="JuH1"/>
        <w:rPr>
          <w:lang w:val="uk-UA"/>
        </w:rPr>
      </w:pPr>
      <w:r w:rsidRPr="00DC7991">
        <w:rPr>
          <w:lang w:val="ru-RU"/>
        </w:rPr>
        <w:t>1.</w:t>
      </w:r>
      <w:r>
        <w:t>  </w:t>
      </w:r>
      <w:r>
        <w:rPr>
          <w:lang w:val="uk-UA"/>
        </w:rPr>
        <w:t>Заявники</w:t>
      </w:r>
    </w:p>
    <w:p w:rsidRPr="00DC7991" w:rsidR="00D002A0" w:rsidP="009B7D52">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77</w:t>
      </w:r>
      <w:r w:rsidRPr="00DC7991">
        <w:rPr>
          <w:lang w:val="ru-RU"/>
        </w:rPr>
        <w:fldChar w:fldCharType="end"/>
      </w:r>
      <w:r w:rsidRPr="00DC7991">
        <w:rPr>
          <w:lang w:val="ru-RU"/>
        </w:rPr>
        <w:t>.</w:t>
      </w:r>
      <w:r>
        <w:t>  </w:t>
      </w:r>
      <w:r>
        <w:rPr>
          <w:lang w:val="uk-UA"/>
        </w:rPr>
        <w:t>Заявники стверджували, що внаслідок надмірної тривалості судового розгляду їхні позови втратили свою ефективність. Отже, засоби оскарження рішень були неефективними.</w:t>
      </w:r>
    </w:p>
    <w:p w:rsidRPr="00DC7991" w:rsidR="00D002A0" w:rsidP="00991B15">
      <w:pPr>
        <w:pStyle w:val="JuH1"/>
        <w:outlineLvl w:val="0"/>
        <w:rPr>
          <w:lang w:val="ru-RU"/>
        </w:rPr>
      </w:pPr>
      <w:r w:rsidRPr="00DC7991">
        <w:rPr>
          <w:lang w:val="ru-RU"/>
        </w:rPr>
        <w:t>2.</w:t>
      </w:r>
      <w:r>
        <w:t>  </w:t>
      </w:r>
      <w:r>
        <w:rPr>
          <w:lang w:val="uk-UA"/>
        </w:rPr>
        <w:t>Уряд</w:t>
      </w:r>
    </w:p>
    <w:p w:rsidRPr="00DC7991" w:rsidR="00D002A0" w:rsidP="004C0486">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78</w:t>
      </w:r>
      <w:r w:rsidRPr="00DC7991">
        <w:rPr>
          <w:lang w:val="ru-RU"/>
        </w:rPr>
        <w:fldChar w:fldCharType="end"/>
      </w:r>
      <w:r w:rsidRPr="00DC7991">
        <w:rPr>
          <w:lang w:val="ru-RU"/>
        </w:rPr>
        <w:t>.</w:t>
      </w:r>
      <w:r>
        <w:t>  </w:t>
      </w:r>
      <w:r>
        <w:rPr>
          <w:lang w:val="uk-UA"/>
        </w:rPr>
        <w:t xml:space="preserve">Уряд вважає, що оскільки не було порушено статтю 6, у заявників не має підстав стверджувати, що мало місце порушення статті 13. У тому разі, якщо Суд дійде іншого висновку, уряд стверджує, що це твердження заявників є необґрунтованим, оскільки заявники оскаржували рішення місцевої адміністрації у двох різних судових інстанціях. Що стосується тривалості судового розгляду, заявники мали ефективний засіб правового захисту. Про це свідчить той факт, що один із них з успіхом подав клопотання канцлеру юстиції, який у свою чергу привернув увагу місцевої адміністрації до затримки у провадженні. Крім того, уряд сприрався на принцип, згідно з яким, навіть якщо жодний окремо взятий засіб правового захисту не може цілком задовольняти вимоги статті 13, їх сукупність, передбачена внутрішнім законодавством, може відповідати таким вимогам </w:t>
      </w:r>
      <w:r w:rsidRPr="00DC7991">
        <w:rPr>
          <w:lang w:val="uk-UA"/>
        </w:rPr>
        <w:t>(</w:t>
      </w:r>
      <w:r>
        <w:rPr>
          <w:lang w:val="uk-UA"/>
        </w:rPr>
        <w:t>див.</w:t>
      </w:r>
      <w:r w:rsidRPr="00DC7991">
        <w:rPr>
          <w:lang w:val="uk-UA"/>
        </w:rPr>
        <w:t xml:space="preserve">, </w:t>
      </w:r>
      <w:r>
        <w:rPr>
          <w:lang w:val="uk-UA"/>
        </w:rPr>
        <w:t>наприклад</w:t>
      </w:r>
      <w:r w:rsidRPr="00DC7991">
        <w:rPr>
          <w:lang w:val="uk-UA"/>
        </w:rPr>
        <w:t>,</w:t>
      </w:r>
      <w:r>
        <w:rPr>
          <w:lang w:val="uk-UA"/>
        </w:rPr>
        <w:t xml:space="preserve"> «</w:t>
      </w:r>
      <w:r w:rsidRPr="00F541C4">
        <w:rPr>
          <w:lang w:val="uk-UA"/>
        </w:rPr>
        <w:t>Х проти Сполученого Королівства</w:t>
      </w:r>
      <w:r>
        <w:rPr>
          <w:lang w:val="uk-UA"/>
        </w:rPr>
        <w:t>»</w:t>
      </w:r>
      <w:r w:rsidRPr="00DC7991">
        <w:rPr>
          <w:lang w:val="uk-UA"/>
        </w:rPr>
        <w:t xml:space="preserve"> </w:t>
      </w:r>
      <w:r>
        <w:rPr>
          <w:i/>
          <w:lang w:val="uk-UA"/>
        </w:rPr>
        <w:t>(</w:t>
      </w:r>
      <w:r w:rsidRPr="004864E3">
        <w:rPr>
          <w:i/>
        </w:rPr>
        <w:t>X</w:t>
      </w:r>
      <w:r w:rsidRPr="00DC7991">
        <w:rPr>
          <w:i/>
          <w:lang w:val="uk-UA"/>
        </w:rPr>
        <w:t xml:space="preserve"> </w:t>
      </w:r>
      <w:r w:rsidRPr="004864E3">
        <w:rPr>
          <w:i/>
        </w:rPr>
        <w:t>v</w:t>
      </w:r>
      <w:r w:rsidRPr="00DC7991">
        <w:rPr>
          <w:i/>
          <w:lang w:val="uk-UA"/>
        </w:rPr>
        <w:t xml:space="preserve">. </w:t>
      </w:r>
      <w:r>
        <w:rPr>
          <w:i/>
        </w:rPr>
        <w:t>the</w:t>
      </w:r>
      <w:r w:rsidRPr="00DC7991">
        <w:rPr>
          <w:i/>
          <w:lang w:val="uk-UA"/>
        </w:rPr>
        <w:t xml:space="preserve"> </w:t>
      </w:r>
      <w:r w:rsidRPr="004864E3">
        <w:rPr>
          <w:i/>
        </w:rPr>
        <w:t>United</w:t>
      </w:r>
      <w:r w:rsidRPr="00DC7991">
        <w:rPr>
          <w:i/>
          <w:lang w:val="uk-UA"/>
        </w:rPr>
        <w:t xml:space="preserve"> </w:t>
      </w:r>
      <w:r w:rsidRPr="004864E3">
        <w:rPr>
          <w:i/>
        </w:rPr>
        <w:t>Kingdom</w:t>
      </w:r>
      <w:r>
        <w:rPr>
          <w:i/>
          <w:lang w:val="uk-UA"/>
        </w:rPr>
        <w:t>)</w:t>
      </w:r>
      <w:r w:rsidRPr="00DC7991">
        <w:rPr>
          <w:lang w:val="uk-UA"/>
        </w:rPr>
        <w:t xml:space="preserve">, 5 </w:t>
      </w:r>
      <w:r>
        <w:rPr>
          <w:lang w:val="uk-UA"/>
        </w:rPr>
        <w:t>листопада</w:t>
      </w:r>
      <w:r w:rsidRPr="00DC7991">
        <w:rPr>
          <w:lang w:val="uk-UA"/>
        </w:rPr>
        <w:t xml:space="preserve"> 1981</w:t>
      </w:r>
      <w:r>
        <w:rPr>
          <w:lang w:val="uk-UA"/>
        </w:rPr>
        <w:t xml:space="preserve"> року</w:t>
      </w:r>
      <w:r w:rsidRPr="00DC7991">
        <w:rPr>
          <w:lang w:val="uk-UA"/>
        </w:rPr>
        <w:t xml:space="preserve">, </w:t>
      </w:r>
      <w:r>
        <w:rPr>
          <w:lang w:val="uk-UA"/>
        </w:rPr>
        <w:t>п.</w:t>
      </w:r>
      <w:r w:rsidRPr="00DC7991">
        <w:rPr>
          <w:lang w:val="uk-UA"/>
        </w:rPr>
        <w:t xml:space="preserve"> 60, </w:t>
      </w:r>
      <w:r>
        <w:rPr>
          <w:lang w:val="uk-UA"/>
        </w:rPr>
        <w:t>Серія</w:t>
      </w:r>
      <w:r w:rsidRPr="00DC7991">
        <w:rPr>
          <w:lang w:val="uk-UA"/>
        </w:rPr>
        <w:t xml:space="preserve"> </w:t>
      </w:r>
      <w:r>
        <w:t>A</w:t>
      </w:r>
      <w:r w:rsidRPr="00DC7991">
        <w:rPr>
          <w:lang w:val="uk-UA"/>
        </w:rPr>
        <w:t xml:space="preserve"> </w:t>
      </w:r>
      <w:r>
        <w:rPr>
          <w:lang w:val="uk-UA"/>
        </w:rPr>
        <w:t>№</w:t>
      </w:r>
      <w:r w:rsidRPr="00DC7991">
        <w:rPr>
          <w:lang w:val="uk-UA"/>
        </w:rPr>
        <w:t xml:space="preserve"> 46; </w:t>
      </w:r>
      <w:r>
        <w:rPr>
          <w:lang w:val="uk-UA"/>
        </w:rPr>
        <w:t>«</w:t>
      </w:r>
      <w:r w:rsidRPr="001768CF">
        <w:rPr>
          <w:lang w:val="uk-UA"/>
        </w:rPr>
        <w:t>Ван Дроогенброк проти Бельгії</w:t>
      </w:r>
      <w:r>
        <w:rPr>
          <w:lang w:val="uk-UA"/>
        </w:rPr>
        <w:t>» (</w:t>
      </w:r>
      <w:r>
        <w:rPr>
          <w:i/>
        </w:rPr>
        <w:t>V</w:t>
      </w:r>
      <w:r w:rsidRPr="004864E3">
        <w:rPr>
          <w:i/>
        </w:rPr>
        <w:t>an</w:t>
      </w:r>
      <w:r w:rsidRPr="00DC7991">
        <w:rPr>
          <w:i/>
          <w:lang w:val="uk-UA"/>
        </w:rPr>
        <w:t xml:space="preserve"> </w:t>
      </w:r>
      <w:r w:rsidRPr="004864E3">
        <w:rPr>
          <w:i/>
        </w:rPr>
        <w:t>Droogenbroeck</w:t>
      </w:r>
      <w:r w:rsidRPr="00DC7991">
        <w:rPr>
          <w:i/>
          <w:lang w:val="uk-UA"/>
        </w:rPr>
        <w:t xml:space="preserve"> </w:t>
      </w:r>
      <w:r w:rsidRPr="004864E3">
        <w:rPr>
          <w:i/>
        </w:rPr>
        <w:t>v</w:t>
      </w:r>
      <w:r w:rsidRPr="00DC7991">
        <w:rPr>
          <w:i/>
          <w:lang w:val="uk-UA"/>
        </w:rPr>
        <w:t xml:space="preserve">. </w:t>
      </w:r>
      <w:r>
        <w:rPr>
          <w:i/>
        </w:rPr>
        <w:t>Belgium</w:t>
      </w:r>
      <w:r>
        <w:rPr>
          <w:i/>
          <w:lang w:val="uk-UA"/>
        </w:rPr>
        <w:t>)</w:t>
      </w:r>
      <w:r w:rsidRPr="00DC7991">
        <w:rPr>
          <w:lang w:val="uk-UA"/>
        </w:rPr>
        <w:t xml:space="preserve">, 24 </w:t>
      </w:r>
      <w:r>
        <w:rPr>
          <w:lang w:val="uk-UA"/>
        </w:rPr>
        <w:t>червня</w:t>
      </w:r>
      <w:r w:rsidRPr="00DC7991">
        <w:rPr>
          <w:lang w:val="uk-UA"/>
        </w:rPr>
        <w:t xml:space="preserve"> 1982</w:t>
      </w:r>
      <w:r>
        <w:rPr>
          <w:lang w:val="uk-UA"/>
        </w:rPr>
        <w:t xml:space="preserve"> року</w:t>
      </w:r>
      <w:r w:rsidRPr="00DC7991">
        <w:rPr>
          <w:lang w:val="uk-UA"/>
        </w:rPr>
        <w:t xml:space="preserve">, </w:t>
      </w:r>
      <w:r>
        <w:rPr>
          <w:lang w:val="uk-UA"/>
        </w:rPr>
        <w:t>п.</w:t>
      </w:r>
      <w:r w:rsidRPr="00DC7991">
        <w:rPr>
          <w:lang w:val="uk-UA"/>
        </w:rPr>
        <w:t xml:space="preserve"> 56, </w:t>
      </w:r>
      <w:r>
        <w:rPr>
          <w:lang w:val="uk-UA"/>
        </w:rPr>
        <w:t>Серія</w:t>
      </w:r>
      <w:r w:rsidRPr="00DC7991">
        <w:rPr>
          <w:lang w:val="uk-UA"/>
        </w:rPr>
        <w:t xml:space="preserve"> </w:t>
      </w:r>
      <w:r>
        <w:t>A</w:t>
      </w:r>
      <w:r w:rsidRPr="00DC7991">
        <w:rPr>
          <w:lang w:val="uk-UA"/>
        </w:rPr>
        <w:t xml:space="preserve"> </w:t>
      </w:r>
      <w:r>
        <w:rPr>
          <w:lang w:val="uk-UA"/>
        </w:rPr>
        <w:t>№</w:t>
      </w:r>
      <w:r w:rsidRPr="00DC7991">
        <w:rPr>
          <w:lang w:val="uk-UA"/>
        </w:rPr>
        <w:t xml:space="preserve"> 50; </w:t>
      </w:r>
      <w:r>
        <w:rPr>
          <w:lang w:val="uk-UA"/>
        </w:rPr>
        <w:t>та</w:t>
      </w:r>
      <w:r w:rsidRPr="00DC7991">
        <w:rPr>
          <w:lang w:val="uk-UA"/>
        </w:rPr>
        <w:t xml:space="preserve"> </w:t>
      </w:r>
      <w:r>
        <w:rPr>
          <w:lang w:val="uk-UA"/>
        </w:rPr>
        <w:t>«</w:t>
      </w:r>
      <w:r w:rsidRPr="001768CF">
        <w:rPr>
          <w:lang w:val="uk-UA"/>
        </w:rPr>
        <w:t>Леандер проти Щвеції</w:t>
      </w:r>
      <w:r>
        <w:rPr>
          <w:lang w:val="uk-UA"/>
        </w:rPr>
        <w:t>» (</w:t>
      </w:r>
      <w:r w:rsidRPr="004864E3">
        <w:rPr>
          <w:i/>
        </w:rPr>
        <w:t>Leander</w:t>
      </w:r>
      <w:r w:rsidRPr="00DC7991">
        <w:rPr>
          <w:i/>
          <w:lang w:val="uk-UA"/>
        </w:rPr>
        <w:t xml:space="preserve"> </w:t>
      </w:r>
      <w:r w:rsidRPr="004864E3">
        <w:rPr>
          <w:i/>
        </w:rPr>
        <w:t>v</w:t>
      </w:r>
      <w:r w:rsidRPr="00DC7991">
        <w:rPr>
          <w:i/>
          <w:lang w:val="uk-UA"/>
        </w:rPr>
        <w:t xml:space="preserve">. </w:t>
      </w:r>
      <w:r w:rsidRPr="004864E3">
        <w:rPr>
          <w:i/>
        </w:rPr>
        <w:t>Sweden</w:t>
      </w:r>
      <w:r>
        <w:rPr>
          <w:i/>
          <w:lang w:val="uk-UA"/>
        </w:rPr>
        <w:t>)</w:t>
      </w:r>
      <w:r w:rsidRPr="00DC7991">
        <w:rPr>
          <w:lang w:val="uk-UA"/>
        </w:rPr>
        <w:t>, 26</w:t>
      </w:r>
      <w:r>
        <w:t> </w:t>
      </w:r>
      <w:r>
        <w:rPr>
          <w:lang w:val="uk-UA"/>
        </w:rPr>
        <w:t>березня</w:t>
      </w:r>
      <w:r w:rsidRPr="00DC7991">
        <w:rPr>
          <w:lang w:val="uk-UA"/>
        </w:rPr>
        <w:t xml:space="preserve"> 1987</w:t>
      </w:r>
      <w:r>
        <w:rPr>
          <w:lang w:val="uk-UA"/>
        </w:rPr>
        <w:t xml:space="preserve"> року</w:t>
      </w:r>
      <w:r w:rsidRPr="00DC7991">
        <w:rPr>
          <w:lang w:val="uk-UA"/>
        </w:rPr>
        <w:t xml:space="preserve">, </w:t>
      </w:r>
      <w:r>
        <w:rPr>
          <w:lang w:val="uk-UA"/>
        </w:rPr>
        <w:t>пп.</w:t>
      </w:r>
      <w:r w:rsidRPr="00DC7991">
        <w:rPr>
          <w:lang w:val="uk-UA"/>
        </w:rPr>
        <w:t xml:space="preserve"> 77 </w:t>
      </w:r>
      <w:r>
        <w:rPr>
          <w:lang w:val="uk-UA"/>
        </w:rPr>
        <w:t xml:space="preserve">та </w:t>
      </w:r>
      <w:r w:rsidRPr="00DC7991">
        <w:rPr>
          <w:lang w:val="uk-UA"/>
        </w:rPr>
        <w:t xml:space="preserve">81-82, </w:t>
      </w:r>
      <w:r>
        <w:rPr>
          <w:lang w:val="uk-UA"/>
        </w:rPr>
        <w:t>Серія</w:t>
      </w:r>
      <w:r w:rsidRPr="00DC7991">
        <w:rPr>
          <w:lang w:val="uk-UA"/>
        </w:rPr>
        <w:t xml:space="preserve"> </w:t>
      </w:r>
      <w:r>
        <w:t>A</w:t>
      </w:r>
      <w:r w:rsidRPr="00DC7991">
        <w:rPr>
          <w:lang w:val="uk-UA"/>
        </w:rPr>
        <w:t xml:space="preserve"> </w:t>
      </w:r>
      <w:r>
        <w:rPr>
          <w:lang w:val="uk-UA"/>
        </w:rPr>
        <w:t>№</w:t>
      </w:r>
      <w:r w:rsidRPr="00DC7991">
        <w:rPr>
          <w:lang w:val="uk-UA"/>
        </w:rPr>
        <w:t xml:space="preserve"> 116). </w:t>
      </w:r>
      <w:r>
        <w:rPr>
          <w:lang w:val="uk-UA"/>
        </w:rPr>
        <w:t>До того ж, «національний орган», який згадується у статті 13, не обов’язково має бути судовим органом</w:t>
      </w:r>
      <w:r w:rsidRPr="00DC7991">
        <w:rPr>
          <w:lang w:val="ru-RU"/>
        </w:rPr>
        <w:t>.</w:t>
      </w:r>
    </w:p>
    <w:p w:rsidRPr="00DC7991" w:rsidR="00D002A0" w:rsidP="00991B15">
      <w:pPr>
        <w:pStyle w:val="JuHA"/>
        <w:outlineLvl w:val="0"/>
        <w:rPr>
          <w:lang w:val="ru-RU"/>
        </w:rPr>
      </w:pPr>
      <w:r>
        <w:t>B</w:t>
      </w:r>
      <w:r w:rsidRPr="00DC7991">
        <w:rPr>
          <w:lang w:val="ru-RU"/>
        </w:rPr>
        <w:t>.</w:t>
      </w:r>
      <w:r>
        <w:t>  </w:t>
      </w:r>
      <w:r>
        <w:rPr>
          <w:lang w:val="uk-UA"/>
        </w:rPr>
        <w:t>Оцінка Суду</w:t>
      </w:r>
    </w:p>
    <w:p w:rsidRPr="00DC7991" w:rsidR="00D002A0" w:rsidP="00BE3E19">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79</w:t>
      </w:r>
      <w:r w:rsidRPr="00DC7991">
        <w:rPr>
          <w:lang w:val="ru-RU"/>
        </w:rPr>
        <w:fldChar w:fldCharType="end"/>
      </w:r>
      <w:r w:rsidRPr="00DC7991">
        <w:rPr>
          <w:lang w:val="ru-RU"/>
        </w:rPr>
        <w:t>.</w:t>
      </w:r>
      <w:r>
        <w:t>  </w:t>
      </w:r>
      <w:r>
        <w:rPr>
          <w:lang w:val="uk-UA"/>
        </w:rPr>
        <w:t>Суд інтерпретував скаргу заявників на порушення статті 13 у тому сенсі, що у них не було, за їхнім твердженням, ніякої можливості прискорити розгляд справи в національних органах. Заявники відстоюють надане їм Конвенцією право на «розгляд справи упродовж розумного сроку», гарантоване пунктом 1 статті 6. Отже, Суд повинен визначити обсяг зобов’язань держави-відповідача відповідно до статті 13 надати заявникам «ефективний засіб правового захисту в національному органі».</w:t>
      </w:r>
    </w:p>
    <w:p w:rsidRPr="00DC7991" w:rsidR="00D002A0" w:rsidP="00BE3E19">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80</w:t>
      </w:r>
      <w:r w:rsidRPr="00DC7991">
        <w:rPr>
          <w:lang w:val="ru-RU"/>
        </w:rPr>
        <w:fldChar w:fldCharType="end"/>
      </w:r>
      <w:r w:rsidRPr="00DC7991">
        <w:rPr>
          <w:lang w:val="ru-RU"/>
        </w:rPr>
        <w:t>.</w:t>
      </w:r>
      <w:r>
        <w:t>  </w:t>
      </w:r>
      <w:r>
        <w:rPr>
          <w:lang w:val="uk-UA"/>
        </w:rPr>
        <w:t xml:space="preserve">Суд уже неодноразово заявлял, що стаття 13 Конвенції гарантує наявність на національному рівні засобу правового захисту, дозволяючого користуватися правами та свободами, викладеними в Конвенції, в якій би формі вони не були закріплені в національному законодавстві. Стаття 13, таким чином, вимагає забезпечити доступність внутрішнього засобу правового захисту, що дозволяв би розглянути по суті «обґрунтовану скаргу» про порушення Конвенції та присудити відповідне відшкодування. Обсяг зобов’язань Договірних Держав в рамках статті 13 варіює залежно від характеру скарги заявника. Однак, засіб правового захисту, що вимагається статтею 13, має бути «ефективним» як за законом, так і на практиці </w:t>
      </w:r>
      <w:r w:rsidRPr="00DC7991">
        <w:rPr>
          <w:lang w:val="uk-UA"/>
        </w:rPr>
        <w:t>(</w:t>
      </w:r>
      <w:r>
        <w:rPr>
          <w:lang w:val="uk-UA"/>
        </w:rPr>
        <w:t>див.</w:t>
      </w:r>
      <w:r w:rsidRPr="00DC7991">
        <w:rPr>
          <w:lang w:val="uk-UA"/>
        </w:rPr>
        <w:t xml:space="preserve">, </w:t>
      </w:r>
      <w:r>
        <w:rPr>
          <w:lang w:val="uk-UA"/>
        </w:rPr>
        <w:t>поміж інших джерел, рішення у справі «</w:t>
      </w:r>
      <w:r w:rsidRPr="001768CF">
        <w:rPr>
          <w:lang w:val="uk-UA"/>
        </w:rPr>
        <w:t>Кудла проти Польщі</w:t>
      </w:r>
      <w:r>
        <w:rPr>
          <w:lang w:val="uk-UA"/>
        </w:rPr>
        <w:t>»</w:t>
      </w:r>
      <w:r w:rsidRPr="00DC7991">
        <w:rPr>
          <w:lang w:val="uk-UA"/>
        </w:rPr>
        <w:t xml:space="preserve"> </w:t>
      </w:r>
      <w:r>
        <w:rPr>
          <w:lang w:val="uk-UA"/>
        </w:rPr>
        <w:t>(</w:t>
      </w:r>
      <w:r>
        <w:rPr>
          <w:i/>
        </w:rPr>
        <w:t>Kud</w:t>
      </w:r>
      <w:r w:rsidRPr="00DC7991">
        <w:rPr>
          <w:i/>
          <w:lang w:val="uk-UA"/>
        </w:rPr>
        <w:t>ł</w:t>
      </w:r>
      <w:r>
        <w:rPr>
          <w:i/>
        </w:rPr>
        <w:t>a</w:t>
      </w:r>
      <w:r w:rsidRPr="00DC7991">
        <w:rPr>
          <w:i/>
          <w:lang w:val="uk-UA"/>
        </w:rPr>
        <w:t xml:space="preserve"> </w:t>
      </w:r>
      <w:r>
        <w:rPr>
          <w:i/>
        </w:rPr>
        <w:t>v</w:t>
      </w:r>
      <w:r w:rsidRPr="00DC7991">
        <w:rPr>
          <w:i/>
          <w:lang w:val="uk-UA"/>
        </w:rPr>
        <w:t xml:space="preserve">. </w:t>
      </w:r>
      <w:r>
        <w:rPr>
          <w:i/>
        </w:rPr>
        <w:t>Poland</w:t>
      </w:r>
      <w:r>
        <w:rPr>
          <w:i/>
          <w:lang w:val="uk-UA"/>
        </w:rPr>
        <w:t>)</w:t>
      </w:r>
      <w:r w:rsidRPr="00DC7991">
        <w:rPr>
          <w:lang w:val="uk-UA"/>
        </w:rPr>
        <w:t xml:space="preserve"> [</w:t>
      </w:r>
      <w:r>
        <w:rPr>
          <w:lang w:val="uk-UA"/>
        </w:rPr>
        <w:t>ВП</w:t>
      </w:r>
      <w:r w:rsidRPr="00DC7991">
        <w:rPr>
          <w:lang w:val="uk-UA"/>
        </w:rPr>
        <w:t xml:space="preserve">], </w:t>
      </w:r>
      <w:r>
        <w:rPr>
          <w:lang w:val="uk-UA"/>
        </w:rPr>
        <w:t>№</w:t>
      </w:r>
      <w:r w:rsidRPr="00DC7991">
        <w:rPr>
          <w:lang w:val="uk-UA"/>
        </w:rPr>
        <w:t xml:space="preserve"> 30210/96, </w:t>
      </w:r>
      <w:r>
        <w:rPr>
          <w:lang w:val="uk-UA"/>
        </w:rPr>
        <w:t>п.</w:t>
      </w:r>
      <w:r w:rsidRPr="00DC7991">
        <w:rPr>
          <w:lang w:val="uk-UA"/>
        </w:rPr>
        <w:t xml:space="preserve"> 157, </w:t>
      </w:r>
      <w:r>
        <w:t>ECHR</w:t>
      </w:r>
      <w:r w:rsidRPr="00DC7991">
        <w:rPr>
          <w:lang w:val="uk-UA"/>
        </w:rPr>
        <w:t xml:space="preserve"> 2000-</w:t>
      </w:r>
      <w:r>
        <w:t>XI</w:t>
      </w:r>
      <w:r w:rsidRPr="00DC7991">
        <w:rPr>
          <w:lang w:val="uk-UA"/>
        </w:rPr>
        <w:t>).</w:t>
      </w:r>
    </w:p>
    <w:p w:rsidRPr="00DC7991" w:rsidR="00D002A0" w:rsidP="00BE3E19">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81</w:t>
      </w:r>
      <w:r w:rsidRPr="00DC7991">
        <w:rPr>
          <w:lang w:val="ru-RU"/>
        </w:rPr>
        <w:fldChar w:fldCharType="end"/>
      </w:r>
      <w:r w:rsidRPr="00DC7991">
        <w:rPr>
          <w:lang w:val="ru-RU"/>
        </w:rPr>
        <w:t>.</w:t>
      </w:r>
      <w:r>
        <w:t>  </w:t>
      </w:r>
      <w:r>
        <w:rPr>
          <w:lang w:val="uk-UA"/>
        </w:rPr>
        <w:t>Суду залишається визначити, чи були засоби, які заявники мали у своєму розпорядженні згідно з фінським законодавством для подання скарги про надмірну тривалість провадження в їхній справі, «ефективними», тобто здатними запобігати стверджуваному порушенню чи покласти край триваючому порушенню, або забезпечити належне відшкодування за порушення, яке вже мало місце</w:t>
      </w:r>
      <w:r w:rsidRPr="00DC7991">
        <w:rPr>
          <w:lang w:val="ru-RU"/>
        </w:rPr>
        <w:t>.</w:t>
      </w:r>
    </w:p>
    <w:p w:rsidRPr="00DC7991" w:rsidR="00D002A0" w:rsidP="00BE3E19">
      <w:pPr>
        <w:pStyle w:val="JuPara"/>
        <w:rPr>
          <w:lang w:val="uk-UA" w:eastAsia="en-US"/>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82</w:t>
      </w:r>
      <w:r w:rsidRPr="00DC7991">
        <w:rPr>
          <w:lang w:val="ru-RU"/>
        </w:rPr>
        <w:fldChar w:fldCharType="end"/>
      </w:r>
      <w:r w:rsidRPr="00DC7991">
        <w:rPr>
          <w:lang w:val="ru-RU"/>
        </w:rPr>
        <w:t>.</w:t>
      </w:r>
      <w:r>
        <w:t>  </w:t>
      </w:r>
      <w:r>
        <w:rPr>
          <w:lang w:val="uk-UA"/>
        </w:rPr>
        <w:t xml:space="preserve">У заявників не було ніяких конкретних правових засобів, щоб скаржитися на надмірну тривалість судового розгляду з метою прискорити вирішення їхнього спору. Суд бере до уваги довід уряду про те, що скарга, адресована канцлеру юстиції, прискорила розгляд справи. Дійсно, схоже, що рішення канцлера від 24 січня 1997 року вплинуло на місцеву адміністрацію, яка винесла своє рішення в березні 1997 року. Однак, до того, як канцлер юстиції вжив заходів, заявники очікували рішення майже чотири роки. Суд вважає, що навіть, якщо втручання канцлера і мало позитивний результат у даній справі, слід визнати, що подання скарги канцлеру юстиції не відповідає критерію «ефективності» для цілей статті 13. Уряд раніше вже визнавав, що відповідно до фінського законодавства затримка у розгляді справи як така не є підставою для виплати компенсації </w:t>
      </w:r>
      <w:r w:rsidRPr="00DC7991">
        <w:rPr>
          <w:lang w:val="ru-RU"/>
        </w:rPr>
        <w:t>(</w:t>
      </w:r>
      <w:r>
        <w:rPr>
          <w:lang w:val="uk-UA"/>
        </w:rPr>
        <w:t>див. «</w:t>
      </w:r>
      <w:r w:rsidRPr="007C21E7">
        <w:rPr>
          <w:lang w:val="uk-UA"/>
        </w:rPr>
        <w:t>Кангаслуома проти Фінляндії</w:t>
      </w:r>
      <w:r>
        <w:rPr>
          <w:lang w:val="uk-UA"/>
        </w:rPr>
        <w:t>»</w:t>
      </w:r>
      <w:r w:rsidRPr="00DC7991">
        <w:rPr>
          <w:lang w:val="uk-UA"/>
        </w:rPr>
        <w:t xml:space="preserve"> </w:t>
      </w:r>
      <w:r>
        <w:rPr>
          <w:lang w:val="uk-UA"/>
        </w:rPr>
        <w:t>(</w:t>
      </w:r>
      <w:r w:rsidRPr="003A55A5">
        <w:rPr>
          <w:i/>
          <w:lang w:eastAsia="en-US"/>
        </w:rPr>
        <w:t>Kangasluoma</w:t>
      </w:r>
      <w:r w:rsidRPr="00DC7991">
        <w:rPr>
          <w:i/>
          <w:lang w:val="uk-UA" w:eastAsia="en-US"/>
        </w:rPr>
        <w:t xml:space="preserve"> </w:t>
      </w:r>
      <w:r w:rsidRPr="003A55A5">
        <w:rPr>
          <w:i/>
          <w:lang w:eastAsia="en-US"/>
        </w:rPr>
        <w:t>v</w:t>
      </w:r>
      <w:r w:rsidRPr="00DC7991">
        <w:rPr>
          <w:i/>
          <w:lang w:val="uk-UA" w:eastAsia="en-US"/>
        </w:rPr>
        <w:t xml:space="preserve">. </w:t>
      </w:r>
      <w:r w:rsidRPr="003A55A5">
        <w:rPr>
          <w:i/>
          <w:lang w:eastAsia="en-US"/>
        </w:rPr>
        <w:t>Finland</w:t>
      </w:r>
      <w:r>
        <w:rPr>
          <w:i/>
          <w:lang w:val="uk-UA" w:eastAsia="en-US"/>
        </w:rPr>
        <w:t>)</w:t>
      </w:r>
      <w:r w:rsidRPr="00DC7991">
        <w:rPr>
          <w:lang w:val="uk-UA" w:eastAsia="en-US"/>
        </w:rPr>
        <w:t xml:space="preserve">, </w:t>
      </w:r>
      <w:r>
        <w:rPr>
          <w:lang w:val="uk-UA" w:eastAsia="en-US"/>
        </w:rPr>
        <w:t>№</w:t>
      </w:r>
      <w:r>
        <w:rPr>
          <w:lang w:eastAsia="en-US"/>
        </w:rPr>
        <w:t> </w:t>
      </w:r>
      <w:r w:rsidRPr="00DC7991">
        <w:rPr>
          <w:lang w:val="uk-UA" w:eastAsia="en-US"/>
        </w:rPr>
        <w:t xml:space="preserve">48339/99, </w:t>
      </w:r>
      <w:r>
        <w:rPr>
          <w:lang w:val="uk-UA" w:eastAsia="en-US"/>
        </w:rPr>
        <w:t>п.</w:t>
      </w:r>
      <w:r w:rsidRPr="00DC7991">
        <w:rPr>
          <w:lang w:val="uk-UA" w:eastAsia="en-US"/>
        </w:rPr>
        <w:t xml:space="preserve"> 43, 20 </w:t>
      </w:r>
      <w:r>
        <w:rPr>
          <w:lang w:val="uk-UA" w:eastAsia="en-US"/>
        </w:rPr>
        <w:t>січня</w:t>
      </w:r>
      <w:r w:rsidRPr="00DC7991">
        <w:rPr>
          <w:lang w:val="uk-UA" w:eastAsia="en-US"/>
        </w:rPr>
        <w:t xml:space="preserve"> 2004</w:t>
      </w:r>
      <w:r>
        <w:rPr>
          <w:lang w:val="uk-UA" w:eastAsia="en-US"/>
        </w:rPr>
        <w:t xml:space="preserve"> року</w:t>
      </w:r>
      <w:r w:rsidRPr="00DC7991">
        <w:rPr>
          <w:lang w:val="uk-UA"/>
        </w:rPr>
        <w:t>).</w:t>
      </w:r>
    </w:p>
    <w:p w:rsidRPr="00DC7991" w:rsidR="00D002A0" w:rsidP="00BE3E19">
      <w:pPr>
        <w:pStyle w:val="JuPara"/>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83</w:t>
      </w:r>
      <w:r w:rsidRPr="00DC7991">
        <w:rPr>
          <w:lang w:val="uk-UA"/>
        </w:rPr>
        <w:fldChar w:fldCharType="end"/>
      </w:r>
      <w:r w:rsidRPr="00DC7991">
        <w:rPr>
          <w:lang w:val="uk-UA"/>
        </w:rPr>
        <w:t>.</w:t>
      </w:r>
      <w:r>
        <w:t>  </w:t>
      </w:r>
      <w:r>
        <w:rPr>
          <w:lang w:val="uk-UA"/>
        </w:rPr>
        <w:t>Таким чином, Суд вважає, що мало місце порушення статті 13 Конвенції у зв’язку з тим, що у заявників не було внутрішнього засобу правового захисту, за допомогою якого вони могли домогтися реалізації свого права на розгляд справи упродовж розумного строку, гарантованого пунктом 1 статті 6 Конвенції.</w:t>
      </w:r>
    </w:p>
    <w:p w:rsidR="00D002A0" w:rsidP="00B07BF5">
      <w:pPr>
        <w:pStyle w:val="JuHIRoman"/>
        <w:rPr>
          <w:lang w:val="uk-UA"/>
        </w:rPr>
      </w:pPr>
      <w:r>
        <w:t>III</w:t>
      </w:r>
      <w:r w:rsidRPr="00DC7991">
        <w:rPr>
          <w:lang w:val="ru-RU"/>
        </w:rPr>
        <w:t>.</w:t>
      </w:r>
      <w:r>
        <w:t>  </w:t>
      </w:r>
      <w:r>
        <w:rPr>
          <w:lang w:val="uk-UA"/>
        </w:rPr>
        <w:t>СТВЕРДЖУВАНЕ ПОРУШЕННЯ СТАТТІ 1 ПРОТОКОЛУ №1 У ПОЄДНАННІ ЗІ СТАТТЕЮ 14 КОНВЕНЦІЇ</w:t>
      </w:r>
    </w:p>
    <w:p w:rsidRPr="00DC7991" w:rsidR="00D002A0" w:rsidP="00B07BF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84</w:t>
      </w:r>
      <w:r w:rsidRPr="00DC7991">
        <w:rPr>
          <w:lang w:val="ru-RU"/>
        </w:rPr>
        <w:fldChar w:fldCharType="end"/>
      </w:r>
      <w:r w:rsidRPr="00DC7991">
        <w:rPr>
          <w:lang w:val="ru-RU"/>
        </w:rPr>
        <w:t>.</w:t>
      </w:r>
      <w:r>
        <w:t>  </w:t>
      </w:r>
      <w:r>
        <w:rPr>
          <w:lang w:val="uk-UA"/>
        </w:rPr>
        <w:t>Заявники стверджували, що було порушено статтю 1 Протоколу №1, в якій говориться</w:t>
      </w:r>
      <w:r w:rsidRPr="00DC7991">
        <w:rPr>
          <w:lang w:val="ru-RU"/>
        </w:rPr>
        <w:t>:</w:t>
      </w:r>
    </w:p>
    <w:p w:rsidRPr="00DC7991" w:rsidR="00D002A0" w:rsidP="002D202A">
      <w:pPr>
        <w:pStyle w:val="JuQuot"/>
        <w:rPr>
          <w:lang w:val="ru-RU"/>
        </w:rPr>
      </w:pPr>
      <w:r w:rsidRPr="00DC7991">
        <w:rPr>
          <w:lang w:val="ru-RU"/>
        </w:rPr>
        <w:t>“</w:t>
      </w:r>
      <w:r>
        <w:rPr>
          <w:lang w:val="uk-UA"/>
        </w:rPr>
        <w:t>Кожна фізична або юридична особа має право мирно володіти своїм майном. Ніхто не може бути позбавлений свого майна інакше як в інтересах суспільства і на умовах, передбачених законом або загальними принципами міжнародного права</w:t>
      </w:r>
      <w:r w:rsidRPr="00DC7991">
        <w:rPr>
          <w:lang w:val="ru-RU"/>
        </w:rPr>
        <w:t>.</w:t>
      </w:r>
    </w:p>
    <w:p w:rsidRPr="00DC7991" w:rsidR="00D002A0" w:rsidP="002D202A">
      <w:pPr>
        <w:pStyle w:val="JuQuot"/>
        <w:rPr>
          <w:lang w:val="ru-RU"/>
        </w:rPr>
      </w:pPr>
      <w:r>
        <w:rPr>
          <w:lang w:val="uk-UA"/>
        </w:rPr>
        <w:t>Проте попередні положення жодним чином не обмежують право держави вводити в дію такі закони, які, на її думку, є необхідними для здійснення контролю за користуванням майном відповідно до загальних інтересів або для забезпечення сплати податків чи інших зборів або штрафів</w:t>
      </w:r>
      <w:r w:rsidRPr="00DC7991">
        <w:rPr>
          <w:lang w:val="ru-RU"/>
        </w:rPr>
        <w:t>.”</w:t>
      </w:r>
    </w:p>
    <w:p w:rsidRPr="00DC7991" w:rsidR="00D002A0" w:rsidP="008B04B1">
      <w:pPr>
        <w:pStyle w:val="JuPara"/>
        <w:keepNext/>
        <w:rPr>
          <w:lang w:val="ru-RU"/>
        </w:rPr>
      </w:pPr>
      <w:r>
        <w:rPr>
          <w:lang w:val="uk-UA"/>
        </w:rPr>
        <w:t>Вони також стверджували, що було порушено статтю 14 Конвенції, в якій говориться</w:t>
      </w:r>
      <w:r w:rsidRPr="00DC7991">
        <w:rPr>
          <w:lang w:val="ru-RU"/>
        </w:rPr>
        <w:t>:</w:t>
      </w:r>
    </w:p>
    <w:p w:rsidRPr="00DC7991" w:rsidR="00D002A0" w:rsidP="002D202A">
      <w:pPr>
        <w:pStyle w:val="JuQuot"/>
        <w:rPr>
          <w:lang w:val="ru-RU"/>
        </w:rPr>
      </w:pPr>
      <w:r w:rsidRPr="00DC7991">
        <w:rPr>
          <w:lang w:val="ru-RU"/>
        </w:rPr>
        <w:t>“</w:t>
      </w:r>
      <w:r>
        <w:rPr>
          <w:lang w:val="uk-UA"/>
        </w:rPr>
        <w:t>Користування правами та свободами, визнаними в ...Конвенції, має бути забезпечене без дискримінації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r w:rsidRPr="00DC7991">
        <w:rPr>
          <w:lang w:val="ru-RU"/>
        </w:rPr>
        <w:t>.”</w:t>
      </w:r>
    </w:p>
    <w:p w:rsidRPr="00DC7991" w:rsidR="00D002A0" w:rsidP="00991B15">
      <w:pPr>
        <w:pStyle w:val="JuHA"/>
        <w:outlineLvl w:val="0"/>
        <w:rPr>
          <w:lang w:val="ru-RU"/>
        </w:rPr>
      </w:pPr>
      <w:r>
        <w:t>A</w:t>
      </w:r>
      <w:r w:rsidRPr="00DC7991">
        <w:rPr>
          <w:lang w:val="ru-RU"/>
        </w:rPr>
        <w:t>.</w:t>
      </w:r>
      <w:r>
        <w:t>  </w:t>
      </w:r>
      <w:r>
        <w:rPr>
          <w:lang w:val="uk-UA"/>
        </w:rPr>
        <w:t>Доводи сторін</w:t>
      </w:r>
    </w:p>
    <w:p w:rsidRPr="00DC7991" w:rsidR="00D002A0" w:rsidP="00B07BF5">
      <w:pPr>
        <w:pStyle w:val="JuH1"/>
        <w:rPr>
          <w:lang w:val="ru-RU"/>
        </w:rPr>
      </w:pPr>
      <w:r w:rsidRPr="00DC7991">
        <w:rPr>
          <w:lang w:val="ru-RU"/>
        </w:rPr>
        <w:t>1.</w:t>
      </w:r>
      <w:r>
        <w:t>  </w:t>
      </w:r>
      <w:r>
        <w:rPr>
          <w:lang w:val="uk-UA"/>
        </w:rPr>
        <w:t>Заявники</w:t>
      </w:r>
    </w:p>
    <w:p w:rsidRPr="00DC7991" w:rsidR="00D002A0" w:rsidP="00B07BF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85</w:t>
      </w:r>
      <w:r w:rsidRPr="00DC7991">
        <w:rPr>
          <w:lang w:val="ru-RU"/>
        </w:rPr>
        <w:fldChar w:fldCharType="end"/>
      </w:r>
      <w:r w:rsidRPr="00DC7991">
        <w:rPr>
          <w:lang w:val="ru-RU"/>
        </w:rPr>
        <w:t>.</w:t>
      </w:r>
      <w:r>
        <w:t>  </w:t>
      </w:r>
      <w:r>
        <w:rPr>
          <w:lang w:val="uk-UA"/>
        </w:rPr>
        <w:t>Заявники стверджували, що спочатку вони мали право на компенсацію за роботу у віддалених районах, яку згодом було скасовано. Внаслідок цього розмір грошових сум, на які державні службовці, що працюють у місті Сонкаярві, мали право, був зменшений. Для того, щоб відшкодувати падіння доходів, їм були надані індивідуальні надбавки до заробітної плати, які складали фіксовану частину зарплати і компенсували її зниження. Це відповідало практиці державного управління, згідно з якою набуті переваги не повинні бути втрачені. Така практика була закріплена у директивах, впроваджених пізніше (у 2003 році), щодо застосування системи оплати праці. Ці зміни відбулися до об’єднання поліцейських округів, яке призвело до втрати частини заробітної плати заявників (зокрема, надбавки до заробітної плати). Заявники набули право майнового характеру, якого держава позбавила їх одностороннім рішенням.</w:t>
      </w:r>
    </w:p>
    <w:p w:rsidRPr="00DC7991" w:rsidR="00D002A0" w:rsidP="00BA4606">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86</w:t>
      </w:r>
      <w:r w:rsidRPr="00DC7991">
        <w:rPr>
          <w:lang w:val="ru-RU"/>
        </w:rPr>
        <w:fldChar w:fldCharType="end"/>
      </w:r>
      <w:r w:rsidRPr="00DC7991">
        <w:rPr>
          <w:lang w:val="ru-RU"/>
        </w:rPr>
        <w:t>.</w:t>
      </w:r>
      <w:r>
        <w:t>  </w:t>
      </w:r>
      <w:r>
        <w:rPr>
          <w:lang w:val="uk-UA"/>
        </w:rPr>
        <w:t>Крім того, заявники стверджували, що справа «</w:t>
      </w:r>
      <w:r w:rsidRPr="007C21E7">
        <w:rPr>
          <w:lang w:val="uk-UA"/>
        </w:rPr>
        <w:t>Нурмес</w:t>
      </w:r>
      <w:r>
        <w:rPr>
          <w:lang w:val="uk-UA"/>
        </w:rPr>
        <w:t>»</w:t>
      </w:r>
      <w:r w:rsidRPr="007C21E7">
        <w:rPr>
          <w:lang w:val="uk-UA"/>
        </w:rPr>
        <w:t xml:space="preserve"> </w:t>
      </w:r>
      <w:r>
        <w:rPr>
          <w:lang w:val="uk-UA"/>
        </w:rPr>
        <w:t>(</w:t>
      </w:r>
      <w:r w:rsidRPr="00D732F7">
        <w:rPr>
          <w:i/>
        </w:rPr>
        <w:t>Nurme</w:t>
      </w:r>
      <w:r>
        <w:rPr>
          <w:i/>
          <w:lang w:val="fr-FR"/>
        </w:rPr>
        <w:t>s</w:t>
      </w:r>
      <w:r w:rsidRPr="00DC7991">
        <w:rPr>
          <w:lang w:val="ru-RU"/>
        </w:rPr>
        <w:t xml:space="preserve"> </w:t>
      </w:r>
      <w:r>
        <w:t>case</w:t>
      </w:r>
      <w:r w:rsidRPr="00DC7991">
        <w:rPr>
          <w:i/>
          <w:lang w:val="ru-RU"/>
        </w:rPr>
        <w:t xml:space="preserve"> </w:t>
      </w:r>
      <w:r>
        <w:rPr>
          <w:i/>
          <w:lang w:val="uk-UA"/>
        </w:rPr>
        <w:t>)</w:t>
      </w:r>
      <w:r w:rsidRPr="00DC7991">
        <w:rPr>
          <w:lang w:val="ru-RU"/>
        </w:rPr>
        <w:t xml:space="preserve"> </w:t>
      </w:r>
      <w:r>
        <w:rPr>
          <w:lang w:val="uk-UA"/>
        </w:rPr>
        <w:t>була ідентичною до їхньої справи. В цій справі працівник поліції отримав компенсацію за зниження розміру зарплати після включення його поліцейського округу до складу поліцейського округу Нурмес (за рішенням адміністрації провінції Північна Карелія). Як наслідок, заробітна плата цього поліцейського була збережена на колишньому рівні, чого не можна сказати про зарплати заявників. Справу «</w:t>
      </w:r>
      <w:r w:rsidRPr="007C21E7">
        <w:rPr>
          <w:lang w:val="uk-UA"/>
        </w:rPr>
        <w:t>Аскола</w:t>
      </w:r>
      <w:r>
        <w:rPr>
          <w:lang w:val="uk-UA"/>
        </w:rPr>
        <w:t>» (</w:t>
      </w:r>
      <w:r w:rsidRPr="00D732F7">
        <w:rPr>
          <w:i/>
        </w:rPr>
        <w:t>Askola</w:t>
      </w:r>
      <w:r w:rsidRPr="00DC7991">
        <w:rPr>
          <w:lang w:val="uk-UA"/>
        </w:rPr>
        <w:t xml:space="preserve"> </w:t>
      </w:r>
      <w:r>
        <w:t>case</w:t>
      </w:r>
      <w:r>
        <w:rPr>
          <w:lang w:val="uk-UA"/>
        </w:rPr>
        <w:t>)</w:t>
      </w:r>
      <w:r w:rsidRPr="00DC7991">
        <w:rPr>
          <w:lang w:val="uk-UA"/>
        </w:rPr>
        <w:t xml:space="preserve"> </w:t>
      </w:r>
      <w:r>
        <w:rPr>
          <w:lang w:val="uk-UA"/>
        </w:rPr>
        <w:t>не можна порівнювати з їхньою справою, оскільки поліцейські в місті Аскола ніколи не отримували ні компенсації за роботу у віддаленому районі, ні компенсації за роботу в місцевостях із суворими кліматичними умовами, ні індивідуальних надбавок до заробітної плати. Заявники також послалися на справу «</w:t>
      </w:r>
      <w:r w:rsidRPr="00763072">
        <w:rPr>
          <w:lang w:val="uk-UA"/>
        </w:rPr>
        <w:t>Мянтюхар</w:t>
      </w:r>
      <w:r>
        <w:rPr>
          <w:lang w:val="uk-UA"/>
        </w:rPr>
        <w:t>’</w:t>
      </w:r>
      <w:r w:rsidRPr="00763072">
        <w:rPr>
          <w:lang w:val="uk-UA"/>
        </w:rPr>
        <w:t>ю</w:t>
      </w:r>
      <w:r>
        <w:rPr>
          <w:lang w:val="uk-UA"/>
        </w:rPr>
        <w:t>» (</w:t>
      </w:r>
      <w:r w:rsidRPr="00D732F7">
        <w:rPr>
          <w:i/>
        </w:rPr>
        <w:t>M</w:t>
      </w:r>
      <w:r w:rsidRPr="00DC7991">
        <w:rPr>
          <w:i/>
          <w:lang w:val="uk-UA"/>
        </w:rPr>
        <w:t>ä</w:t>
      </w:r>
      <w:r w:rsidRPr="00D732F7">
        <w:rPr>
          <w:i/>
        </w:rPr>
        <w:t>ntyharju</w:t>
      </w:r>
      <w:r w:rsidRPr="00DC7991">
        <w:rPr>
          <w:lang w:val="uk-UA"/>
        </w:rPr>
        <w:t xml:space="preserve"> </w:t>
      </w:r>
      <w:r>
        <w:t>case</w:t>
      </w:r>
      <w:r>
        <w:rPr>
          <w:lang w:val="uk-UA"/>
        </w:rPr>
        <w:t>), в якій транспортні витрати державних службовців у результаті зміни місця служби з Пертунмаа на</w:t>
      </w:r>
      <w:r w:rsidRPr="00D92F27">
        <w:rPr>
          <w:i/>
          <w:lang w:val="uk-UA"/>
        </w:rPr>
        <w:t xml:space="preserve"> </w:t>
      </w:r>
      <w:r w:rsidRPr="00D92F27">
        <w:rPr>
          <w:lang w:val="uk-UA"/>
        </w:rPr>
        <w:t>Мянтюхар</w:t>
      </w:r>
      <w:r>
        <w:rPr>
          <w:lang w:val="uk-UA"/>
        </w:rPr>
        <w:t>’</w:t>
      </w:r>
      <w:r w:rsidRPr="00D92F27">
        <w:rPr>
          <w:lang w:val="uk-UA"/>
        </w:rPr>
        <w:t>ю</w:t>
      </w:r>
      <w:r>
        <w:rPr>
          <w:lang w:val="uk-UA"/>
        </w:rPr>
        <w:t xml:space="preserve"> були компенсовані у вигляді індивідуальних надбавок до заробітної плати. Заявники не отримували такої компенсації</w:t>
      </w:r>
      <w:r w:rsidRPr="00DC7991">
        <w:rPr>
          <w:lang w:val="ru-RU"/>
        </w:rPr>
        <w:t>.</w:t>
      </w:r>
    </w:p>
    <w:p w:rsidRPr="00DC7991" w:rsidR="00D002A0" w:rsidP="00BA4606">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87</w:t>
      </w:r>
      <w:r w:rsidRPr="00DC7991">
        <w:rPr>
          <w:lang w:val="ru-RU"/>
        </w:rPr>
        <w:fldChar w:fldCharType="end"/>
      </w:r>
      <w:r w:rsidRPr="00DC7991">
        <w:rPr>
          <w:lang w:val="ru-RU"/>
        </w:rPr>
        <w:t>.</w:t>
      </w:r>
      <w:r>
        <w:t>  </w:t>
      </w:r>
      <w:r>
        <w:rPr>
          <w:lang w:val="uk-UA"/>
        </w:rPr>
        <w:t>Заявники відхилили, як таку, що не має відношення до справи, директиву про застосування колективного договору, на яку уряд посилається нижче, оскільки вони були державними службовцями, що мали постійний статус і займали постійні посади, у той час як директива застосовується виключно до державних службовців, яким було наказано тимчасово або в якості заміни виконувати обов’язки, які відрізняються від їхніх звичайних обов’язків.</w:t>
      </w:r>
    </w:p>
    <w:p w:rsidRPr="004C4821" w:rsidR="00D002A0" w:rsidP="00D56783">
      <w:pPr>
        <w:pStyle w:val="JuPara"/>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88</w:t>
      </w:r>
      <w:r w:rsidRPr="00DC7991">
        <w:rPr>
          <w:lang w:val="ru-RU"/>
        </w:rPr>
        <w:fldChar w:fldCharType="end"/>
      </w:r>
      <w:r w:rsidRPr="00DC7991">
        <w:rPr>
          <w:lang w:val="ru-RU"/>
        </w:rPr>
        <w:t>.</w:t>
      </w:r>
      <w:r>
        <w:t>  </w:t>
      </w:r>
      <w:r>
        <w:rPr>
          <w:lang w:val="uk-UA"/>
        </w:rPr>
        <w:t xml:space="preserve">Заявники стверджували, що з рішення Вищого адміністративного суду від 30 червні 1994 року, яке стосувалося старшого констебля підрозділу поліції </w:t>
      </w:r>
      <w:r>
        <w:t>P</w:t>
      </w:r>
      <w:r w:rsidRPr="004C4821">
        <w:t>.</w:t>
      </w:r>
      <w:r>
        <w:t>P</w:t>
      </w:r>
      <w:r w:rsidRPr="004C4821">
        <w:t>.</w:t>
      </w:r>
      <w:r>
        <w:t>E</w:t>
      </w:r>
      <w:r w:rsidRPr="004C4821">
        <w:t xml:space="preserve">. </w:t>
      </w:r>
      <w:r>
        <w:rPr>
          <w:lang w:val="uk-UA"/>
        </w:rPr>
        <w:t>та його пенсії, стає очевидним, що компенсація збитків, зазнаних у результаті об’єднання поліцейських округів, про яке йде мова, є цілком виправданою.</w:t>
      </w:r>
    </w:p>
    <w:p w:rsidRPr="00DC7991" w:rsidR="00D002A0" w:rsidP="00991B15">
      <w:pPr>
        <w:pStyle w:val="JuH1"/>
        <w:outlineLvl w:val="0"/>
        <w:rPr>
          <w:lang w:val="ru-RU"/>
        </w:rPr>
      </w:pPr>
      <w:r w:rsidRPr="00DC7991">
        <w:rPr>
          <w:lang w:val="ru-RU"/>
        </w:rPr>
        <w:t>2.</w:t>
      </w:r>
      <w:r>
        <w:t>  </w:t>
      </w:r>
      <w:r>
        <w:rPr>
          <w:lang w:val="uk-UA"/>
        </w:rPr>
        <w:t>Уряд</w:t>
      </w:r>
    </w:p>
    <w:p w:rsidRPr="00DC7991" w:rsidR="00D002A0" w:rsidP="002D202A">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89</w:t>
      </w:r>
      <w:r w:rsidRPr="00DC7991">
        <w:rPr>
          <w:lang w:val="ru-RU"/>
        </w:rPr>
        <w:fldChar w:fldCharType="end"/>
      </w:r>
      <w:r w:rsidRPr="00DC7991">
        <w:rPr>
          <w:lang w:val="ru-RU"/>
        </w:rPr>
        <w:t>.</w:t>
      </w:r>
      <w:r>
        <w:t>  </w:t>
      </w:r>
      <w:r>
        <w:rPr>
          <w:lang w:val="uk-UA"/>
        </w:rPr>
        <w:t>Уряд стверджував, що оскільки заявники не мали «права» у сенсі статті 6, вони також не мали і «майна» у сенсі статті 1 протоколу №1. Отже, ні стаття 1 протоколу №1, ні стаття 14 Конвенції не можуть застосовуватись у даній справі. Якщо Суд вирішить інакше, уряд наводить наступні зауваження.</w:t>
      </w:r>
    </w:p>
    <w:p w:rsidRPr="00DC7991" w:rsidR="00D002A0" w:rsidP="002D202A">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90</w:t>
      </w:r>
      <w:r w:rsidRPr="00DC7991">
        <w:rPr>
          <w:lang w:val="ru-RU"/>
        </w:rPr>
        <w:fldChar w:fldCharType="end"/>
      </w:r>
      <w:r w:rsidRPr="00DC7991">
        <w:rPr>
          <w:lang w:val="ru-RU"/>
        </w:rPr>
        <w:t>.</w:t>
      </w:r>
      <w:r>
        <w:t>  </w:t>
      </w:r>
      <w:r>
        <w:rPr>
          <w:lang w:val="uk-UA"/>
        </w:rPr>
        <w:t>Що стосується твердження про те, що з заявниками поводились інакше, ніж з іншими працівниками, уряд пояснив, що відповідно до колективного договору, державні службовці, які працюють у Сонкаярві, мали право на компенсацію за роботу у віддалених районах. Наступним колективним договором, який набув чинності 29 лютого 1992 року, компенсація за роботу у віддалених районах була замінена на компенсацію за роботу в місцевостях з суворими кліматичними умовами, але деякі муніципальні округи, у тому числі Сонкаярві, були видалені зі списку муніципальних округів, в яких така компенсація повинна виплачуватись. Скасування надбавки до заробітної плати випливає з положення директиви про застосування колективного договору, відповідно до якої надбавка виплачувалася лише доти, поки службовець працював на території муніципального округу, де надавалося право на таку надбавку. Якщо місце служби на тимчасовій або постійній основі змінювалося, виплата компенсації припинялась. Справа «</w:t>
      </w:r>
      <w:r w:rsidRPr="00763072">
        <w:rPr>
          <w:lang w:val="uk-UA"/>
        </w:rPr>
        <w:t>Нурмес</w:t>
      </w:r>
      <w:r>
        <w:rPr>
          <w:lang w:val="uk-UA"/>
        </w:rPr>
        <w:t>»</w:t>
      </w:r>
      <w:r w:rsidRPr="00DC7991">
        <w:rPr>
          <w:i/>
          <w:lang w:val="ru-RU"/>
        </w:rPr>
        <w:t xml:space="preserve"> </w:t>
      </w:r>
      <w:r>
        <w:rPr>
          <w:i/>
          <w:lang w:val="uk-UA"/>
        </w:rPr>
        <w:t>(</w:t>
      </w:r>
      <w:r w:rsidRPr="00D732F7">
        <w:rPr>
          <w:i/>
        </w:rPr>
        <w:t>Nurmes</w:t>
      </w:r>
      <w:r w:rsidRPr="00DC7991">
        <w:rPr>
          <w:lang w:val="ru-RU"/>
        </w:rPr>
        <w:t xml:space="preserve"> </w:t>
      </w:r>
      <w:r>
        <w:t>case</w:t>
      </w:r>
      <w:r>
        <w:rPr>
          <w:lang w:val="uk-UA"/>
        </w:rPr>
        <w:t>), яка стосувалася призначення надбавки до заробітної плати внаслідок зниження ставки компенсації за роботу в місцевостях із суворими кліматичними умовами, не може порівнюватися зі справою заявників. У справах «</w:t>
      </w:r>
      <w:r w:rsidRPr="00393E40">
        <w:rPr>
          <w:lang w:val="uk-UA"/>
        </w:rPr>
        <w:t>Сонкаярві</w:t>
      </w:r>
      <w:r>
        <w:rPr>
          <w:lang w:val="uk-UA"/>
        </w:rPr>
        <w:t>»</w:t>
      </w:r>
      <w:r w:rsidRPr="008070B0">
        <w:rPr>
          <w:i/>
          <w:lang w:val="uk-UA"/>
        </w:rPr>
        <w:t xml:space="preserve"> </w:t>
      </w:r>
      <w:r w:rsidRPr="00393E40">
        <w:rPr>
          <w:lang w:val="uk-UA"/>
        </w:rPr>
        <w:t>та</w:t>
      </w:r>
      <w:r w:rsidRPr="008070B0">
        <w:rPr>
          <w:i/>
          <w:lang w:val="uk-UA"/>
        </w:rPr>
        <w:t xml:space="preserve"> </w:t>
      </w:r>
      <w:r>
        <w:rPr>
          <w:i/>
          <w:lang w:val="uk-UA"/>
        </w:rPr>
        <w:t>«</w:t>
      </w:r>
      <w:r w:rsidRPr="00393E40">
        <w:rPr>
          <w:lang w:val="uk-UA"/>
        </w:rPr>
        <w:t>Аскола</w:t>
      </w:r>
      <w:r>
        <w:rPr>
          <w:lang w:val="uk-UA"/>
        </w:rPr>
        <w:t>»</w:t>
      </w:r>
      <w:r w:rsidRPr="00DC7991">
        <w:rPr>
          <w:lang w:val="uk-UA"/>
        </w:rPr>
        <w:t xml:space="preserve"> </w:t>
      </w:r>
      <w:r>
        <w:rPr>
          <w:lang w:val="uk-UA"/>
        </w:rPr>
        <w:t>(</w:t>
      </w:r>
      <w:r w:rsidRPr="00D732F7">
        <w:rPr>
          <w:i/>
        </w:rPr>
        <w:t>Sonkaj</w:t>
      </w:r>
      <w:r w:rsidRPr="00DC7991">
        <w:rPr>
          <w:i/>
          <w:lang w:val="uk-UA"/>
        </w:rPr>
        <w:t>ä</w:t>
      </w:r>
      <w:r w:rsidRPr="00D732F7">
        <w:rPr>
          <w:i/>
        </w:rPr>
        <w:t>rvi</w:t>
      </w:r>
      <w:r w:rsidRPr="00DC7991">
        <w:rPr>
          <w:lang w:val="uk-UA"/>
        </w:rPr>
        <w:t xml:space="preserve"> </w:t>
      </w:r>
      <w:r w:rsidRPr="00581296">
        <w:t>and</w:t>
      </w:r>
      <w:r w:rsidRPr="00DC7991">
        <w:rPr>
          <w:lang w:val="uk-UA"/>
        </w:rPr>
        <w:t xml:space="preserve"> </w:t>
      </w:r>
      <w:r w:rsidRPr="00D732F7">
        <w:rPr>
          <w:i/>
        </w:rPr>
        <w:t>Askola</w:t>
      </w:r>
      <w:r w:rsidRPr="00DC7991">
        <w:rPr>
          <w:lang w:val="uk-UA"/>
        </w:rPr>
        <w:t xml:space="preserve"> </w:t>
      </w:r>
      <w:r>
        <w:t>cases</w:t>
      </w:r>
      <w:r>
        <w:rPr>
          <w:lang w:val="uk-UA"/>
        </w:rPr>
        <w:t>)</w:t>
      </w:r>
      <w:r w:rsidRPr="00DC7991">
        <w:rPr>
          <w:lang w:val="uk-UA"/>
        </w:rPr>
        <w:t xml:space="preserve"> </w:t>
      </w:r>
      <w:r>
        <w:rPr>
          <w:lang w:val="uk-UA"/>
        </w:rPr>
        <w:t xml:space="preserve">Міністерство фінансів зайняло чітко негативну позицію щодо компенсації транспортних витрат, пов’язаних зі збільшенням відстані між місцем служби і домом </w:t>
      </w:r>
      <w:r w:rsidRPr="00DC7991">
        <w:rPr>
          <w:lang w:val="uk-UA"/>
        </w:rPr>
        <w:t>(</w:t>
      </w:r>
      <w:r>
        <w:rPr>
          <w:lang w:val="uk-UA"/>
        </w:rPr>
        <w:t>рішення від</w:t>
      </w:r>
      <w:r w:rsidRPr="00DC7991">
        <w:rPr>
          <w:lang w:val="uk-UA"/>
        </w:rPr>
        <w:t xml:space="preserve"> 3 </w:t>
      </w:r>
      <w:r>
        <w:rPr>
          <w:lang w:val="uk-UA"/>
        </w:rPr>
        <w:t>липня</w:t>
      </w:r>
      <w:r w:rsidRPr="00DC7991">
        <w:rPr>
          <w:lang w:val="uk-UA"/>
        </w:rPr>
        <w:t xml:space="preserve"> 1991</w:t>
      </w:r>
      <w:r>
        <w:rPr>
          <w:lang w:val="uk-UA"/>
        </w:rPr>
        <w:t xml:space="preserve"> року</w:t>
      </w:r>
      <w:r w:rsidRPr="00DC7991">
        <w:rPr>
          <w:lang w:val="uk-UA"/>
        </w:rPr>
        <w:t>)</w:t>
      </w:r>
      <w:r>
        <w:rPr>
          <w:lang w:val="uk-UA"/>
        </w:rPr>
        <w:t>. Таку позицію було підтверджено в подальших судових розглядах, які закінчилися ухваленням Вищим адміністративним судом негативних рішень в обох справах. Міністерство внутрішніх справ звернулося з клопотанням про компенсацію транспортних витрат, пов’язаних зі збільшенням відстані між місцем служби та домом, десяти особам, у тому числі заявникам, посилаючись на попереднє рішення Міністерства фінансів у справі «</w:t>
      </w:r>
      <w:r w:rsidRPr="00393E40">
        <w:rPr>
          <w:lang w:val="uk-UA"/>
        </w:rPr>
        <w:t>Мянтюхар</w:t>
      </w:r>
      <w:r>
        <w:rPr>
          <w:lang w:val="uk-UA"/>
        </w:rPr>
        <w:t>’</w:t>
      </w:r>
      <w:r w:rsidRPr="00393E40">
        <w:rPr>
          <w:lang w:val="uk-UA"/>
        </w:rPr>
        <w:t>ю</w:t>
      </w:r>
      <w:r>
        <w:rPr>
          <w:lang w:val="uk-UA"/>
        </w:rPr>
        <w:t>» (</w:t>
      </w:r>
      <w:r w:rsidRPr="00DF5852">
        <w:rPr>
          <w:i/>
        </w:rPr>
        <w:t>M</w:t>
      </w:r>
      <w:r w:rsidRPr="00DC7991">
        <w:rPr>
          <w:i/>
          <w:lang w:val="ru-RU"/>
        </w:rPr>
        <w:t>ä</w:t>
      </w:r>
      <w:r w:rsidRPr="00DF5852">
        <w:rPr>
          <w:i/>
        </w:rPr>
        <w:t>ntyharju</w:t>
      </w:r>
      <w:r w:rsidRPr="00DC7991">
        <w:rPr>
          <w:lang w:val="ru-RU"/>
        </w:rPr>
        <w:t xml:space="preserve"> </w:t>
      </w:r>
      <w:r>
        <w:t>case</w:t>
      </w:r>
      <w:r>
        <w:rPr>
          <w:lang w:val="uk-UA"/>
        </w:rPr>
        <w:t>). Таким чином, Міністерство внутрішніх справ не подавало клопотання у зв’язку з втратою заявниками надбавки до заробітної плати в результаті скасування компенсації за роботу у віддалених районах. Отже, справу заявників можна цілком порівняти зі справою «</w:t>
      </w:r>
      <w:r w:rsidRPr="00393E40">
        <w:rPr>
          <w:lang w:val="uk-UA"/>
        </w:rPr>
        <w:t>Аскола</w:t>
      </w:r>
      <w:r>
        <w:rPr>
          <w:lang w:val="uk-UA"/>
        </w:rPr>
        <w:t>»</w:t>
      </w:r>
      <w:r w:rsidRPr="00DC7991">
        <w:rPr>
          <w:lang w:val="ru-RU"/>
        </w:rPr>
        <w:t xml:space="preserve"> </w:t>
      </w:r>
      <w:r>
        <w:rPr>
          <w:lang w:val="uk-UA"/>
        </w:rPr>
        <w:t>(</w:t>
      </w:r>
      <w:r w:rsidRPr="00DF5852">
        <w:rPr>
          <w:i/>
        </w:rPr>
        <w:t>Askola</w:t>
      </w:r>
      <w:r w:rsidRPr="00DC7991">
        <w:rPr>
          <w:lang w:val="ru-RU"/>
        </w:rPr>
        <w:t xml:space="preserve"> </w:t>
      </w:r>
      <w:r>
        <w:t>case</w:t>
      </w:r>
      <w:r>
        <w:rPr>
          <w:lang w:val="uk-UA"/>
        </w:rPr>
        <w:t>)</w:t>
      </w:r>
      <w:r w:rsidRPr="00DC7991">
        <w:rPr>
          <w:lang w:val="ru-RU"/>
        </w:rPr>
        <w:t xml:space="preserve">. </w:t>
      </w:r>
      <w:r>
        <w:rPr>
          <w:lang w:val="uk-UA"/>
        </w:rPr>
        <w:t>Фактично, у випадках об’єднання поліцейських округів, що мали місце після 3 липня 1991 року, застосовувалася практика не призначати компенсації у ситуаціях, подібних до ситуації заявників</w:t>
      </w:r>
      <w:r w:rsidRPr="00DC7991">
        <w:rPr>
          <w:lang w:val="ru-RU"/>
        </w:rPr>
        <w:t>.</w:t>
      </w:r>
    </w:p>
    <w:p w:rsidRPr="00DC7991" w:rsidR="00D002A0" w:rsidP="00C41275">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91</w:t>
      </w:r>
      <w:r w:rsidRPr="00DC7991">
        <w:rPr>
          <w:lang w:val="ru-RU"/>
        </w:rPr>
        <w:fldChar w:fldCharType="end"/>
      </w:r>
      <w:r w:rsidRPr="00DC7991">
        <w:rPr>
          <w:lang w:val="ru-RU"/>
        </w:rPr>
        <w:t>.</w:t>
      </w:r>
      <w:r>
        <w:t>  </w:t>
      </w:r>
      <w:r>
        <w:rPr>
          <w:lang w:val="uk-UA"/>
        </w:rPr>
        <w:t>Уряд стверджував, що всі заявники (за винятком пана Вільхо Ескелінена, який на той час вже проживав за межами міста Сонкаярві), зазнали відносно незначних додаткових витрат внаслідок збільшення відстані між місцем служби та домом у результаті об’єднання поліцейських округів. Ці витрати можна було виключити зі суми доходів, що підлягала оподаткуванню. До того ж, деякі заявники використовували службові транспортні засоби для поїздки на роботу до травня 1991 року. Право місцевої адміністрації приймати рішення стосовно заробітної плати працівників місцевої поліції передбачає здійснення дискреційних повноважень із урахуванням обставин кожного окремого випадку. Загальна політика полягала у застосуванні в подібних випадках однакового підходу.</w:t>
      </w:r>
    </w:p>
    <w:p w:rsidRPr="00393E40" w:rsidR="00D002A0" w:rsidP="00C41275">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92</w:t>
      </w:r>
      <w:r w:rsidRPr="00DC7991">
        <w:rPr>
          <w:lang w:val="ru-RU"/>
        </w:rPr>
        <w:fldChar w:fldCharType="end"/>
      </w:r>
      <w:r w:rsidRPr="00DC7991">
        <w:rPr>
          <w:lang w:val="ru-RU"/>
        </w:rPr>
        <w:t>.</w:t>
      </w:r>
      <w:r>
        <w:t>  </w:t>
      </w:r>
      <w:r>
        <w:rPr>
          <w:lang w:val="uk-UA"/>
        </w:rPr>
        <w:t>Уряд відзначив, що 4 грудня 1996 року Міністерство внутрішніх справ видало директиву про виплату надбавок до заробітної плати для відшкодування зниження розміру заробітної плати, викликаного зміною у виплаті компенсацій за роботу в місцевостях із суворими кліматичними умовами та збільшенням транспортних витрат у результаті реорганізації поліцейських округів. Однак, ця директива не має зворотньої сили.</w:t>
      </w:r>
    </w:p>
    <w:p w:rsidRPr="00DC7991" w:rsidR="00D002A0" w:rsidP="00991B15">
      <w:pPr>
        <w:pStyle w:val="JuHA"/>
        <w:outlineLvl w:val="0"/>
        <w:rPr>
          <w:lang w:val="ru-RU"/>
        </w:rPr>
      </w:pPr>
      <w:r>
        <w:t>B</w:t>
      </w:r>
      <w:r w:rsidRPr="00DC7991">
        <w:rPr>
          <w:lang w:val="ru-RU"/>
        </w:rPr>
        <w:t>.</w:t>
      </w:r>
      <w:r>
        <w:t>  </w:t>
      </w:r>
      <w:r>
        <w:rPr>
          <w:lang w:val="uk-UA"/>
        </w:rPr>
        <w:t>Оцінка Суду</w:t>
      </w:r>
    </w:p>
    <w:p w:rsidRPr="00DC7991" w:rsidR="00D002A0" w:rsidP="00986A9C">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93</w:t>
      </w:r>
      <w:r w:rsidRPr="00DC7991">
        <w:rPr>
          <w:lang w:val="ru-RU"/>
        </w:rPr>
        <w:fldChar w:fldCharType="end"/>
      </w:r>
      <w:r w:rsidRPr="00DC7991">
        <w:rPr>
          <w:lang w:val="ru-RU"/>
        </w:rPr>
        <w:t>.</w:t>
      </w:r>
      <w:r>
        <w:t>  </w:t>
      </w:r>
      <w:r>
        <w:rPr>
          <w:lang w:val="uk-UA"/>
        </w:rPr>
        <w:t>Суд вважає, що заявники скаржаться, відповідно до статті 1 Протоколу №1, взятої окремо чи в поєднанні зі статтею 14 Конвенції, на те, що державні органи влади і суди неправильно застосували національне законодавство, відмовивши задовольнити їхні позовні вимоги.</w:t>
      </w:r>
    </w:p>
    <w:p w:rsidR="00D002A0" w:rsidP="00490CE0">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94</w:t>
      </w:r>
      <w:r w:rsidRPr="00DC7991">
        <w:rPr>
          <w:lang w:val="ru-RU"/>
        </w:rPr>
        <w:fldChar w:fldCharType="end"/>
      </w:r>
      <w:r w:rsidRPr="00DC7991">
        <w:rPr>
          <w:lang w:val="ru-RU"/>
        </w:rPr>
        <w:t>.</w:t>
      </w:r>
      <w:r>
        <w:t>  </w:t>
      </w:r>
      <w:r>
        <w:rPr>
          <w:lang w:val="uk-UA"/>
        </w:rPr>
        <w:t xml:space="preserve">Суд зазначає, що Конвенція не передбачає права на збереження встановленого розміру платні </w:t>
      </w:r>
      <w:r w:rsidRPr="004C4821">
        <w:t>(</w:t>
      </w:r>
      <w:r>
        <w:rPr>
          <w:lang w:val="uk-UA"/>
        </w:rPr>
        <w:t>див.</w:t>
      </w:r>
      <w:r w:rsidRPr="004C4821">
        <w:t xml:space="preserve">, </w:t>
      </w:r>
      <w:r w:rsidRPr="001D2364">
        <w:rPr>
          <w:i/>
        </w:rPr>
        <w:t>mutatis</w:t>
      </w:r>
      <w:r w:rsidRPr="004C4821">
        <w:rPr>
          <w:i/>
        </w:rPr>
        <w:t xml:space="preserve"> </w:t>
      </w:r>
      <w:r w:rsidRPr="001D2364">
        <w:rPr>
          <w:i/>
        </w:rPr>
        <w:t>mutandis</w:t>
      </w:r>
      <w:r w:rsidRPr="004C4821">
        <w:t xml:space="preserve">, </w:t>
      </w:r>
      <w:r>
        <w:rPr>
          <w:lang w:val="uk-UA"/>
        </w:rPr>
        <w:t>«</w:t>
      </w:r>
      <w:r w:rsidRPr="007E229F">
        <w:rPr>
          <w:lang w:val="uk-UA"/>
        </w:rPr>
        <w:t>К</w:t>
      </w:r>
      <w:r>
        <w:rPr>
          <w:lang w:val="uk-UA"/>
        </w:rPr>
        <w:t>’</w:t>
      </w:r>
      <w:r w:rsidRPr="007E229F">
        <w:rPr>
          <w:lang w:val="uk-UA"/>
        </w:rPr>
        <w:t>яртан Асмундссон проти Ісландії</w:t>
      </w:r>
      <w:r>
        <w:rPr>
          <w:lang w:val="uk-UA"/>
        </w:rPr>
        <w:t>» (</w:t>
      </w:r>
      <w:r w:rsidRPr="00490CE0">
        <w:rPr>
          <w:i/>
          <w:lang w:eastAsia="en-US"/>
        </w:rPr>
        <w:t>Kjartan</w:t>
      </w:r>
      <w:r w:rsidRPr="004C4821">
        <w:rPr>
          <w:i/>
          <w:lang w:eastAsia="en-US"/>
        </w:rPr>
        <w:t xml:space="preserve"> Á</w:t>
      </w:r>
      <w:r w:rsidRPr="00490CE0">
        <w:rPr>
          <w:i/>
          <w:lang w:eastAsia="en-US"/>
        </w:rPr>
        <w:t>smundsson</w:t>
      </w:r>
      <w:r w:rsidRPr="004C4821">
        <w:rPr>
          <w:i/>
          <w:lang w:eastAsia="en-US"/>
        </w:rPr>
        <w:t xml:space="preserve"> </w:t>
      </w:r>
      <w:r w:rsidRPr="00490CE0">
        <w:rPr>
          <w:i/>
          <w:lang w:eastAsia="en-US"/>
        </w:rPr>
        <w:t>v</w:t>
      </w:r>
      <w:r w:rsidRPr="004C4821">
        <w:rPr>
          <w:i/>
          <w:lang w:eastAsia="en-US"/>
        </w:rPr>
        <w:t xml:space="preserve">. </w:t>
      </w:r>
      <w:r w:rsidRPr="00490CE0">
        <w:rPr>
          <w:i/>
          <w:lang w:eastAsia="en-US"/>
        </w:rPr>
        <w:t>Iceland</w:t>
      </w:r>
      <w:r>
        <w:rPr>
          <w:i/>
          <w:lang w:val="uk-UA" w:eastAsia="en-US"/>
        </w:rPr>
        <w:t>)</w:t>
      </w:r>
      <w:r w:rsidRPr="004C4821">
        <w:rPr>
          <w:lang w:eastAsia="en-US"/>
        </w:rPr>
        <w:t xml:space="preserve">, </w:t>
      </w:r>
      <w:r>
        <w:rPr>
          <w:lang w:val="uk-UA" w:eastAsia="en-US"/>
        </w:rPr>
        <w:t>№</w:t>
      </w:r>
      <w:r w:rsidRPr="004C4821">
        <w:rPr>
          <w:lang w:eastAsia="en-US"/>
        </w:rPr>
        <w:t xml:space="preserve"> 60669/00, </w:t>
      </w:r>
      <w:r>
        <w:rPr>
          <w:lang w:val="uk-UA" w:eastAsia="en-US"/>
        </w:rPr>
        <w:t>п.</w:t>
      </w:r>
      <w:r w:rsidRPr="004C4821">
        <w:rPr>
          <w:lang w:eastAsia="en-US"/>
        </w:rPr>
        <w:t xml:space="preserve"> 39, </w:t>
      </w:r>
      <w:r w:rsidRPr="00490CE0">
        <w:rPr>
          <w:lang w:eastAsia="en-US"/>
        </w:rPr>
        <w:t>ECHR</w:t>
      </w:r>
      <w:r w:rsidRPr="004C4821">
        <w:rPr>
          <w:lang w:eastAsia="en-US"/>
        </w:rPr>
        <w:t xml:space="preserve"> 2004</w:t>
      </w:r>
      <w:r w:rsidRPr="004C4821">
        <w:rPr>
          <w:lang w:eastAsia="en-US"/>
        </w:rPr>
        <w:noBreakHyphen/>
      </w:r>
      <w:r w:rsidRPr="00490CE0">
        <w:rPr>
          <w:lang w:eastAsia="en-US"/>
        </w:rPr>
        <w:t>IX</w:t>
      </w:r>
      <w:r w:rsidRPr="004C4821">
        <w:t xml:space="preserve">). </w:t>
      </w:r>
      <w:r>
        <w:rPr>
          <w:lang w:val="uk-UA"/>
        </w:rPr>
        <w:t>Заявникам недостатньо посилатися на існування «реального спору» або «небезпідставної скарги»</w:t>
      </w:r>
      <w:r w:rsidRPr="00DC7991">
        <w:rPr>
          <w:lang w:val="ru-RU"/>
        </w:rPr>
        <w:t xml:space="preserve"> (</w:t>
      </w:r>
      <w:r>
        <w:rPr>
          <w:lang w:val="uk-UA"/>
        </w:rPr>
        <w:t>пп.</w:t>
      </w:r>
      <w:r w:rsidRPr="00DC7991">
        <w:rPr>
          <w:lang w:val="ru-RU"/>
        </w:rPr>
        <w:t xml:space="preserve"> 37-38). </w:t>
      </w:r>
      <w:r>
        <w:rPr>
          <w:lang w:val="uk-UA"/>
        </w:rPr>
        <w:t xml:space="preserve">Висунута заявниками вимога може кваліфікуватись як «право власності» для цілей статті 1 Протоколу №1, якщо національне законодавство та тлумачення його відповідних положень національними судами надає для цього достатні підстави </w:t>
      </w:r>
      <w:r w:rsidRPr="00DC7991">
        <w:rPr>
          <w:lang w:val="ru-RU"/>
        </w:rPr>
        <w:t>(</w:t>
      </w:r>
      <w:r>
        <w:rPr>
          <w:lang w:val="uk-UA"/>
        </w:rPr>
        <w:t>див.</w:t>
      </w:r>
      <w:r w:rsidRPr="00DC7991">
        <w:rPr>
          <w:lang w:val="ru-RU"/>
        </w:rPr>
        <w:t xml:space="preserve"> </w:t>
      </w:r>
      <w:r>
        <w:rPr>
          <w:lang w:val="uk-UA"/>
        </w:rPr>
        <w:t>«</w:t>
      </w:r>
      <w:r w:rsidRPr="007E229F">
        <w:rPr>
          <w:lang w:val="uk-UA"/>
        </w:rPr>
        <w:t>Копецький проти Словаччини</w:t>
      </w:r>
      <w:r>
        <w:rPr>
          <w:lang w:val="uk-UA"/>
        </w:rPr>
        <w:t>» (</w:t>
      </w:r>
      <w:r>
        <w:rPr>
          <w:i/>
        </w:rPr>
        <w:t>Kopeck</w:t>
      </w:r>
      <w:r w:rsidRPr="00DC7991">
        <w:rPr>
          <w:i/>
          <w:lang w:val="ru-RU"/>
        </w:rPr>
        <w:t xml:space="preserve">ý </w:t>
      </w:r>
      <w:r>
        <w:rPr>
          <w:i/>
        </w:rPr>
        <w:t>v</w:t>
      </w:r>
      <w:r w:rsidRPr="00DC7991">
        <w:rPr>
          <w:i/>
          <w:lang w:val="ru-RU"/>
        </w:rPr>
        <w:t xml:space="preserve">. </w:t>
      </w:r>
      <w:r>
        <w:rPr>
          <w:i/>
        </w:rPr>
        <w:t>Slovakia</w:t>
      </w:r>
      <w:r>
        <w:rPr>
          <w:i/>
          <w:lang w:val="uk-UA"/>
        </w:rPr>
        <w:t>)</w:t>
      </w:r>
      <w:r w:rsidRPr="00DC7991">
        <w:rPr>
          <w:i/>
          <w:lang w:val="ru-RU"/>
        </w:rPr>
        <w:t xml:space="preserve"> </w:t>
      </w:r>
      <w:r w:rsidRPr="00DC7991">
        <w:rPr>
          <w:lang w:val="ru-RU"/>
        </w:rPr>
        <w:t>[</w:t>
      </w:r>
      <w:r>
        <w:rPr>
          <w:lang w:val="uk-UA"/>
        </w:rPr>
        <w:t>ВП</w:t>
      </w:r>
      <w:r w:rsidRPr="00DC7991">
        <w:rPr>
          <w:lang w:val="ru-RU"/>
        </w:rPr>
        <w:t>], 28</w:t>
      </w:r>
      <w:r>
        <w:t> </w:t>
      </w:r>
      <w:r>
        <w:rPr>
          <w:lang w:val="uk-UA"/>
        </w:rPr>
        <w:t>вересня</w:t>
      </w:r>
      <w:r w:rsidRPr="00DC7991">
        <w:rPr>
          <w:lang w:val="ru-RU"/>
        </w:rPr>
        <w:t xml:space="preserve"> 2004, </w:t>
      </w:r>
      <w:r>
        <w:rPr>
          <w:lang w:val="uk-UA"/>
        </w:rPr>
        <w:t>пп.</w:t>
      </w:r>
      <w:r w:rsidRPr="00DC7991">
        <w:rPr>
          <w:lang w:val="ru-RU"/>
        </w:rPr>
        <w:t xml:space="preserve"> 45-52, </w:t>
      </w:r>
      <w:r>
        <w:t>ECHR</w:t>
      </w:r>
      <w:r w:rsidRPr="00DC7991">
        <w:rPr>
          <w:i/>
          <w:lang w:val="ru-RU"/>
        </w:rPr>
        <w:t xml:space="preserve"> </w:t>
      </w:r>
      <w:r w:rsidRPr="00DC7991">
        <w:rPr>
          <w:lang w:val="ru-RU"/>
        </w:rPr>
        <w:t>2004-</w:t>
      </w:r>
      <w:r>
        <w:t>IX</w:t>
      </w:r>
      <w:r w:rsidRPr="00DC7991">
        <w:rPr>
          <w:lang w:val="ru-RU"/>
        </w:rPr>
        <w:t xml:space="preserve">). </w:t>
      </w:r>
      <w:r>
        <w:rPr>
          <w:lang w:val="uk-UA"/>
        </w:rPr>
        <w:t>У даній справі, з директиви про застосування колективного договору (див. пункт 22 вище) випливає, що заявники не могли мати законного сподівання на отримання індивідуальних надбавок до заробітної плати після об’єднання поліцейських округів, оскільки внаслідок перенесення місця їхньої служби за межі Сонкаярві, вони позбавилися права на таку надбавку. В національному законодавстві не було закріплено права на відшкодування транспортних витрат, пов’язаних із поїздкою на роботу.</w:t>
      </w:r>
    </w:p>
    <w:p w:rsidRPr="00DC7991" w:rsidR="00D002A0" w:rsidP="00D922CF">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95</w:t>
      </w:r>
      <w:r w:rsidRPr="00DC7991">
        <w:rPr>
          <w:lang w:val="ru-RU"/>
        </w:rPr>
        <w:fldChar w:fldCharType="end"/>
      </w:r>
      <w:r w:rsidRPr="00DC7991">
        <w:rPr>
          <w:lang w:val="ru-RU"/>
        </w:rPr>
        <w:t>.</w:t>
      </w:r>
      <w:r>
        <w:t>  </w:t>
      </w:r>
      <w:r>
        <w:rPr>
          <w:lang w:val="uk-UA"/>
        </w:rPr>
        <w:t xml:space="preserve">Що стосується статті 14 Конвенції, то вона доповнює інші основні положення Конвенції та Протоколів до неї. Вона не має самостійного існування, оскільки діє виключно у зв’язку з «користуванням правами і свободами», гарантованими цими положеннями. Хоча застосування статті 14 і не передбачає порушення цих положень – і в цьому сенсі вона має автономний характер – вона не може застосовуватись, якщо обставини справи не підпадають під сферу застосування одного або кількох з них </w:t>
      </w:r>
      <w:r w:rsidRPr="00DC7991">
        <w:rPr>
          <w:lang w:val="ru-RU"/>
        </w:rPr>
        <w:t>(</w:t>
      </w:r>
      <w:r>
        <w:rPr>
          <w:lang w:val="uk-UA"/>
        </w:rPr>
        <w:t>див. «</w:t>
      </w:r>
      <w:r w:rsidRPr="00324986">
        <w:rPr>
          <w:lang w:val="uk-UA"/>
        </w:rPr>
        <w:t>Гайгусус</w:t>
      </w:r>
      <w:r w:rsidRPr="00DC7991">
        <w:rPr>
          <w:lang w:val="uk-UA"/>
        </w:rPr>
        <w:t xml:space="preserve"> </w:t>
      </w:r>
      <w:r w:rsidRPr="00324986">
        <w:rPr>
          <w:lang w:val="uk-UA"/>
        </w:rPr>
        <w:t>проти Австрії</w:t>
      </w:r>
      <w:r>
        <w:rPr>
          <w:lang w:val="uk-UA"/>
        </w:rPr>
        <w:t>»</w:t>
      </w:r>
      <w:r w:rsidRPr="00324986">
        <w:rPr>
          <w:lang w:val="uk-UA"/>
        </w:rPr>
        <w:t xml:space="preserve"> </w:t>
      </w:r>
      <w:r>
        <w:rPr>
          <w:lang w:val="uk-UA"/>
        </w:rPr>
        <w:t>(</w:t>
      </w:r>
      <w:r>
        <w:rPr>
          <w:i/>
        </w:rPr>
        <w:t>Gaygusuz</w:t>
      </w:r>
      <w:r w:rsidRPr="00DC7991">
        <w:rPr>
          <w:i/>
          <w:lang w:val="uk-UA"/>
        </w:rPr>
        <w:t xml:space="preserve"> </w:t>
      </w:r>
      <w:r>
        <w:rPr>
          <w:i/>
        </w:rPr>
        <w:t>v</w:t>
      </w:r>
      <w:r w:rsidRPr="00DC7991">
        <w:rPr>
          <w:i/>
          <w:lang w:val="uk-UA"/>
        </w:rPr>
        <w:t xml:space="preserve">. </w:t>
      </w:r>
      <w:r>
        <w:rPr>
          <w:i/>
        </w:rPr>
        <w:t>Austria</w:t>
      </w:r>
      <w:r>
        <w:rPr>
          <w:i/>
          <w:lang w:val="uk-UA"/>
        </w:rPr>
        <w:t>)</w:t>
      </w:r>
      <w:r w:rsidRPr="00DC7991">
        <w:rPr>
          <w:lang w:val="uk-UA"/>
        </w:rPr>
        <w:t xml:space="preserve">, 16 </w:t>
      </w:r>
      <w:r>
        <w:rPr>
          <w:lang w:val="uk-UA"/>
        </w:rPr>
        <w:t>вересня</w:t>
      </w:r>
      <w:r w:rsidRPr="00DC7991">
        <w:rPr>
          <w:lang w:val="uk-UA"/>
        </w:rPr>
        <w:t xml:space="preserve"> 1996</w:t>
      </w:r>
      <w:r>
        <w:rPr>
          <w:lang w:val="uk-UA"/>
        </w:rPr>
        <w:t xml:space="preserve"> року</w:t>
      </w:r>
      <w:r w:rsidRPr="00DC7991">
        <w:rPr>
          <w:lang w:val="uk-UA"/>
        </w:rPr>
        <w:t xml:space="preserve">, </w:t>
      </w:r>
      <w:r>
        <w:rPr>
          <w:lang w:val="uk-UA"/>
        </w:rPr>
        <w:t>п.</w:t>
      </w:r>
      <w:r w:rsidRPr="00DC7991">
        <w:rPr>
          <w:lang w:val="uk-UA"/>
        </w:rPr>
        <w:t xml:space="preserve"> 36, </w:t>
      </w:r>
      <w:r w:rsidRPr="00324986">
        <w:rPr>
          <w:lang w:val="uk-UA"/>
        </w:rPr>
        <w:t>Збірник</w:t>
      </w:r>
      <w:r w:rsidRPr="00DC7991">
        <w:rPr>
          <w:i/>
          <w:lang w:val="uk-UA"/>
        </w:rPr>
        <w:t xml:space="preserve"> </w:t>
      </w:r>
      <w:r w:rsidRPr="00DC7991">
        <w:rPr>
          <w:lang w:val="uk-UA"/>
        </w:rPr>
        <w:t>1996-</w:t>
      </w:r>
      <w:r>
        <w:t>IV</w:t>
      </w:r>
      <w:r w:rsidRPr="00DC7991">
        <w:rPr>
          <w:lang w:val="uk-UA"/>
        </w:rPr>
        <w:t xml:space="preserve">, </w:t>
      </w:r>
      <w:r>
        <w:rPr>
          <w:lang w:val="uk-UA"/>
        </w:rPr>
        <w:t>та</w:t>
      </w:r>
      <w:r w:rsidRPr="00DC7991">
        <w:rPr>
          <w:lang w:val="uk-UA"/>
        </w:rPr>
        <w:t xml:space="preserve"> </w:t>
      </w:r>
      <w:r>
        <w:rPr>
          <w:lang w:val="uk-UA"/>
        </w:rPr>
        <w:t>«</w:t>
      </w:r>
      <w:r w:rsidRPr="00324986">
        <w:rPr>
          <w:lang w:val="uk-UA"/>
        </w:rPr>
        <w:t>Домалевський проти Польщі</w:t>
      </w:r>
      <w:r>
        <w:rPr>
          <w:lang w:val="uk-UA"/>
        </w:rPr>
        <w:t>» (</w:t>
      </w:r>
      <w:r>
        <w:rPr>
          <w:i/>
        </w:rPr>
        <w:t>Domalewski</w:t>
      </w:r>
      <w:r w:rsidRPr="00DC7991">
        <w:rPr>
          <w:i/>
          <w:lang w:val="uk-UA"/>
        </w:rPr>
        <w:t xml:space="preserve"> </w:t>
      </w:r>
      <w:r>
        <w:rPr>
          <w:i/>
        </w:rPr>
        <w:t>v</w:t>
      </w:r>
      <w:r w:rsidRPr="00DC7991">
        <w:rPr>
          <w:i/>
          <w:lang w:val="uk-UA"/>
        </w:rPr>
        <w:t xml:space="preserve">. </w:t>
      </w:r>
      <w:r>
        <w:rPr>
          <w:i/>
        </w:rPr>
        <w:t>Poland</w:t>
      </w:r>
      <w:r>
        <w:rPr>
          <w:i/>
          <w:lang w:val="uk-UA"/>
        </w:rPr>
        <w:t>)</w:t>
      </w:r>
      <w:r w:rsidRPr="00DC7991">
        <w:rPr>
          <w:lang w:val="uk-UA"/>
        </w:rPr>
        <w:t xml:space="preserve"> (</w:t>
      </w:r>
      <w:r>
        <w:rPr>
          <w:lang w:val="uk-UA"/>
        </w:rPr>
        <w:t>ріш</w:t>
      </w:r>
      <w:r w:rsidRPr="00DC7991">
        <w:rPr>
          <w:lang w:val="uk-UA"/>
        </w:rPr>
        <w:t xml:space="preserve">.), </w:t>
      </w:r>
      <w:r>
        <w:rPr>
          <w:lang w:val="uk-UA"/>
        </w:rPr>
        <w:t>№</w:t>
      </w:r>
      <w:r w:rsidRPr="00DC7991">
        <w:rPr>
          <w:lang w:val="uk-UA"/>
        </w:rPr>
        <w:t xml:space="preserve"> 34610/97, </w:t>
      </w:r>
      <w:r w:rsidRPr="007E72D1">
        <w:t>ECHR</w:t>
      </w:r>
      <w:r w:rsidRPr="00DC7991">
        <w:rPr>
          <w:lang w:val="uk-UA"/>
        </w:rPr>
        <w:t xml:space="preserve"> 1999-</w:t>
      </w:r>
      <w:r>
        <w:t>V</w:t>
      </w:r>
      <w:r w:rsidRPr="00DC7991">
        <w:rPr>
          <w:lang w:val="uk-UA"/>
        </w:rPr>
        <w:t>)</w:t>
      </w:r>
      <w:r>
        <w:rPr>
          <w:lang w:val="uk-UA"/>
        </w:rPr>
        <w:t>. Дана справа не зачіпає ніяких інших положень Конвенції.</w:t>
      </w:r>
    </w:p>
    <w:p w:rsidRPr="00DC7991" w:rsidR="00D002A0" w:rsidP="00D922CF">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96</w:t>
      </w:r>
      <w:r w:rsidRPr="00DC7991">
        <w:rPr>
          <w:lang w:val="ru-RU"/>
        </w:rPr>
        <w:fldChar w:fldCharType="end"/>
      </w:r>
      <w:r w:rsidRPr="00DC7991">
        <w:rPr>
          <w:lang w:val="ru-RU"/>
        </w:rPr>
        <w:t>.</w:t>
      </w:r>
      <w:r>
        <w:t>  </w:t>
      </w:r>
      <w:r>
        <w:rPr>
          <w:lang w:val="uk-UA"/>
        </w:rPr>
        <w:t>За цих обставин Суд вважає, що не мало місця порушення статті 1 Протоколу №1, взятої окремо чи у поєднанні зі статтею 14 Конвенції</w:t>
      </w:r>
      <w:r w:rsidRPr="00DC7991">
        <w:rPr>
          <w:lang w:val="uk-UA"/>
        </w:rPr>
        <w:t>.</w:t>
      </w:r>
    </w:p>
    <w:p w:rsidRPr="00DC7991" w:rsidR="00D002A0" w:rsidP="00991B15">
      <w:pPr>
        <w:pStyle w:val="JuHIRoman"/>
        <w:outlineLvl w:val="0"/>
        <w:rPr>
          <w:lang w:val="uk-UA"/>
        </w:rPr>
      </w:pPr>
      <w:r>
        <w:t>IV</w:t>
      </w:r>
      <w:r w:rsidRPr="00DC7991">
        <w:rPr>
          <w:lang w:val="uk-UA"/>
        </w:rPr>
        <w:t>.</w:t>
      </w:r>
      <w:r w:rsidRPr="0052708C">
        <w:t>  </w:t>
      </w:r>
      <w:r>
        <w:rPr>
          <w:lang w:val="uk-UA"/>
        </w:rPr>
        <w:t>ЗАСТОСУВАННЯ СТАТТІ 41 КОНВЕНЦІЇ</w:t>
      </w:r>
    </w:p>
    <w:p w:rsidRPr="00DC7991" w:rsidR="00D002A0">
      <w:pPr>
        <w:pStyle w:val="JuPara"/>
        <w:keepNext/>
        <w:keepLines/>
        <w:rPr>
          <w:lang w:val="uk-UA"/>
        </w:rPr>
      </w:pPr>
      <w:r w:rsidRPr="00DC7991">
        <w:rPr>
          <w:lang w:val="uk-UA"/>
        </w:rPr>
        <w:fldChar w:fldCharType="begin"/>
      </w:r>
      <w:r w:rsidRPr="00DC7991">
        <w:rPr>
          <w:lang w:val="uk-UA"/>
        </w:rPr>
        <w:instrText xml:space="preserve"> </w:instrText>
      </w:r>
      <w:r>
        <w:instrText>SEQ</w:instrText>
      </w:r>
      <w:r w:rsidRPr="00DC7991">
        <w:rPr>
          <w:lang w:val="uk-UA"/>
        </w:rPr>
        <w:instrText xml:space="preserve"> </w:instrText>
      </w:r>
      <w:r>
        <w:instrText>level</w:instrText>
      </w:r>
      <w:r w:rsidRPr="00DC7991">
        <w:rPr>
          <w:lang w:val="uk-UA"/>
        </w:rPr>
        <w:instrText>0 \*</w:instrText>
      </w:r>
      <w:r>
        <w:instrText>arabic</w:instrText>
      </w:r>
      <w:r w:rsidRPr="00DC7991">
        <w:rPr>
          <w:lang w:val="uk-UA"/>
        </w:rPr>
        <w:instrText xml:space="preserve"> </w:instrText>
      </w:r>
      <w:r w:rsidRPr="00DC7991">
        <w:rPr>
          <w:lang w:val="uk-UA"/>
        </w:rPr>
        <w:fldChar w:fldCharType="separate"/>
      </w:r>
      <w:r w:rsidRPr="00DC7991">
        <w:rPr>
          <w:noProof/>
          <w:lang w:val="uk-UA"/>
        </w:rPr>
        <w:t>97</w:t>
      </w:r>
      <w:r w:rsidRPr="00DC7991">
        <w:rPr>
          <w:lang w:val="uk-UA"/>
        </w:rPr>
        <w:fldChar w:fldCharType="end"/>
      </w:r>
      <w:r w:rsidRPr="00DC7991">
        <w:rPr>
          <w:lang w:val="uk-UA"/>
        </w:rPr>
        <w:t>.</w:t>
      </w:r>
      <w:r w:rsidRPr="0052708C">
        <w:t>  </w:t>
      </w:r>
      <w:r>
        <w:rPr>
          <w:lang w:val="uk-UA"/>
        </w:rPr>
        <w:t>Стаття</w:t>
      </w:r>
      <w:r w:rsidRPr="00DC7991">
        <w:rPr>
          <w:lang w:val="uk-UA"/>
        </w:rPr>
        <w:t xml:space="preserve"> 41 </w:t>
      </w:r>
      <w:r>
        <w:rPr>
          <w:lang w:val="uk-UA"/>
        </w:rPr>
        <w:t>Конвенції передбачає</w:t>
      </w:r>
      <w:r w:rsidRPr="00DC7991">
        <w:rPr>
          <w:lang w:val="uk-UA"/>
        </w:rPr>
        <w:t>:</w:t>
      </w:r>
    </w:p>
    <w:p w:rsidRPr="00DC7991" w:rsidR="00D002A0">
      <w:pPr>
        <w:pStyle w:val="JuQuot"/>
        <w:keepNext/>
        <w:keepLines/>
        <w:rPr>
          <w:lang w:val="uk-UA"/>
        </w:rPr>
      </w:pPr>
      <w:r w:rsidRPr="00DC7991">
        <w:rPr>
          <w:lang w:val="uk-UA"/>
        </w:rPr>
        <w:t>“</w:t>
      </w:r>
      <w:r>
        <w:rPr>
          <w:lang w:val="uk-UA"/>
        </w:rPr>
        <w:t>Якщо Суд визнає факт порушення Конвенції або Протоколів до неї і якщо внутрішнє право відповідної Високої Сторони передбачає лише часткове відшкодування, Суд, у разі необхідності, надає потерпілій стороні справедливу сатисфакцію</w:t>
      </w:r>
      <w:r w:rsidRPr="00DC7991">
        <w:rPr>
          <w:lang w:val="uk-UA"/>
        </w:rPr>
        <w:t>.”</w:t>
      </w:r>
    </w:p>
    <w:p w:rsidRPr="00DC7991" w:rsidR="00D002A0" w:rsidP="00991B15">
      <w:pPr>
        <w:pStyle w:val="JuHA"/>
        <w:outlineLvl w:val="0"/>
        <w:rPr>
          <w:lang w:val="ru-RU"/>
        </w:rPr>
      </w:pPr>
      <w:r w:rsidRPr="0052708C">
        <w:t>A</w:t>
      </w:r>
      <w:r w:rsidRPr="00DC7991">
        <w:rPr>
          <w:lang w:val="ru-RU"/>
        </w:rPr>
        <w:t>.</w:t>
      </w:r>
      <w:r w:rsidRPr="0052708C">
        <w:t>  </w:t>
      </w:r>
      <w:r>
        <w:rPr>
          <w:lang w:val="uk-UA"/>
        </w:rPr>
        <w:t>Шкода</w:t>
      </w:r>
    </w:p>
    <w:p w:rsidRPr="00DC7991" w:rsidR="00D002A0" w:rsidP="00824387">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98</w:t>
      </w:r>
      <w:r w:rsidRPr="00DC7991">
        <w:rPr>
          <w:lang w:val="ru-RU"/>
        </w:rPr>
        <w:fldChar w:fldCharType="end"/>
      </w:r>
      <w:r w:rsidRPr="00DC7991">
        <w:rPr>
          <w:lang w:val="ru-RU"/>
        </w:rPr>
        <w:t>.</w:t>
      </w:r>
      <w:r w:rsidRPr="0052708C">
        <w:t>  </w:t>
      </w:r>
      <w:r>
        <w:rPr>
          <w:lang w:val="uk-UA"/>
        </w:rPr>
        <w:t xml:space="preserve">Заявники вимагали на відшкодування матеріальної шкоди виплатити їм 117 євро 73 центи за кожний місяць з 1 листопада 1990 року, плюс </w:t>
      </w:r>
      <w:r w:rsidRPr="00DC7991">
        <w:rPr>
          <w:lang w:val="ru-RU"/>
        </w:rPr>
        <w:t xml:space="preserve">10% </w:t>
      </w:r>
      <w:r>
        <w:rPr>
          <w:lang w:val="uk-UA"/>
        </w:rPr>
        <w:t>річних із першого дня кожного місяця. Нижче викладено вимоги кожного заявника з указанням кількості місяців, що минули з 1 листопада 1990 року до 30 вересня 2006 року (дата була обрана заявниками), та загальної суми компенсації.</w:t>
      </w:r>
    </w:p>
    <w:p w:rsidRPr="00DC7991" w:rsidR="00D002A0" w:rsidP="00824387">
      <w:pPr>
        <w:jc w:val="both"/>
        <w:rPr>
          <w:lang w:val="ru-RU"/>
        </w:rPr>
      </w:pPr>
    </w:p>
    <w:tbl>
      <w:tblPr>
        <w:tblW w:w="0" w:type="auto"/>
        <w:tblLayout w:type="fixed"/>
        <w:tblLook w:val="01E0"/>
      </w:tblPr>
      <w:tblGrid>
        <w:gridCol w:w="4253"/>
        <w:gridCol w:w="1418"/>
        <w:gridCol w:w="1871"/>
      </w:tblGrid>
      <w:tr w:rsidTr="008F3D92">
        <w:tblPrEx>
          <w:tblW w:w="0" w:type="auto"/>
          <w:tblLayout w:type="fixed"/>
          <w:tblLook w:val="01E0"/>
        </w:tblPrEx>
        <w:tc>
          <w:tcPr>
            <w:tcW w:w="4253" w:type="dxa"/>
          </w:tcPr>
          <w:p w:rsidRPr="00D35C73" w:rsidR="00D002A0" w:rsidP="00D35C73">
            <w:pPr>
              <w:rPr>
                <w:lang w:val="uk-UA"/>
              </w:rPr>
            </w:pPr>
            <w:r>
              <w:rPr>
                <w:lang w:val="uk-UA"/>
              </w:rPr>
              <w:t>Пан</w:t>
            </w:r>
            <w:r w:rsidRPr="00215CB4">
              <w:t xml:space="preserve"> </w:t>
            </w:r>
            <w:r>
              <w:rPr>
                <w:lang w:val="uk-UA"/>
              </w:rPr>
              <w:t>Вільхо</w:t>
            </w:r>
            <w:r w:rsidRPr="00215CB4">
              <w:t xml:space="preserve"> </w:t>
            </w:r>
            <w:r>
              <w:rPr>
                <w:lang w:val="uk-UA"/>
              </w:rPr>
              <w:t>Ескелінен</w:t>
            </w:r>
          </w:p>
        </w:tc>
        <w:tc>
          <w:tcPr>
            <w:tcW w:w="1418" w:type="dxa"/>
          </w:tcPr>
          <w:p w:rsidR="00D002A0" w:rsidP="00464934">
            <w:pPr>
              <w:jc w:val="right"/>
            </w:pPr>
            <w:r w:rsidRPr="00215CB4">
              <w:t xml:space="preserve">191 </w:t>
            </w:r>
            <w:r>
              <w:rPr>
                <w:lang w:val="uk-UA"/>
              </w:rPr>
              <w:t>місяць</w:t>
            </w:r>
          </w:p>
        </w:tc>
        <w:tc>
          <w:tcPr>
            <w:tcW w:w="1871" w:type="dxa"/>
          </w:tcPr>
          <w:p w:rsidRPr="00464934" w:rsidR="00D002A0" w:rsidP="00324986">
            <w:pPr>
              <w:jc w:val="right"/>
              <w:rPr>
                <w:lang w:val="uk-UA"/>
              </w:rPr>
            </w:pPr>
            <w:r w:rsidRPr="00215CB4">
              <w:t>22</w:t>
            </w:r>
            <w:r>
              <w:rPr>
                <w:lang w:val="uk-UA"/>
              </w:rPr>
              <w:t> </w:t>
            </w:r>
            <w:r w:rsidRPr="00215CB4">
              <w:t>486</w:t>
            </w:r>
            <w:r>
              <w:rPr>
                <w:lang w:val="uk-UA"/>
              </w:rPr>
              <w:t>,</w:t>
            </w:r>
            <w:r w:rsidRPr="00215CB4">
              <w:t>42</w:t>
            </w:r>
            <w:r>
              <w:rPr>
                <w:lang w:val="uk-UA"/>
              </w:rPr>
              <w:t xml:space="preserve"> євро</w:t>
            </w:r>
          </w:p>
        </w:tc>
      </w:tr>
      <w:tr w:rsidTr="008F3D92">
        <w:tblPrEx>
          <w:tblW w:w="0" w:type="auto"/>
          <w:tblLayout w:type="fixed"/>
          <w:tblLook w:val="01E0"/>
        </w:tblPrEx>
        <w:tc>
          <w:tcPr>
            <w:tcW w:w="4253" w:type="dxa"/>
          </w:tcPr>
          <w:p w:rsidR="00D002A0" w:rsidP="00896739">
            <w:r>
              <w:rPr>
                <w:lang w:val="uk-UA"/>
              </w:rPr>
              <w:t>Пан</w:t>
            </w:r>
            <w:r w:rsidRPr="00215CB4">
              <w:t xml:space="preserve"> </w:t>
            </w:r>
            <w:r>
              <w:rPr>
                <w:lang w:val="uk-UA"/>
              </w:rPr>
              <w:t>Арто</w:t>
            </w:r>
            <w:r w:rsidRPr="00215CB4">
              <w:t xml:space="preserve"> </w:t>
            </w:r>
            <w:r>
              <w:rPr>
                <w:lang w:val="uk-UA"/>
              </w:rPr>
              <w:t>Хуттунен</w:t>
            </w:r>
          </w:p>
        </w:tc>
        <w:tc>
          <w:tcPr>
            <w:tcW w:w="1418" w:type="dxa"/>
          </w:tcPr>
          <w:p w:rsidRPr="00464934" w:rsidR="00D002A0" w:rsidP="00464934">
            <w:pPr>
              <w:jc w:val="right"/>
              <w:rPr>
                <w:lang w:val="uk-UA"/>
              </w:rPr>
            </w:pPr>
            <w:r w:rsidRPr="00215CB4">
              <w:t xml:space="preserve">191 </w:t>
            </w:r>
            <w:r>
              <w:rPr>
                <w:lang w:val="uk-UA"/>
              </w:rPr>
              <w:t>місяць</w:t>
            </w:r>
          </w:p>
        </w:tc>
        <w:tc>
          <w:tcPr>
            <w:tcW w:w="1871" w:type="dxa"/>
          </w:tcPr>
          <w:p w:rsidRPr="00464934" w:rsidR="00D002A0" w:rsidP="00324986">
            <w:pPr>
              <w:jc w:val="right"/>
              <w:rPr>
                <w:lang w:val="uk-UA"/>
              </w:rPr>
            </w:pPr>
            <w:r w:rsidRPr="00215CB4">
              <w:t>22</w:t>
            </w:r>
            <w:r>
              <w:rPr>
                <w:lang w:val="uk-UA"/>
              </w:rPr>
              <w:t> </w:t>
            </w:r>
            <w:r w:rsidRPr="00215CB4">
              <w:t>486</w:t>
            </w:r>
            <w:r>
              <w:rPr>
                <w:lang w:val="uk-UA"/>
              </w:rPr>
              <w:t>,</w:t>
            </w:r>
            <w:r w:rsidRPr="00215CB4">
              <w:t>42</w:t>
            </w:r>
            <w:r>
              <w:rPr>
                <w:lang w:val="uk-UA"/>
              </w:rPr>
              <w:t xml:space="preserve"> євро</w:t>
            </w:r>
          </w:p>
        </w:tc>
      </w:tr>
      <w:tr w:rsidTr="008F3D92">
        <w:tblPrEx>
          <w:tblW w:w="0" w:type="auto"/>
          <w:tblLayout w:type="fixed"/>
          <w:tblLook w:val="01E0"/>
        </w:tblPrEx>
        <w:tc>
          <w:tcPr>
            <w:tcW w:w="4253" w:type="dxa"/>
          </w:tcPr>
          <w:p w:rsidR="00D002A0" w:rsidP="00D35C73">
            <w:r>
              <w:rPr>
                <w:lang w:val="uk-UA"/>
              </w:rPr>
              <w:t>Пан</w:t>
            </w:r>
            <w:r w:rsidRPr="00215CB4">
              <w:t xml:space="preserve"> </w:t>
            </w:r>
            <w:r>
              <w:rPr>
                <w:lang w:val="uk-UA"/>
              </w:rPr>
              <w:t>Маркку</w:t>
            </w:r>
            <w:r w:rsidRPr="00215CB4">
              <w:t xml:space="preserve"> </w:t>
            </w:r>
            <w:r>
              <w:rPr>
                <w:lang w:val="uk-UA"/>
              </w:rPr>
              <w:t>Комулайнен</w:t>
            </w:r>
          </w:p>
        </w:tc>
        <w:tc>
          <w:tcPr>
            <w:tcW w:w="1418" w:type="dxa"/>
          </w:tcPr>
          <w:p w:rsidRPr="00464934" w:rsidR="00D002A0" w:rsidP="00464934">
            <w:pPr>
              <w:jc w:val="right"/>
              <w:rPr>
                <w:lang w:val="uk-UA"/>
              </w:rPr>
            </w:pPr>
            <w:r w:rsidRPr="00215CB4">
              <w:t xml:space="preserve">191 </w:t>
            </w:r>
            <w:r>
              <w:rPr>
                <w:lang w:val="uk-UA"/>
              </w:rPr>
              <w:t>місяць</w:t>
            </w:r>
          </w:p>
        </w:tc>
        <w:tc>
          <w:tcPr>
            <w:tcW w:w="1871" w:type="dxa"/>
          </w:tcPr>
          <w:p w:rsidRPr="00464934" w:rsidR="00D002A0" w:rsidP="00324986">
            <w:pPr>
              <w:jc w:val="right"/>
              <w:rPr>
                <w:lang w:val="uk-UA"/>
              </w:rPr>
            </w:pPr>
            <w:r>
              <w:rPr>
                <w:lang w:val="uk-UA"/>
              </w:rPr>
              <w:t>2</w:t>
            </w:r>
            <w:r w:rsidRPr="00215CB4">
              <w:t>2</w:t>
            </w:r>
            <w:r>
              <w:rPr>
                <w:lang w:val="uk-UA"/>
              </w:rPr>
              <w:t> </w:t>
            </w:r>
            <w:r w:rsidRPr="00215CB4">
              <w:t>486</w:t>
            </w:r>
            <w:r>
              <w:rPr>
                <w:lang w:val="uk-UA"/>
              </w:rPr>
              <w:t>,</w:t>
            </w:r>
            <w:r w:rsidRPr="00215CB4">
              <w:t>42</w:t>
            </w:r>
            <w:r>
              <w:rPr>
                <w:lang w:val="uk-UA"/>
              </w:rPr>
              <w:t xml:space="preserve"> євро</w:t>
            </w:r>
          </w:p>
        </w:tc>
      </w:tr>
      <w:tr w:rsidTr="008F3D92">
        <w:tblPrEx>
          <w:tblW w:w="0" w:type="auto"/>
          <w:tblLayout w:type="fixed"/>
          <w:tblLook w:val="01E0"/>
        </w:tblPrEx>
        <w:tc>
          <w:tcPr>
            <w:tcW w:w="4253" w:type="dxa"/>
          </w:tcPr>
          <w:p w:rsidR="00D002A0" w:rsidP="00D35C73">
            <w:r>
              <w:rPr>
                <w:lang w:val="uk-UA"/>
              </w:rPr>
              <w:t>Пан</w:t>
            </w:r>
            <w:r>
              <w:t xml:space="preserve"> </w:t>
            </w:r>
            <w:r>
              <w:rPr>
                <w:lang w:val="uk-UA"/>
              </w:rPr>
              <w:t>Тойво</w:t>
            </w:r>
            <w:r>
              <w:t xml:space="preserve"> </w:t>
            </w:r>
            <w:r>
              <w:rPr>
                <w:lang w:val="uk-UA"/>
              </w:rPr>
              <w:t>Паллонен</w:t>
            </w:r>
            <w:r>
              <w:t>*</w:t>
            </w:r>
          </w:p>
        </w:tc>
        <w:tc>
          <w:tcPr>
            <w:tcW w:w="1418" w:type="dxa"/>
          </w:tcPr>
          <w:p w:rsidRPr="00464934" w:rsidR="00D002A0" w:rsidP="00464934">
            <w:pPr>
              <w:jc w:val="right"/>
              <w:rPr>
                <w:lang w:val="uk-UA"/>
              </w:rPr>
            </w:pPr>
            <w:r w:rsidRPr="00215CB4">
              <w:t xml:space="preserve">26 </w:t>
            </w:r>
            <w:r>
              <w:rPr>
                <w:lang w:val="uk-UA"/>
              </w:rPr>
              <w:t>місяців</w:t>
            </w:r>
          </w:p>
        </w:tc>
        <w:tc>
          <w:tcPr>
            <w:tcW w:w="1871" w:type="dxa"/>
          </w:tcPr>
          <w:p w:rsidRPr="00464934" w:rsidR="00D002A0" w:rsidP="00324986">
            <w:pPr>
              <w:jc w:val="right"/>
              <w:rPr>
                <w:lang w:val="uk-UA"/>
              </w:rPr>
            </w:pPr>
            <w:r w:rsidRPr="00215CB4">
              <w:t>3</w:t>
            </w:r>
            <w:r>
              <w:rPr>
                <w:lang w:val="uk-UA"/>
              </w:rPr>
              <w:t> </w:t>
            </w:r>
            <w:r w:rsidRPr="00215CB4">
              <w:t>060</w:t>
            </w:r>
            <w:r>
              <w:rPr>
                <w:lang w:val="uk-UA"/>
              </w:rPr>
              <w:t>,</w:t>
            </w:r>
            <w:r w:rsidRPr="00215CB4">
              <w:t>98</w:t>
            </w:r>
            <w:r>
              <w:rPr>
                <w:lang w:val="uk-UA"/>
              </w:rPr>
              <w:t xml:space="preserve"> євро</w:t>
            </w:r>
          </w:p>
        </w:tc>
      </w:tr>
      <w:tr w:rsidTr="008F3D92">
        <w:tblPrEx>
          <w:tblW w:w="0" w:type="auto"/>
          <w:tblLayout w:type="fixed"/>
          <w:tblLook w:val="01E0"/>
        </w:tblPrEx>
        <w:tc>
          <w:tcPr>
            <w:tcW w:w="4253" w:type="dxa"/>
          </w:tcPr>
          <w:p w:rsidR="00D002A0" w:rsidP="00896739">
            <w:r>
              <w:rPr>
                <w:lang w:val="uk-UA"/>
              </w:rPr>
              <w:t>Пані</w:t>
            </w:r>
            <w:r>
              <w:t xml:space="preserve"> </w:t>
            </w:r>
            <w:r>
              <w:rPr>
                <w:lang w:val="uk-UA"/>
              </w:rPr>
              <w:t>Леа</w:t>
            </w:r>
            <w:r>
              <w:t xml:space="preserve"> </w:t>
            </w:r>
            <w:r>
              <w:rPr>
                <w:lang w:val="uk-UA"/>
              </w:rPr>
              <w:t>Іхацу</w:t>
            </w:r>
            <w:r>
              <w:t>**</w:t>
            </w:r>
          </w:p>
        </w:tc>
        <w:tc>
          <w:tcPr>
            <w:tcW w:w="1418" w:type="dxa"/>
          </w:tcPr>
          <w:p w:rsidRPr="00464934" w:rsidR="00D002A0" w:rsidP="00464934">
            <w:pPr>
              <w:jc w:val="right"/>
              <w:rPr>
                <w:lang w:val="uk-UA"/>
              </w:rPr>
            </w:pPr>
            <w:r w:rsidRPr="00215CB4">
              <w:t xml:space="preserve">116 </w:t>
            </w:r>
            <w:r>
              <w:rPr>
                <w:lang w:val="uk-UA"/>
              </w:rPr>
              <w:t>місяців</w:t>
            </w:r>
          </w:p>
        </w:tc>
        <w:tc>
          <w:tcPr>
            <w:tcW w:w="1871" w:type="dxa"/>
          </w:tcPr>
          <w:p w:rsidRPr="00464934" w:rsidR="00D002A0" w:rsidP="00324986">
            <w:pPr>
              <w:jc w:val="right"/>
              <w:rPr>
                <w:lang w:val="uk-UA"/>
              </w:rPr>
            </w:pPr>
            <w:r w:rsidRPr="00215CB4">
              <w:t>13</w:t>
            </w:r>
            <w:r>
              <w:rPr>
                <w:lang w:val="uk-UA"/>
              </w:rPr>
              <w:t> </w:t>
            </w:r>
            <w:r w:rsidRPr="00215CB4">
              <w:t>656</w:t>
            </w:r>
            <w:r>
              <w:rPr>
                <w:lang w:val="uk-UA"/>
              </w:rPr>
              <w:t>,</w:t>
            </w:r>
            <w:r w:rsidRPr="00215CB4">
              <w:t>68</w:t>
            </w:r>
            <w:r>
              <w:rPr>
                <w:lang w:val="uk-UA"/>
              </w:rPr>
              <w:t xml:space="preserve"> євро</w:t>
            </w:r>
          </w:p>
        </w:tc>
      </w:tr>
      <w:tr w:rsidTr="008F3D92">
        <w:tblPrEx>
          <w:tblW w:w="0" w:type="auto"/>
          <w:tblLayout w:type="fixed"/>
          <w:tblLook w:val="01E0"/>
        </w:tblPrEx>
        <w:tc>
          <w:tcPr>
            <w:tcW w:w="4253" w:type="dxa"/>
          </w:tcPr>
          <w:p w:rsidR="00D002A0" w:rsidP="00896739">
            <w:r>
              <w:rPr>
                <w:lang w:val="uk-UA"/>
              </w:rPr>
              <w:t>Спадкоємці</w:t>
            </w:r>
            <w:r>
              <w:t xml:space="preserve"> </w:t>
            </w:r>
            <w:r>
              <w:rPr>
                <w:lang w:val="uk-UA"/>
              </w:rPr>
              <w:t>пана</w:t>
            </w:r>
            <w:r w:rsidRPr="00215CB4">
              <w:t xml:space="preserve"> </w:t>
            </w:r>
            <w:r>
              <w:rPr>
                <w:lang w:val="uk-UA"/>
              </w:rPr>
              <w:t>Ханну</w:t>
            </w:r>
            <w:r w:rsidRPr="00215CB4">
              <w:t xml:space="preserve"> </w:t>
            </w:r>
            <w:r>
              <w:rPr>
                <w:lang w:val="uk-UA"/>
              </w:rPr>
              <w:t>Лаппалайнена</w:t>
            </w:r>
            <w:r w:rsidRPr="00215CB4">
              <w:t>***</w:t>
            </w:r>
          </w:p>
        </w:tc>
        <w:tc>
          <w:tcPr>
            <w:tcW w:w="1418" w:type="dxa"/>
          </w:tcPr>
          <w:p w:rsidRPr="00464934" w:rsidR="00D002A0" w:rsidP="00464934">
            <w:pPr>
              <w:jc w:val="right"/>
              <w:rPr>
                <w:lang w:val="uk-UA"/>
              </w:rPr>
            </w:pPr>
            <w:r w:rsidRPr="00215CB4">
              <w:t xml:space="preserve">58 </w:t>
            </w:r>
            <w:r>
              <w:rPr>
                <w:lang w:val="uk-UA"/>
              </w:rPr>
              <w:t>місяців</w:t>
            </w:r>
          </w:p>
        </w:tc>
        <w:tc>
          <w:tcPr>
            <w:tcW w:w="1871" w:type="dxa"/>
          </w:tcPr>
          <w:p w:rsidRPr="00464934" w:rsidR="00D002A0" w:rsidP="00324986">
            <w:pPr>
              <w:jc w:val="right"/>
              <w:rPr>
                <w:lang w:val="uk-UA"/>
              </w:rPr>
            </w:pPr>
            <w:r>
              <w:rPr>
                <w:lang w:val="uk-UA"/>
              </w:rPr>
              <w:t>6 </w:t>
            </w:r>
            <w:r w:rsidRPr="00215CB4">
              <w:t>828</w:t>
            </w:r>
            <w:r>
              <w:rPr>
                <w:lang w:val="uk-UA"/>
              </w:rPr>
              <w:t>,</w:t>
            </w:r>
            <w:r w:rsidRPr="00215CB4">
              <w:t>34</w:t>
            </w:r>
            <w:r>
              <w:rPr>
                <w:lang w:val="uk-UA"/>
              </w:rPr>
              <w:t xml:space="preserve"> євро</w:t>
            </w:r>
          </w:p>
        </w:tc>
      </w:tr>
    </w:tbl>
    <w:p w:rsidRPr="00DC7991" w:rsidR="00D002A0" w:rsidP="00090E56">
      <w:pPr>
        <w:pStyle w:val="JuPara"/>
        <w:ind w:firstLine="0"/>
        <w:rPr>
          <w:sz w:val="20"/>
          <w:lang w:val="ru-RU"/>
        </w:rPr>
      </w:pPr>
      <w:r w:rsidRPr="00DC7991">
        <w:rPr>
          <w:sz w:val="20"/>
          <w:lang w:val="ru-RU"/>
        </w:rPr>
        <w:t>*</w:t>
      </w:r>
      <w:r w:rsidRPr="00090E56">
        <w:rPr>
          <w:sz w:val="20"/>
        </w:rPr>
        <w:t>  </w:t>
      </w:r>
      <w:r>
        <w:rPr>
          <w:sz w:val="20"/>
          <w:lang w:val="uk-UA"/>
        </w:rPr>
        <w:t>на пенсії</w:t>
      </w:r>
      <w:r w:rsidRPr="00DC7991">
        <w:rPr>
          <w:sz w:val="20"/>
          <w:lang w:val="ru-RU"/>
        </w:rPr>
        <w:t xml:space="preserve"> </w:t>
      </w:r>
      <w:r>
        <w:rPr>
          <w:sz w:val="20"/>
          <w:lang w:val="uk-UA"/>
        </w:rPr>
        <w:t>з</w:t>
      </w:r>
      <w:r w:rsidRPr="00DC7991">
        <w:rPr>
          <w:sz w:val="20"/>
          <w:lang w:val="ru-RU"/>
        </w:rPr>
        <w:t xml:space="preserve"> 1 </w:t>
      </w:r>
      <w:r>
        <w:rPr>
          <w:sz w:val="20"/>
          <w:lang w:val="uk-UA"/>
        </w:rPr>
        <w:t>січня</w:t>
      </w:r>
      <w:r w:rsidRPr="00DC7991">
        <w:rPr>
          <w:sz w:val="20"/>
          <w:lang w:val="ru-RU"/>
        </w:rPr>
        <w:t xml:space="preserve"> 1993</w:t>
      </w:r>
      <w:r>
        <w:rPr>
          <w:sz w:val="20"/>
          <w:lang w:val="uk-UA"/>
        </w:rPr>
        <w:t xml:space="preserve"> року</w:t>
      </w:r>
      <w:r w:rsidRPr="00DC7991">
        <w:rPr>
          <w:sz w:val="20"/>
          <w:lang w:val="ru-RU"/>
        </w:rPr>
        <w:t xml:space="preserve">: </w:t>
      </w:r>
      <w:r>
        <w:rPr>
          <w:sz w:val="20"/>
          <w:lang w:val="uk-UA"/>
        </w:rPr>
        <w:t>результат розгляду справи може вплинути на розмір його пенсії</w:t>
      </w:r>
      <w:r w:rsidRPr="00DC7991">
        <w:rPr>
          <w:sz w:val="20"/>
          <w:lang w:val="ru-RU"/>
        </w:rPr>
        <w:t>.</w:t>
      </w:r>
    </w:p>
    <w:p w:rsidRPr="00DC7991" w:rsidR="00D002A0" w:rsidP="00090E56">
      <w:pPr>
        <w:pStyle w:val="JuPara"/>
        <w:ind w:firstLine="0"/>
        <w:rPr>
          <w:sz w:val="20"/>
          <w:lang w:val="ru-RU"/>
        </w:rPr>
      </w:pPr>
      <w:r w:rsidRPr="00DC7991">
        <w:rPr>
          <w:sz w:val="20"/>
          <w:lang w:val="ru-RU"/>
        </w:rPr>
        <w:t>**</w:t>
      </w:r>
      <w:r w:rsidRPr="00090E56">
        <w:rPr>
          <w:sz w:val="20"/>
        </w:rPr>
        <w:t>  </w:t>
      </w:r>
      <w:r>
        <w:rPr>
          <w:sz w:val="20"/>
          <w:lang w:val="uk-UA"/>
        </w:rPr>
        <w:t>залишив свою посаду</w:t>
      </w:r>
      <w:r w:rsidRPr="00DC7991">
        <w:rPr>
          <w:sz w:val="20"/>
          <w:lang w:val="ru-RU"/>
        </w:rPr>
        <w:t xml:space="preserve"> 1 </w:t>
      </w:r>
      <w:r>
        <w:rPr>
          <w:sz w:val="20"/>
          <w:lang w:val="uk-UA"/>
        </w:rPr>
        <w:t>липня</w:t>
      </w:r>
      <w:r w:rsidRPr="00DC7991">
        <w:rPr>
          <w:sz w:val="20"/>
          <w:lang w:val="ru-RU"/>
        </w:rPr>
        <w:t xml:space="preserve"> 2000</w:t>
      </w:r>
      <w:r>
        <w:rPr>
          <w:sz w:val="20"/>
          <w:lang w:val="uk-UA"/>
        </w:rPr>
        <w:t xml:space="preserve"> року</w:t>
      </w:r>
      <w:r w:rsidRPr="00DC7991">
        <w:rPr>
          <w:sz w:val="20"/>
          <w:lang w:val="ru-RU"/>
        </w:rPr>
        <w:t>.</w:t>
      </w:r>
    </w:p>
    <w:p w:rsidRPr="00DC7991" w:rsidR="00D002A0" w:rsidP="00090E56">
      <w:pPr>
        <w:pStyle w:val="JuPara"/>
        <w:ind w:firstLine="0"/>
        <w:rPr>
          <w:sz w:val="20"/>
          <w:lang w:val="ru-RU"/>
        </w:rPr>
      </w:pPr>
      <w:r w:rsidRPr="00DC7991">
        <w:rPr>
          <w:sz w:val="20"/>
          <w:lang w:val="ru-RU"/>
        </w:rPr>
        <w:t>***</w:t>
      </w:r>
      <w:r w:rsidRPr="00090E56">
        <w:rPr>
          <w:sz w:val="20"/>
        </w:rPr>
        <w:t>  </w:t>
      </w:r>
      <w:r>
        <w:rPr>
          <w:sz w:val="20"/>
          <w:lang w:val="uk-UA"/>
        </w:rPr>
        <w:t>помер</w:t>
      </w:r>
      <w:r w:rsidRPr="00DC7991">
        <w:rPr>
          <w:sz w:val="20"/>
          <w:lang w:val="ru-RU"/>
        </w:rPr>
        <w:t xml:space="preserve"> 22 </w:t>
      </w:r>
      <w:r>
        <w:rPr>
          <w:sz w:val="20"/>
          <w:lang w:val="uk-UA"/>
        </w:rPr>
        <w:t>серпня</w:t>
      </w:r>
      <w:r w:rsidRPr="00DC7991">
        <w:rPr>
          <w:sz w:val="20"/>
          <w:lang w:val="ru-RU"/>
        </w:rPr>
        <w:t xml:space="preserve"> 1995</w:t>
      </w:r>
      <w:r>
        <w:rPr>
          <w:sz w:val="20"/>
          <w:lang w:val="uk-UA"/>
        </w:rPr>
        <w:t xml:space="preserve"> року</w:t>
      </w:r>
      <w:r w:rsidRPr="00DC7991">
        <w:rPr>
          <w:sz w:val="20"/>
          <w:lang w:val="ru-RU"/>
        </w:rPr>
        <w:t xml:space="preserve">: </w:t>
      </w:r>
      <w:r>
        <w:rPr>
          <w:sz w:val="20"/>
          <w:lang w:val="uk-UA"/>
        </w:rPr>
        <w:t>результат розгляду справи може вплинути на розмір пенсії його вдови</w:t>
      </w:r>
      <w:r w:rsidRPr="00DC7991">
        <w:rPr>
          <w:sz w:val="20"/>
          <w:lang w:val="ru-RU"/>
        </w:rPr>
        <w:t>.</w:t>
      </w:r>
    </w:p>
    <w:p w:rsidRPr="00DC7991" w:rsidR="00D002A0" w:rsidP="00640043">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99</w:t>
      </w:r>
      <w:r w:rsidRPr="00DC7991">
        <w:rPr>
          <w:lang w:val="ru-RU"/>
        </w:rPr>
        <w:fldChar w:fldCharType="end"/>
      </w:r>
      <w:r w:rsidRPr="00DC7991">
        <w:rPr>
          <w:lang w:val="ru-RU"/>
        </w:rPr>
        <w:t>.</w:t>
      </w:r>
      <w:r>
        <w:t>  </w:t>
      </w:r>
      <w:r>
        <w:rPr>
          <w:lang w:val="uk-UA"/>
        </w:rPr>
        <w:t>Заявники вимагали виплатити кожному з них</w:t>
      </w:r>
      <w:r w:rsidRPr="00DC7991">
        <w:rPr>
          <w:lang w:val="ru-RU"/>
        </w:rPr>
        <w:t xml:space="preserve"> 10</w:t>
      </w:r>
      <w:r>
        <w:rPr>
          <w:lang w:val="uk-UA"/>
        </w:rPr>
        <w:t xml:space="preserve"> </w:t>
      </w:r>
      <w:r w:rsidRPr="00DC7991">
        <w:rPr>
          <w:lang w:val="ru-RU"/>
        </w:rPr>
        <w:t xml:space="preserve">000 </w:t>
      </w:r>
      <w:r>
        <w:rPr>
          <w:lang w:val="uk-UA"/>
        </w:rPr>
        <w:t>євро плюс відсотки на відшкодування моральної шкоди, а саме за зазнані страждання та лихо</w:t>
      </w:r>
      <w:r w:rsidRPr="00DC7991">
        <w:rPr>
          <w:lang w:val="ru-RU"/>
        </w:rPr>
        <w:t>.</w:t>
      </w:r>
    </w:p>
    <w:p w:rsidRPr="00DC7991" w:rsidR="00D002A0" w:rsidP="00CE7FA3">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100</w:t>
      </w:r>
      <w:r w:rsidRPr="00DC7991">
        <w:rPr>
          <w:lang w:val="ru-RU"/>
        </w:rPr>
        <w:fldChar w:fldCharType="end"/>
      </w:r>
      <w:r w:rsidRPr="00DC7991">
        <w:rPr>
          <w:lang w:val="ru-RU"/>
        </w:rPr>
        <w:t>.</w:t>
      </w:r>
      <w:r>
        <w:t>  </w:t>
      </w:r>
      <w:r>
        <w:rPr>
          <w:lang w:val="uk-UA"/>
        </w:rPr>
        <w:t>Уряд зазначив, що заявники вимагають відшкодування матеріальної шкоди з двох причин, які мають розглядатись окремо: по-перше, у зв’язку з втратою надбавки до заробітної плати і, по-друге, у зв’язку зі збільшенням транспортних витрат. Заявлені суми та відсотки засновані на припущеннях. Їхній точний розмір, який може вплинути на розмір пенсій і т. ін., має визначатися окремо – після винесення Судом рішення по суті – за погодженням сторін або окремим рішенням Суду</w:t>
      </w:r>
      <w:r w:rsidRPr="00DC7991">
        <w:rPr>
          <w:lang w:val="uk-UA"/>
        </w:rPr>
        <w:t>.</w:t>
      </w:r>
    </w:p>
    <w:p w:rsidRPr="00DC7991" w:rsidR="00D002A0" w:rsidP="00CE7FA3">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101</w:t>
      </w:r>
      <w:r w:rsidRPr="00DC7991">
        <w:rPr>
          <w:lang w:val="ru-RU"/>
        </w:rPr>
        <w:fldChar w:fldCharType="end"/>
      </w:r>
      <w:r w:rsidRPr="00DC7991">
        <w:rPr>
          <w:lang w:val="ru-RU"/>
        </w:rPr>
        <w:t>.</w:t>
      </w:r>
      <w:r>
        <w:t>  </w:t>
      </w:r>
      <w:r>
        <w:rPr>
          <w:lang w:val="uk-UA"/>
        </w:rPr>
        <w:t>Уряд вважає, що розмір заявленої моральної шкоди є завищеним. Можлива компенсація не повинна перевищувати 1000 євро на людину. Вимоги щодо виплати відсотків мають бути відхилені.</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102</w:t>
      </w:r>
      <w:r w:rsidRPr="00DC7991">
        <w:rPr>
          <w:lang w:val="ru-RU"/>
        </w:rPr>
        <w:fldChar w:fldCharType="end"/>
      </w:r>
      <w:r w:rsidRPr="00DC7991">
        <w:rPr>
          <w:lang w:val="ru-RU"/>
        </w:rPr>
        <w:t>.</w:t>
      </w:r>
      <w:r>
        <w:t>  </w:t>
      </w:r>
      <w:r>
        <w:rPr>
          <w:lang w:val="uk-UA"/>
        </w:rPr>
        <w:t>Суд не вбачає будь-якого причинно-наслідкового зв’язку між визнаним порушенням стосовно тривалості судового розгляду і заявленою матеріальною шкодою. Отже, присудження компенсації на цій підставі не є виправданим. Суд визнає, що заявникам, у результаті надмірної тривалості судового розгляду, була заподіяна моральна шкода у формі страждань і розчарування. Для її виправлення недостатньо лише визнати факт порушення Конвенції. Здійснюючи свою оцінку на засадах справедливості, Суд присуджує кожному заявнику 2500 євро.</w:t>
      </w:r>
    </w:p>
    <w:p w:rsidRPr="00DC7991" w:rsidR="00D002A0" w:rsidP="00991B15">
      <w:pPr>
        <w:pStyle w:val="JuHA"/>
        <w:outlineLvl w:val="0"/>
        <w:rPr>
          <w:lang w:val="ru-RU"/>
        </w:rPr>
      </w:pPr>
      <w:r w:rsidRPr="0052708C">
        <w:t>B</w:t>
      </w:r>
      <w:r w:rsidRPr="00DC7991">
        <w:rPr>
          <w:lang w:val="ru-RU"/>
        </w:rPr>
        <w:t>.</w:t>
      </w:r>
      <w:r w:rsidRPr="0052708C">
        <w:t>  </w:t>
      </w:r>
      <w:r>
        <w:rPr>
          <w:lang w:val="uk-UA"/>
        </w:rPr>
        <w:t>Судові витрати</w:t>
      </w:r>
    </w:p>
    <w:p w:rsidRPr="004C4821" w:rsidR="00D002A0" w:rsidP="00CE7FA3">
      <w:pPr>
        <w:pStyle w:val="JuPara"/>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103</w:t>
      </w:r>
      <w:r w:rsidRPr="00DC7991">
        <w:rPr>
          <w:lang w:val="ru-RU"/>
        </w:rPr>
        <w:fldChar w:fldCharType="end"/>
      </w:r>
      <w:r w:rsidRPr="00DC7991">
        <w:rPr>
          <w:lang w:val="ru-RU"/>
        </w:rPr>
        <w:t>.</w:t>
      </w:r>
      <w:r w:rsidRPr="0052708C">
        <w:t>  </w:t>
      </w:r>
      <w:r>
        <w:rPr>
          <w:lang w:val="uk-UA"/>
        </w:rPr>
        <w:t xml:space="preserve">Заявники вимагали виплатити їм 1622 євро 11 центів у зв’язку з поданням клопотання канцлеру юстиції, 1226 євро 88 центів у зв’язку з поданням позову до Окружного адміністративного суду, </w:t>
      </w:r>
      <w:r w:rsidRPr="004C4821">
        <w:t>1688</w:t>
      </w:r>
      <w:r>
        <w:rPr>
          <w:lang w:val="uk-UA"/>
        </w:rPr>
        <w:t xml:space="preserve"> євро </w:t>
      </w:r>
      <w:r w:rsidRPr="004C4821">
        <w:t xml:space="preserve">57 </w:t>
      </w:r>
      <w:r>
        <w:rPr>
          <w:lang w:val="uk-UA"/>
        </w:rPr>
        <w:t xml:space="preserve">центів у зв’язку з поданням апеляції до Вищого адміністративного суду та </w:t>
      </w:r>
      <w:r w:rsidRPr="004C4821">
        <w:t>12963</w:t>
      </w:r>
      <w:r>
        <w:rPr>
          <w:lang w:val="uk-UA"/>
        </w:rPr>
        <w:t xml:space="preserve"> євро </w:t>
      </w:r>
      <w:r w:rsidRPr="004C4821">
        <w:t xml:space="preserve">40 </w:t>
      </w:r>
      <w:r>
        <w:rPr>
          <w:lang w:val="uk-UA"/>
        </w:rPr>
        <w:t>центів у зв’язку з поданням заяви про порушення Конвенції.</w:t>
      </w:r>
    </w:p>
    <w:p w:rsidRPr="004C4821" w:rsidR="00D002A0" w:rsidP="00CE7FA3">
      <w:pPr>
        <w:pStyle w:val="JuPara"/>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104</w:t>
      </w:r>
      <w:r w:rsidRPr="00DC7991">
        <w:rPr>
          <w:lang w:val="ru-RU"/>
        </w:rPr>
        <w:fldChar w:fldCharType="end"/>
      </w:r>
      <w:r w:rsidRPr="00DC7991">
        <w:rPr>
          <w:lang w:val="ru-RU"/>
        </w:rPr>
        <w:t>.</w:t>
      </w:r>
      <w:r>
        <w:t>  </w:t>
      </w:r>
      <w:r>
        <w:rPr>
          <w:lang w:val="uk-UA"/>
        </w:rPr>
        <w:t xml:space="preserve">Уряд вважає, що витрати, пов’язані з поданням клопотання канцлеру юстиції не повинні бути компенсовані, оскільки таке клопотання не є обов’язковою умовою для подання скарги до суду; що витрати, пов’язані з розглядом справи в національних судах, не повинні перевищувати 2000 євро (включаючи податок на додану вартість); і що витрати, пов’язані з розглядом скарги про порушення Конвенції, не повинні перевищувати </w:t>
      </w:r>
      <w:r w:rsidRPr="004C4821">
        <w:t>6200</w:t>
      </w:r>
      <w:r>
        <w:rPr>
          <w:lang w:val="uk-UA"/>
        </w:rPr>
        <w:t xml:space="preserve"> євро</w:t>
      </w:r>
      <w:r w:rsidRPr="004C4821">
        <w:t>.</w:t>
      </w:r>
    </w:p>
    <w:p w:rsidRPr="00DC7991" w:rsidR="00D002A0" w:rsidP="001F2A20">
      <w:pPr>
        <w:pStyle w:val="JuPara"/>
        <w:rPr>
          <w:lang w:val="uk-UA"/>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105</w:t>
      </w:r>
      <w:r w:rsidRPr="00DC7991">
        <w:rPr>
          <w:lang w:val="ru-RU"/>
        </w:rPr>
        <w:fldChar w:fldCharType="end"/>
      </w:r>
      <w:r w:rsidRPr="00DC7991">
        <w:rPr>
          <w:lang w:val="ru-RU"/>
        </w:rPr>
        <w:t>.</w:t>
      </w:r>
      <w:r w:rsidRPr="00CE7FA3">
        <w:t>  </w:t>
      </w:r>
      <w:r>
        <w:rPr>
          <w:lang w:val="uk-UA"/>
        </w:rPr>
        <w:t xml:space="preserve">Суд нагадує, що він присуджує компенсацію тільки тих судових витрат, які були дійсно зазнані і необхідні для уникнення або виправлення констатованого порушення, та розмір яких залишається у розумних межах. </w:t>
      </w:r>
      <w:r w:rsidRPr="00DC7991">
        <w:rPr>
          <w:lang w:val="uk-UA"/>
        </w:rPr>
        <w:t>(</w:t>
      </w:r>
      <w:r>
        <w:rPr>
          <w:lang w:val="uk-UA"/>
        </w:rPr>
        <w:t>див.</w:t>
      </w:r>
      <w:r w:rsidRPr="00DC7991">
        <w:rPr>
          <w:lang w:val="uk-UA"/>
        </w:rPr>
        <w:t xml:space="preserve">, </w:t>
      </w:r>
      <w:r>
        <w:rPr>
          <w:lang w:val="uk-UA"/>
        </w:rPr>
        <w:t>поміж інших джерел</w:t>
      </w:r>
      <w:r w:rsidRPr="00DC7991">
        <w:rPr>
          <w:lang w:val="uk-UA"/>
        </w:rPr>
        <w:t xml:space="preserve">, </w:t>
      </w:r>
      <w:r>
        <w:rPr>
          <w:lang w:val="uk-UA"/>
        </w:rPr>
        <w:t>«</w:t>
      </w:r>
      <w:r w:rsidRPr="00AA6F82">
        <w:rPr>
          <w:lang w:val="uk-UA"/>
        </w:rPr>
        <w:t>Хертель проти Швейцарії</w:t>
      </w:r>
      <w:r>
        <w:rPr>
          <w:lang w:val="uk-UA"/>
        </w:rPr>
        <w:t>»</w:t>
      </w:r>
      <w:r w:rsidRPr="00611C5E">
        <w:rPr>
          <w:i/>
          <w:lang w:val="uk-UA"/>
        </w:rPr>
        <w:t xml:space="preserve"> </w:t>
      </w:r>
      <w:r>
        <w:rPr>
          <w:lang w:val="uk-UA"/>
        </w:rPr>
        <w:t>(</w:t>
      </w:r>
      <w:r w:rsidRPr="00F10C79">
        <w:rPr>
          <w:i/>
          <w:iCs/>
        </w:rPr>
        <w:t>Hertel</w:t>
      </w:r>
      <w:r w:rsidRPr="00DC7991">
        <w:rPr>
          <w:i/>
          <w:iCs/>
          <w:lang w:val="uk-UA"/>
        </w:rPr>
        <w:t xml:space="preserve"> </w:t>
      </w:r>
      <w:r w:rsidRPr="00F10C79">
        <w:rPr>
          <w:i/>
          <w:iCs/>
        </w:rPr>
        <w:t>v</w:t>
      </w:r>
      <w:r w:rsidRPr="00DC7991">
        <w:rPr>
          <w:i/>
          <w:iCs/>
          <w:lang w:val="uk-UA"/>
        </w:rPr>
        <w:t xml:space="preserve">. </w:t>
      </w:r>
      <w:r w:rsidRPr="00F10C79">
        <w:rPr>
          <w:i/>
          <w:iCs/>
        </w:rPr>
        <w:t>Switzerland</w:t>
      </w:r>
      <w:r>
        <w:rPr>
          <w:i/>
          <w:iCs/>
          <w:lang w:val="uk-UA"/>
        </w:rPr>
        <w:t>)</w:t>
      </w:r>
      <w:r w:rsidRPr="00DC7991">
        <w:rPr>
          <w:lang w:val="uk-UA"/>
        </w:rPr>
        <w:t xml:space="preserve">, 25 </w:t>
      </w:r>
      <w:r>
        <w:rPr>
          <w:lang w:val="uk-UA"/>
        </w:rPr>
        <w:t>серпня</w:t>
      </w:r>
      <w:r w:rsidRPr="00DC7991">
        <w:rPr>
          <w:lang w:val="uk-UA"/>
        </w:rPr>
        <w:t xml:space="preserve"> 1998</w:t>
      </w:r>
      <w:r>
        <w:rPr>
          <w:lang w:val="uk-UA"/>
        </w:rPr>
        <w:t xml:space="preserve"> року</w:t>
      </w:r>
      <w:r w:rsidRPr="00DC7991">
        <w:rPr>
          <w:lang w:val="uk-UA"/>
        </w:rPr>
        <w:t xml:space="preserve">, </w:t>
      </w:r>
      <w:r>
        <w:rPr>
          <w:lang w:val="uk-UA"/>
        </w:rPr>
        <w:t>п.</w:t>
      </w:r>
      <w:r w:rsidRPr="00DC7991">
        <w:rPr>
          <w:lang w:val="uk-UA"/>
        </w:rPr>
        <w:t xml:space="preserve"> 63, </w:t>
      </w:r>
      <w:r w:rsidRPr="00AA6F82">
        <w:rPr>
          <w:lang w:val="uk-UA"/>
        </w:rPr>
        <w:t>Збірник</w:t>
      </w:r>
      <w:r w:rsidRPr="00DC7991">
        <w:rPr>
          <w:rStyle w:val="ju-005fpara--char"/>
          <w:i/>
          <w:iCs/>
          <w:lang w:val="uk-UA"/>
        </w:rPr>
        <w:t xml:space="preserve"> </w:t>
      </w:r>
      <w:r w:rsidRPr="00DC7991">
        <w:rPr>
          <w:lang w:val="uk-UA"/>
        </w:rPr>
        <w:t>1998-</w:t>
      </w:r>
      <w:r>
        <w:t>VI</w:t>
      </w:r>
      <w:r w:rsidRPr="00DC7991">
        <w:rPr>
          <w:lang w:val="uk-UA"/>
        </w:rPr>
        <w:t>).</w:t>
      </w:r>
    </w:p>
    <w:p w:rsidRPr="00DC7991" w:rsidR="00D002A0" w:rsidP="002D7D89">
      <w:pPr>
        <w:pStyle w:val="JuPara"/>
        <w:rPr>
          <w:lang w:val="ru-RU"/>
        </w:rPr>
      </w:pPr>
      <w:r>
        <w:rPr>
          <w:lang w:val="uk-UA"/>
        </w:rPr>
        <w:t>У даній справі провадження в національних органах, за винятком клопотання, поданого канцлеру юстиції, не має відношення до вичерпання претензій щодо тривалості судового розгляду. Отже, вимоги заявників можуть бути визнані лише цією мірою, інакше кажучи, в межах 1622 євро 11 центів (включаючи податок на додану вартість)</w:t>
      </w:r>
      <w:r w:rsidRPr="00DC7991">
        <w:rPr>
          <w:lang w:val="ru-RU"/>
        </w:rPr>
        <w:t>.</w:t>
      </w:r>
    </w:p>
    <w:p w:rsidR="00D002A0" w:rsidP="002D7D89">
      <w:pPr>
        <w:pStyle w:val="JuPara"/>
        <w:rPr>
          <w:lang w:val="uk-UA"/>
        </w:rPr>
      </w:pPr>
      <w:r>
        <w:rPr>
          <w:lang w:val="uk-UA"/>
        </w:rPr>
        <w:t>Суд вважає, що судові витрати, зазнані у зв’язку з розглядом справи в Страсбурзі, були необхідні для отримання відшкодування за визнане ним порушення Конвенції. Однак, таке відшкодування не може бути присуджене в повному обсязі, оскільки Суд відхилив частину вимог заявників. Беручи до уваги всі обставини справи, у тому числі факт компенсації Радою Європи витрат на отримання юридичної допомоги, Суд присуджує заявникам 8000 євро (включаючи податок на додану вартість).</w:t>
      </w:r>
    </w:p>
    <w:p w:rsidRPr="00DB04E6" w:rsidR="00D002A0" w:rsidP="00991B15">
      <w:pPr>
        <w:pStyle w:val="JuHA"/>
        <w:outlineLvl w:val="0"/>
        <w:rPr>
          <w:lang w:val="uk-UA"/>
        </w:rPr>
      </w:pPr>
      <w:r w:rsidRPr="0052708C">
        <w:t>C</w:t>
      </w:r>
      <w:r w:rsidRPr="00DC7991">
        <w:rPr>
          <w:lang w:val="ru-RU"/>
        </w:rPr>
        <w:t>.</w:t>
      </w:r>
      <w:r w:rsidRPr="0052708C">
        <w:t>  </w:t>
      </w:r>
      <w:r>
        <w:rPr>
          <w:lang w:val="uk-UA"/>
        </w:rPr>
        <w:t>Пеня</w:t>
      </w:r>
    </w:p>
    <w:p w:rsidRPr="00DC7991" w:rsidR="00D002A0">
      <w:pPr>
        <w:pStyle w:val="JuPara"/>
        <w:rPr>
          <w:lang w:val="ru-RU"/>
        </w:rPr>
      </w:pPr>
      <w:r w:rsidRPr="00DC7991">
        <w:rPr>
          <w:lang w:val="ru-RU"/>
        </w:rPr>
        <w:fldChar w:fldCharType="begin"/>
      </w:r>
      <w:r w:rsidRPr="00DC7991">
        <w:rPr>
          <w:lang w:val="ru-RU"/>
        </w:rPr>
        <w:instrText xml:space="preserve"> </w:instrText>
      </w:r>
      <w:r>
        <w:instrText>SEQ</w:instrText>
      </w:r>
      <w:r w:rsidRPr="00DC7991">
        <w:rPr>
          <w:lang w:val="ru-RU"/>
        </w:rPr>
        <w:instrText xml:space="preserve"> </w:instrText>
      </w:r>
      <w:r>
        <w:instrText>level</w:instrText>
      </w:r>
      <w:r w:rsidRPr="00DC7991">
        <w:rPr>
          <w:lang w:val="ru-RU"/>
        </w:rPr>
        <w:instrText>0 \*</w:instrText>
      </w:r>
      <w:r>
        <w:instrText>arabic</w:instrText>
      </w:r>
      <w:r w:rsidRPr="00DC7991">
        <w:rPr>
          <w:lang w:val="ru-RU"/>
        </w:rPr>
        <w:instrText xml:space="preserve"> </w:instrText>
      </w:r>
      <w:r w:rsidRPr="00DC7991">
        <w:rPr>
          <w:lang w:val="ru-RU"/>
        </w:rPr>
        <w:fldChar w:fldCharType="separate"/>
      </w:r>
      <w:r w:rsidRPr="00DC7991">
        <w:rPr>
          <w:noProof/>
          <w:lang w:val="ru-RU"/>
        </w:rPr>
        <w:t>106</w:t>
      </w:r>
      <w:r w:rsidRPr="00DC7991">
        <w:rPr>
          <w:lang w:val="ru-RU"/>
        </w:rPr>
        <w:fldChar w:fldCharType="end"/>
      </w:r>
      <w:r w:rsidRPr="00DC7991">
        <w:rPr>
          <w:lang w:val="ru-RU"/>
        </w:rPr>
        <w:t>.</w:t>
      </w:r>
      <w:r>
        <w:t>  </w:t>
      </w:r>
      <w:r>
        <w:rPr>
          <w:lang w:val="uk-UA"/>
        </w:rPr>
        <w:t>Суд вважає належним призначити пеню, виходячи з розміру граничної позичкової ставки Європейського центрального банку, плюс три відсотки</w:t>
      </w:r>
      <w:r w:rsidRPr="00DC7991">
        <w:rPr>
          <w:lang w:val="ru-RU"/>
        </w:rPr>
        <w:t>.</w:t>
      </w:r>
    </w:p>
    <w:p w:rsidRPr="00DC7991" w:rsidR="00D002A0" w:rsidP="00991B15">
      <w:pPr>
        <w:pStyle w:val="JuHHead"/>
        <w:outlineLvl w:val="0"/>
        <w:rPr>
          <w:lang w:val="ru-RU"/>
        </w:rPr>
      </w:pPr>
      <w:r>
        <w:rPr>
          <w:lang w:val="uk-UA"/>
        </w:rPr>
        <w:t>З ЦИХ ПІДСТАВ СУД</w:t>
      </w:r>
    </w:p>
    <w:p w:rsidRPr="00DC7991" w:rsidR="00D002A0">
      <w:pPr>
        <w:pStyle w:val="JuList"/>
        <w:rPr>
          <w:lang w:val="ru-RU"/>
        </w:rPr>
      </w:pPr>
      <w:r w:rsidRPr="00DC7991">
        <w:rPr>
          <w:lang w:val="ru-RU"/>
        </w:rPr>
        <w:t>1.</w:t>
      </w:r>
      <w:r w:rsidRPr="0052708C">
        <w:t>  </w:t>
      </w:r>
      <w:r w:rsidRPr="000F10DB">
        <w:rPr>
          <w:i/>
          <w:lang w:val="uk-UA"/>
        </w:rPr>
        <w:t>Вирішує</w:t>
      </w:r>
      <w:r>
        <w:rPr>
          <w:i/>
          <w:lang w:val="uk-UA"/>
        </w:rPr>
        <w:t>,</w:t>
      </w:r>
      <w:r w:rsidRPr="00DC7991">
        <w:rPr>
          <w:lang w:val="ru-RU"/>
        </w:rPr>
        <w:t xml:space="preserve"> </w:t>
      </w:r>
      <w:r>
        <w:rPr>
          <w:lang w:val="uk-UA"/>
        </w:rPr>
        <w:t>дванадцятьма голосами проти п’яти, що пункт 1 статті 6 Конвенції є застосовним у даній справі</w:t>
      </w:r>
      <w:r w:rsidRPr="00DC7991">
        <w:rPr>
          <w:lang w:val="ru-RU"/>
        </w:rPr>
        <w:t>;</w:t>
      </w:r>
    </w:p>
    <w:p w:rsidRPr="00DC7991" w:rsidR="00D002A0">
      <w:pPr>
        <w:pStyle w:val="JuList"/>
        <w:rPr>
          <w:lang w:val="ru-RU"/>
        </w:rPr>
      </w:pPr>
    </w:p>
    <w:p w:rsidRPr="00DC7991" w:rsidR="00D002A0">
      <w:pPr>
        <w:pStyle w:val="JuList"/>
        <w:rPr>
          <w:lang w:val="ru-RU"/>
        </w:rPr>
      </w:pPr>
      <w:r w:rsidRPr="00DC7991">
        <w:rPr>
          <w:lang w:val="ru-RU"/>
        </w:rPr>
        <w:t>2.</w:t>
      </w:r>
      <w:r w:rsidRPr="0052708C">
        <w:t>  </w:t>
      </w:r>
      <w:r w:rsidRPr="000F10DB">
        <w:rPr>
          <w:i/>
          <w:lang w:val="uk-UA"/>
        </w:rPr>
        <w:t>Вирішує</w:t>
      </w:r>
      <w:r>
        <w:rPr>
          <w:i/>
          <w:lang w:val="uk-UA"/>
        </w:rPr>
        <w:t>,</w:t>
      </w:r>
      <w:r>
        <w:rPr>
          <w:lang w:val="uk-UA"/>
        </w:rPr>
        <w:t xml:space="preserve"> чотирнадцятьма голосами проти трьох, що мало місце порушення пункту 1 статті 6 Конвенції у тому, що стосується тривалості судового розгляду</w:t>
      </w:r>
      <w:r w:rsidRPr="00DC7991">
        <w:rPr>
          <w:lang w:val="ru-RU"/>
        </w:rPr>
        <w:t>;</w:t>
      </w:r>
    </w:p>
    <w:p w:rsidRPr="00DC7991" w:rsidR="00D002A0">
      <w:pPr>
        <w:pStyle w:val="JuList"/>
        <w:rPr>
          <w:lang w:val="ru-RU"/>
        </w:rPr>
      </w:pPr>
    </w:p>
    <w:p w:rsidRPr="00DC7991" w:rsidR="00D002A0">
      <w:pPr>
        <w:pStyle w:val="JuList"/>
        <w:rPr>
          <w:lang w:val="ru-RU"/>
        </w:rPr>
      </w:pPr>
      <w:r w:rsidRPr="00DC7991">
        <w:rPr>
          <w:lang w:val="ru-RU"/>
        </w:rPr>
        <w:t>3.</w:t>
      </w:r>
      <w:r w:rsidRPr="0052708C">
        <w:t>  </w:t>
      </w:r>
      <w:r w:rsidRPr="000F10DB">
        <w:rPr>
          <w:i/>
          <w:lang w:val="uk-UA"/>
        </w:rPr>
        <w:t>Вирішує</w:t>
      </w:r>
      <w:r>
        <w:rPr>
          <w:i/>
          <w:lang w:val="uk-UA"/>
        </w:rPr>
        <w:t>,</w:t>
      </w:r>
      <w:r>
        <w:rPr>
          <w:lang w:val="uk-UA"/>
        </w:rPr>
        <w:t xml:space="preserve"> одноголосно, що не мало місця порушення пункту 1 статті 6 Конвенції у тому, що стосується непроведення усного розгляду справи</w:t>
      </w:r>
      <w:r w:rsidRPr="00DC7991">
        <w:rPr>
          <w:lang w:val="ru-RU"/>
        </w:rPr>
        <w:t>;</w:t>
      </w:r>
    </w:p>
    <w:p w:rsidRPr="00DC7991" w:rsidR="00D002A0">
      <w:pPr>
        <w:pStyle w:val="JuList"/>
        <w:rPr>
          <w:lang w:val="ru-RU"/>
        </w:rPr>
      </w:pPr>
    </w:p>
    <w:p w:rsidRPr="00DC7991" w:rsidR="00D002A0">
      <w:pPr>
        <w:pStyle w:val="JuList"/>
        <w:rPr>
          <w:lang w:val="ru-RU"/>
        </w:rPr>
      </w:pPr>
      <w:r w:rsidRPr="00DC7991">
        <w:rPr>
          <w:lang w:val="ru-RU"/>
        </w:rPr>
        <w:t>4.</w:t>
      </w:r>
      <w:r w:rsidRPr="0052708C">
        <w:t>  </w:t>
      </w:r>
      <w:r w:rsidRPr="00410CB3">
        <w:rPr>
          <w:i/>
          <w:lang w:val="uk-UA"/>
        </w:rPr>
        <w:t>Вирішує</w:t>
      </w:r>
      <w:r>
        <w:rPr>
          <w:i/>
          <w:lang w:val="uk-UA"/>
        </w:rPr>
        <w:t>,</w:t>
      </w:r>
      <w:r>
        <w:rPr>
          <w:lang w:val="uk-UA"/>
        </w:rPr>
        <w:t xml:space="preserve"> п’ятнадцятьма голосами проти двох, що мало місце порушення статті 13 Конвенції</w:t>
      </w:r>
      <w:r w:rsidRPr="00DC7991">
        <w:rPr>
          <w:lang w:val="ru-RU"/>
        </w:rPr>
        <w:t>;</w:t>
      </w:r>
    </w:p>
    <w:p w:rsidRPr="00DC7991" w:rsidR="00D002A0">
      <w:pPr>
        <w:pStyle w:val="JuList"/>
        <w:rPr>
          <w:lang w:val="ru-RU"/>
        </w:rPr>
      </w:pPr>
    </w:p>
    <w:p w:rsidRPr="00DC7991" w:rsidR="00D002A0">
      <w:pPr>
        <w:pStyle w:val="JuList"/>
        <w:rPr>
          <w:lang w:val="uk-UA"/>
        </w:rPr>
      </w:pPr>
      <w:r w:rsidRPr="00DC7991">
        <w:rPr>
          <w:lang w:val="ru-RU"/>
        </w:rPr>
        <w:t>5.</w:t>
      </w:r>
      <w:r w:rsidRPr="0052708C">
        <w:t>  </w:t>
      </w:r>
      <w:r w:rsidRPr="00410CB3">
        <w:rPr>
          <w:i/>
          <w:lang w:val="uk-UA"/>
        </w:rPr>
        <w:t>Вирішує</w:t>
      </w:r>
      <w:r>
        <w:rPr>
          <w:i/>
          <w:lang w:val="uk-UA"/>
        </w:rPr>
        <w:t>,</w:t>
      </w:r>
      <w:r>
        <w:rPr>
          <w:lang w:val="uk-UA"/>
        </w:rPr>
        <w:t xml:space="preserve"> одноголосно, що не мало місця порушення статті 1 Протоколу №1, взятої окремо або у поєднанні зі статтею 14 Конвенції</w:t>
      </w:r>
      <w:r w:rsidRPr="00DC7991">
        <w:rPr>
          <w:lang w:val="uk-UA"/>
        </w:rPr>
        <w:t>;</w:t>
      </w:r>
    </w:p>
    <w:p w:rsidRPr="00DC7991" w:rsidR="00D002A0">
      <w:pPr>
        <w:pStyle w:val="JuList"/>
        <w:rPr>
          <w:lang w:val="uk-UA"/>
        </w:rPr>
      </w:pPr>
    </w:p>
    <w:p w:rsidRPr="00DC7991" w:rsidR="00D002A0">
      <w:pPr>
        <w:pStyle w:val="JuList"/>
        <w:rPr>
          <w:lang w:val="uk-UA"/>
        </w:rPr>
      </w:pPr>
      <w:r w:rsidRPr="00DC7991">
        <w:rPr>
          <w:lang w:val="uk-UA"/>
        </w:rPr>
        <w:t>6.</w:t>
      </w:r>
      <w:r w:rsidRPr="0052708C">
        <w:t>  </w:t>
      </w:r>
      <w:r w:rsidRPr="00912E14">
        <w:rPr>
          <w:i/>
          <w:lang w:val="uk-UA"/>
        </w:rPr>
        <w:t>Вирішує</w:t>
      </w:r>
      <w:r>
        <w:rPr>
          <w:lang w:val="uk-UA"/>
        </w:rPr>
        <w:t>, тринадцятьма голосами проти чотирьох</w:t>
      </w:r>
      <w:r w:rsidRPr="00DC7991">
        <w:rPr>
          <w:lang w:val="uk-UA"/>
        </w:rPr>
        <w:t>:</w:t>
      </w:r>
    </w:p>
    <w:p w:rsidRPr="00DC7991" w:rsidR="00D002A0">
      <w:pPr>
        <w:pStyle w:val="JuLista"/>
        <w:rPr>
          <w:lang w:val="uk-UA"/>
        </w:rPr>
      </w:pPr>
      <w:r w:rsidRPr="00DC7991">
        <w:rPr>
          <w:lang w:val="uk-UA"/>
        </w:rPr>
        <w:t>(</w:t>
      </w:r>
      <w:r w:rsidRPr="0052708C">
        <w:t>a</w:t>
      </w:r>
      <w:r w:rsidRPr="00DC7991">
        <w:rPr>
          <w:lang w:val="uk-UA"/>
        </w:rPr>
        <w:t>)</w:t>
      </w:r>
      <w:r w:rsidRPr="0052708C">
        <w:t>  </w:t>
      </w:r>
      <w:r>
        <w:rPr>
          <w:lang w:val="uk-UA"/>
        </w:rPr>
        <w:t>що держава-відповідач має виплатити впродовж трьох місяців наступні суми</w:t>
      </w:r>
      <w:r w:rsidRPr="00DC7991">
        <w:rPr>
          <w:lang w:val="uk-UA"/>
        </w:rPr>
        <w:t>:</w:t>
      </w:r>
    </w:p>
    <w:p w:rsidRPr="00DC7991" w:rsidR="00D002A0">
      <w:pPr>
        <w:pStyle w:val="JuListi"/>
        <w:rPr>
          <w:lang w:val="ru-RU"/>
        </w:rPr>
      </w:pPr>
      <w:r w:rsidRPr="00DC7991">
        <w:rPr>
          <w:lang w:val="ru-RU"/>
        </w:rPr>
        <w:t>(</w:t>
      </w:r>
      <w:r w:rsidRPr="0052708C">
        <w:t>i</w:t>
      </w:r>
      <w:r w:rsidRPr="00DC7991">
        <w:rPr>
          <w:lang w:val="ru-RU"/>
        </w:rPr>
        <w:t>)</w:t>
      </w:r>
      <w:r w:rsidRPr="0052708C">
        <w:t>  </w:t>
      </w:r>
      <w:r w:rsidRPr="00DC7991">
        <w:rPr>
          <w:lang w:val="ru-RU"/>
        </w:rPr>
        <w:t xml:space="preserve">2500 </w:t>
      </w:r>
      <w:r>
        <w:rPr>
          <w:lang w:val="uk-UA"/>
        </w:rPr>
        <w:t xml:space="preserve">євро </w:t>
      </w:r>
      <w:r w:rsidRPr="00DC7991">
        <w:rPr>
          <w:lang w:val="ru-RU"/>
        </w:rPr>
        <w:t>(</w:t>
      </w:r>
      <w:r>
        <w:rPr>
          <w:lang w:val="uk-UA"/>
        </w:rPr>
        <w:t>дві тисячі п’ятсот євро</w:t>
      </w:r>
      <w:r w:rsidRPr="00DC7991">
        <w:rPr>
          <w:lang w:val="ru-RU"/>
        </w:rPr>
        <w:t xml:space="preserve">) </w:t>
      </w:r>
      <w:r>
        <w:rPr>
          <w:lang w:val="uk-UA"/>
        </w:rPr>
        <w:t>кожному заявнику у якості компенсації моральної шкоди</w:t>
      </w:r>
      <w:r w:rsidRPr="00DC7991">
        <w:rPr>
          <w:lang w:val="ru-RU"/>
        </w:rPr>
        <w:t>;</w:t>
      </w:r>
    </w:p>
    <w:p w:rsidRPr="00DC7991" w:rsidR="00D002A0">
      <w:pPr>
        <w:pStyle w:val="JuListi"/>
        <w:rPr>
          <w:lang w:val="ru-RU"/>
        </w:rPr>
      </w:pPr>
      <w:r w:rsidRPr="00DC7991">
        <w:rPr>
          <w:lang w:val="ru-RU"/>
        </w:rPr>
        <w:t>(</w:t>
      </w:r>
      <w:r w:rsidRPr="0052708C">
        <w:t>ii</w:t>
      </w:r>
      <w:r w:rsidRPr="00DC7991">
        <w:rPr>
          <w:lang w:val="ru-RU"/>
        </w:rPr>
        <w:t>)</w:t>
      </w:r>
      <w:r w:rsidRPr="0052708C">
        <w:t>  </w:t>
      </w:r>
      <w:r w:rsidRPr="00DC7991">
        <w:rPr>
          <w:lang w:val="ru-RU"/>
        </w:rPr>
        <w:t>9622</w:t>
      </w:r>
      <w:r>
        <w:rPr>
          <w:lang w:val="uk-UA"/>
        </w:rPr>
        <w:t xml:space="preserve"> євро</w:t>
      </w:r>
      <w:r w:rsidRPr="00DC7991">
        <w:rPr>
          <w:lang w:val="ru-RU"/>
        </w:rPr>
        <w:t>11</w:t>
      </w:r>
      <w:r>
        <w:rPr>
          <w:lang w:val="uk-UA"/>
        </w:rPr>
        <w:t xml:space="preserve"> центів</w:t>
      </w:r>
      <w:r w:rsidRPr="00DC7991">
        <w:rPr>
          <w:lang w:val="ru-RU"/>
        </w:rPr>
        <w:t xml:space="preserve"> (</w:t>
      </w:r>
      <w:r>
        <w:rPr>
          <w:lang w:val="uk-UA"/>
        </w:rPr>
        <w:t>дев’ять тисяч шістсот двадцять два євро та одинадцять центів</w:t>
      </w:r>
      <w:r w:rsidRPr="00DC7991">
        <w:rPr>
          <w:lang w:val="ru-RU"/>
        </w:rPr>
        <w:t xml:space="preserve">) </w:t>
      </w:r>
      <w:r>
        <w:rPr>
          <w:lang w:val="uk-UA"/>
        </w:rPr>
        <w:t>спільно всім заявникам у якості компенсації судових витрат</w:t>
      </w:r>
      <w:r w:rsidRPr="00DC7991">
        <w:rPr>
          <w:lang w:val="ru-RU"/>
        </w:rPr>
        <w:t>;</w:t>
      </w:r>
    </w:p>
    <w:p w:rsidRPr="00DC7991" w:rsidR="00D002A0">
      <w:pPr>
        <w:pStyle w:val="JuListi"/>
        <w:rPr>
          <w:lang w:val="ru-RU"/>
        </w:rPr>
      </w:pPr>
      <w:r w:rsidRPr="00DC7991">
        <w:rPr>
          <w:lang w:val="ru-RU"/>
        </w:rPr>
        <w:t>(</w:t>
      </w:r>
      <w:r w:rsidRPr="0052708C">
        <w:t>i</w:t>
      </w:r>
      <w:r>
        <w:t>ii</w:t>
      </w:r>
      <w:r w:rsidRPr="00DC7991">
        <w:rPr>
          <w:lang w:val="ru-RU"/>
        </w:rPr>
        <w:t>)</w:t>
      </w:r>
      <w:r w:rsidRPr="0052708C">
        <w:t>  </w:t>
      </w:r>
      <w:r>
        <w:rPr>
          <w:lang w:val="uk-UA"/>
        </w:rPr>
        <w:t>будь-який податок, який може бути стягнутий з вищевказаних сум</w:t>
      </w:r>
      <w:r w:rsidRPr="00DC7991">
        <w:rPr>
          <w:lang w:val="ru-RU"/>
        </w:rPr>
        <w:t>;</w:t>
      </w:r>
    </w:p>
    <w:p w:rsidRPr="00DC7991" w:rsidR="00D002A0">
      <w:pPr>
        <w:pStyle w:val="JuLista"/>
        <w:rPr>
          <w:lang w:val="ru-RU"/>
        </w:rPr>
      </w:pPr>
      <w:r w:rsidRPr="00DC7991">
        <w:rPr>
          <w:lang w:val="ru-RU"/>
        </w:rPr>
        <w:t>(</w:t>
      </w:r>
      <w:r w:rsidRPr="0052708C">
        <w:t>b</w:t>
      </w:r>
      <w:r w:rsidRPr="00DC7991">
        <w:rPr>
          <w:lang w:val="ru-RU"/>
        </w:rPr>
        <w:t>)</w:t>
      </w:r>
      <w:r w:rsidRPr="0052708C">
        <w:t>  </w:t>
      </w:r>
      <w:r>
        <w:rPr>
          <w:lang w:val="uk-UA"/>
        </w:rPr>
        <w:t>що зі спливом вищезазначених трьох місяців і до моменту виплати на ці суми має нараховуватися пеня, виходячи з розміру дійсної на цей період граничної позичкової ставки Європейського центрального банку, плюс три відсотки</w:t>
      </w:r>
      <w:r w:rsidRPr="00DC7991">
        <w:rPr>
          <w:lang w:val="ru-RU"/>
        </w:rPr>
        <w:t>;</w:t>
      </w:r>
    </w:p>
    <w:p w:rsidRPr="00DC7991" w:rsidR="00D002A0">
      <w:pPr>
        <w:pStyle w:val="JuList"/>
        <w:rPr>
          <w:lang w:val="ru-RU"/>
        </w:rPr>
      </w:pPr>
    </w:p>
    <w:p w:rsidRPr="00DC7991" w:rsidR="00D002A0">
      <w:pPr>
        <w:pStyle w:val="JuList"/>
        <w:rPr>
          <w:lang w:val="ru-RU"/>
        </w:rPr>
      </w:pPr>
      <w:r w:rsidRPr="00DC7991">
        <w:rPr>
          <w:lang w:val="ru-RU"/>
        </w:rPr>
        <w:t>7.</w:t>
      </w:r>
      <w:r w:rsidRPr="0052708C">
        <w:t>  </w:t>
      </w:r>
      <w:r w:rsidRPr="00410CB3">
        <w:rPr>
          <w:i/>
          <w:lang w:val="uk-UA"/>
        </w:rPr>
        <w:t>Відхиляє</w:t>
      </w:r>
      <w:r>
        <w:rPr>
          <w:lang w:val="uk-UA"/>
        </w:rPr>
        <w:t>, одноголосно, решту вимог заявників щодо справедливої сатисфакції</w:t>
      </w:r>
      <w:r w:rsidRPr="00DC7991">
        <w:rPr>
          <w:lang w:val="ru-RU"/>
        </w:rPr>
        <w:t>.</w:t>
      </w:r>
    </w:p>
    <w:p w:rsidRPr="00DC7991" w:rsidR="00D002A0" w:rsidP="000C5228">
      <w:pPr>
        <w:pStyle w:val="JuParaLast"/>
        <w:rPr>
          <w:lang w:val="ru-RU"/>
        </w:rPr>
      </w:pPr>
      <w:r>
        <w:rPr>
          <w:lang w:val="uk-UA"/>
        </w:rPr>
        <w:t xml:space="preserve">Учинено англійською і французькою мовами і проголошено публічно у Палаці прав людини в Страсбурзі </w:t>
      </w:r>
      <w:r w:rsidRPr="00DC7991">
        <w:rPr>
          <w:lang w:val="ru-RU"/>
        </w:rPr>
        <w:t xml:space="preserve">19 </w:t>
      </w:r>
      <w:r>
        <w:rPr>
          <w:lang w:val="uk-UA"/>
        </w:rPr>
        <w:t>квітня</w:t>
      </w:r>
      <w:r w:rsidRPr="00DC7991">
        <w:rPr>
          <w:lang w:val="ru-RU"/>
        </w:rPr>
        <w:t xml:space="preserve"> 2007</w:t>
      </w:r>
      <w:r>
        <w:rPr>
          <w:lang w:val="uk-UA"/>
        </w:rPr>
        <w:t xml:space="preserve"> року</w:t>
      </w:r>
      <w:r w:rsidRPr="00DC7991">
        <w:rPr>
          <w:lang w:val="ru-RU"/>
        </w:rPr>
        <w:t>.</w:t>
      </w:r>
    </w:p>
    <w:p w:rsidR="00D002A0" w:rsidP="00D05361">
      <w:pPr>
        <w:pStyle w:val="JuSigned"/>
        <w:keepNext/>
        <w:keepLines/>
        <w:rPr>
          <w:lang w:val="sv-FI"/>
        </w:rPr>
      </w:pPr>
      <w:r w:rsidRPr="00DC7991">
        <w:rPr>
          <w:lang w:val="ru-RU"/>
        </w:rPr>
        <w:tab/>
      </w:r>
      <w:r>
        <w:rPr>
          <w:lang w:val="uk-UA"/>
        </w:rPr>
        <w:t>Ерік</w:t>
      </w:r>
      <w:r w:rsidRPr="00D05361">
        <w:rPr>
          <w:lang w:val="sv-FI"/>
        </w:rPr>
        <w:t xml:space="preserve"> </w:t>
      </w:r>
      <w:r>
        <w:rPr>
          <w:lang w:val="uk-UA"/>
        </w:rPr>
        <w:t>Фріберг</w:t>
      </w:r>
      <w:r>
        <w:rPr>
          <w:rStyle w:val="JuNames"/>
          <w:lang w:val="sv-FI"/>
        </w:rPr>
        <w:tab/>
      </w:r>
      <w:r>
        <w:rPr>
          <w:rStyle w:val="JuNames"/>
          <w:lang w:val="uk-UA"/>
        </w:rPr>
        <w:t>Ж</w:t>
      </w:r>
      <w:r>
        <w:rPr>
          <w:lang w:val="uk-UA"/>
        </w:rPr>
        <w:t>ан-Поль</w:t>
      </w:r>
      <w:r w:rsidRPr="006857F8">
        <w:rPr>
          <w:lang w:val="sv-FI"/>
        </w:rPr>
        <w:t xml:space="preserve"> </w:t>
      </w:r>
      <w:r>
        <w:rPr>
          <w:lang w:val="uk-UA"/>
        </w:rPr>
        <w:t>Коста</w:t>
      </w:r>
      <w:r>
        <w:rPr>
          <w:lang w:val="sv-FI"/>
        </w:rPr>
        <w:br/>
      </w:r>
      <w:r>
        <w:rPr>
          <w:lang w:val="sv-FI"/>
        </w:rPr>
        <w:tab/>
      </w:r>
      <w:r>
        <w:rPr>
          <w:lang w:val="uk-UA"/>
        </w:rPr>
        <w:t>Секретар</w:t>
      </w:r>
      <w:r>
        <w:rPr>
          <w:lang w:val="sv-FI"/>
        </w:rPr>
        <w:tab/>
      </w:r>
      <w:r>
        <w:rPr>
          <w:lang w:val="uk-UA"/>
        </w:rPr>
        <w:t>Голова</w:t>
      </w:r>
    </w:p>
    <w:p w:rsidRPr="00DC7991" w:rsidR="00D002A0">
      <w:pPr>
        <w:pStyle w:val="JuParaLast"/>
        <w:rPr>
          <w:lang w:val="ru-RU"/>
        </w:rPr>
      </w:pPr>
      <w:r>
        <w:rPr>
          <w:lang w:val="uk-UA"/>
        </w:rPr>
        <w:t>Відповідно до пункту 2 статті 45 Конвенції та до пункту 2 правила 74 Регламенту Суду, до цього рішення додаються наступні окремі думки</w:t>
      </w:r>
      <w:r w:rsidRPr="00DC7991">
        <w:rPr>
          <w:lang w:val="ru-RU"/>
        </w:rPr>
        <w:t>:</w:t>
      </w:r>
    </w:p>
    <w:p w:rsidRPr="00DC7991" w:rsidR="00D002A0" w:rsidP="00B55368">
      <w:pPr>
        <w:pStyle w:val="JuPara"/>
        <w:ind w:left="284" w:firstLine="0"/>
        <w:rPr>
          <w:lang w:val="ru-RU"/>
        </w:rPr>
      </w:pPr>
      <w:r w:rsidRPr="00DC7991">
        <w:rPr>
          <w:lang w:val="ru-RU"/>
        </w:rPr>
        <w:t>(</w:t>
      </w:r>
      <w:r w:rsidRPr="0052708C">
        <w:t>a</w:t>
      </w:r>
      <w:r w:rsidRPr="00DC7991">
        <w:rPr>
          <w:lang w:val="ru-RU"/>
        </w:rPr>
        <w:t>)</w:t>
      </w:r>
      <w:r w:rsidRPr="0052708C">
        <w:t>  </w:t>
      </w:r>
      <w:r>
        <w:rPr>
          <w:lang w:val="uk-UA"/>
        </w:rPr>
        <w:t xml:space="preserve"> окрема думка (яка частково не збігається з позицією більшості) судді</w:t>
      </w:r>
      <w:r w:rsidRPr="00DC7991">
        <w:rPr>
          <w:lang w:val="ru-RU"/>
        </w:rPr>
        <w:t xml:space="preserve"> </w:t>
      </w:r>
      <w:r>
        <w:rPr>
          <w:lang w:val="uk-UA" w:eastAsia="en-GB"/>
        </w:rPr>
        <w:t>Йочіене</w:t>
      </w:r>
      <w:r w:rsidRPr="00DC7991">
        <w:rPr>
          <w:lang w:val="ru-RU"/>
        </w:rPr>
        <w:t>;</w:t>
      </w:r>
    </w:p>
    <w:p w:rsidRPr="00DC7991" w:rsidR="00D002A0" w:rsidP="00320B66">
      <w:pPr>
        <w:pStyle w:val="JuPara"/>
        <w:ind w:left="285" w:hanging="1"/>
        <w:rPr>
          <w:lang w:val="ru-RU"/>
        </w:rPr>
      </w:pPr>
      <w:r w:rsidRPr="00DC7991">
        <w:rPr>
          <w:lang w:val="ru-RU"/>
        </w:rPr>
        <w:t>(</w:t>
      </w:r>
      <w:r>
        <w:t>b</w:t>
      </w:r>
      <w:r w:rsidRPr="00DC7991">
        <w:rPr>
          <w:lang w:val="ru-RU"/>
        </w:rPr>
        <w:t>)</w:t>
      </w:r>
      <w:r w:rsidRPr="0052708C">
        <w:t>  </w:t>
      </w:r>
      <w:r>
        <w:rPr>
          <w:lang w:val="uk-UA"/>
        </w:rPr>
        <w:t>спільна окрема думка суддів Коста, Вільдхабер,</w:t>
      </w:r>
      <w:r w:rsidRPr="00DC7991">
        <w:rPr>
          <w:lang w:val="ru-RU"/>
        </w:rPr>
        <w:t xml:space="preserve"> </w:t>
      </w:r>
      <w:r>
        <w:rPr>
          <w:lang w:val="uk-UA" w:eastAsia="en-GB"/>
        </w:rPr>
        <w:t>Тюрмен</w:t>
      </w:r>
      <w:r w:rsidRPr="00DC7991">
        <w:rPr>
          <w:lang w:val="ru-RU"/>
        </w:rPr>
        <w:t xml:space="preserve">, </w:t>
      </w:r>
      <w:r>
        <w:rPr>
          <w:lang w:val="uk-UA" w:eastAsia="en-GB"/>
        </w:rPr>
        <w:t>Боррего Боррего та</w:t>
      </w:r>
      <w:r w:rsidRPr="00DC7991">
        <w:rPr>
          <w:lang w:val="ru-RU"/>
        </w:rPr>
        <w:t xml:space="preserve"> </w:t>
      </w:r>
      <w:r>
        <w:rPr>
          <w:lang w:val="uk-UA" w:eastAsia="en-GB"/>
        </w:rPr>
        <w:t>Йочіене</w:t>
      </w:r>
      <w:r w:rsidRPr="00DC7991">
        <w:rPr>
          <w:lang w:val="ru-RU"/>
        </w:rPr>
        <w:t>.</w:t>
      </w:r>
    </w:p>
    <w:p w:rsidRPr="00DC7991" w:rsidR="00D002A0" w:rsidP="00991B15">
      <w:pPr>
        <w:pStyle w:val="JuInitialled"/>
        <w:outlineLvl w:val="0"/>
        <w:rPr>
          <w:lang w:val="ru-RU"/>
        </w:rPr>
      </w:pPr>
      <w:r>
        <w:t>J</w:t>
      </w:r>
      <w:r w:rsidRPr="00DC7991">
        <w:rPr>
          <w:lang w:val="ru-RU"/>
        </w:rPr>
        <w:t>.-</w:t>
      </w:r>
      <w:r>
        <w:t>P</w:t>
      </w:r>
      <w:r w:rsidRPr="00DC7991">
        <w:rPr>
          <w:lang w:val="ru-RU"/>
        </w:rPr>
        <w:t>.</w:t>
      </w:r>
      <w:r>
        <w:t>C</w:t>
      </w:r>
      <w:r w:rsidRPr="00DC7991">
        <w:rPr>
          <w:lang w:val="ru-RU"/>
        </w:rPr>
        <w:t>.</w:t>
      </w:r>
    </w:p>
    <w:p w:rsidR="00D002A0" w:rsidP="00991B15">
      <w:pPr>
        <w:pStyle w:val="JuPara"/>
        <w:jc w:val="right"/>
        <w:outlineLvl w:val="0"/>
        <w:rPr>
          <w:lang w:val="uk-UA"/>
        </w:rPr>
      </w:pPr>
      <w:r>
        <w:t>E</w:t>
      </w:r>
      <w:r w:rsidRPr="00DC7991">
        <w:rPr>
          <w:lang w:val="ru-RU"/>
        </w:rPr>
        <w:t>.</w:t>
      </w:r>
      <w:r>
        <w:t>F</w:t>
      </w:r>
      <w:r w:rsidRPr="00DC7991">
        <w:rPr>
          <w:lang w:val="ru-RU"/>
        </w:rPr>
        <w:t>.</w:t>
      </w:r>
    </w:p>
    <w:p w:rsidRPr="009C360C" w:rsidR="00D002A0" w:rsidP="00991B15">
      <w:pPr>
        <w:pStyle w:val="JuPara"/>
        <w:jc w:val="right"/>
        <w:outlineLvl w:val="0"/>
        <w:rPr>
          <w:lang w:val="uk-UA"/>
        </w:rPr>
      </w:pPr>
    </w:p>
    <w:p w:rsidR="00D002A0" w:rsidP="009C360C">
      <w:pPr>
        <w:pStyle w:val="JuPara"/>
        <w:outlineLvl w:val="0"/>
        <w:rPr>
          <w:i/>
          <w:sz w:val="22"/>
          <w:szCs w:val="22"/>
          <w:lang w:val="fr-FR"/>
        </w:rPr>
      </w:pPr>
      <w:r w:rsidRPr="004C4821">
        <w:rPr>
          <w:i/>
          <w:sz w:val="22"/>
          <w:szCs w:val="22"/>
          <w:lang w:val="uk-UA"/>
        </w:rPr>
        <w:t xml:space="preserve">Окремі думки не були перекладені, але вони наведені англійською і французькою мовами у відповідних офіційних версіях цього документа, з якими можна ознайомитися на сайті бази даних прецедентної практики Європейського суду </w:t>
      </w:r>
      <w:r w:rsidRPr="004C4821">
        <w:rPr>
          <w:i/>
          <w:sz w:val="22"/>
          <w:szCs w:val="22"/>
          <w:lang w:val="ru-RU"/>
        </w:rPr>
        <w:t>(</w:t>
      </w:r>
      <w:r w:rsidRPr="004C4821">
        <w:rPr>
          <w:i/>
          <w:sz w:val="22"/>
          <w:szCs w:val="22"/>
        </w:rPr>
        <w:t>HUDOC</w:t>
      </w:r>
      <w:r w:rsidRPr="004C4821">
        <w:rPr>
          <w:i/>
          <w:sz w:val="22"/>
          <w:szCs w:val="22"/>
          <w:lang w:val="ru-RU"/>
        </w:rPr>
        <w:t>).</w:t>
      </w:r>
    </w:p>
    <w:p w:rsidR="00D002A0" w:rsidP="009C360C">
      <w:pPr>
        <w:pStyle w:val="JuPara"/>
        <w:outlineLvl w:val="0"/>
        <w:rPr>
          <w:i/>
          <w:sz w:val="22"/>
          <w:szCs w:val="22"/>
          <w:lang w:val="fr-FR"/>
        </w:rPr>
      </w:pPr>
    </w:p>
    <w:p w:rsidR="00D002A0" w:rsidP="009C360C">
      <w:pPr>
        <w:pStyle w:val="JuPara"/>
        <w:outlineLvl w:val="0"/>
        <w:rPr>
          <w:i/>
          <w:sz w:val="22"/>
          <w:szCs w:val="22"/>
          <w:lang w:val="fr-FR"/>
        </w:rPr>
      </w:pPr>
    </w:p>
    <w:p w:rsidRPr="004C4821" w:rsidR="00D002A0" w:rsidP="004C4821">
      <w:pPr>
        <w:tabs>
          <w:tab w:val="left" w:pos="426"/>
        </w:tabs>
        <w:ind w:left="425" w:hanging="425"/>
        <w:jc w:val="both"/>
        <w:rPr>
          <w:rFonts w:ascii="TimesNewRomanPSMT" w:hAnsi="TimesNewRomanPSMT" w:cs="TimesNewRomanPSMT"/>
          <w:b/>
          <w:sz w:val="20"/>
          <w:lang w:val="ru-RU"/>
        </w:rPr>
      </w:pPr>
      <w:r w:rsidRPr="004C4821">
        <w:rPr>
          <w:rFonts w:ascii="TimesNewRomanPSMT" w:hAnsi="TimesNewRomanPSMT" w:cs="TimesNewRomanPSMT"/>
          <w:b/>
          <w:sz w:val="20"/>
          <w:lang w:val="ru-RU"/>
        </w:rPr>
        <w:t>© Рада Європи/Європейський суд з прав людини, 2012 р.</w:t>
      </w:r>
    </w:p>
    <w:p w:rsidRPr="00DC7991" w:rsidR="00D002A0" w:rsidP="004C4821">
      <w:pPr>
        <w:tabs>
          <w:tab w:val="left" w:pos="426"/>
        </w:tabs>
        <w:jc w:val="both"/>
        <w:rPr>
          <w:rFonts w:ascii="Calibri" w:hAnsi="Calibri"/>
          <w:lang w:val="ru-RU"/>
        </w:rPr>
      </w:pPr>
      <w:r>
        <w:rPr>
          <w:rFonts w:ascii="Calibri" w:hAnsi="Calibri" w:cs="TimesNewRomanPSMT"/>
          <w:sz w:val="20"/>
          <w:lang w:val="uk-UA"/>
        </w:rPr>
        <w:t>Офіційними мовами</w:t>
      </w:r>
      <w:r w:rsidRPr="00DC7991">
        <w:rPr>
          <w:rFonts w:ascii="Calibri" w:hAnsi="Calibri" w:cs="TimesNewRomanPSMT"/>
          <w:sz w:val="20"/>
          <w:lang w:val="ru-RU"/>
        </w:rPr>
        <w:t xml:space="preserve"> Європейського суду з прав людини є англійська і французька. Цей пер</w:t>
      </w:r>
      <w:r>
        <w:rPr>
          <w:rFonts w:ascii="Calibri" w:hAnsi="Calibri" w:cs="TimesNewRomanPSMT"/>
          <w:sz w:val="20"/>
          <w:lang w:val="uk-UA"/>
        </w:rPr>
        <w:t>е</w:t>
      </w:r>
      <w:r w:rsidRPr="00DC7991">
        <w:rPr>
          <w:rFonts w:ascii="Calibri" w:hAnsi="Calibri" w:cs="TimesNewRomanPSMT"/>
          <w:sz w:val="20"/>
          <w:lang w:val="ru-RU"/>
        </w:rPr>
        <w:t>клад було здійснено за підтримки Цільового фонду Ради Європи з прав людини</w:t>
      </w:r>
      <w:r>
        <w:rPr>
          <w:rFonts w:ascii="Calibri" w:hAnsi="Calibri" w:cs="TimesNewRomanPSMT"/>
          <w:sz w:val="20"/>
          <w:lang w:val="uk-UA"/>
        </w:rPr>
        <w:t xml:space="preserve"> (</w:t>
      </w:r>
      <w:hyperlink w:history="1" r:id="rId9">
        <w:r w:rsidRPr="004915E1">
          <w:rPr>
            <w:rStyle w:val="Hyperlink"/>
            <w:rFonts w:ascii="Calibri" w:hAnsi="Calibri" w:cs="TimesNewRomanPSMT"/>
            <w:sz w:val="20"/>
            <w:lang w:val="uk-UA"/>
          </w:rPr>
          <w:t>www.coe.int/humanrightstrustfund</w:t>
        </w:r>
      </w:hyperlink>
      <w:r>
        <w:rPr>
          <w:rFonts w:ascii="Calibri" w:hAnsi="Calibri" w:cs="TimesNewRomanPSMT"/>
          <w:sz w:val="20"/>
          <w:lang w:val="uk-UA"/>
        </w:rPr>
        <w:t xml:space="preserve">). Суд не несе відповідальності ні за переклад, ні за його якість. Текст можна завантажити з бази даних прецедентної практики Європейського суду з прав людини (HUDOC) (http//hudoc.echr.coe.int) або з будь-якої іншої бази даних, до якої цей документ був переданий Судом. Він може бути відтворений у некомерційних цілях за умови наведення повної назви справи, вищевикладених авторських прав та з посиланням на Цільовий фонд з прав людини. Для використання будь-якої частини перекладу цього документа в комерційних цілях, прохання звертатися за наступною адресою : </w:t>
      </w:r>
      <w:r>
        <w:rPr>
          <w:rFonts w:ascii="Calibri" w:hAnsi="Calibri" w:cs="TimesNewRomanPSMT"/>
          <w:sz w:val="20"/>
        </w:rPr>
        <w:t>publishing</w:t>
      </w:r>
      <w:r w:rsidRPr="00DC7991">
        <w:rPr>
          <w:rFonts w:ascii="Calibri" w:hAnsi="Calibri" w:cs="TimesNewRomanPSMT"/>
          <w:sz w:val="20"/>
          <w:lang w:val="ru-RU"/>
        </w:rPr>
        <w:t>@</w:t>
      </w:r>
      <w:r>
        <w:rPr>
          <w:rFonts w:ascii="Calibri" w:hAnsi="Calibri" w:cs="TimesNewRomanPSMT"/>
          <w:sz w:val="20"/>
        </w:rPr>
        <w:t>echr</w:t>
      </w:r>
      <w:r w:rsidRPr="00DC7991">
        <w:rPr>
          <w:rFonts w:ascii="Calibri" w:hAnsi="Calibri" w:cs="TimesNewRomanPSMT"/>
          <w:sz w:val="20"/>
          <w:lang w:val="ru-RU"/>
        </w:rPr>
        <w:t>.</w:t>
      </w:r>
      <w:r>
        <w:rPr>
          <w:rFonts w:ascii="Calibri" w:hAnsi="Calibri" w:cs="TimesNewRomanPSMT"/>
          <w:sz w:val="20"/>
        </w:rPr>
        <w:t>coe</w:t>
      </w:r>
      <w:r w:rsidRPr="00DC7991">
        <w:rPr>
          <w:rFonts w:ascii="Calibri" w:hAnsi="Calibri" w:cs="TimesNewRomanPSMT"/>
          <w:sz w:val="20"/>
          <w:lang w:val="ru-RU"/>
        </w:rPr>
        <w:t>.</w:t>
      </w:r>
      <w:r>
        <w:rPr>
          <w:rFonts w:ascii="Calibri" w:hAnsi="Calibri" w:cs="TimesNewRomanPSMT"/>
          <w:sz w:val="20"/>
        </w:rPr>
        <w:t>int</w:t>
      </w:r>
    </w:p>
    <w:p w:rsidRPr="004C4821" w:rsidR="00D002A0" w:rsidP="004C4821">
      <w:pPr>
        <w:tabs>
          <w:tab w:val="left" w:pos="426"/>
        </w:tabs>
        <w:jc w:val="both"/>
        <w:rPr>
          <w:b/>
          <w:lang w:val="uk-UA"/>
        </w:rPr>
      </w:pPr>
    </w:p>
    <w:p w:rsidRPr="004C4821" w:rsidR="00D002A0" w:rsidP="004C4821">
      <w:pPr>
        <w:tabs>
          <w:tab w:val="left" w:pos="426"/>
        </w:tabs>
        <w:ind w:left="425" w:hanging="425"/>
        <w:jc w:val="both"/>
        <w:rPr>
          <w:rFonts w:ascii="Calibri" w:hAnsi="Calibri" w:cs="TimesNewRomanPSMT"/>
          <w:b/>
          <w:sz w:val="20"/>
          <w:lang w:val="uk-UA"/>
        </w:rPr>
      </w:pPr>
      <w:r w:rsidRPr="004C4821">
        <w:rPr>
          <w:rFonts w:ascii="TimesNewRomanPSMT" w:hAnsi="TimesNewRomanPSMT" w:cs="TimesNewRomanPSMT"/>
          <w:b/>
          <w:sz w:val="20"/>
        </w:rPr>
        <w:t>© Council of Europe/European Court of Human Rights, 2012</w:t>
      </w:r>
      <w:r w:rsidRPr="004C4821">
        <w:rPr>
          <w:rFonts w:ascii="Calibri" w:hAnsi="Calibri" w:cs="TimesNewRomanPSMT"/>
          <w:b/>
          <w:sz w:val="20"/>
          <w:lang w:val="uk-UA"/>
        </w:rPr>
        <w:t>.</w:t>
      </w:r>
    </w:p>
    <w:p w:rsidRPr="000D2A0F" w:rsidR="00D002A0" w:rsidP="004C4821">
      <w:pPr>
        <w:tabs>
          <w:tab w:val="left" w:pos="426"/>
        </w:tabs>
        <w:jc w:val="both"/>
        <w:rPr>
          <w:rFonts w:ascii="Calibri" w:hAnsi="Calibri" w:cs="TimesNewRomanPSMT"/>
          <w:sz w:val="20"/>
          <w:lang w:val="en-US"/>
        </w:rPr>
      </w:pPr>
      <w:r>
        <w:rPr>
          <w:rFonts w:ascii="Calibri" w:hAnsi="Calibri" w:cs="TimesNewRomanPSMT"/>
          <w:sz w:val="20"/>
          <w:lang w:val="en-US"/>
        </w:rPr>
        <w:t xml:space="preserve">The official languages of the European Court of Human Rights are English and French. This translation was commissioned with the support of the Human Rights Trust fund of the Council of Europe </w:t>
      </w:r>
      <w:r>
        <w:rPr>
          <w:rFonts w:ascii="Calibri" w:hAnsi="Calibri" w:cs="TimesNewRomanPSMT"/>
          <w:sz w:val="20"/>
          <w:lang w:val="uk-UA"/>
        </w:rPr>
        <w:t>(</w:t>
      </w:r>
      <w:hyperlink w:history="1" r:id="rId10">
        <w:r w:rsidRPr="004915E1">
          <w:rPr>
            <w:rStyle w:val="Hyperlink"/>
            <w:rFonts w:ascii="Calibri" w:hAnsi="Calibri" w:cs="TimesNewRomanPSMT"/>
            <w:sz w:val="20"/>
            <w:lang w:val="uk-UA"/>
          </w:rPr>
          <w:t>www.coe.int/humanrightstrustfund</w:t>
        </w:r>
      </w:hyperlink>
      <w:r>
        <w:rPr>
          <w:rFonts w:ascii="Calibri" w:hAnsi="Calibri" w:cs="TimesNewRomanPSMT"/>
          <w:sz w:val="20"/>
          <w:lang w:val="uk-UA"/>
        </w:rPr>
        <w:t>)</w:t>
      </w:r>
      <w:r>
        <w:rPr>
          <w:rFonts w:ascii="Calibri" w:hAnsi="Calibri" w:cs="TimesNewRomanPSMT"/>
          <w:sz w:val="20"/>
          <w:lang w:val="en-US"/>
        </w:rPr>
        <w:t xml:space="preserve">. It does not bind the Court, nor does the Court take any responsibility for the quality thereof. It may be downloaded from the HUDOC case-law database of the European Court of Human Rights </w:t>
      </w:r>
      <w:r>
        <w:rPr>
          <w:rFonts w:ascii="Calibri" w:hAnsi="Calibri" w:cs="TimesNewRomanPSMT"/>
          <w:sz w:val="20"/>
          <w:lang w:val="uk-UA"/>
        </w:rPr>
        <w:t>(http//hudoc.echr.coe.int</w:t>
      </w:r>
      <w:r>
        <w:rPr>
          <w:rFonts w:ascii="Calibri" w:hAnsi="Calibri" w:cs="TimesNewRomanPSMT"/>
          <w:sz w:val="20"/>
        </w:rPr>
        <w:t xml:space="preserve">) or from any other database </w:t>
      </w:r>
      <w:r>
        <w:rPr>
          <w:rFonts w:ascii="Calibri" w:hAnsi="Calibri" w:cs="TimesNewRomanPSMT"/>
          <w:sz w:val="20"/>
          <w:lang w:val="en-US"/>
        </w:rPr>
        <w:t xml:space="preserve">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r>
        <w:rPr>
          <w:rFonts w:ascii="Calibri" w:hAnsi="Calibri" w:cs="TimesNewRomanPSMT"/>
          <w:sz w:val="20"/>
        </w:rPr>
        <w:t>publishing@echr.coe.int</w:t>
      </w:r>
    </w:p>
    <w:p w:rsidR="00D002A0" w:rsidP="004C4821">
      <w:pPr>
        <w:tabs>
          <w:tab w:val="left" w:pos="426"/>
        </w:tabs>
        <w:ind w:left="425" w:hanging="425"/>
        <w:jc w:val="both"/>
        <w:rPr>
          <w:lang w:val="uk-UA"/>
        </w:rPr>
      </w:pPr>
    </w:p>
    <w:p w:rsidRPr="004C4821" w:rsidR="00D002A0" w:rsidP="004C4821">
      <w:pPr>
        <w:tabs>
          <w:tab w:val="left" w:pos="426"/>
        </w:tabs>
        <w:ind w:left="425" w:hanging="425"/>
        <w:jc w:val="both"/>
        <w:rPr>
          <w:rFonts w:ascii="Calibri" w:hAnsi="Calibri" w:cs="TimesNewRomanPSMT"/>
          <w:b/>
          <w:sz w:val="20"/>
          <w:lang w:val="uk-UA"/>
        </w:rPr>
      </w:pPr>
      <w:r w:rsidRPr="004C4821">
        <w:rPr>
          <w:rFonts w:ascii="TimesNewRomanPSMT" w:hAnsi="TimesNewRomanPSMT" w:cs="TimesNewRomanPSMT"/>
          <w:b/>
          <w:sz w:val="20"/>
          <w:lang w:val="fr-FR"/>
        </w:rPr>
        <w:t>© Conseil de l</w:t>
      </w:r>
      <w:r>
        <w:rPr>
          <w:rFonts w:ascii="TimesNewRomanPSMT" w:hAnsi="TimesNewRomanPSMT" w:cs="TimesNewRomanPSMT"/>
          <w:b/>
          <w:sz w:val="20"/>
          <w:lang w:val="fr-FR"/>
        </w:rPr>
        <w:t>’</w:t>
      </w:r>
      <w:r w:rsidRPr="004C4821">
        <w:rPr>
          <w:rFonts w:ascii="TimesNewRomanPSMT" w:hAnsi="TimesNewRomanPSMT" w:cs="TimesNewRomanPSMT"/>
          <w:b/>
          <w:sz w:val="20"/>
          <w:lang w:val="fr-FR"/>
        </w:rPr>
        <w:t>Europe/Cour Européenne des droits de l</w:t>
      </w:r>
      <w:r>
        <w:rPr>
          <w:rFonts w:ascii="TimesNewRomanPSMT" w:hAnsi="TimesNewRomanPSMT" w:cs="TimesNewRomanPSMT"/>
          <w:b/>
          <w:sz w:val="20"/>
          <w:lang w:val="fr-FR"/>
        </w:rPr>
        <w:t>’</w:t>
      </w:r>
      <w:r w:rsidRPr="004C4821">
        <w:rPr>
          <w:rFonts w:ascii="TimesNewRomanPSMT" w:hAnsi="TimesNewRomanPSMT" w:cs="TimesNewRomanPSMT"/>
          <w:b/>
          <w:sz w:val="20"/>
          <w:lang w:val="fr-FR"/>
        </w:rPr>
        <w:t>homme, 2012</w:t>
      </w:r>
      <w:r w:rsidRPr="004C4821">
        <w:rPr>
          <w:rFonts w:ascii="Calibri" w:hAnsi="Calibri" w:cs="TimesNewRomanPSMT"/>
          <w:b/>
          <w:sz w:val="20"/>
          <w:lang w:val="uk-UA"/>
        </w:rPr>
        <w:t>.</w:t>
      </w:r>
    </w:p>
    <w:p w:rsidRPr="00DC7991" w:rsidR="00D002A0" w:rsidP="004C4821">
      <w:pPr>
        <w:tabs>
          <w:tab w:val="left" w:pos="426"/>
        </w:tabs>
        <w:jc w:val="both"/>
        <w:rPr>
          <w:lang w:val="fr-FR"/>
        </w:rPr>
      </w:pPr>
      <w:r w:rsidRPr="004C4821">
        <w:rPr>
          <w:rFonts w:ascii="Calibri" w:hAnsi="Calibri" w:cs="TimesNewRomanPSMT"/>
          <w:sz w:val="20"/>
          <w:lang w:val="fr-FR"/>
        </w:rPr>
        <w:t>Les langues officielles de la Cour européenne des droits de l</w:t>
      </w:r>
      <w:r>
        <w:rPr>
          <w:rFonts w:ascii="Calibri" w:hAnsi="Calibri" w:cs="TimesNewRomanPSMT"/>
          <w:sz w:val="20"/>
          <w:lang w:val="fr-FR"/>
        </w:rPr>
        <w:t>’</w:t>
      </w:r>
      <w:r w:rsidRPr="004C4821">
        <w:rPr>
          <w:rFonts w:ascii="Calibri" w:hAnsi="Calibri" w:cs="TimesNewRomanPSMT"/>
          <w:sz w:val="20"/>
          <w:lang w:val="fr-FR"/>
        </w:rPr>
        <w:t>homme sont le français et l</w:t>
      </w:r>
      <w:r>
        <w:rPr>
          <w:rFonts w:ascii="Calibri" w:hAnsi="Calibri" w:cs="TimesNewRomanPSMT"/>
          <w:sz w:val="20"/>
          <w:lang w:val="fr-FR"/>
        </w:rPr>
        <w:t>’</w:t>
      </w:r>
      <w:r w:rsidRPr="004C4821">
        <w:rPr>
          <w:rFonts w:ascii="Calibri" w:hAnsi="Calibri" w:cs="TimesNewRomanPSMT"/>
          <w:sz w:val="20"/>
          <w:lang w:val="fr-FR"/>
        </w:rPr>
        <w:t>anglais. La présente traduction a été effectuée avec le soutien du Fonds fiduciaire pour les droits de l</w:t>
      </w:r>
      <w:r>
        <w:rPr>
          <w:rFonts w:ascii="Calibri" w:hAnsi="Calibri" w:cs="TimesNewRomanPSMT"/>
          <w:sz w:val="20"/>
          <w:lang w:val="fr-FR"/>
        </w:rPr>
        <w:t>’</w:t>
      </w:r>
      <w:r w:rsidRPr="004C4821">
        <w:rPr>
          <w:rFonts w:ascii="Calibri" w:hAnsi="Calibri" w:cs="TimesNewRomanPSMT"/>
          <w:sz w:val="20"/>
          <w:lang w:val="fr-FR"/>
        </w:rPr>
        <w:t>homme du Conseil de l</w:t>
      </w:r>
      <w:r>
        <w:rPr>
          <w:rFonts w:ascii="Calibri" w:hAnsi="Calibri" w:cs="TimesNewRomanPSMT"/>
          <w:sz w:val="20"/>
          <w:lang w:val="fr-FR"/>
        </w:rPr>
        <w:t>’</w:t>
      </w:r>
      <w:r w:rsidRPr="004C4821">
        <w:rPr>
          <w:rFonts w:ascii="Calibri" w:hAnsi="Calibri" w:cs="TimesNewRomanPSMT"/>
          <w:sz w:val="20"/>
          <w:lang w:val="fr-FR"/>
        </w:rPr>
        <w:t>Europe</w:t>
      </w:r>
      <w:r w:rsidRPr="00DC7991">
        <w:rPr>
          <w:rFonts w:ascii="TimesNewRomanPSMT" w:hAnsi="TimesNewRomanPSMT" w:cs="TimesNewRomanPSMT"/>
          <w:sz w:val="20"/>
          <w:lang w:val="fr-FR"/>
        </w:rPr>
        <w:t xml:space="preserve"> </w:t>
      </w:r>
      <w:r>
        <w:rPr>
          <w:rFonts w:ascii="Calibri" w:hAnsi="Calibri" w:cs="TimesNewRomanPSMT"/>
          <w:sz w:val="20"/>
          <w:lang w:val="uk-UA"/>
        </w:rPr>
        <w:t>(</w:t>
      </w:r>
      <w:hyperlink w:history="1" r:id="rId11">
        <w:r w:rsidRPr="004915E1">
          <w:rPr>
            <w:rStyle w:val="Hyperlink"/>
            <w:rFonts w:ascii="Calibri" w:hAnsi="Calibri" w:cs="TimesNewRomanPSMT"/>
            <w:sz w:val="20"/>
            <w:lang w:val="uk-UA"/>
          </w:rPr>
          <w:t>www.coe.int/humanrightstrustfund</w:t>
        </w:r>
      </w:hyperlink>
      <w:r>
        <w:rPr>
          <w:rFonts w:ascii="Calibri" w:hAnsi="Calibri" w:cs="TimesNewRomanPSMT"/>
          <w:sz w:val="20"/>
          <w:lang w:val="uk-UA"/>
        </w:rPr>
        <w:t>)</w:t>
      </w:r>
      <w:r w:rsidRPr="00DC7991">
        <w:rPr>
          <w:rFonts w:ascii="Calibri" w:hAnsi="Calibri" w:cs="TimesNewRomanPSMT"/>
          <w:sz w:val="20"/>
          <w:lang w:val="fr-FR"/>
        </w:rPr>
        <w:t>. Elle ne lie pas la Cour, et celle-ci decline toute la responsabilité quant à sa qualité. Elle peut être téléchargée à partir de HUDOC. La base de jurisprudence de la Cour européenne des droits de l</w:t>
      </w:r>
      <w:r>
        <w:rPr>
          <w:rFonts w:ascii="Calibri" w:hAnsi="Calibri" w:cs="TimesNewRomanPSMT"/>
          <w:sz w:val="20"/>
          <w:lang w:val="fr-FR"/>
        </w:rPr>
        <w:t>’</w:t>
      </w:r>
      <w:r w:rsidRPr="00DC7991">
        <w:rPr>
          <w:rFonts w:ascii="Calibri" w:hAnsi="Calibri" w:cs="TimesNewRomanPSMT"/>
          <w:sz w:val="20"/>
          <w:lang w:val="fr-FR"/>
        </w:rPr>
        <w:t>homme (</w:t>
      </w:r>
      <w:r>
        <w:rPr>
          <w:rFonts w:ascii="Calibri" w:hAnsi="Calibri" w:cs="TimesNewRomanPSMT"/>
          <w:sz w:val="20"/>
          <w:lang w:val="uk-UA"/>
        </w:rPr>
        <w:t>http//hudoc.echr.coe.int)</w:t>
      </w:r>
      <w:r w:rsidRPr="00DC7991">
        <w:rPr>
          <w:rFonts w:ascii="Calibri" w:hAnsi="Calibri" w:cs="TimesNewRomanPSMT"/>
          <w:sz w:val="20"/>
          <w:lang w:val="fr-FR"/>
        </w:rPr>
        <w:t>, ou de toute autre base de données à laquelle HUDOC l</w:t>
      </w:r>
      <w:r>
        <w:rPr>
          <w:rFonts w:ascii="Calibri" w:hAnsi="Calibri" w:cs="TimesNewRomanPSMT"/>
          <w:sz w:val="20"/>
          <w:lang w:val="fr-FR"/>
        </w:rPr>
        <w:t>’</w:t>
      </w:r>
      <w:r w:rsidRPr="00DC7991">
        <w:rPr>
          <w:rFonts w:ascii="Calibri" w:hAnsi="Calibri" w:cs="TimesNewRomanPSMT"/>
          <w:sz w:val="20"/>
          <w:lang w:val="fr-FR"/>
        </w:rPr>
        <w:t>a communiquée. Elle peut être reproduite à des fins non-commerciales, sous réserve que le titre de l</w:t>
      </w:r>
      <w:r>
        <w:rPr>
          <w:rFonts w:ascii="Calibri" w:hAnsi="Calibri" w:cs="TimesNewRomanPSMT"/>
          <w:sz w:val="20"/>
          <w:lang w:val="fr-FR"/>
        </w:rPr>
        <w:t>’</w:t>
      </w:r>
      <w:r w:rsidRPr="00DC7991">
        <w:rPr>
          <w:rFonts w:ascii="Calibri" w:hAnsi="Calibri" w:cs="TimesNewRomanPSMT"/>
          <w:sz w:val="20"/>
          <w:lang w:val="fr-FR"/>
        </w:rPr>
        <w:t>affaire soit cité en entier et s</w:t>
      </w:r>
      <w:r>
        <w:rPr>
          <w:rFonts w:ascii="Calibri" w:hAnsi="Calibri" w:cs="TimesNewRomanPSMT"/>
          <w:sz w:val="20"/>
          <w:lang w:val="fr-FR"/>
        </w:rPr>
        <w:t>’</w:t>
      </w:r>
      <w:r w:rsidRPr="00DC7991">
        <w:rPr>
          <w:rFonts w:ascii="Calibri" w:hAnsi="Calibri" w:cs="TimesNewRomanPSMT"/>
          <w:sz w:val="20"/>
          <w:lang w:val="fr-FR"/>
        </w:rPr>
        <w:t>accompagne de l</w:t>
      </w:r>
      <w:r>
        <w:rPr>
          <w:rFonts w:ascii="Calibri" w:hAnsi="Calibri" w:cs="TimesNewRomanPSMT"/>
          <w:sz w:val="20"/>
          <w:lang w:val="fr-FR"/>
        </w:rPr>
        <w:t>’</w:t>
      </w:r>
      <w:r w:rsidRPr="00DC7991">
        <w:rPr>
          <w:rFonts w:ascii="Calibri" w:hAnsi="Calibri" w:cs="TimesNewRomanPSMT"/>
          <w:sz w:val="20"/>
          <w:lang w:val="fr-FR"/>
        </w:rPr>
        <w:t>indication de copyright ci-dessus ainsi que de la référence au Fonds fiduciaire pour les droits de l</w:t>
      </w:r>
      <w:r>
        <w:rPr>
          <w:rFonts w:ascii="Calibri" w:hAnsi="Calibri" w:cs="TimesNewRomanPSMT"/>
          <w:sz w:val="20"/>
          <w:lang w:val="fr-FR"/>
        </w:rPr>
        <w:t>’</w:t>
      </w:r>
      <w:r w:rsidRPr="00DC7991">
        <w:rPr>
          <w:rFonts w:ascii="Calibri" w:hAnsi="Calibri" w:cs="TimesNewRomanPSMT"/>
          <w:sz w:val="20"/>
          <w:lang w:val="fr-FR"/>
        </w:rPr>
        <w:t>homme. Toute personne souhaitant se servir de tout ou partie de la présente traduction à des fins commerciales est invitée à le signaler à l</w:t>
      </w:r>
      <w:r>
        <w:rPr>
          <w:rFonts w:ascii="Calibri" w:hAnsi="Calibri" w:cs="TimesNewRomanPSMT"/>
          <w:sz w:val="20"/>
          <w:lang w:val="fr-FR"/>
        </w:rPr>
        <w:t>’</w:t>
      </w:r>
      <w:r w:rsidRPr="00DC7991">
        <w:rPr>
          <w:rFonts w:ascii="Calibri" w:hAnsi="Calibri" w:cs="TimesNewRomanPSMT"/>
          <w:sz w:val="20"/>
          <w:lang w:val="fr-FR"/>
        </w:rPr>
        <w:t>adresse suivante publishing@echr.coe.int</w:t>
      </w:r>
    </w:p>
    <w:p w:rsidR="00D002A0" w:rsidP="004C4821">
      <w:pPr>
        <w:tabs>
          <w:tab w:val="left" w:pos="426"/>
        </w:tabs>
        <w:ind w:left="425" w:hanging="425"/>
        <w:jc w:val="both"/>
        <w:rPr>
          <w:lang w:val="uk-UA"/>
        </w:rPr>
      </w:pPr>
    </w:p>
    <w:p w:rsidRPr="004C4821" w:rsidR="00D002A0" w:rsidP="009B3B5B">
      <w:pPr>
        <w:pStyle w:val="JuPara"/>
        <w:rPr>
          <w:lang w:val="fr-FR"/>
        </w:rPr>
        <w:sectPr w:rsidSect="004E3232">
          <w:headerReference w:type="even" r:id="rId12"/>
          <w:headerReference w:type="default" r:id="rId13"/>
          <w:footerReference w:type="default" r:id="rId14"/>
          <w:footnotePr>
            <w:numRestart w:val="eachPage"/>
          </w:footnotePr>
          <w:pgSz w:w="11906" w:h="16838" w:code="9"/>
          <w:pgMar w:top="2274" w:right="2274" w:bottom="2274" w:left="2274" w:header="1701" w:footer="720" w:gutter="0"/>
          <w:pgNumType w:start="1"/>
          <w:cols w:space="720"/>
          <w:docGrid w:linePitch="326"/>
        </w:sectPr>
      </w:pPr>
    </w:p>
    <w:p w:rsidRPr="004C4821" w:rsidR="00D002A0" w:rsidP="004C4821">
      <w:pPr>
        <w:tabs>
          <w:tab w:val="left" w:pos="426"/>
        </w:tabs>
        <w:ind w:left="425" w:hanging="425"/>
        <w:jc w:val="both"/>
        <w:rPr>
          <w:lang w:val="fr-FR"/>
        </w:rPr>
      </w:pPr>
    </w:p>
    <w:sectPr w:rsidSect="001A5EEF">
      <w:headerReference w:type="even" r:id="rId15"/>
      <w:headerReference w:type="first" r:id="rId16"/>
      <w:footnotePr>
        <w:numRestart w:val="eachPage"/>
      </w:footnotePr>
      <w:pgSz w:w="11906" w:h="16838"/>
      <w:pgMar w:top="2274" w:right="2274" w:bottom="2274" w:left="2274" w:header="1701" w:footer="720" w:gutter="0"/>
      <w:cols w:space="720"/>
      <w:titlePg/>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 New (W1)">
    <w:altName w:val="Times New Roman"/>
    <w:panose1 w:val="020206030504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rsidP="004C4821">
    <w:pPr>
      <w:pStyle w:val="Footer"/>
      <w:jc w:val="center"/>
    </w:pPr>
    <w:bookmarkStart w:id="0" w:name="OLE_LINK5"/>
    <w:bookmarkStart w:id="1" w:name="OLE_LINK6"/>
    <w:r>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50" type="#_x0000_t75" alt="DocFooter-03" style="width:53.25pt;height:32.25pt;visibility:visible">
          <v:imagedata r:id="rId1" o:title=""/>
        </v:shape>
      </w:pict>
    </w:r>
    <w:bookmarkEnd w:id="0"/>
    <w:bookmarkEnd w:id="1"/>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rsidP="004C4821">
    <w:pPr>
      <w:pStyle w:val="Footer"/>
      <w:jc w:val="cen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pPr>
      <w:pStyle w:val="Header"/>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4.5pt;height:135.75pt" fillcolor="window">
          <v:imagedata r:id="rId1" o:title=""/>
        </v:shape>
      </w:pict>
    </w:r>
  </w:p>
  <w:p w:rsidR="00D002A0">
    <w:pPr>
      <w:pStyle w:val="Header"/>
      <w:ind w:left="-567"/>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r>
    <w:r>
      <w:rPr>
        <w:lang w:val="uk-UA"/>
      </w:rPr>
      <w:t>РІШЕННЯ У СПРАВІ ВІЛЬХО ЕСКЕЛІНЕН ТА ІНШІ ПРОТИ ФІНЛЯНДІЇ</w:t>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pPr>
      <w:pStyle w:val="JuHeader"/>
      <w:rPr>
        <w:rStyle w:val="PageNumber"/>
      </w:rPr>
    </w:pPr>
    <w:r>
      <w:tab/>
    </w:r>
    <w:r>
      <w:rPr>
        <w:lang w:val="uk-UA"/>
      </w:rPr>
      <w:t>РІШЕННЯ У СПРАВІ ВІЛЬХО ЕСКЕЛІНЕН ТА ІНШІ ПРОТИ ФІНЛЯНДІЇ</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rsidP="00B62355">
    <w:pPr>
      <w:pStyle w:val="JuHead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r>
      <w:tab/>
      <w:t>VILHO ESKELINEN AND OTHERS v. FINLAND JUDGMENT</w:t>
    </w:r>
    <w:r>
      <w:tab/>
      <w:t xml:space="preserve"> </w:t>
    </w:r>
  </w:p>
  <w:p w:rsidR="00D002A0" w:rsidP="00B62355">
    <w:pPr>
      <w:pStyle w:val="JuHeader"/>
      <w:jc w:val="center"/>
    </w:pPr>
    <w:r>
      <w:t xml:space="preserve">JOINT DISSENTING OPINION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A0" w:rsidP="009C360C">
    <w:pPr>
      <w:pStyle w:val="JuHeader"/>
      <w:rPr>
        <w:rStyle w:val="PageNumber"/>
      </w:rPr>
    </w:pPr>
  </w:p>
  <w:p w:rsidR="00D002A0" w:rsidRPr="009C360C" w:rsidP="009C360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rPr>
        <w:rFonts w:cs="Times New Roman"/>
      </w:r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9">
    <w:nsid w:val="1B024BBE"/>
    <w:multiLevelType w:val="hybridMultilevel"/>
    <w:tmpl w:val="E3C0E0F2"/>
    <w:lvl w:ilvl="0">
      <w:start w:val="1"/>
      <w:numFmt w:val="decimal"/>
      <w:lvlText w:val="%1."/>
      <w:lvlJc w:val="left"/>
      <w:pPr>
        <w:tabs>
          <w:tab w:val="num" w:pos="1191"/>
        </w:tabs>
        <w:ind w:left="284" w:firstLine="454"/>
      </w:pPr>
      <w:rPr>
        <w:rFonts w:cs="Times New Roman" w:hint="default"/>
      </w:rPr>
    </w:lvl>
    <w:lvl w:ilvl="1" w:tentative="1">
      <w:start w:val="1"/>
      <w:numFmt w:val="lowerLetter"/>
      <w:lvlText w:val="%2."/>
      <w:lvlJc w:val="left"/>
      <w:pPr>
        <w:tabs>
          <w:tab w:val="num" w:pos="1724"/>
        </w:tabs>
        <w:ind w:left="1724" w:hanging="360"/>
      </w:pPr>
      <w:rPr>
        <w:rFonts w:cs="Times New Roman"/>
      </w:rPr>
    </w:lvl>
    <w:lvl w:ilvl="2" w:tentative="1">
      <w:start w:val="1"/>
      <w:numFmt w:val="lowerRoman"/>
      <w:lvlText w:val="%3."/>
      <w:lvlJc w:val="right"/>
      <w:pPr>
        <w:tabs>
          <w:tab w:val="num" w:pos="2444"/>
        </w:tabs>
        <w:ind w:left="2444" w:hanging="180"/>
      </w:pPr>
      <w:rPr>
        <w:rFonts w:cs="Times New Roman"/>
      </w:rPr>
    </w:lvl>
    <w:lvl w:ilvl="3" w:tentative="1">
      <w:start w:val="1"/>
      <w:numFmt w:val="decimal"/>
      <w:lvlText w:val="%4."/>
      <w:lvlJc w:val="left"/>
      <w:pPr>
        <w:tabs>
          <w:tab w:val="num" w:pos="3164"/>
        </w:tabs>
        <w:ind w:left="3164" w:hanging="360"/>
      </w:pPr>
      <w:rPr>
        <w:rFonts w:cs="Times New Roman"/>
      </w:rPr>
    </w:lvl>
    <w:lvl w:ilvl="4" w:tentative="1">
      <w:start w:val="1"/>
      <w:numFmt w:val="lowerLetter"/>
      <w:lvlText w:val="%5."/>
      <w:lvlJc w:val="left"/>
      <w:pPr>
        <w:tabs>
          <w:tab w:val="num" w:pos="3884"/>
        </w:tabs>
        <w:ind w:left="3884" w:hanging="360"/>
      </w:pPr>
      <w:rPr>
        <w:rFonts w:cs="Times New Roman"/>
      </w:rPr>
    </w:lvl>
    <w:lvl w:ilvl="5" w:tentative="1">
      <w:start w:val="1"/>
      <w:numFmt w:val="lowerRoman"/>
      <w:lvlText w:val="%6."/>
      <w:lvlJc w:val="right"/>
      <w:pPr>
        <w:tabs>
          <w:tab w:val="num" w:pos="4604"/>
        </w:tabs>
        <w:ind w:left="4604" w:hanging="180"/>
      </w:pPr>
      <w:rPr>
        <w:rFonts w:cs="Times New Roman"/>
      </w:rPr>
    </w:lvl>
    <w:lvl w:ilvl="6" w:tentative="1">
      <w:start w:val="1"/>
      <w:numFmt w:val="decimal"/>
      <w:lvlText w:val="%7."/>
      <w:lvlJc w:val="left"/>
      <w:pPr>
        <w:tabs>
          <w:tab w:val="num" w:pos="5324"/>
        </w:tabs>
        <w:ind w:left="5324" w:hanging="360"/>
      </w:pPr>
      <w:rPr>
        <w:rFonts w:cs="Times New Roman"/>
      </w:rPr>
    </w:lvl>
    <w:lvl w:ilvl="7" w:tentative="1">
      <w:start w:val="1"/>
      <w:numFmt w:val="lowerLetter"/>
      <w:lvlText w:val="%8."/>
      <w:lvlJc w:val="left"/>
      <w:pPr>
        <w:tabs>
          <w:tab w:val="num" w:pos="6044"/>
        </w:tabs>
        <w:ind w:left="6044" w:hanging="360"/>
      </w:pPr>
      <w:rPr>
        <w:rFonts w:cs="Times New Roman"/>
      </w:rPr>
    </w:lvl>
    <w:lvl w:ilvl="8" w:tentative="1">
      <w:start w:val="1"/>
      <w:numFmt w:val="lowerRoman"/>
      <w:lvlText w:val="%9."/>
      <w:lvlJc w:val="right"/>
      <w:pPr>
        <w:tabs>
          <w:tab w:val="num" w:pos="6764"/>
        </w:tabs>
        <w:ind w:left="6764" w:hanging="180"/>
      </w:pPr>
      <w:rPr>
        <w:rFonts w:cs="Times New Roman"/>
      </w:r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cs="Times New Roman" w:hint="default"/>
        <w:u w:val="none"/>
      </w:rPr>
    </w:lvl>
  </w:abstractNum>
  <w:abstractNum w:abstractNumId="12">
    <w:nsid w:val="233679E9"/>
    <w:multiLevelType w:val="hybridMultilevel"/>
    <w:tmpl w:val="B17A10F8"/>
    <w:lvl w:ilvl="0">
      <w:start w:val="1"/>
      <w:numFmt w:val="decimal"/>
      <w:lvlText w:val="%1."/>
      <w:lvlJc w:val="left"/>
      <w:pPr>
        <w:tabs>
          <w:tab w:val="num" w:pos="907"/>
        </w:tabs>
        <w:ind w:firstLine="454"/>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6">
    <w:nsid w:val="36A10D61"/>
    <w:multiLevelType w:val="hybridMultilevel"/>
    <w:tmpl w:val="DB3A01C2"/>
    <w:lvl w:ilvl="0">
      <w:start w:val="1"/>
      <w:numFmt w:val="decimal"/>
      <w:lvlText w:val="%1."/>
      <w:lvlJc w:val="left"/>
      <w:pPr>
        <w:tabs>
          <w:tab w:val="num" w:pos="1004"/>
        </w:tabs>
        <w:ind w:left="1004" w:hanging="360"/>
      </w:pPr>
      <w:rPr>
        <w:rFonts w:cs="Times New Roman"/>
      </w:rPr>
    </w:lvl>
    <w:lvl w:ilvl="1" w:tentative="1">
      <w:start w:val="1"/>
      <w:numFmt w:val="lowerLetter"/>
      <w:lvlText w:val="%2."/>
      <w:lvlJc w:val="left"/>
      <w:pPr>
        <w:tabs>
          <w:tab w:val="num" w:pos="1724"/>
        </w:tabs>
        <w:ind w:left="1724" w:hanging="360"/>
      </w:pPr>
      <w:rPr>
        <w:rFonts w:cs="Times New Roman"/>
      </w:rPr>
    </w:lvl>
    <w:lvl w:ilvl="2" w:tentative="1">
      <w:start w:val="1"/>
      <w:numFmt w:val="lowerRoman"/>
      <w:lvlText w:val="%3."/>
      <w:lvlJc w:val="right"/>
      <w:pPr>
        <w:tabs>
          <w:tab w:val="num" w:pos="2444"/>
        </w:tabs>
        <w:ind w:left="2444" w:hanging="180"/>
      </w:pPr>
      <w:rPr>
        <w:rFonts w:cs="Times New Roman"/>
      </w:rPr>
    </w:lvl>
    <w:lvl w:ilvl="3" w:tentative="1">
      <w:start w:val="1"/>
      <w:numFmt w:val="decimal"/>
      <w:lvlText w:val="%4."/>
      <w:lvlJc w:val="left"/>
      <w:pPr>
        <w:tabs>
          <w:tab w:val="num" w:pos="3164"/>
        </w:tabs>
        <w:ind w:left="3164" w:hanging="360"/>
      </w:pPr>
      <w:rPr>
        <w:rFonts w:cs="Times New Roman"/>
      </w:rPr>
    </w:lvl>
    <w:lvl w:ilvl="4" w:tentative="1">
      <w:start w:val="1"/>
      <w:numFmt w:val="lowerLetter"/>
      <w:lvlText w:val="%5."/>
      <w:lvlJc w:val="left"/>
      <w:pPr>
        <w:tabs>
          <w:tab w:val="num" w:pos="3884"/>
        </w:tabs>
        <w:ind w:left="3884" w:hanging="360"/>
      </w:pPr>
      <w:rPr>
        <w:rFonts w:cs="Times New Roman"/>
      </w:rPr>
    </w:lvl>
    <w:lvl w:ilvl="5" w:tentative="1">
      <w:start w:val="1"/>
      <w:numFmt w:val="lowerRoman"/>
      <w:lvlText w:val="%6."/>
      <w:lvlJc w:val="right"/>
      <w:pPr>
        <w:tabs>
          <w:tab w:val="num" w:pos="4604"/>
        </w:tabs>
        <w:ind w:left="4604" w:hanging="180"/>
      </w:pPr>
      <w:rPr>
        <w:rFonts w:cs="Times New Roman"/>
      </w:rPr>
    </w:lvl>
    <w:lvl w:ilvl="6" w:tentative="1">
      <w:start w:val="1"/>
      <w:numFmt w:val="decimal"/>
      <w:lvlText w:val="%7."/>
      <w:lvlJc w:val="left"/>
      <w:pPr>
        <w:tabs>
          <w:tab w:val="num" w:pos="5324"/>
        </w:tabs>
        <w:ind w:left="5324" w:hanging="360"/>
      </w:pPr>
      <w:rPr>
        <w:rFonts w:cs="Times New Roman"/>
      </w:rPr>
    </w:lvl>
    <w:lvl w:ilvl="7" w:tentative="1">
      <w:start w:val="1"/>
      <w:numFmt w:val="lowerLetter"/>
      <w:lvlText w:val="%8."/>
      <w:lvlJc w:val="left"/>
      <w:pPr>
        <w:tabs>
          <w:tab w:val="num" w:pos="6044"/>
        </w:tabs>
        <w:ind w:left="6044" w:hanging="360"/>
      </w:pPr>
      <w:rPr>
        <w:rFonts w:cs="Times New Roman"/>
      </w:rPr>
    </w:lvl>
    <w:lvl w:ilvl="8" w:tentative="1">
      <w:start w:val="1"/>
      <w:numFmt w:val="lowerRoman"/>
      <w:lvlText w:val="%9."/>
      <w:lvlJc w:val="right"/>
      <w:pPr>
        <w:tabs>
          <w:tab w:val="num" w:pos="6764"/>
        </w:tabs>
        <w:ind w:left="6764" w:hanging="180"/>
      </w:pPr>
      <w:rPr>
        <w:rFonts w:cs="Times New Roman"/>
      </w:rPr>
    </w:lvl>
  </w:abstractNum>
  <w:abstractNum w:abstractNumId="17">
    <w:nsid w:val="37E04B0A"/>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8">
    <w:nsid w:val="3A6A403A"/>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3">
    <w:nsid w:val="601A116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4">
    <w:nsid w:val="612339BC"/>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5">
    <w:nsid w:val="651B1C3D"/>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6">
    <w:nsid w:val="68ED0762"/>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7">
    <w:nsid w:val="6C2336F9"/>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8">
    <w:nsid w:val="740005CA"/>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29">
    <w:nsid w:val="74884767"/>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0">
    <w:nsid w:val="785C3F08"/>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1">
    <w:nsid w:val="7A9048F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2">
    <w:nsid w:val="7BDE393F"/>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abstractNum w:abstractNumId="33">
    <w:nsid w:val="7D556EA3"/>
    <w:multiLevelType w:val="multilevel"/>
    <w:tmpl w:val="94D40CD0"/>
    <w:lvl w:ilvl="0">
      <w:start w:val="1"/>
      <w:numFmt w:val="upperRoman"/>
      <w:lvlText w:val="%1."/>
      <w:legacy w:legacy="1" w:legacySpace="0" w:legacyIndent="720"/>
      <w:lvlJc w:val="left"/>
      <w:pPr>
        <w:ind w:left="720" w:hanging="720"/>
      </w:pPr>
      <w:rPr>
        <w:rFonts w:cs="Times New Roman"/>
      </w:rPr>
    </w:lvl>
    <w:lvl w:ilvl="1">
      <w:start w:val="1"/>
      <w:numFmt w:val="upperLetter"/>
      <w:lvlText w:val="%2."/>
      <w:legacy w:legacy="1" w:legacySpace="0" w:legacyIndent="720"/>
      <w:lvlJc w:val="left"/>
      <w:pPr>
        <w:ind w:left="1440" w:hanging="720"/>
      </w:pPr>
      <w:rPr>
        <w:rFonts w:cs="Times New Roman"/>
      </w:rPr>
    </w:lvl>
    <w:lvl w:ilvl="2">
      <w:start w:val="1"/>
      <w:numFmt w:val="decimal"/>
      <w:lvlText w:val="%3."/>
      <w:legacy w:legacy="1" w:legacySpace="0" w:legacyIndent="720"/>
      <w:lvlJc w:val="left"/>
      <w:pPr>
        <w:ind w:left="2160" w:hanging="720"/>
      </w:pPr>
      <w:rPr>
        <w:rFonts w:cs="Times New Roman"/>
      </w:rPr>
    </w:lvl>
    <w:lvl w:ilvl="3">
      <w:start w:val="1"/>
      <w:numFmt w:val="lowerLetter"/>
      <w:lvlText w:val="%4)"/>
      <w:legacy w:legacy="1" w:legacySpace="0" w:legacyIndent="720"/>
      <w:lvlJc w:val="left"/>
      <w:pPr>
        <w:ind w:left="2880" w:hanging="720"/>
      </w:pPr>
      <w:rPr>
        <w:rFonts w:cs="Times New Roman"/>
      </w:rPr>
    </w:lvl>
    <w:lvl w:ilvl="4">
      <w:start w:val="1"/>
      <w:numFmt w:val="decimal"/>
      <w:lvlText w:val="(%5)"/>
      <w:legacy w:legacy="1" w:legacySpace="0" w:legacyIndent="720"/>
      <w:lvlJc w:val="left"/>
      <w:pPr>
        <w:ind w:left="3600" w:hanging="720"/>
      </w:pPr>
      <w:rPr>
        <w:rFonts w:cs="Times New Roman"/>
      </w:rPr>
    </w:lvl>
    <w:lvl w:ilvl="5">
      <w:start w:val="1"/>
      <w:numFmt w:val="lowerLetter"/>
      <w:lvlText w:val="(%6)"/>
      <w:legacy w:legacy="1" w:legacySpace="0" w:legacyIndent="720"/>
      <w:lvlJc w:val="left"/>
      <w:pPr>
        <w:ind w:left="4320" w:hanging="720"/>
      </w:pPr>
      <w:rPr>
        <w:rFonts w:cs="Times New Roman"/>
      </w:rPr>
    </w:lvl>
    <w:lvl w:ilvl="6">
      <w:start w:val="1"/>
      <w:numFmt w:val="lowerRoman"/>
      <w:lvlText w:val="(%7)"/>
      <w:legacy w:legacy="1" w:legacySpace="0" w:legacyIndent="720"/>
      <w:lvlJc w:val="left"/>
      <w:pPr>
        <w:ind w:left="5040" w:hanging="720"/>
      </w:pPr>
      <w:rPr>
        <w:rFonts w:cs="Times New Roman"/>
      </w:rPr>
    </w:lvl>
    <w:lvl w:ilvl="7">
      <w:start w:val="1"/>
      <w:numFmt w:val="lowerLetter"/>
      <w:lvlText w:val="(%8)"/>
      <w:legacy w:legacy="1" w:legacySpace="0" w:legacyIndent="720"/>
      <w:lvlJc w:val="left"/>
      <w:pPr>
        <w:ind w:left="5760" w:hanging="720"/>
      </w:pPr>
      <w:rPr>
        <w:rFonts w:cs="Times New Roman"/>
      </w:rPr>
    </w:lvl>
    <w:lvl w:ilvl="8">
      <w:start w:val="1"/>
      <w:numFmt w:val="lowerRoman"/>
      <w:lvlText w:val="(%9)"/>
      <w:legacy w:legacy="1" w:legacySpace="0" w:legacyIndent="720"/>
      <w:lvlJc w:val="left"/>
      <w:pPr>
        <w:ind w:left="6480" w:hanging="720"/>
      </w:pPr>
      <w:rPr>
        <w:rFonts w:cs="Times New Roman"/>
      </w:rPr>
    </w:lvl>
  </w:abstractNum>
  <w:num w:numId="1">
    <w:abstractNumId w:val="10"/>
  </w:num>
  <w:num w:numId="2">
    <w:abstractNumId w:val="27"/>
  </w:num>
  <w:num w:numId="3">
    <w:abstractNumId w:val="14"/>
  </w:num>
  <w:num w:numId="4">
    <w:abstractNumId w:val="25"/>
  </w:num>
  <w:num w:numId="5">
    <w:abstractNumId w:val="33"/>
  </w:num>
  <w:num w:numId="6">
    <w:abstractNumId w:val="5"/>
  </w:num>
  <w:num w:numId="7">
    <w:abstractNumId w:val="30"/>
  </w:num>
  <w:num w:numId="8">
    <w:abstractNumId w:val="4"/>
  </w:num>
  <w:num w:numId="9">
    <w:abstractNumId w:val="2"/>
  </w:num>
  <w:num w:numId="10">
    <w:abstractNumId w:val="1"/>
  </w:num>
  <w:num w:numId="11">
    <w:abstractNumId w:val="0"/>
  </w:num>
  <w:num w:numId="12">
    <w:abstractNumId w:val="3"/>
  </w:num>
  <w:num w:numId="13">
    <w:abstractNumId w:val="11"/>
  </w:num>
  <w:num w:numId="14">
    <w:abstractNumId w:val="23"/>
  </w:num>
  <w:num w:numId="15">
    <w:abstractNumId w:val="28"/>
  </w:num>
  <w:num w:numId="16">
    <w:abstractNumId w:val="15"/>
  </w:num>
  <w:num w:numId="17">
    <w:abstractNumId w:val="24"/>
  </w:num>
  <w:num w:numId="18">
    <w:abstractNumId w:val="31"/>
  </w:num>
  <w:num w:numId="19">
    <w:abstractNumId w:val="29"/>
  </w:num>
  <w:num w:numId="20">
    <w:abstractNumId w:val="13"/>
  </w:num>
  <w:num w:numId="21">
    <w:abstractNumId w:val="26"/>
  </w:num>
  <w:num w:numId="22">
    <w:abstractNumId w:val="19"/>
  </w:num>
  <w:num w:numId="23">
    <w:abstractNumId w:val="21"/>
  </w:num>
  <w:num w:numId="24">
    <w:abstractNumId w:val="6"/>
  </w:num>
  <w:num w:numId="25">
    <w:abstractNumId w:val="8"/>
  </w:num>
  <w:num w:numId="26">
    <w:abstractNumId w:val="32"/>
  </w:num>
  <w:num w:numId="27">
    <w:abstractNumId w:val="18"/>
  </w:num>
  <w:num w:numId="28">
    <w:abstractNumId w:val="22"/>
  </w:num>
  <w:num w:numId="29">
    <w:abstractNumId w:val="20"/>
  </w:num>
  <w:num w:numId="30">
    <w:abstractNumId w:val="17"/>
  </w:num>
  <w:num w:numId="31">
    <w:abstractNumId w:val="7"/>
  </w:num>
  <w:num w:numId="32">
    <w:abstractNumId w:val="16"/>
  </w:num>
  <w:num w:numId="33">
    <w:abstractNumId w:val="12"/>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3F01"/>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708C"/>
    <w:rsid w:val="000012DA"/>
    <w:rsid w:val="000017A2"/>
    <w:rsid w:val="00001BEA"/>
    <w:rsid w:val="00002454"/>
    <w:rsid w:val="0000323E"/>
    <w:rsid w:val="00003319"/>
    <w:rsid w:val="0000381A"/>
    <w:rsid w:val="00011666"/>
    <w:rsid w:val="00011A8F"/>
    <w:rsid w:val="00016334"/>
    <w:rsid w:val="0002104F"/>
    <w:rsid w:val="00022117"/>
    <w:rsid w:val="0002471C"/>
    <w:rsid w:val="00024789"/>
    <w:rsid w:val="00024BF2"/>
    <w:rsid w:val="00025A23"/>
    <w:rsid w:val="00026896"/>
    <w:rsid w:val="000268DF"/>
    <w:rsid w:val="00026CCC"/>
    <w:rsid w:val="00027175"/>
    <w:rsid w:val="000300BB"/>
    <w:rsid w:val="00030724"/>
    <w:rsid w:val="00030D30"/>
    <w:rsid w:val="000323B9"/>
    <w:rsid w:val="000356D8"/>
    <w:rsid w:val="00036262"/>
    <w:rsid w:val="00036B52"/>
    <w:rsid w:val="00037D5A"/>
    <w:rsid w:val="00040B04"/>
    <w:rsid w:val="00040B8D"/>
    <w:rsid w:val="00040EEB"/>
    <w:rsid w:val="00041B70"/>
    <w:rsid w:val="000437BD"/>
    <w:rsid w:val="000439D8"/>
    <w:rsid w:val="00045BAD"/>
    <w:rsid w:val="00047ACA"/>
    <w:rsid w:val="000508F8"/>
    <w:rsid w:val="00051810"/>
    <w:rsid w:val="00051EFF"/>
    <w:rsid w:val="00053218"/>
    <w:rsid w:val="00054776"/>
    <w:rsid w:val="000560B0"/>
    <w:rsid w:val="00057EED"/>
    <w:rsid w:val="00057FEA"/>
    <w:rsid w:val="00060AE7"/>
    <w:rsid w:val="00061290"/>
    <w:rsid w:val="00062B3A"/>
    <w:rsid w:val="00066FA1"/>
    <w:rsid w:val="00071E3B"/>
    <w:rsid w:val="00071ED1"/>
    <w:rsid w:val="000814EB"/>
    <w:rsid w:val="00085109"/>
    <w:rsid w:val="00087117"/>
    <w:rsid w:val="00090E56"/>
    <w:rsid w:val="00091650"/>
    <w:rsid w:val="000916CB"/>
    <w:rsid w:val="00092A41"/>
    <w:rsid w:val="000935DA"/>
    <w:rsid w:val="000953F0"/>
    <w:rsid w:val="00095B88"/>
    <w:rsid w:val="00095B9C"/>
    <w:rsid w:val="00097D27"/>
    <w:rsid w:val="000A09F3"/>
    <w:rsid w:val="000A2928"/>
    <w:rsid w:val="000A4762"/>
    <w:rsid w:val="000A4827"/>
    <w:rsid w:val="000A5880"/>
    <w:rsid w:val="000B0D89"/>
    <w:rsid w:val="000B4905"/>
    <w:rsid w:val="000B6125"/>
    <w:rsid w:val="000B7A1D"/>
    <w:rsid w:val="000C215F"/>
    <w:rsid w:val="000C5228"/>
    <w:rsid w:val="000D1D3F"/>
    <w:rsid w:val="000D1EBF"/>
    <w:rsid w:val="000D2A0F"/>
    <w:rsid w:val="000D2A66"/>
    <w:rsid w:val="000D3756"/>
    <w:rsid w:val="000D37C3"/>
    <w:rsid w:val="000D3AE3"/>
    <w:rsid w:val="000D54BD"/>
    <w:rsid w:val="000D6239"/>
    <w:rsid w:val="000D7DC1"/>
    <w:rsid w:val="000E58DA"/>
    <w:rsid w:val="000E681D"/>
    <w:rsid w:val="000F10DB"/>
    <w:rsid w:val="000F18E0"/>
    <w:rsid w:val="000F5861"/>
    <w:rsid w:val="000F687C"/>
    <w:rsid w:val="000F76F3"/>
    <w:rsid w:val="000F7779"/>
    <w:rsid w:val="000F7A2E"/>
    <w:rsid w:val="001003D3"/>
    <w:rsid w:val="001031E2"/>
    <w:rsid w:val="00113B44"/>
    <w:rsid w:val="001141FB"/>
    <w:rsid w:val="001142C8"/>
    <w:rsid w:val="00114D7E"/>
    <w:rsid w:val="001153C0"/>
    <w:rsid w:val="001172FC"/>
    <w:rsid w:val="00124646"/>
    <w:rsid w:val="00124DE8"/>
    <w:rsid w:val="00126C3E"/>
    <w:rsid w:val="00127AC5"/>
    <w:rsid w:val="00130677"/>
    <w:rsid w:val="0013230D"/>
    <w:rsid w:val="00132D69"/>
    <w:rsid w:val="00136071"/>
    <w:rsid w:val="001426F8"/>
    <w:rsid w:val="00145215"/>
    <w:rsid w:val="0014539C"/>
    <w:rsid w:val="00145E5A"/>
    <w:rsid w:val="001512CD"/>
    <w:rsid w:val="001540F4"/>
    <w:rsid w:val="00157C7F"/>
    <w:rsid w:val="001614D3"/>
    <w:rsid w:val="001629A2"/>
    <w:rsid w:val="001654C7"/>
    <w:rsid w:val="001721CA"/>
    <w:rsid w:val="00173FB3"/>
    <w:rsid w:val="00175F3F"/>
    <w:rsid w:val="0017613A"/>
    <w:rsid w:val="0017623F"/>
    <w:rsid w:val="001768CF"/>
    <w:rsid w:val="00183F62"/>
    <w:rsid w:val="001870C0"/>
    <w:rsid w:val="0019048D"/>
    <w:rsid w:val="00193E76"/>
    <w:rsid w:val="0019424A"/>
    <w:rsid w:val="0019506E"/>
    <w:rsid w:val="001A0ADE"/>
    <w:rsid w:val="001A33A0"/>
    <w:rsid w:val="001A430C"/>
    <w:rsid w:val="001A4CAD"/>
    <w:rsid w:val="001A5EEF"/>
    <w:rsid w:val="001A62BD"/>
    <w:rsid w:val="001A782A"/>
    <w:rsid w:val="001A7992"/>
    <w:rsid w:val="001B4A47"/>
    <w:rsid w:val="001B76CB"/>
    <w:rsid w:val="001C00CF"/>
    <w:rsid w:val="001C1CD7"/>
    <w:rsid w:val="001C3082"/>
    <w:rsid w:val="001C5055"/>
    <w:rsid w:val="001C552F"/>
    <w:rsid w:val="001C6644"/>
    <w:rsid w:val="001D2364"/>
    <w:rsid w:val="001D3C86"/>
    <w:rsid w:val="001D4FBB"/>
    <w:rsid w:val="001D67B3"/>
    <w:rsid w:val="001E0D94"/>
    <w:rsid w:val="001E2C6A"/>
    <w:rsid w:val="001E44AA"/>
    <w:rsid w:val="001F236A"/>
    <w:rsid w:val="001F2A20"/>
    <w:rsid w:val="001F4134"/>
    <w:rsid w:val="001F43A8"/>
    <w:rsid w:val="002057A8"/>
    <w:rsid w:val="00205F76"/>
    <w:rsid w:val="00212D62"/>
    <w:rsid w:val="00213DC0"/>
    <w:rsid w:val="00215CB4"/>
    <w:rsid w:val="002214AB"/>
    <w:rsid w:val="00223C9F"/>
    <w:rsid w:val="002241FA"/>
    <w:rsid w:val="00224728"/>
    <w:rsid w:val="002266AD"/>
    <w:rsid w:val="0023170C"/>
    <w:rsid w:val="00233B51"/>
    <w:rsid w:val="002344FA"/>
    <w:rsid w:val="002354B0"/>
    <w:rsid w:val="00236FD1"/>
    <w:rsid w:val="002459E2"/>
    <w:rsid w:val="00246DE1"/>
    <w:rsid w:val="00247604"/>
    <w:rsid w:val="0024794A"/>
    <w:rsid w:val="00250393"/>
    <w:rsid w:val="00250556"/>
    <w:rsid w:val="00250AA3"/>
    <w:rsid w:val="00250F0C"/>
    <w:rsid w:val="00252286"/>
    <w:rsid w:val="00254C87"/>
    <w:rsid w:val="00255C26"/>
    <w:rsid w:val="002572D1"/>
    <w:rsid w:val="0026181F"/>
    <w:rsid w:val="00262C72"/>
    <w:rsid w:val="0026649A"/>
    <w:rsid w:val="002676EA"/>
    <w:rsid w:val="00267BF8"/>
    <w:rsid w:val="00271071"/>
    <w:rsid w:val="00271510"/>
    <w:rsid w:val="002728C8"/>
    <w:rsid w:val="00273CFC"/>
    <w:rsid w:val="0027553E"/>
    <w:rsid w:val="002801F9"/>
    <w:rsid w:val="00282F41"/>
    <w:rsid w:val="00283F8B"/>
    <w:rsid w:val="00285C2E"/>
    <w:rsid w:val="00287817"/>
    <w:rsid w:val="00290AE9"/>
    <w:rsid w:val="00292023"/>
    <w:rsid w:val="00294C85"/>
    <w:rsid w:val="002958C2"/>
    <w:rsid w:val="002A16E5"/>
    <w:rsid w:val="002A6144"/>
    <w:rsid w:val="002B1DA5"/>
    <w:rsid w:val="002B1E13"/>
    <w:rsid w:val="002B2962"/>
    <w:rsid w:val="002B7A44"/>
    <w:rsid w:val="002C1DE0"/>
    <w:rsid w:val="002C3C59"/>
    <w:rsid w:val="002C4989"/>
    <w:rsid w:val="002C605E"/>
    <w:rsid w:val="002C6346"/>
    <w:rsid w:val="002C6BCE"/>
    <w:rsid w:val="002C7188"/>
    <w:rsid w:val="002C719B"/>
    <w:rsid w:val="002C7A49"/>
    <w:rsid w:val="002D202A"/>
    <w:rsid w:val="002D3CBA"/>
    <w:rsid w:val="002D4DEC"/>
    <w:rsid w:val="002D5258"/>
    <w:rsid w:val="002D5F8F"/>
    <w:rsid w:val="002D79C5"/>
    <w:rsid w:val="002D7D89"/>
    <w:rsid w:val="002E0822"/>
    <w:rsid w:val="002E09D8"/>
    <w:rsid w:val="002E4085"/>
    <w:rsid w:val="002E573A"/>
    <w:rsid w:val="002E6FC8"/>
    <w:rsid w:val="002F23A8"/>
    <w:rsid w:val="002F271A"/>
    <w:rsid w:val="002F5246"/>
    <w:rsid w:val="002F59C5"/>
    <w:rsid w:val="002F78EA"/>
    <w:rsid w:val="00300D2B"/>
    <w:rsid w:val="00301473"/>
    <w:rsid w:val="00303401"/>
    <w:rsid w:val="00305CE4"/>
    <w:rsid w:val="00306802"/>
    <w:rsid w:val="00310481"/>
    <w:rsid w:val="00310A22"/>
    <w:rsid w:val="00311FEF"/>
    <w:rsid w:val="00314CC3"/>
    <w:rsid w:val="0031540F"/>
    <w:rsid w:val="00316615"/>
    <w:rsid w:val="00317875"/>
    <w:rsid w:val="00320B66"/>
    <w:rsid w:val="00321424"/>
    <w:rsid w:val="003214EE"/>
    <w:rsid w:val="003218D7"/>
    <w:rsid w:val="00322580"/>
    <w:rsid w:val="003229B5"/>
    <w:rsid w:val="00324986"/>
    <w:rsid w:val="0032554A"/>
    <w:rsid w:val="00327DED"/>
    <w:rsid w:val="003304FC"/>
    <w:rsid w:val="00330996"/>
    <w:rsid w:val="00332BB1"/>
    <w:rsid w:val="00346352"/>
    <w:rsid w:val="00347DCC"/>
    <w:rsid w:val="00350671"/>
    <w:rsid w:val="00352050"/>
    <w:rsid w:val="00352356"/>
    <w:rsid w:val="0035309A"/>
    <w:rsid w:val="003536AC"/>
    <w:rsid w:val="0035736C"/>
    <w:rsid w:val="0035793F"/>
    <w:rsid w:val="00360B34"/>
    <w:rsid w:val="003613C1"/>
    <w:rsid w:val="0036298E"/>
    <w:rsid w:val="003652DD"/>
    <w:rsid w:val="003666A2"/>
    <w:rsid w:val="003674B8"/>
    <w:rsid w:val="003729F9"/>
    <w:rsid w:val="00375A9C"/>
    <w:rsid w:val="003779B0"/>
    <w:rsid w:val="003840AB"/>
    <w:rsid w:val="00385F56"/>
    <w:rsid w:val="0038765B"/>
    <w:rsid w:val="0039021C"/>
    <w:rsid w:val="00390A3D"/>
    <w:rsid w:val="0039117A"/>
    <w:rsid w:val="0039130B"/>
    <w:rsid w:val="0039286F"/>
    <w:rsid w:val="00393E40"/>
    <w:rsid w:val="0039467C"/>
    <w:rsid w:val="003948A7"/>
    <w:rsid w:val="00395037"/>
    <w:rsid w:val="003A1177"/>
    <w:rsid w:val="003A4689"/>
    <w:rsid w:val="003A55A5"/>
    <w:rsid w:val="003A5B0B"/>
    <w:rsid w:val="003A71DB"/>
    <w:rsid w:val="003B10DB"/>
    <w:rsid w:val="003B30A6"/>
    <w:rsid w:val="003B368E"/>
    <w:rsid w:val="003B5643"/>
    <w:rsid w:val="003B6BCD"/>
    <w:rsid w:val="003C06D4"/>
    <w:rsid w:val="003C1A29"/>
    <w:rsid w:val="003C3344"/>
    <w:rsid w:val="003C4C6F"/>
    <w:rsid w:val="003C577D"/>
    <w:rsid w:val="003C6DB8"/>
    <w:rsid w:val="003D052A"/>
    <w:rsid w:val="003D0E4A"/>
    <w:rsid w:val="003D2D88"/>
    <w:rsid w:val="003D3F7F"/>
    <w:rsid w:val="003D4C23"/>
    <w:rsid w:val="003D596B"/>
    <w:rsid w:val="003D6EFE"/>
    <w:rsid w:val="003D79C6"/>
    <w:rsid w:val="003E3D7C"/>
    <w:rsid w:val="003E4272"/>
    <w:rsid w:val="003E4390"/>
    <w:rsid w:val="003E597D"/>
    <w:rsid w:val="003E5B66"/>
    <w:rsid w:val="003F0335"/>
    <w:rsid w:val="003F0F2A"/>
    <w:rsid w:val="003F176B"/>
    <w:rsid w:val="003F4CF5"/>
    <w:rsid w:val="003F6BCE"/>
    <w:rsid w:val="003F7616"/>
    <w:rsid w:val="00404300"/>
    <w:rsid w:val="00410CB3"/>
    <w:rsid w:val="00411F36"/>
    <w:rsid w:val="00412229"/>
    <w:rsid w:val="00413A83"/>
    <w:rsid w:val="00413DD9"/>
    <w:rsid w:val="00416A56"/>
    <w:rsid w:val="00416A73"/>
    <w:rsid w:val="00420289"/>
    <w:rsid w:val="0042031C"/>
    <w:rsid w:val="0042343A"/>
    <w:rsid w:val="00424E5D"/>
    <w:rsid w:val="004267C8"/>
    <w:rsid w:val="00426A3A"/>
    <w:rsid w:val="00427253"/>
    <w:rsid w:val="0043011F"/>
    <w:rsid w:val="004307B0"/>
    <w:rsid w:val="004330EC"/>
    <w:rsid w:val="0043563A"/>
    <w:rsid w:val="00435A31"/>
    <w:rsid w:val="004370ED"/>
    <w:rsid w:val="00440FD8"/>
    <w:rsid w:val="00441268"/>
    <w:rsid w:val="004414A2"/>
    <w:rsid w:val="00451968"/>
    <w:rsid w:val="00452379"/>
    <w:rsid w:val="0045251D"/>
    <w:rsid w:val="00452617"/>
    <w:rsid w:val="0045563E"/>
    <w:rsid w:val="00457985"/>
    <w:rsid w:val="00460AC3"/>
    <w:rsid w:val="00460CE2"/>
    <w:rsid w:val="00464934"/>
    <w:rsid w:val="00472236"/>
    <w:rsid w:val="00473F30"/>
    <w:rsid w:val="00480FAD"/>
    <w:rsid w:val="004811A1"/>
    <w:rsid w:val="004821FC"/>
    <w:rsid w:val="00482E5A"/>
    <w:rsid w:val="0048308D"/>
    <w:rsid w:val="00483B31"/>
    <w:rsid w:val="00484364"/>
    <w:rsid w:val="00484493"/>
    <w:rsid w:val="004848DC"/>
    <w:rsid w:val="00484B66"/>
    <w:rsid w:val="004864E3"/>
    <w:rsid w:val="00486690"/>
    <w:rsid w:val="004866F5"/>
    <w:rsid w:val="00487444"/>
    <w:rsid w:val="00490526"/>
    <w:rsid w:val="00490CE0"/>
    <w:rsid w:val="004915E1"/>
    <w:rsid w:val="0049291B"/>
    <w:rsid w:val="0049537E"/>
    <w:rsid w:val="00497F1A"/>
    <w:rsid w:val="004A0744"/>
    <w:rsid w:val="004A2C10"/>
    <w:rsid w:val="004A5992"/>
    <w:rsid w:val="004A6F51"/>
    <w:rsid w:val="004B077C"/>
    <w:rsid w:val="004B1AAA"/>
    <w:rsid w:val="004B452D"/>
    <w:rsid w:val="004B54D0"/>
    <w:rsid w:val="004B567A"/>
    <w:rsid w:val="004C0486"/>
    <w:rsid w:val="004C3991"/>
    <w:rsid w:val="004C3AD4"/>
    <w:rsid w:val="004C4821"/>
    <w:rsid w:val="004C597F"/>
    <w:rsid w:val="004C6139"/>
    <w:rsid w:val="004C7277"/>
    <w:rsid w:val="004D43A9"/>
    <w:rsid w:val="004D4F4E"/>
    <w:rsid w:val="004D6B0C"/>
    <w:rsid w:val="004D79EB"/>
    <w:rsid w:val="004E05EB"/>
    <w:rsid w:val="004E0E3A"/>
    <w:rsid w:val="004E1A6D"/>
    <w:rsid w:val="004E249A"/>
    <w:rsid w:val="004E3232"/>
    <w:rsid w:val="004E4D0C"/>
    <w:rsid w:val="004E7A9D"/>
    <w:rsid w:val="004F0692"/>
    <w:rsid w:val="004F1052"/>
    <w:rsid w:val="004F187B"/>
    <w:rsid w:val="004F1FB8"/>
    <w:rsid w:val="004F4CA5"/>
    <w:rsid w:val="004F654F"/>
    <w:rsid w:val="004F6AF8"/>
    <w:rsid w:val="005001B9"/>
    <w:rsid w:val="00500A72"/>
    <w:rsid w:val="005026CA"/>
    <w:rsid w:val="00503E94"/>
    <w:rsid w:val="005051C8"/>
    <w:rsid w:val="0050796F"/>
    <w:rsid w:val="00507E25"/>
    <w:rsid w:val="00511171"/>
    <w:rsid w:val="00511A3C"/>
    <w:rsid w:val="00512695"/>
    <w:rsid w:val="005128EE"/>
    <w:rsid w:val="00516440"/>
    <w:rsid w:val="005170F4"/>
    <w:rsid w:val="0052042E"/>
    <w:rsid w:val="00526B97"/>
    <w:rsid w:val="0052708C"/>
    <w:rsid w:val="00527C8D"/>
    <w:rsid w:val="005303F8"/>
    <w:rsid w:val="0053075A"/>
    <w:rsid w:val="00532901"/>
    <w:rsid w:val="00533F90"/>
    <w:rsid w:val="005366DB"/>
    <w:rsid w:val="00545990"/>
    <w:rsid w:val="00552174"/>
    <w:rsid w:val="00553DBB"/>
    <w:rsid w:val="00553E8F"/>
    <w:rsid w:val="0055552D"/>
    <w:rsid w:val="00555DB8"/>
    <w:rsid w:val="0055754A"/>
    <w:rsid w:val="0055755F"/>
    <w:rsid w:val="00560FE7"/>
    <w:rsid w:val="00562D63"/>
    <w:rsid w:val="00564480"/>
    <w:rsid w:val="00564886"/>
    <w:rsid w:val="005652FF"/>
    <w:rsid w:val="00567895"/>
    <w:rsid w:val="0057273D"/>
    <w:rsid w:val="005729E4"/>
    <w:rsid w:val="00574AD7"/>
    <w:rsid w:val="00575AFD"/>
    <w:rsid w:val="00576209"/>
    <w:rsid w:val="00576CC0"/>
    <w:rsid w:val="005803E1"/>
    <w:rsid w:val="00580A33"/>
    <w:rsid w:val="00581296"/>
    <w:rsid w:val="00582C70"/>
    <w:rsid w:val="00587536"/>
    <w:rsid w:val="005877BE"/>
    <w:rsid w:val="005901B9"/>
    <w:rsid w:val="00590D71"/>
    <w:rsid w:val="00590FE2"/>
    <w:rsid w:val="00592850"/>
    <w:rsid w:val="00593106"/>
    <w:rsid w:val="005952A1"/>
    <w:rsid w:val="00595C41"/>
    <w:rsid w:val="00597B89"/>
    <w:rsid w:val="005A2541"/>
    <w:rsid w:val="005A3917"/>
    <w:rsid w:val="005A4ED8"/>
    <w:rsid w:val="005A5FE4"/>
    <w:rsid w:val="005B1206"/>
    <w:rsid w:val="005B184A"/>
    <w:rsid w:val="005B280F"/>
    <w:rsid w:val="005B30D6"/>
    <w:rsid w:val="005C01C2"/>
    <w:rsid w:val="005C28C6"/>
    <w:rsid w:val="005C33F9"/>
    <w:rsid w:val="005C583F"/>
    <w:rsid w:val="005C5D1A"/>
    <w:rsid w:val="005C65CB"/>
    <w:rsid w:val="005C7E6C"/>
    <w:rsid w:val="005D1782"/>
    <w:rsid w:val="005D3E3E"/>
    <w:rsid w:val="005D6C8C"/>
    <w:rsid w:val="005D7A3B"/>
    <w:rsid w:val="005E54E7"/>
    <w:rsid w:val="005E7905"/>
    <w:rsid w:val="005F0803"/>
    <w:rsid w:val="00600982"/>
    <w:rsid w:val="0060214A"/>
    <w:rsid w:val="0060220C"/>
    <w:rsid w:val="006048F7"/>
    <w:rsid w:val="006053E8"/>
    <w:rsid w:val="00605601"/>
    <w:rsid w:val="00607A32"/>
    <w:rsid w:val="00607ECC"/>
    <w:rsid w:val="00607F1D"/>
    <w:rsid w:val="00610821"/>
    <w:rsid w:val="00611C5E"/>
    <w:rsid w:val="00616006"/>
    <w:rsid w:val="00616888"/>
    <w:rsid w:val="00620CD2"/>
    <w:rsid w:val="00621FDD"/>
    <w:rsid w:val="0062728A"/>
    <w:rsid w:val="00627E14"/>
    <w:rsid w:val="00631C1D"/>
    <w:rsid w:val="006344E4"/>
    <w:rsid w:val="00635482"/>
    <w:rsid w:val="00635912"/>
    <w:rsid w:val="0063760D"/>
    <w:rsid w:val="00637E98"/>
    <w:rsid w:val="00640043"/>
    <w:rsid w:val="00640B92"/>
    <w:rsid w:val="00641015"/>
    <w:rsid w:val="00641442"/>
    <w:rsid w:val="00644CDE"/>
    <w:rsid w:val="00647F69"/>
    <w:rsid w:val="00647F71"/>
    <w:rsid w:val="006517E0"/>
    <w:rsid w:val="0065337D"/>
    <w:rsid w:val="006545FB"/>
    <w:rsid w:val="00654F1D"/>
    <w:rsid w:val="006550B3"/>
    <w:rsid w:val="0065732F"/>
    <w:rsid w:val="00657ED4"/>
    <w:rsid w:val="0066152D"/>
    <w:rsid w:val="0066217D"/>
    <w:rsid w:val="0066769C"/>
    <w:rsid w:val="006678E5"/>
    <w:rsid w:val="00672163"/>
    <w:rsid w:val="006726FD"/>
    <w:rsid w:val="00673732"/>
    <w:rsid w:val="00674986"/>
    <w:rsid w:val="00675D95"/>
    <w:rsid w:val="00676EF8"/>
    <w:rsid w:val="00682202"/>
    <w:rsid w:val="0068227A"/>
    <w:rsid w:val="00682C4F"/>
    <w:rsid w:val="00682F1D"/>
    <w:rsid w:val="0068446D"/>
    <w:rsid w:val="00685372"/>
    <w:rsid w:val="006857F8"/>
    <w:rsid w:val="00687942"/>
    <w:rsid w:val="00687EE6"/>
    <w:rsid w:val="00692BEC"/>
    <w:rsid w:val="00693866"/>
    <w:rsid w:val="00694397"/>
    <w:rsid w:val="0069782D"/>
    <w:rsid w:val="00697CEC"/>
    <w:rsid w:val="006A2FB1"/>
    <w:rsid w:val="006A51F0"/>
    <w:rsid w:val="006A5D4E"/>
    <w:rsid w:val="006B3B65"/>
    <w:rsid w:val="006B4F30"/>
    <w:rsid w:val="006B4FE9"/>
    <w:rsid w:val="006C44BA"/>
    <w:rsid w:val="006D008C"/>
    <w:rsid w:val="006D0919"/>
    <w:rsid w:val="006D109A"/>
    <w:rsid w:val="006D1B29"/>
    <w:rsid w:val="006D42CC"/>
    <w:rsid w:val="006D4EA2"/>
    <w:rsid w:val="006D5706"/>
    <w:rsid w:val="006D6393"/>
    <w:rsid w:val="006E18BB"/>
    <w:rsid w:val="006E4D32"/>
    <w:rsid w:val="006E5350"/>
    <w:rsid w:val="006E59E7"/>
    <w:rsid w:val="006E7424"/>
    <w:rsid w:val="006F5B14"/>
    <w:rsid w:val="006F5F1F"/>
    <w:rsid w:val="006F7482"/>
    <w:rsid w:val="00700717"/>
    <w:rsid w:val="007050BB"/>
    <w:rsid w:val="0070692B"/>
    <w:rsid w:val="00707B9D"/>
    <w:rsid w:val="007134D4"/>
    <w:rsid w:val="00713960"/>
    <w:rsid w:val="007151F4"/>
    <w:rsid w:val="00716079"/>
    <w:rsid w:val="00716A38"/>
    <w:rsid w:val="00723DB1"/>
    <w:rsid w:val="00725710"/>
    <w:rsid w:val="0072703B"/>
    <w:rsid w:val="007270BC"/>
    <w:rsid w:val="00732BEF"/>
    <w:rsid w:val="007356C8"/>
    <w:rsid w:val="0074138A"/>
    <w:rsid w:val="0074170A"/>
    <w:rsid w:val="00743069"/>
    <w:rsid w:val="00745982"/>
    <w:rsid w:val="00747696"/>
    <w:rsid w:val="007516B9"/>
    <w:rsid w:val="0075291F"/>
    <w:rsid w:val="00752CC0"/>
    <w:rsid w:val="007556A7"/>
    <w:rsid w:val="00760BC1"/>
    <w:rsid w:val="00763072"/>
    <w:rsid w:val="0076315C"/>
    <w:rsid w:val="0076435A"/>
    <w:rsid w:val="007656DB"/>
    <w:rsid w:val="00765A50"/>
    <w:rsid w:val="007663F7"/>
    <w:rsid w:val="00770481"/>
    <w:rsid w:val="00773DBF"/>
    <w:rsid w:val="007743A0"/>
    <w:rsid w:val="00774F30"/>
    <w:rsid w:val="00775D70"/>
    <w:rsid w:val="007815D2"/>
    <w:rsid w:val="00784B2B"/>
    <w:rsid w:val="00785535"/>
    <w:rsid w:val="00785659"/>
    <w:rsid w:val="00791582"/>
    <w:rsid w:val="00791BD3"/>
    <w:rsid w:val="0079459C"/>
    <w:rsid w:val="00794F05"/>
    <w:rsid w:val="0079559F"/>
    <w:rsid w:val="007961B5"/>
    <w:rsid w:val="007963C6"/>
    <w:rsid w:val="007973F0"/>
    <w:rsid w:val="007A0684"/>
    <w:rsid w:val="007A234E"/>
    <w:rsid w:val="007A28B2"/>
    <w:rsid w:val="007A4946"/>
    <w:rsid w:val="007B0098"/>
    <w:rsid w:val="007B1A5F"/>
    <w:rsid w:val="007B35D1"/>
    <w:rsid w:val="007B75F4"/>
    <w:rsid w:val="007B760F"/>
    <w:rsid w:val="007C0096"/>
    <w:rsid w:val="007C0E5A"/>
    <w:rsid w:val="007C21E7"/>
    <w:rsid w:val="007C3341"/>
    <w:rsid w:val="007C486B"/>
    <w:rsid w:val="007C4DDD"/>
    <w:rsid w:val="007C5351"/>
    <w:rsid w:val="007C71C8"/>
    <w:rsid w:val="007D17C4"/>
    <w:rsid w:val="007D2983"/>
    <w:rsid w:val="007D2A95"/>
    <w:rsid w:val="007D3089"/>
    <w:rsid w:val="007D3D2D"/>
    <w:rsid w:val="007D438C"/>
    <w:rsid w:val="007D47BF"/>
    <w:rsid w:val="007D5BA3"/>
    <w:rsid w:val="007D7FD8"/>
    <w:rsid w:val="007E0DA4"/>
    <w:rsid w:val="007E10F3"/>
    <w:rsid w:val="007E1AF0"/>
    <w:rsid w:val="007E229F"/>
    <w:rsid w:val="007E3194"/>
    <w:rsid w:val="007E322D"/>
    <w:rsid w:val="007E72D1"/>
    <w:rsid w:val="007E77F4"/>
    <w:rsid w:val="007E7B0B"/>
    <w:rsid w:val="007F0F35"/>
    <w:rsid w:val="007F1510"/>
    <w:rsid w:val="007F22C4"/>
    <w:rsid w:val="007F31A0"/>
    <w:rsid w:val="00800057"/>
    <w:rsid w:val="008004F4"/>
    <w:rsid w:val="008027EF"/>
    <w:rsid w:val="008029CD"/>
    <w:rsid w:val="00804042"/>
    <w:rsid w:val="008066D9"/>
    <w:rsid w:val="00806AA4"/>
    <w:rsid w:val="0080701C"/>
    <w:rsid w:val="008070B0"/>
    <w:rsid w:val="00810855"/>
    <w:rsid w:val="008117C6"/>
    <w:rsid w:val="00816AB9"/>
    <w:rsid w:val="00820909"/>
    <w:rsid w:val="00820DF5"/>
    <w:rsid w:val="0082149D"/>
    <w:rsid w:val="00822D7B"/>
    <w:rsid w:val="00823BFA"/>
    <w:rsid w:val="00824387"/>
    <w:rsid w:val="00826AED"/>
    <w:rsid w:val="00827D92"/>
    <w:rsid w:val="00835538"/>
    <w:rsid w:val="00837197"/>
    <w:rsid w:val="008379CA"/>
    <w:rsid w:val="00840E5E"/>
    <w:rsid w:val="008464CD"/>
    <w:rsid w:val="008525D7"/>
    <w:rsid w:val="00852CED"/>
    <w:rsid w:val="0085599F"/>
    <w:rsid w:val="00857433"/>
    <w:rsid w:val="00857E3D"/>
    <w:rsid w:val="00860C6A"/>
    <w:rsid w:val="0086212C"/>
    <w:rsid w:val="00866366"/>
    <w:rsid w:val="00870608"/>
    <w:rsid w:val="00875105"/>
    <w:rsid w:val="00875748"/>
    <w:rsid w:val="00876DED"/>
    <w:rsid w:val="00880561"/>
    <w:rsid w:val="008832CF"/>
    <w:rsid w:val="008867AC"/>
    <w:rsid w:val="0089112B"/>
    <w:rsid w:val="00893BC3"/>
    <w:rsid w:val="008945DF"/>
    <w:rsid w:val="0089538E"/>
    <w:rsid w:val="0089630E"/>
    <w:rsid w:val="00896739"/>
    <w:rsid w:val="008A0594"/>
    <w:rsid w:val="008A1643"/>
    <w:rsid w:val="008A2CCD"/>
    <w:rsid w:val="008A69D2"/>
    <w:rsid w:val="008B00B5"/>
    <w:rsid w:val="008B04B1"/>
    <w:rsid w:val="008B344C"/>
    <w:rsid w:val="008B4053"/>
    <w:rsid w:val="008B5CAB"/>
    <w:rsid w:val="008C07F8"/>
    <w:rsid w:val="008C21FF"/>
    <w:rsid w:val="008C2682"/>
    <w:rsid w:val="008C4273"/>
    <w:rsid w:val="008C5412"/>
    <w:rsid w:val="008C5A29"/>
    <w:rsid w:val="008C67F4"/>
    <w:rsid w:val="008C78F9"/>
    <w:rsid w:val="008C7D67"/>
    <w:rsid w:val="008D5528"/>
    <w:rsid w:val="008D5788"/>
    <w:rsid w:val="008D6DA5"/>
    <w:rsid w:val="008E30FF"/>
    <w:rsid w:val="008E36F2"/>
    <w:rsid w:val="008E5A47"/>
    <w:rsid w:val="008F2590"/>
    <w:rsid w:val="008F260A"/>
    <w:rsid w:val="008F32EF"/>
    <w:rsid w:val="008F3D92"/>
    <w:rsid w:val="008F4FCD"/>
    <w:rsid w:val="008F63C5"/>
    <w:rsid w:val="008F75A6"/>
    <w:rsid w:val="009015DF"/>
    <w:rsid w:val="00904180"/>
    <w:rsid w:val="00906241"/>
    <w:rsid w:val="00907F35"/>
    <w:rsid w:val="00911051"/>
    <w:rsid w:val="00912E14"/>
    <w:rsid w:val="0091627C"/>
    <w:rsid w:val="00920437"/>
    <w:rsid w:val="00920A78"/>
    <w:rsid w:val="00920F33"/>
    <w:rsid w:val="00921F47"/>
    <w:rsid w:val="00925742"/>
    <w:rsid w:val="00926352"/>
    <w:rsid w:val="009311B0"/>
    <w:rsid w:val="00933C9D"/>
    <w:rsid w:val="009341A4"/>
    <w:rsid w:val="00936768"/>
    <w:rsid w:val="00937AED"/>
    <w:rsid w:val="00940909"/>
    <w:rsid w:val="009415A0"/>
    <w:rsid w:val="009419C6"/>
    <w:rsid w:val="009424B5"/>
    <w:rsid w:val="00943636"/>
    <w:rsid w:val="00943F56"/>
    <w:rsid w:val="009469BC"/>
    <w:rsid w:val="0095364E"/>
    <w:rsid w:val="009607CB"/>
    <w:rsid w:val="009664AE"/>
    <w:rsid w:val="009665A6"/>
    <w:rsid w:val="00966883"/>
    <w:rsid w:val="009701AB"/>
    <w:rsid w:val="00970B7A"/>
    <w:rsid w:val="009718A3"/>
    <w:rsid w:val="00974FC3"/>
    <w:rsid w:val="009758BC"/>
    <w:rsid w:val="00975D14"/>
    <w:rsid w:val="00976F28"/>
    <w:rsid w:val="00981673"/>
    <w:rsid w:val="00986A9C"/>
    <w:rsid w:val="00986C30"/>
    <w:rsid w:val="009872C3"/>
    <w:rsid w:val="009872FC"/>
    <w:rsid w:val="00991B15"/>
    <w:rsid w:val="00994402"/>
    <w:rsid w:val="009950DB"/>
    <w:rsid w:val="00995C82"/>
    <w:rsid w:val="00996C5A"/>
    <w:rsid w:val="009A0233"/>
    <w:rsid w:val="009A1C65"/>
    <w:rsid w:val="009B1C66"/>
    <w:rsid w:val="009B298D"/>
    <w:rsid w:val="009B3B17"/>
    <w:rsid w:val="009B3B5B"/>
    <w:rsid w:val="009B6C45"/>
    <w:rsid w:val="009B7BC4"/>
    <w:rsid w:val="009B7D52"/>
    <w:rsid w:val="009B7F3F"/>
    <w:rsid w:val="009C28A2"/>
    <w:rsid w:val="009C360C"/>
    <w:rsid w:val="009C3F32"/>
    <w:rsid w:val="009C4D45"/>
    <w:rsid w:val="009D31FA"/>
    <w:rsid w:val="009D3979"/>
    <w:rsid w:val="009D434C"/>
    <w:rsid w:val="009D5F28"/>
    <w:rsid w:val="009D78AE"/>
    <w:rsid w:val="009E2AFB"/>
    <w:rsid w:val="009E2B20"/>
    <w:rsid w:val="009E2C64"/>
    <w:rsid w:val="009E43A8"/>
    <w:rsid w:val="009E640C"/>
    <w:rsid w:val="009F17D3"/>
    <w:rsid w:val="009F32BE"/>
    <w:rsid w:val="009F4C41"/>
    <w:rsid w:val="009F5C04"/>
    <w:rsid w:val="009F73E4"/>
    <w:rsid w:val="009F7B67"/>
    <w:rsid w:val="00A00B7C"/>
    <w:rsid w:val="00A023DD"/>
    <w:rsid w:val="00A047BF"/>
    <w:rsid w:val="00A067C3"/>
    <w:rsid w:val="00A116DA"/>
    <w:rsid w:val="00A137A5"/>
    <w:rsid w:val="00A14E8A"/>
    <w:rsid w:val="00A15B56"/>
    <w:rsid w:val="00A16917"/>
    <w:rsid w:val="00A174F4"/>
    <w:rsid w:val="00A203CE"/>
    <w:rsid w:val="00A20B0C"/>
    <w:rsid w:val="00A22AEC"/>
    <w:rsid w:val="00A23B4A"/>
    <w:rsid w:val="00A24BE4"/>
    <w:rsid w:val="00A25DBC"/>
    <w:rsid w:val="00A26FE7"/>
    <w:rsid w:val="00A27D16"/>
    <w:rsid w:val="00A31102"/>
    <w:rsid w:val="00A31C00"/>
    <w:rsid w:val="00A37553"/>
    <w:rsid w:val="00A4078D"/>
    <w:rsid w:val="00A409C7"/>
    <w:rsid w:val="00A42DAD"/>
    <w:rsid w:val="00A46052"/>
    <w:rsid w:val="00A47068"/>
    <w:rsid w:val="00A52818"/>
    <w:rsid w:val="00A53A1D"/>
    <w:rsid w:val="00A540F2"/>
    <w:rsid w:val="00A55551"/>
    <w:rsid w:val="00A5569F"/>
    <w:rsid w:val="00A5578E"/>
    <w:rsid w:val="00A6354B"/>
    <w:rsid w:val="00A64A2D"/>
    <w:rsid w:val="00A651C5"/>
    <w:rsid w:val="00A674C1"/>
    <w:rsid w:val="00A67D02"/>
    <w:rsid w:val="00A71114"/>
    <w:rsid w:val="00A74108"/>
    <w:rsid w:val="00A7645C"/>
    <w:rsid w:val="00A76F5E"/>
    <w:rsid w:val="00A8404A"/>
    <w:rsid w:val="00A84247"/>
    <w:rsid w:val="00A84F66"/>
    <w:rsid w:val="00A85CDA"/>
    <w:rsid w:val="00A85E8E"/>
    <w:rsid w:val="00A869CB"/>
    <w:rsid w:val="00A86B4C"/>
    <w:rsid w:val="00A941A6"/>
    <w:rsid w:val="00A94328"/>
    <w:rsid w:val="00A95858"/>
    <w:rsid w:val="00A9775E"/>
    <w:rsid w:val="00AA2F88"/>
    <w:rsid w:val="00AA3BBD"/>
    <w:rsid w:val="00AA4D8E"/>
    <w:rsid w:val="00AA5C3A"/>
    <w:rsid w:val="00AA6F82"/>
    <w:rsid w:val="00AB1844"/>
    <w:rsid w:val="00AB193C"/>
    <w:rsid w:val="00AB1C51"/>
    <w:rsid w:val="00AB1E08"/>
    <w:rsid w:val="00AB2FC0"/>
    <w:rsid w:val="00AB4089"/>
    <w:rsid w:val="00AB58AD"/>
    <w:rsid w:val="00AC09A7"/>
    <w:rsid w:val="00AC1064"/>
    <w:rsid w:val="00AC1524"/>
    <w:rsid w:val="00AC232C"/>
    <w:rsid w:val="00AC3E9F"/>
    <w:rsid w:val="00AC4077"/>
    <w:rsid w:val="00AC40A5"/>
    <w:rsid w:val="00AD04F7"/>
    <w:rsid w:val="00AD179C"/>
    <w:rsid w:val="00AD407B"/>
    <w:rsid w:val="00AD6353"/>
    <w:rsid w:val="00AE07F5"/>
    <w:rsid w:val="00AE5EB3"/>
    <w:rsid w:val="00AF139E"/>
    <w:rsid w:val="00AF16DD"/>
    <w:rsid w:val="00AF2422"/>
    <w:rsid w:val="00AF28D1"/>
    <w:rsid w:val="00AF52F1"/>
    <w:rsid w:val="00AF58B8"/>
    <w:rsid w:val="00B018FA"/>
    <w:rsid w:val="00B01C7C"/>
    <w:rsid w:val="00B025E6"/>
    <w:rsid w:val="00B02B50"/>
    <w:rsid w:val="00B0367F"/>
    <w:rsid w:val="00B03F37"/>
    <w:rsid w:val="00B07BF5"/>
    <w:rsid w:val="00B10605"/>
    <w:rsid w:val="00B125E9"/>
    <w:rsid w:val="00B12A07"/>
    <w:rsid w:val="00B16A80"/>
    <w:rsid w:val="00B16BD5"/>
    <w:rsid w:val="00B17EC7"/>
    <w:rsid w:val="00B20B31"/>
    <w:rsid w:val="00B24695"/>
    <w:rsid w:val="00B24BBE"/>
    <w:rsid w:val="00B27740"/>
    <w:rsid w:val="00B27EA2"/>
    <w:rsid w:val="00B326D3"/>
    <w:rsid w:val="00B342F2"/>
    <w:rsid w:val="00B405BB"/>
    <w:rsid w:val="00B41D4E"/>
    <w:rsid w:val="00B453BF"/>
    <w:rsid w:val="00B47A99"/>
    <w:rsid w:val="00B539D2"/>
    <w:rsid w:val="00B54592"/>
    <w:rsid w:val="00B55368"/>
    <w:rsid w:val="00B60BD2"/>
    <w:rsid w:val="00B6153A"/>
    <w:rsid w:val="00B62355"/>
    <w:rsid w:val="00B6409F"/>
    <w:rsid w:val="00B6690B"/>
    <w:rsid w:val="00B67661"/>
    <w:rsid w:val="00B70B1E"/>
    <w:rsid w:val="00B71C55"/>
    <w:rsid w:val="00B7348D"/>
    <w:rsid w:val="00B753F7"/>
    <w:rsid w:val="00B759BF"/>
    <w:rsid w:val="00B82C58"/>
    <w:rsid w:val="00B8350E"/>
    <w:rsid w:val="00B91C07"/>
    <w:rsid w:val="00B94705"/>
    <w:rsid w:val="00B9636E"/>
    <w:rsid w:val="00B96C87"/>
    <w:rsid w:val="00B97214"/>
    <w:rsid w:val="00BA2E34"/>
    <w:rsid w:val="00BA30DB"/>
    <w:rsid w:val="00BA3686"/>
    <w:rsid w:val="00BA3695"/>
    <w:rsid w:val="00BA4606"/>
    <w:rsid w:val="00BA5790"/>
    <w:rsid w:val="00BA778A"/>
    <w:rsid w:val="00BB7557"/>
    <w:rsid w:val="00BC1AAE"/>
    <w:rsid w:val="00BC25E1"/>
    <w:rsid w:val="00BC3A23"/>
    <w:rsid w:val="00BC4671"/>
    <w:rsid w:val="00BD1300"/>
    <w:rsid w:val="00BD308A"/>
    <w:rsid w:val="00BD3156"/>
    <w:rsid w:val="00BD52FF"/>
    <w:rsid w:val="00BE2E3F"/>
    <w:rsid w:val="00BE3E19"/>
    <w:rsid w:val="00BE4B80"/>
    <w:rsid w:val="00BE749D"/>
    <w:rsid w:val="00BF16CA"/>
    <w:rsid w:val="00BF24CC"/>
    <w:rsid w:val="00BF6130"/>
    <w:rsid w:val="00BF615D"/>
    <w:rsid w:val="00BF7B22"/>
    <w:rsid w:val="00C00F94"/>
    <w:rsid w:val="00C0253C"/>
    <w:rsid w:val="00C0486E"/>
    <w:rsid w:val="00C10ACF"/>
    <w:rsid w:val="00C10EDE"/>
    <w:rsid w:val="00C11C1B"/>
    <w:rsid w:val="00C1239A"/>
    <w:rsid w:val="00C15185"/>
    <w:rsid w:val="00C16A86"/>
    <w:rsid w:val="00C16B26"/>
    <w:rsid w:val="00C17D83"/>
    <w:rsid w:val="00C21D84"/>
    <w:rsid w:val="00C21DAD"/>
    <w:rsid w:val="00C22424"/>
    <w:rsid w:val="00C233F3"/>
    <w:rsid w:val="00C252F9"/>
    <w:rsid w:val="00C27C30"/>
    <w:rsid w:val="00C31150"/>
    <w:rsid w:val="00C320DE"/>
    <w:rsid w:val="00C33B53"/>
    <w:rsid w:val="00C33C05"/>
    <w:rsid w:val="00C33EE9"/>
    <w:rsid w:val="00C41275"/>
    <w:rsid w:val="00C42669"/>
    <w:rsid w:val="00C42D47"/>
    <w:rsid w:val="00C44037"/>
    <w:rsid w:val="00C44570"/>
    <w:rsid w:val="00C45F5F"/>
    <w:rsid w:val="00C46219"/>
    <w:rsid w:val="00C4667F"/>
    <w:rsid w:val="00C46DF4"/>
    <w:rsid w:val="00C47AD4"/>
    <w:rsid w:val="00C501B6"/>
    <w:rsid w:val="00C51932"/>
    <w:rsid w:val="00C607B3"/>
    <w:rsid w:val="00C6229F"/>
    <w:rsid w:val="00C6285A"/>
    <w:rsid w:val="00C66EF2"/>
    <w:rsid w:val="00C706DE"/>
    <w:rsid w:val="00C70E81"/>
    <w:rsid w:val="00C722CD"/>
    <w:rsid w:val="00C72520"/>
    <w:rsid w:val="00C7297A"/>
    <w:rsid w:val="00C742F2"/>
    <w:rsid w:val="00C74FA7"/>
    <w:rsid w:val="00C77B0F"/>
    <w:rsid w:val="00C819EA"/>
    <w:rsid w:val="00C84518"/>
    <w:rsid w:val="00C8673E"/>
    <w:rsid w:val="00C86A43"/>
    <w:rsid w:val="00C9307C"/>
    <w:rsid w:val="00C938A2"/>
    <w:rsid w:val="00C95771"/>
    <w:rsid w:val="00C96A0A"/>
    <w:rsid w:val="00CA08FD"/>
    <w:rsid w:val="00CA13C0"/>
    <w:rsid w:val="00CA2FAD"/>
    <w:rsid w:val="00CA6585"/>
    <w:rsid w:val="00CA7497"/>
    <w:rsid w:val="00CA7D27"/>
    <w:rsid w:val="00CB0CE1"/>
    <w:rsid w:val="00CB0CE9"/>
    <w:rsid w:val="00CB2953"/>
    <w:rsid w:val="00CB3476"/>
    <w:rsid w:val="00CB6C08"/>
    <w:rsid w:val="00CB6E1C"/>
    <w:rsid w:val="00CC1616"/>
    <w:rsid w:val="00CC476D"/>
    <w:rsid w:val="00CC5D07"/>
    <w:rsid w:val="00CD0E6F"/>
    <w:rsid w:val="00CD18C0"/>
    <w:rsid w:val="00CD1EB8"/>
    <w:rsid w:val="00CD2403"/>
    <w:rsid w:val="00CD2BD7"/>
    <w:rsid w:val="00CD3C3A"/>
    <w:rsid w:val="00CD4758"/>
    <w:rsid w:val="00CD49A7"/>
    <w:rsid w:val="00CD789B"/>
    <w:rsid w:val="00CE08F7"/>
    <w:rsid w:val="00CE1CCE"/>
    <w:rsid w:val="00CE1D69"/>
    <w:rsid w:val="00CE217D"/>
    <w:rsid w:val="00CE293A"/>
    <w:rsid w:val="00CE496F"/>
    <w:rsid w:val="00CE5EF7"/>
    <w:rsid w:val="00CE679A"/>
    <w:rsid w:val="00CE7FA3"/>
    <w:rsid w:val="00CF0099"/>
    <w:rsid w:val="00CF3CD0"/>
    <w:rsid w:val="00D002A0"/>
    <w:rsid w:val="00D002C3"/>
    <w:rsid w:val="00D003C4"/>
    <w:rsid w:val="00D01540"/>
    <w:rsid w:val="00D0213F"/>
    <w:rsid w:val="00D02611"/>
    <w:rsid w:val="00D02835"/>
    <w:rsid w:val="00D02CA8"/>
    <w:rsid w:val="00D05361"/>
    <w:rsid w:val="00D05FA2"/>
    <w:rsid w:val="00D06202"/>
    <w:rsid w:val="00D0741A"/>
    <w:rsid w:val="00D114AB"/>
    <w:rsid w:val="00D12138"/>
    <w:rsid w:val="00D14B7C"/>
    <w:rsid w:val="00D14FDB"/>
    <w:rsid w:val="00D15A68"/>
    <w:rsid w:val="00D21159"/>
    <w:rsid w:val="00D22943"/>
    <w:rsid w:val="00D239C0"/>
    <w:rsid w:val="00D2463D"/>
    <w:rsid w:val="00D262FC"/>
    <w:rsid w:val="00D3042F"/>
    <w:rsid w:val="00D327F7"/>
    <w:rsid w:val="00D32EBE"/>
    <w:rsid w:val="00D33273"/>
    <w:rsid w:val="00D341F0"/>
    <w:rsid w:val="00D34859"/>
    <w:rsid w:val="00D35C73"/>
    <w:rsid w:val="00D35E1B"/>
    <w:rsid w:val="00D423E8"/>
    <w:rsid w:val="00D42AF5"/>
    <w:rsid w:val="00D438C9"/>
    <w:rsid w:val="00D43E9B"/>
    <w:rsid w:val="00D450BF"/>
    <w:rsid w:val="00D50E6B"/>
    <w:rsid w:val="00D548F8"/>
    <w:rsid w:val="00D54EFE"/>
    <w:rsid w:val="00D55B3C"/>
    <w:rsid w:val="00D56783"/>
    <w:rsid w:val="00D57625"/>
    <w:rsid w:val="00D61575"/>
    <w:rsid w:val="00D619E1"/>
    <w:rsid w:val="00D67724"/>
    <w:rsid w:val="00D716E2"/>
    <w:rsid w:val="00D71FB9"/>
    <w:rsid w:val="00D732F7"/>
    <w:rsid w:val="00D751F4"/>
    <w:rsid w:val="00D777F0"/>
    <w:rsid w:val="00D80C87"/>
    <w:rsid w:val="00D812D3"/>
    <w:rsid w:val="00D8398F"/>
    <w:rsid w:val="00D90C39"/>
    <w:rsid w:val="00D90F55"/>
    <w:rsid w:val="00D91BFF"/>
    <w:rsid w:val="00D922CF"/>
    <w:rsid w:val="00D92F27"/>
    <w:rsid w:val="00D93DDA"/>
    <w:rsid w:val="00D97BAA"/>
    <w:rsid w:val="00DA0EDE"/>
    <w:rsid w:val="00DA24C9"/>
    <w:rsid w:val="00DA448A"/>
    <w:rsid w:val="00DA496D"/>
    <w:rsid w:val="00DB04E6"/>
    <w:rsid w:val="00DB19BC"/>
    <w:rsid w:val="00DB31A1"/>
    <w:rsid w:val="00DB5F28"/>
    <w:rsid w:val="00DB615C"/>
    <w:rsid w:val="00DB6992"/>
    <w:rsid w:val="00DB7AEA"/>
    <w:rsid w:val="00DC20FF"/>
    <w:rsid w:val="00DC36AB"/>
    <w:rsid w:val="00DC4BE7"/>
    <w:rsid w:val="00DC5AB2"/>
    <w:rsid w:val="00DC6B7C"/>
    <w:rsid w:val="00DC7210"/>
    <w:rsid w:val="00DC7991"/>
    <w:rsid w:val="00DD51B4"/>
    <w:rsid w:val="00DD5462"/>
    <w:rsid w:val="00DD7D7C"/>
    <w:rsid w:val="00DE2A62"/>
    <w:rsid w:val="00DE38CC"/>
    <w:rsid w:val="00DE5D14"/>
    <w:rsid w:val="00DF0DB6"/>
    <w:rsid w:val="00DF220D"/>
    <w:rsid w:val="00DF4C79"/>
    <w:rsid w:val="00DF55C3"/>
    <w:rsid w:val="00DF5852"/>
    <w:rsid w:val="00E060C8"/>
    <w:rsid w:val="00E07B86"/>
    <w:rsid w:val="00E1422C"/>
    <w:rsid w:val="00E1751E"/>
    <w:rsid w:val="00E21EFE"/>
    <w:rsid w:val="00E268FB"/>
    <w:rsid w:val="00E27B63"/>
    <w:rsid w:val="00E32CA8"/>
    <w:rsid w:val="00E3349D"/>
    <w:rsid w:val="00E338E0"/>
    <w:rsid w:val="00E33C38"/>
    <w:rsid w:val="00E364B5"/>
    <w:rsid w:val="00E40100"/>
    <w:rsid w:val="00E40EA8"/>
    <w:rsid w:val="00E4306F"/>
    <w:rsid w:val="00E43991"/>
    <w:rsid w:val="00E43F8F"/>
    <w:rsid w:val="00E44C06"/>
    <w:rsid w:val="00E553CA"/>
    <w:rsid w:val="00E614C4"/>
    <w:rsid w:val="00E65395"/>
    <w:rsid w:val="00E67585"/>
    <w:rsid w:val="00E724F3"/>
    <w:rsid w:val="00E74884"/>
    <w:rsid w:val="00E75FA9"/>
    <w:rsid w:val="00E763F1"/>
    <w:rsid w:val="00E77581"/>
    <w:rsid w:val="00E77B16"/>
    <w:rsid w:val="00E83C8E"/>
    <w:rsid w:val="00E84437"/>
    <w:rsid w:val="00E847B5"/>
    <w:rsid w:val="00E8648E"/>
    <w:rsid w:val="00E907DF"/>
    <w:rsid w:val="00E9258A"/>
    <w:rsid w:val="00E92F00"/>
    <w:rsid w:val="00E9311D"/>
    <w:rsid w:val="00E95550"/>
    <w:rsid w:val="00E95A53"/>
    <w:rsid w:val="00EA1DAD"/>
    <w:rsid w:val="00EA298C"/>
    <w:rsid w:val="00EA482B"/>
    <w:rsid w:val="00EA690C"/>
    <w:rsid w:val="00EB1297"/>
    <w:rsid w:val="00EB7D70"/>
    <w:rsid w:val="00EC094A"/>
    <w:rsid w:val="00EC17E2"/>
    <w:rsid w:val="00EC20BE"/>
    <w:rsid w:val="00EC378E"/>
    <w:rsid w:val="00EC4B77"/>
    <w:rsid w:val="00EC5758"/>
    <w:rsid w:val="00EC7D54"/>
    <w:rsid w:val="00ED1480"/>
    <w:rsid w:val="00ED447A"/>
    <w:rsid w:val="00ED489A"/>
    <w:rsid w:val="00ED57D0"/>
    <w:rsid w:val="00ED5F24"/>
    <w:rsid w:val="00ED779C"/>
    <w:rsid w:val="00EE1F6E"/>
    <w:rsid w:val="00EE3830"/>
    <w:rsid w:val="00EE3B85"/>
    <w:rsid w:val="00EE7596"/>
    <w:rsid w:val="00EE786E"/>
    <w:rsid w:val="00EF17D2"/>
    <w:rsid w:val="00EF3C7F"/>
    <w:rsid w:val="00F00FD3"/>
    <w:rsid w:val="00F033CA"/>
    <w:rsid w:val="00F0496A"/>
    <w:rsid w:val="00F0625E"/>
    <w:rsid w:val="00F064ED"/>
    <w:rsid w:val="00F10C79"/>
    <w:rsid w:val="00F11DD7"/>
    <w:rsid w:val="00F14A7D"/>
    <w:rsid w:val="00F17BC7"/>
    <w:rsid w:val="00F2091B"/>
    <w:rsid w:val="00F22870"/>
    <w:rsid w:val="00F24679"/>
    <w:rsid w:val="00F26043"/>
    <w:rsid w:val="00F26DCC"/>
    <w:rsid w:val="00F3190B"/>
    <w:rsid w:val="00F32721"/>
    <w:rsid w:val="00F33D9F"/>
    <w:rsid w:val="00F347C9"/>
    <w:rsid w:val="00F34B3E"/>
    <w:rsid w:val="00F356C1"/>
    <w:rsid w:val="00F36F65"/>
    <w:rsid w:val="00F37E0D"/>
    <w:rsid w:val="00F42695"/>
    <w:rsid w:val="00F4327D"/>
    <w:rsid w:val="00F43833"/>
    <w:rsid w:val="00F44ADB"/>
    <w:rsid w:val="00F46069"/>
    <w:rsid w:val="00F47D0F"/>
    <w:rsid w:val="00F510E9"/>
    <w:rsid w:val="00F516B5"/>
    <w:rsid w:val="00F540A9"/>
    <w:rsid w:val="00F54163"/>
    <w:rsid w:val="00F541C4"/>
    <w:rsid w:val="00F606E6"/>
    <w:rsid w:val="00F60A81"/>
    <w:rsid w:val="00F60D4D"/>
    <w:rsid w:val="00F65A5E"/>
    <w:rsid w:val="00F67168"/>
    <w:rsid w:val="00F67647"/>
    <w:rsid w:val="00F73B1C"/>
    <w:rsid w:val="00F75F2C"/>
    <w:rsid w:val="00F77157"/>
    <w:rsid w:val="00F772CD"/>
    <w:rsid w:val="00F802AE"/>
    <w:rsid w:val="00F80E77"/>
    <w:rsid w:val="00F82CC0"/>
    <w:rsid w:val="00F843B7"/>
    <w:rsid w:val="00F84D78"/>
    <w:rsid w:val="00F84E87"/>
    <w:rsid w:val="00F864DB"/>
    <w:rsid w:val="00F87F77"/>
    <w:rsid w:val="00F91AF1"/>
    <w:rsid w:val="00F92A3E"/>
    <w:rsid w:val="00F92A55"/>
    <w:rsid w:val="00F960E0"/>
    <w:rsid w:val="00F97946"/>
    <w:rsid w:val="00FA02A1"/>
    <w:rsid w:val="00FA33F4"/>
    <w:rsid w:val="00FA3DA9"/>
    <w:rsid w:val="00FA439A"/>
    <w:rsid w:val="00FA648E"/>
    <w:rsid w:val="00FA6BC3"/>
    <w:rsid w:val="00FB0AC0"/>
    <w:rsid w:val="00FB4A91"/>
    <w:rsid w:val="00FB5E15"/>
    <w:rsid w:val="00FC0A61"/>
    <w:rsid w:val="00FC1A48"/>
    <w:rsid w:val="00FC493B"/>
    <w:rsid w:val="00FC76D0"/>
    <w:rsid w:val="00FD0051"/>
    <w:rsid w:val="00FD0596"/>
    <w:rsid w:val="00FE5664"/>
    <w:rsid w:val="00FE6CEA"/>
    <w:rsid w:val="00FE7BC8"/>
    <w:rsid w:val="00FF01A8"/>
    <w:rsid w:val="00FF1B2C"/>
    <w:rsid w:val="00FF28C7"/>
    <w:rsid w:val="00FF3CEF"/>
    <w:rsid w:val="00FF411C"/>
    <w:rsid w:val="00FF6F2F"/>
  </w:rsids>
  <m:mathPr>
    <m:mathFont m:val="Cambria Math"/>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7D2983"/>
    <w:pPr>
      <w:suppressAutoHyphens/>
    </w:pPr>
    <w:rPr>
      <w:sz w:val="24"/>
      <w:szCs w:val="20"/>
      <w:lang w:val="en-GB" w:eastAsia="fr-FR"/>
    </w:rPr>
  </w:style>
  <w:style w:type="paragraph" w:styleId="Heading1">
    <w:name w:val="heading 1"/>
    <w:basedOn w:val="Normal"/>
    <w:next w:val="Normal"/>
    <w:link w:val="Heading1Char"/>
    <w:uiPriority w:val="99"/>
    <w:qFormat/>
    <w:rsid w:val="007D2983"/>
    <w:pPr>
      <w:keepNext/>
      <w:spacing w:before="360" w:after="240"/>
      <w:jc w:val="center"/>
      <w:outlineLvl w:val="0"/>
    </w:pPr>
    <w:rPr>
      <w:b/>
      <w:sz w:val="28"/>
    </w:rPr>
  </w:style>
  <w:style w:type="paragraph" w:styleId="Heading2">
    <w:name w:val="heading 2"/>
    <w:basedOn w:val="Normal"/>
    <w:next w:val="Normal"/>
    <w:link w:val="Heading2Char"/>
    <w:uiPriority w:val="99"/>
    <w:qFormat/>
    <w:rsid w:val="007D2983"/>
    <w:pPr>
      <w:keepNext/>
      <w:spacing w:before="240" w:after="120"/>
      <w:ind w:left="284" w:hanging="284"/>
      <w:outlineLvl w:val="1"/>
    </w:pPr>
    <w:rPr>
      <w:b/>
    </w:rPr>
  </w:style>
  <w:style w:type="paragraph" w:styleId="Heading3">
    <w:name w:val="heading 3"/>
    <w:basedOn w:val="Normal"/>
    <w:next w:val="Normal"/>
    <w:link w:val="Heading3Char"/>
    <w:uiPriority w:val="99"/>
    <w:qFormat/>
    <w:rsid w:val="007D2983"/>
    <w:pPr>
      <w:keepNext/>
      <w:spacing w:before="120" w:after="60"/>
      <w:ind w:left="1418" w:hanging="851"/>
      <w:outlineLvl w:val="2"/>
    </w:pPr>
    <w:rPr>
      <w:i/>
    </w:rPr>
  </w:style>
  <w:style w:type="paragraph" w:styleId="Heading4">
    <w:name w:val="heading 4"/>
    <w:basedOn w:val="Normal"/>
    <w:next w:val="Normal"/>
    <w:link w:val="Heading4Char"/>
    <w:uiPriority w:val="99"/>
    <w:qFormat/>
    <w:rsid w:val="00484493"/>
    <w:pPr>
      <w:widowControl w:val="0"/>
      <w:outlineLvl w:val="3"/>
    </w:pPr>
    <w:rPr>
      <w:rFonts w:ascii="Courier" w:hAnsi="Courier"/>
      <w:lang w:val="en-US" w:eastAsia="en-US"/>
    </w:rPr>
  </w:style>
  <w:style w:type="paragraph" w:styleId="Heading5">
    <w:name w:val="heading 5"/>
    <w:basedOn w:val="Normal"/>
    <w:next w:val="Normal"/>
    <w:link w:val="Heading5Char"/>
    <w:uiPriority w:val="99"/>
    <w:qFormat/>
    <w:rsid w:val="00484493"/>
    <w:pPr>
      <w:widowControl w:val="0"/>
      <w:outlineLvl w:val="4"/>
    </w:pPr>
    <w:rPr>
      <w:rFonts w:ascii="Courier" w:hAnsi="Courier"/>
      <w:lang w:val="en-US" w:eastAsia="en-US"/>
    </w:rPr>
  </w:style>
  <w:style w:type="paragraph" w:styleId="Heading6">
    <w:name w:val="heading 6"/>
    <w:basedOn w:val="Normal"/>
    <w:next w:val="Normal"/>
    <w:link w:val="Heading6Char"/>
    <w:uiPriority w:val="99"/>
    <w:qFormat/>
    <w:rsid w:val="00484493"/>
    <w:pPr>
      <w:widowControl w:val="0"/>
      <w:outlineLvl w:val="5"/>
    </w:pPr>
    <w:rPr>
      <w:rFonts w:ascii="Courier" w:hAnsi="Courier"/>
      <w:lang w:val="en-US" w:eastAsia="en-US"/>
    </w:rPr>
  </w:style>
  <w:style w:type="paragraph" w:styleId="Heading7">
    <w:name w:val="heading 7"/>
    <w:basedOn w:val="Normal"/>
    <w:next w:val="Normal"/>
    <w:link w:val="Heading7Char"/>
    <w:uiPriority w:val="99"/>
    <w:qFormat/>
    <w:rsid w:val="00484493"/>
    <w:pPr>
      <w:widowControl w:val="0"/>
      <w:outlineLvl w:val="6"/>
    </w:pPr>
    <w:rPr>
      <w:rFonts w:ascii="Courier" w:hAnsi="Courier"/>
      <w:lang w:val="en-US" w:eastAsia="en-US"/>
    </w:rPr>
  </w:style>
  <w:style w:type="paragraph" w:styleId="Heading8">
    <w:name w:val="heading 8"/>
    <w:basedOn w:val="Normal"/>
    <w:next w:val="Normal"/>
    <w:link w:val="Heading8Char"/>
    <w:uiPriority w:val="99"/>
    <w:qFormat/>
    <w:rsid w:val="00484493"/>
    <w:pPr>
      <w:widowControl w:val="0"/>
      <w:outlineLvl w:val="7"/>
    </w:pPr>
    <w:rPr>
      <w:rFonts w:ascii="Courier" w:hAnsi="Courier"/>
      <w:lang w:val="en-US" w:eastAsia="en-US"/>
    </w:rPr>
  </w:style>
  <w:style w:type="paragraph" w:styleId="Heading9">
    <w:name w:val="heading 9"/>
    <w:basedOn w:val="Normal"/>
    <w:next w:val="Normal"/>
    <w:link w:val="Heading9Char"/>
    <w:uiPriority w:val="99"/>
    <w:qFormat/>
    <w:rsid w:val="00484493"/>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eastAsia="fr-FR"/>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eastAsia="fr-FR"/>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eastAsia="fr-FR"/>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eastAsia="fr-FR"/>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GB" w:eastAsia="fr-FR"/>
    </w:rPr>
  </w:style>
  <w:style w:type="character" w:customStyle="1" w:styleId="Heading6Char">
    <w:name w:val="Heading 6 Char"/>
    <w:basedOn w:val="DefaultParagraphFont"/>
    <w:link w:val="Heading6"/>
    <w:uiPriority w:val="99"/>
    <w:semiHidden/>
    <w:locked/>
    <w:rPr>
      <w:rFonts w:ascii="Calibri" w:hAnsi="Calibri" w:cs="Times New Roman"/>
      <w:b/>
      <w:bCs/>
      <w:lang w:val="en-GB" w:eastAsia="fr-FR"/>
    </w:rPr>
  </w:style>
  <w:style w:type="character" w:customStyle="1" w:styleId="Heading7Char">
    <w:name w:val="Heading 7 Char"/>
    <w:basedOn w:val="DefaultParagraphFont"/>
    <w:link w:val="Heading7"/>
    <w:uiPriority w:val="99"/>
    <w:semiHidden/>
    <w:locked/>
    <w:rPr>
      <w:rFonts w:ascii="Calibri" w:hAnsi="Calibri" w:cs="Times New Roman"/>
      <w:sz w:val="24"/>
      <w:szCs w:val="24"/>
      <w:lang w:val="en-GB" w:eastAsia="fr-FR"/>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val="en-GB" w:eastAsia="fr-FR"/>
    </w:rPr>
  </w:style>
  <w:style w:type="character" w:customStyle="1" w:styleId="Heading9Char">
    <w:name w:val="Heading 9 Char"/>
    <w:basedOn w:val="DefaultParagraphFont"/>
    <w:link w:val="Heading9"/>
    <w:uiPriority w:val="99"/>
    <w:semiHidden/>
    <w:locked/>
    <w:rPr>
      <w:rFonts w:ascii="Cambria" w:hAnsi="Cambria" w:cs="Times New Roman"/>
      <w:lang w:val="en-GB" w:eastAsia="fr-FR"/>
    </w:rPr>
  </w:style>
  <w:style w:type="paragraph" w:customStyle="1" w:styleId="JuPara">
    <w:name w:val="Ju_Para"/>
    <w:basedOn w:val="Normal"/>
    <w:link w:val="JuParaChar"/>
    <w:uiPriority w:val="99"/>
    <w:rsid w:val="007D2983"/>
    <w:pPr>
      <w:ind w:firstLine="284"/>
      <w:jc w:val="both"/>
    </w:pPr>
  </w:style>
  <w:style w:type="paragraph" w:customStyle="1" w:styleId="JuHIRoman">
    <w:name w:val="Ju_H_I_Roman"/>
    <w:basedOn w:val="JuHHead"/>
    <w:next w:val="JuPara"/>
    <w:uiPriority w:val="99"/>
    <w:rsid w:val="007D2983"/>
    <w:pPr>
      <w:tabs>
        <w:tab w:val="left" w:pos="357"/>
      </w:tabs>
      <w:spacing w:before="360"/>
      <w:ind w:left="357" w:hanging="357"/>
    </w:pPr>
    <w:rPr>
      <w:sz w:val="24"/>
    </w:rPr>
  </w:style>
  <w:style w:type="paragraph" w:customStyle="1" w:styleId="JuHHead">
    <w:name w:val="Ju_H_Head"/>
    <w:basedOn w:val="Normal"/>
    <w:next w:val="JuPara"/>
    <w:uiPriority w:val="99"/>
    <w:rsid w:val="007D2983"/>
    <w:pPr>
      <w:keepNext/>
      <w:keepLines/>
      <w:spacing w:before="720" w:after="240"/>
      <w:jc w:val="both"/>
    </w:pPr>
    <w:rPr>
      <w:sz w:val="28"/>
    </w:rPr>
  </w:style>
  <w:style w:type="paragraph" w:styleId="Footer">
    <w:name w:val="footer"/>
    <w:basedOn w:val="Normal"/>
    <w:link w:val="FooterChar"/>
    <w:uiPriority w:val="99"/>
    <w:rsid w:val="007D2983"/>
    <w:pPr>
      <w:tabs>
        <w:tab w:val="center" w:pos="3686"/>
        <w:tab w:val="right" w:pos="7371"/>
      </w:tabs>
    </w:pPr>
    <w:rPr>
      <w:sz w:val="18"/>
    </w:rPr>
  </w:style>
  <w:style w:type="character" w:customStyle="1" w:styleId="FooterChar">
    <w:name w:val="Footer Char"/>
    <w:basedOn w:val="DefaultParagraphFont"/>
    <w:link w:val="Footer"/>
    <w:uiPriority w:val="99"/>
    <w:semiHidden/>
    <w:locked/>
    <w:rPr>
      <w:rFonts w:cs="Times New Roman"/>
      <w:sz w:val="20"/>
      <w:szCs w:val="20"/>
      <w:lang w:val="en-GB" w:eastAsia="fr-FR"/>
    </w:rPr>
  </w:style>
  <w:style w:type="paragraph" w:customStyle="1" w:styleId="JuJudges">
    <w:name w:val="Ju_Judges"/>
    <w:basedOn w:val="Normal"/>
    <w:uiPriority w:val="99"/>
    <w:rsid w:val="007D2983"/>
    <w:pPr>
      <w:tabs>
        <w:tab w:val="left" w:pos="567"/>
        <w:tab w:val="left" w:pos="1134"/>
      </w:tabs>
    </w:pPr>
  </w:style>
  <w:style w:type="character" w:customStyle="1" w:styleId="JuNames">
    <w:name w:val="Ju_Names"/>
    <w:basedOn w:val="DefaultParagraphFont"/>
    <w:uiPriority w:val="99"/>
    <w:rsid w:val="007D2983"/>
    <w:rPr>
      <w:rFonts w:cs="Times New Roman"/>
      <w:smallCaps/>
    </w:rPr>
  </w:style>
  <w:style w:type="paragraph" w:customStyle="1" w:styleId="JuHA">
    <w:name w:val="Ju_H_A"/>
    <w:basedOn w:val="JuHIRoman"/>
    <w:next w:val="JuPara"/>
    <w:uiPriority w:val="99"/>
    <w:rsid w:val="007D2983"/>
    <w:pPr>
      <w:tabs>
        <w:tab w:val="clear" w:pos="357"/>
        <w:tab w:val="left" w:pos="584"/>
      </w:tabs>
      <w:ind w:left="584" w:hanging="352"/>
    </w:pPr>
    <w:rPr>
      <w:b/>
    </w:rPr>
  </w:style>
  <w:style w:type="paragraph" w:customStyle="1" w:styleId="JuQuot">
    <w:name w:val="Ju_Quot"/>
    <w:basedOn w:val="JuPara"/>
    <w:uiPriority w:val="99"/>
    <w:rsid w:val="007D2983"/>
    <w:pPr>
      <w:spacing w:before="120" w:after="120"/>
      <w:ind w:left="425" w:firstLine="142"/>
    </w:pPr>
    <w:rPr>
      <w:sz w:val="20"/>
    </w:rPr>
  </w:style>
  <w:style w:type="paragraph" w:customStyle="1" w:styleId="JuSigned">
    <w:name w:val="Ju_Signed"/>
    <w:basedOn w:val="Normal"/>
    <w:next w:val="JuParaLast"/>
    <w:uiPriority w:val="99"/>
    <w:rsid w:val="00267BF8"/>
    <w:pPr>
      <w:tabs>
        <w:tab w:val="center" w:pos="1219"/>
        <w:tab w:val="center" w:pos="6379"/>
      </w:tabs>
      <w:spacing w:before="720"/>
    </w:pPr>
  </w:style>
  <w:style w:type="paragraph" w:customStyle="1" w:styleId="JuParaLast">
    <w:name w:val="Ju_Para_Last"/>
    <w:basedOn w:val="JuPara"/>
    <w:next w:val="JuPara"/>
    <w:uiPriority w:val="99"/>
    <w:rsid w:val="007D2983"/>
    <w:pPr>
      <w:spacing w:before="240"/>
    </w:pPr>
  </w:style>
  <w:style w:type="paragraph" w:customStyle="1" w:styleId="JuCase">
    <w:name w:val="Ju_Case"/>
    <w:basedOn w:val="JuPara"/>
    <w:next w:val="JuPara"/>
    <w:uiPriority w:val="99"/>
    <w:rsid w:val="007D2983"/>
    <w:rPr>
      <w:b/>
    </w:rPr>
  </w:style>
  <w:style w:type="paragraph" w:customStyle="1" w:styleId="JuList">
    <w:name w:val="Ju_List"/>
    <w:basedOn w:val="JuPara"/>
    <w:uiPriority w:val="99"/>
    <w:rsid w:val="007D2983"/>
    <w:pPr>
      <w:ind w:left="340" w:hanging="340"/>
    </w:pPr>
  </w:style>
  <w:style w:type="paragraph" w:customStyle="1" w:styleId="JuHArticle">
    <w:name w:val="Ju_H_Article"/>
    <w:basedOn w:val="JuHa0"/>
    <w:next w:val="JuQuot"/>
    <w:uiPriority w:val="99"/>
    <w:rsid w:val="007D2983"/>
    <w:pPr>
      <w:ind w:left="0" w:firstLine="0"/>
      <w:jc w:val="center"/>
    </w:pPr>
  </w:style>
  <w:style w:type="paragraph" w:customStyle="1" w:styleId="JuHa0">
    <w:name w:val="Ju_H_a"/>
    <w:basedOn w:val="JuH1"/>
    <w:next w:val="JuPara"/>
    <w:uiPriority w:val="99"/>
    <w:rsid w:val="007D2983"/>
    <w:pPr>
      <w:tabs>
        <w:tab w:val="clear" w:pos="731"/>
        <w:tab w:val="left" w:pos="975"/>
      </w:tabs>
      <w:ind w:left="975" w:hanging="340"/>
    </w:pPr>
    <w:rPr>
      <w:b/>
      <w:i w:val="0"/>
      <w:sz w:val="20"/>
    </w:rPr>
  </w:style>
  <w:style w:type="paragraph" w:customStyle="1" w:styleId="JuH1">
    <w:name w:val="Ju_H_1."/>
    <w:basedOn w:val="JuHA"/>
    <w:next w:val="JuPara"/>
    <w:uiPriority w:val="99"/>
    <w:rsid w:val="007D2983"/>
    <w:pPr>
      <w:tabs>
        <w:tab w:val="clear" w:pos="584"/>
        <w:tab w:val="left" w:pos="731"/>
      </w:tabs>
      <w:spacing w:before="240" w:after="120"/>
      <w:ind w:left="732" w:hanging="301"/>
    </w:pPr>
    <w:rPr>
      <w:b w:val="0"/>
      <w:i/>
    </w:rPr>
  </w:style>
  <w:style w:type="paragraph" w:styleId="CommentText">
    <w:name w:val="annotation text"/>
    <w:basedOn w:val="Normal"/>
    <w:link w:val="CommentTextChar"/>
    <w:uiPriority w:val="99"/>
    <w:semiHidden/>
    <w:rsid w:val="00484493"/>
    <w:rPr>
      <w:sz w:val="20"/>
    </w:rPr>
  </w:style>
  <w:style w:type="character" w:customStyle="1" w:styleId="CommentTextChar">
    <w:name w:val="Comment Text Char"/>
    <w:basedOn w:val="DefaultParagraphFont"/>
    <w:link w:val="CommentText"/>
    <w:uiPriority w:val="99"/>
    <w:semiHidden/>
    <w:locked/>
    <w:rPr>
      <w:rFonts w:cs="Times New Roman"/>
      <w:sz w:val="20"/>
      <w:szCs w:val="20"/>
      <w:lang w:val="en-GB" w:eastAsia="fr-FR"/>
    </w:rPr>
  </w:style>
  <w:style w:type="paragraph" w:styleId="CommentSubject">
    <w:name w:val="annotation subject"/>
    <w:basedOn w:val="CommentText"/>
    <w:next w:val="CommentText"/>
    <w:link w:val="CommentSubjectChar"/>
    <w:uiPriority w:val="99"/>
    <w:semiHidden/>
    <w:rsid w:val="00F43833"/>
    <w:rPr>
      <w:b/>
      <w:bCs/>
    </w:rPr>
  </w:style>
  <w:style w:type="character" w:customStyle="1" w:styleId="CommentSubjectChar">
    <w:name w:val="Comment Subject Char"/>
    <w:basedOn w:val="CommentTextChar"/>
    <w:link w:val="CommentSubject"/>
    <w:uiPriority w:val="99"/>
    <w:semiHidden/>
    <w:locked/>
    <w:rPr>
      <w:b/>
      <w:bCs/>
    </w:rPr>
  </w:style>
  <w:style w:type="paragraph" w:customStyle="1" w:styleId="JuCourt">
    <w:name w:val="Ju_Court"/>
    <w:basedOn w:val="JuJudges"/>
    <w:uiPriority w:val="99"/>
    <w:rsid w:val="007D2983"/>
    <w:pPr>
      <w:tabs>
        <w:tab w:val="clear" w:pos="567"/>
        <w:tab w:val="left" w:pos="907"/>
        <w:tab w:val="clear" w:pos="1134"/>
        <w:tab w:val="left" w:pos="1701"/>
        <w:tab w:val="right" w:pos="7371"/>
      </w:tabs>
      <w:spacing w:before="240"/>
      <w:ind w:left="397" w:hanging="397"/>
    </w:pPr>
  </w:style>
  <w:style w:type="paragraph" w:styleId="FootnoteText">
    <w:name w:val="footnote text"/>
    <w:basedOn w:val="Normal"/>
    <w:link w:val="FootnoteTextChar"/>
    <w:uiPriority w:val="99"/>
    <w:semiHidden/>
    <w:rsid w:val="007D2983"/>
    <w:pPr>
      <w:jc w:val="both"/>
    </w:pPr>
    <w:rPr>
      <w:sz w:val="20"/>
    </w:rPr>
  </w:style>
  <w:style w:type="character" w:customStyle="1" w:styleId="FootnoteTextChar">
    <w:name w:val="Footnote Text Char"/>
    <w:basedOn w:val="DefaultParagraphFont"/>
    <w:link w:val="FootnoteText"/>
    <w:uiPriority w:val="99"/>
    <w:semiHidden/>
    <w:locked/>
    <w:rPr>
      <w:rFonts w:cs="Times New Roman"/>
      <w:sz w:val="20"/>
      <w:szCs w:val="20"/>
      <w:lang w:val="en-GB" w:eastAsia="fr-FR"/>
    </w:rPr>
  </w:style>
  <w:style w:type="character" w:styleId="FootnoteReference">
    <w:name w:val="footnote reference"/>
    <w:basedOn w:val="DefaultParagraphFont"/>
    <w:uiPriority w:val="99"/>
    <w:semiHidden/>
    <w:rsid w:val="007D2983"/>
    <w:rPr>
      <w:rFonts w:cs="Times New Roman"/>
      <w:vertAlign w:val="superscript"/>
    </w:rPr>
  </w:style>
  <w:style w:type="paragraph" w:customStyle="1" w:styleId="JuHi">
    <w:name w:val="Ju_H_i"/>
    <w:basedOn w:val="JuHa0"/>
    <w:next w:val="JuPara"/>
    <w:uiPriority w:val="99"/>
    <w:rsid w:val="007D2983"/>
    <w:pPr>
      <w:tabs>
        <w:tab w:val="clear" w:pos="975"/>
        <w:tab w:val="left" w:pos="1191"/>
      </w:tabs>
      <w:ind w:left="1190" w:hanging="357"/>
    </w:pPr>
    <w:rPr>
      <w:b w:val="0"/>
      <w:i/>
    </w:rPr>
  </w:style>
  <w:style w:type="paragraph" w:styleId="Header">
    <w:name w:val="header"/>
    <w:basedOn w:val="Normal"/>
    <w:link w:val="HeaderChar"/>
    <w:uiPriority w:val="99"/>
    <w:rsid w:val="007D2983"/>
    <w:pPr>
      <w:tabs>
        <w:tab w:val="center" w:pos="3686"/>
        <w:tab w:val="right" w:pos="7371"/>
      </w:tabs>
    </w:pPr>
    <w:rPr>
      <w:sz w:val="18"/>
    </w:rPr>
  </w:style>
  <w:style w:type="character" w:customStyle="1" w:styleId="HeaderChar">
    <w:name w:val="Header Char"/>
    <w:basedOn w:val="DefaultParagraphFont"/>
    <w:link w:val="Header"/>
    <w:uiPriority w:val="99"/>
    <w:locked/>
    <w:rsid w:val="00484B66"/>
    <w:rPr>
      <w:rFonts w:cs="Times New Roman"/>
      <w:sz w:val="18"/>
      <w:lang w:val="en-GB" w:eastAsia="fr-FR" w:bidi="ar-SA"/>
    </w:rPr>
  </w:style>
  <w:style w:type="character" w:styleId="PageNumber">
    <w:name w:val="page number"/>
    <w:basedOn w:val="DefaultParagraphFont"/>
    <w:uiPriority w:val="99"/>
    <w:rsid w:val="007D2983"/>
    <w:rPr>
      <w:rFonts w:cs="Times New Roman"/>
      <w:sz w:val="18"/>
    </w:rPr>
  </w:style>
  <w:style w:type="paragraph" w:customStyle="1" w:styleId="JuH">
    <w:name w:val="Ju_H_–"/>
    <w:basedOn w:val="JuHalpha"/>
    <w:next w:val="JuPara"/>
    <w:uiPriority w:val="99"/>
    <w:rsid w:val="007D2983"/>
    <w:pPr>
      <w:tabs>
        <w:tab w:val="clear" w:pos="1372"/>
      </w:tabs>
      <w:ind w:left="1236" w:firstLine="0"/>
    </w:pPr>
    <w:rPr>
      <w:i/>
    </w:rPr>
  </w:style>
  <w:style w:type="paragraph" w:customStyle="1" w:styleId="JuHalpha">
    <w:name w:val="Ju_H_alpha"/>
    <w:basedOn w:val="JuHi"/>
    <w:next w:val="JuPara"/>
    <w:uiPriority w:val="99"/>
    <w:rsid w:val="007D2983"/>
    <w:pPr>
      <w:tabs>
        <w:tab w:val="clear" w:pos="1191"/>
        <w:tab w:val="left" w:pos="1372"/>
      </w:tabs>
      <w:ind w:left="1373" w:hanging="335"/>
    </w:pPr>
    <w:rPr>
      <w:i w:val="0"/>
    </w:rPr>
  </w:style>
  <w:style w:type="paragraph" w:customStyle="1" w:styleId="JuLista">
    <w:name w:val="Ju_List_a"/>
    <w:basedOn w:val="JuList"/>
    <w:uiPriority w:val="99"/>
    <w:rsid w:val="007D2983"/>
    <w:pPr>
      <w:ind w:left="346" w:firstLine="0"/>
    </w:pPr>
  </w:style>
  <w:style w:type="paragraph" w:customStyle="1" w:styleId="JuListi">
    <w:name w:val="Ju_List_i"/>
    <w:basedOn w:val="JuLista"/>
    <w:uiPriority w:val="99"/>
    <w:rsid w:val="007D2983"/>
    <w:pPr>
      <w:ind w:left="794"/>
    </w:pPr>
  </w:style>
  <w:style w:type="character" w:styleId="CommentReference">
    <w:name w:val="annotation reference"/>
    <w:basedOn w:val="DefaultParagraphFont"/>
    <w:uiPriority w:val="99"/>
    <w:semiHidden/>
    <w:rsid w:val="00484493"/>
    <w:rPr>
      <w:rFonts w:cs="Times New Roman"/>
      <w:sz w:val="16"/>
    </w:rPr>
  </w:style>
  <w:style w:type="paragraph" w:customStyle="1" w:styleId="OpiHHead">
    <w:name w:val="Opi_H_Head"/>
    <w:basedOn w:val="JuHHead"/>
    <w:next w:val="OpiPara"/>
    <w:uiPriority w:val="99"/>
    <w:rsid w:val="007D2983"/>
    <w:pPr>
      <w:spacing w:before="0"/>
      <w:jc w:val="center"/>
    </w:pPr>
  </w:style>
  <w:style w:type="paragraph" w:customStyle="1" w:styleId="OpiPara">
    <w:name w:val="Opi_Para"/>
    <w:basedOn w:val="JuPara"/>
    <w:uiPriority w:val="99"/>
    <w:rsid w:val="007D2983"/>
  </w:style>
  <w:style w:type="paragraph" w:customStyle="1" w:styleId="OpiTranslation">
    <w:name w:val="Opi_Translation"/>
    <w:basedOn w:val="OpiHHead"/>
    <w:next w:val="OpiPara"/>
    <w:uiPriority w:val="99"/>
    <w:rsid w:val="007D2983"/>
    <w:rPr>
      <w:sz w:val="24"/>
    </w:rPr>
  </w:style>
  <w:style w:type="paragraph" w:customStyle="1" w:styleId="JuInitialled">
    <w:name w:val="Ju_Initialled"/>
    <w:basedOn w:val="JuSigned"/>
    <w:uiPriority w:val="99"/>
    <w:rsid w:val="007D2983"/>
    <w:pPr>
      <w:jc w:val="right"/>
    </w:pPr>
  </w:style>
  <w:style w:type="paragraph" w:customStyle="1" w:styleId="JuHeader">
    <w:name w:val="Ju_Header"/>
    <w:basedOn w:val="Header"/>
    <w:uiPriority w:val="99"/>
    <w:rsid w:val="007D2983"/>
  </w:style>
  <w:style w:type="paragraph" w:customStyle="1" w:styleId="DecHTitle">
    <w:name w:val="Dec_H_Title"/>
    <w:basedOn w:val="Normal"/>
    <w:uiPriority w:val="99"/>
    <w:rsid w:val="007D2983"/>
    <w:pPr>
      <w:spacing w:after="240"/>
      <w:jc w:val="center"/>
    </w:pPr>
    <w:rPr>
      <w:sz w:val="28"/>
    </w:rPr>
  </w:style>
  <w:style w:type="paragraph" w:customStyle="1" w:styleId="DecHCase">
    <w:name w:val="Dec_H_Case"/>
    <w:basedOn w:val="DecHTitle"/>
    <w:next w:val="JuPara"/>
    <w:uiPriority w:val="99"/>
    <w:rsid w:val="007D2983"/>
    <w:rPr>
      <w:sz w:val="24"/>
    </w:rPr>
  </w:style>
  <w:style w:type="paragraph" w:customStyle="1" w:styleId="DecList">
    <w:name w:val="Dec_List"/>
    <w:basedOn w:val="Normal"/>
    <w:uiPriority w:val="99"/>
    <w:rsid w:val="007D2983"/>
    <w:pPr>
      <w:spacing w:before="240"/>
      <w:ind w:left="284"/>
      <w:jc w:val="both"/>
    </w:pPr>
  </w:style>
  <w:style w:type="paragraph" w:customStyle="1" w:styleId="JuParaSub">
    <w:name w:val="Ju_Para_Sub"/>
    <w:basedOn w:val="JuPara"/>
    <w:uiPriority w:val="99"/>
    <w:rsid w:val="007D2983"/>
    <w:pPr>
      <w:ind w:left="284"/>
    </w:pPr>
    <w:rPr>
      <w:szCs w:val="24"/>
    </w:rPr>
  </w:style>
  <w:style w:type="paragraph" w:customStyle="1" w:styleId="JuQuotSub">
    <w:name w:val="Ju_Quot_Sub"/>
    <w:basedOn w:val="JuQuot"/>
    <w:uiPriority w:val="99"/>
    <w:rsid w:val="007D2983"/>
    <w:pPr>
      <w:ind w:left="567"/>
    </w:pPr>
  </w:style>
  <w:style w:type="paragraph" w:styleId="BalloonText">
    <w:name w:val="Balloon Text"/>
    <w:basedOn w:val="Normal"/>
    <w:link w:val="BalloonTextChar"/>
    <w:uiPriority w:val="99"/>
    <w:semiHidden/>
    <w:rsid w:val="00283F8B"/>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fr-FR"/>
    </w:rPr>
  </w:style>
  <w:style w:type="paragraph" w:customStyle="1" w:styleId="PJuPara">
    <w:name w:val="P_Ju_Para"/>
    <w:basedOn w:val="Normal"/>
    <w:uiPriority w:val="99"/>
    <w:rsid w:val="007D2983"/>
    <w:pPr>
      <w:ind w:firstLine="284"/>
      <w:jc w:val="both"/>
    </w:pPr>
  </w:style>
  <w:style w:type="paragraph" w:customStyle="1" w:styleId="PJuQuot">
    <w:name w:val="P_Ju_Quot"/>
    <w:basedOn w:val="Normal"/>
    <w:uiPriority w:val="99"/>
    <w:rsid w:val="007D2983"/>
    <w:pPr>
      <w:spacing w:before="120" w:after="120"/>
      <w:ind w:left="403" w:firstLine="176"/>
      <w:jc w:val="both"/>
    </w:pPr>
    <w:rPr>
      <w:sz w:val="20"/>
    </w:rPr>
  </w:style>
  <w:style w:type="paragraph" w:customStyle="1" w:styleId="OpiHA">
    <w:name w:val="Opi_H_A"/>
    <w:basedOn w:val="JuHIRoman"/>
    <w:next w:val="OpiPara"/>
    <w:uiPriority w:val="99"/>
    <w:rsid w:val="007D2983"/>
    <w:pPr>
      <w:tabs>
        <w:tab w:val="clear" w:pos="357"/>
      </w:tabs>
    </w:pPr>
    <w:rPr>
      <w:b/>
    </w:rPr>
  </w:style>
  <w:style w:type="paragraph" w:customStyle="1" w:styleId="OpiH1">
    <w:name w:val="Opi_H_1."/>
    <w:basedOn w:val="OpiHA"/>
    <w:next w:val="OpiPara"/>
    <w:uiPriority w:val="99"/>
    <w:rsid w:val="007D2983"/>
    <w:pPr>
      <w:spacing w:before="240" w:after="120"/>
      <w:ind w:left="635"/>
    </w:pPr>
    <w:rPr>
      <w:b w:val="0"/>
      <w:i/>
    </w:rPr>
  </w:style>
  <w:style w:type="paragraph" w:customStyle="1" w:styleId="OpiHa0">
    <w:name w:val="Opi_H_a"/>
    <w:basedOn w:val="OpiH1"/>
    <w:next w:val="OpiPara"/>
    <w:uiPriority w:val="99"/>
    <w:rsid w:val="007D2983"/>
    <w:pPr>
      <w:ind w:left="834"/>
    </w:pPr>
    <w:rPr>
      <w:b/>
      <w:i w:val="0"/>
      <w:sz w:val="20"/>
    </w:rPr>
  </w:style>
  <w:style w:type="paragraph" w:customStyle="1" w:styleId="OpiHi">
    <w:name w:val="Opi_H_i"/>
    <w:basedOn w:val="OpiHa0"/>
    <w:next w:val="OpiPara"/>
    <w:uiPriority w:val="99"/>
    <w:rsid w:val="007D2983"/>
    <w:pPr>
      <w:ind w:left="1038"/>
    </w:pPr>
    <w:rPr>
      <w:b w:val="0"/>
      <w:i/>
    </w:rPr>
  </w:style>
  <w:style w:type="paragraph" w:customStyle="1" w:styleId="PListArticleSubject">
    <w:name w:val="P_List_ArticleSubject"/>
    <w:basedOn w:val="Normal"/>
    <w:uiPriority w:val="99"/>
    <w:rsid w:val="007D2983"/>
    <w:pPr>
      <w:tabs>
        <w:tab w:val="left" w:pos="2977"/>
      </w:tabs>
      <w:ind w:left="2977" w:hanging="2977"/>
    </w:pPr>
  </w:style>
  <w:style w:type="paragraph" w:customStyle="1" w:styleId="OpiQuot">
    <w:name w:val="Opi_Quot"/>
    <w:basedOn w:val="JuQuot"/>
    <w:uiPriority w:val="99"/>
    <w:rsid w:val="007D2983"/>
  </w:style>
  <w:style w:type="paragraph" w:customStyle="1" w:styleId="SuCoverTitle1">
    <w:name w:val="Su_Cover_Title1"/>
    <w:basedOn w:val="Normal"/>
    <w:next w:val="SuCoverTitle2"/>
    <w:uiPriority w:val="99"/>
    <w:rsid w:val="007D2983"/>
    <w:pPr>
      <w:spacing w:before="2500"/>
      <w:jc w:val="center"/>
    </w:pPr>
    <w:rPr>
      <w:sz w:val="22"/>
    </w:rPr>
  </w:style>
  <w:style w:type="paragraph" w:customStyle="1" w:styleId="SuCoverTitle2">
    <w:name w:val="Su_Cover_Title2"/>
    <w:basedOn w:val="SuCoverTitle1"/>
    <w:next w:val="Normal"/>
    <w:uiPriority w:val="99"/>
    <w:rsid w:val="007D2983"/>
    <w:pPr>
      <w:spacing w:before="240"/>
    </w:pPr>
    <w:rPr>
      <w:sz w:val="18"/>
    </w:rPr>
  </w:style>
  <w:style w:type="paragraph" w:customStyle="1" w:styleId="SuPara">
    <w:name w:val="Su_Para"/>
    <w:basedOn w:val="SuKeywords"/>
    <w:uiPriority w:val="99"/>
    <w:rsid w:val="007D2983"/>
    <w:pPr>
      <w:spacing w:before="0" w:after="0"/>
    </w:pPr>
    <w:rPr>
      <w:i w:val="0"/>
    </w:rPr>
  </w:style>
  <w:style w:type="paragraph" w:customStyle="1" w:styleId="SuKeywords">
    <w:name w:val="Su_Keywords"/>
    <w:basedOn w:val="SuHHead"/>
    <w:uiPriority w:val="99"/>
    <w:rsid w:val="007D2983"/>
    <w:pPr>
      <w:spacing w:before="120"/>
    </w:pPr>
    <w:rPr>
      <w:b w:val="0"/>
      <w:i/>
    </w:rPr>
  </w:style>
  <w:style w:type="paragraph" w:customStyle="1" w:styleId="SuHHead">
    <w:name w:val="Su_H_Head"/>
    <w:basedOn w:val="SuSubject"/>
    <w:uiPriority w:val="99"/>
    <w:rsid w:val="007D2983"/>
    <w:pPr>
      <w:spacing w:after="120"/>
    </w:pPr>
  </w:style>
  <w:style w:type="paragraph" w:customStyle="1" w:styleId="SuSubject">
    <w:name w:val="Su_Subject"/>
    <w:basedOn w:val="SuSummary"/>
    <w:uiPriority w:val="99"/>
    <w:rsid w:val="007D2983"/>
    <w:pPr>
      <w:spacing w:before="360"/>
      <w:jc w:val="both"/>
    </w:pPr>
    <w:rPr>
      <w:b/>
      <w:sz w:val="22"/>
    </w:rPr>
  </w:style>
  <w:style w:type="paragraph" w:customStyle="1" w:styleId="SuSummary">
    <w:name w:val="Su_Summary"/>
    <w:basedOn w:val="Normal"/>
    <w:next w:val="SuSubject"/>
    <w:uiPriority w:val="99"/>
    <w:rsid w:val="007D2983"/>
    <w:pPr>
      <w:spacing w:after="240"/>
      <w:jc w:val="center"/>
    </w:pPr>
  </w:style>
  <w:style w:type="paragraph" w:customStyle="1" w:styleId="PListCaseNo">
    <w:name w:val="P_List_CaseNo"/>
    <w:basedOn w:val="Normal"/>
    <w:uiPriority w:val="99"/>
    <w:rsid w:val="007D2983"/>
    <w:pPr>
      <w:tabs>
        <w:tab w:val="left" w:pos="1276"/>
      </w:tabs>
      <w:spacing w:line="288" w:lineRule="auto"/>
      <w:ind w:left="1276" w:hanging="1276"/>
    </w:pPr>
  </w:style>
  <w:style w:type="paragraph" w:customStyle="1" w:styleId="PListCases">
    <w:name w:val="P_List_Cases"/>
    <w:basedOn w:val="Normal"/>
    <w:uiPriority w:val="99"/>
    <w:rsid w:val="007D2983"/>
    <w:pPr>
      <w:spacing w:line="288" w:lineRule="auto"/>
    </w:pPr>
  </w:style>
  <w:style w:type="paragraph" w:customStyle="1" w:styleId="PTextIntro">
    <w:name w:val="P_Text_Intro"/>
    <w:basedOn w:val="Normal"/>
    <w:uiPriority w:val="99"/>
    <w:rsid w:val="007D2983"/>
    <w:pPr>
      <w:jc w:val="both"/>
    </w:pPr>
    <w:rPr>
      <w:i/>
      <w:sz w:val="20"/>
    </w:rPr>
  </w:style>
  <w:style w:type="paragraph" w:customStyle="1" w:styleId="PTitleCover">
    <w:name w:val="P_Title_Cover"/>
    <w:basedOn w:val="Normal"/>
    <w:uiPriority w:val="99"/>
    <w:rsid w:val="007D2983"/>
    <w:pPr>
      <w:spacing w:before="2500"/>
      <w:jc w:val="center"/>
    </w:pPr>
    <w:rPr>
      <w:b/>
      <w:smallCaps/>
      <w:sz w:val="30"/>
    </w:rPr>
  </w:style>
  <w:style w:type="paragraph" w:customStyle="1" w:styleId="PTitle1Alpha">
    <w:name w:val="P_Title1_Alpha"/>
    <w:basedOn w:val="Normal"/>
    <w:next w:val="Normal"/>
    <w:uiPriority w:val="99"/>
    <w:rsid w:val="007D2983"/>
    <w:pPr>
      <w:spacing w:after="120"/>
      <w:jc w:val="center"/>
    </w:pPr>
    <w:rPr>
      <w:b/>
      <w:smallCaps/>
      <w:sz w:val="30"/>
    </w:rPr>
  </w:style>
  <w:style w:type="paragraph" w:customStyle="1" w:styleId="PTitle1IndexArticle">
    <w:name w:val="P_Title1_IndexArticle"/>
    <w:basedOn w:val="Normal"/>
    <w:uiPriority w:val="99"/>
    <w:rsid w:val="007D2983"/>
    <w:pPr>
      <w:spacing w:after="120"/>
      <w:jc w:val="center"/>
    </w:pPr>
    <w:rPr>
      <w:b/>
      <w:smallCaps/>
      <w:sz w:val="30"/>
    </w:rPr>
  </w:style>
  <w:style w:type="paragraph" w:customStyle="1" w:styleId="PTitle1IndexKey">
    <w:name w:val="P_Title1_IndexKey"/>
    <w:basedOn w:val="Normal"/>
    <w:uiPriority w:val="99"/>
    <w:rsid w:val="007D2983"/>
    <w:pPr>
      <w:spacing w:after="600"/>
      <w:jc w:val="center"/>
    </w:pPr>
    <w:rPr>
      <w:b/>
      <w:smallCaps/>
      <w:sz w:val="30"/>
    </w:rPr>
  </w:style>
  <w:style w:type="paragraph" w:customStyle="1" w:styleId="PTitle1Num">
    <w:name w:val="P_Title1_Num"/>
    <w:basedOn w:val="Normal"/>
    <w:next w:val="PListCaseNo"/>
    <w:uiPriority w:val="99"/>
    <w:rsid w:val="007D2983"/>
    <w:pPr>
      <w:spacing w:after="720"/>
      <w:jc w:val="center"/>
    </w:pPr>
    <w:rPr>
      <w:b/>
      <w:smallCaps/>
      <w:sz w:val="30"/>
    </w:rPr>
  </w:style>
  <w:style w:type="paragraph" w:customStyle="1" w:styleId="PTitle2Country">
    <w:name w:val="P_Title2_Country"/>
    <w:basedOn w:val="Normal"/>
    <w:next w:val="PListCases"/>
    <w:uiPriority w:val="99"/>
    <w:rsid w:val="007D2983"/>
    <w:pPr>
      <w:keepNext/>
      <w:keepLines/>
      <w:spacing w:before="600" w:after="360"/>
    </w:pPr>
    <w:rPr>
      <w:b/>
    </w:rPr>
  </w:style>
  <w:style w:type="paragraph" w:customStyle="1" w:styleId="PTitle2Letters">
    <w:name w:val="P_Title2_Letters"/>
    <w:basedOn w:val="Normal"/>
    <w:next w:val="PListCases"/>
    <w:uiPriority w:val="99"/>
    <w:rsid w:val="007D2983"/>
    <w:pPr>
      <w:keepNext/>
      <w:keepLines/>
      <w:spacing w:before="600" w:after="360"/>
    </w:pPr>
    <w:rPr>
      <w:b/>
      <w:sz w:val="28"/>
    </w:rPr>
  </w:style>
  <w:style w:type="paragraph" w:customStyle="1" w:styleId="PTitle2Part">
    <w:name w:val="P_Title2_Part"/>
    <w:basedOn w:val="Normal"/>
    <w:uiPriority w:val="99"/>
    <w:rsid w:val="007D2983"/>
    <w:pPr>
      <w:keepNext/>
      <w:keepLines/>
      <w:spacing w:before="600" w:after="240"/>
      <w:jc w:val="center"/>
    </w:pPr>
    <w:rPr>
      <w:b/>
      <w:caps/>
    </w:rPr>
  </w:style>
  <w:style w:type="paragraph" w:customStyle="1" w:styleId="PTitle3Article">
    <w:name w:val="P_Title3_Article"/>
    <w:basedOn w:val="Normal"/>
    <w:uiPriority w:val="99"/>
    <w:rsid w:val="007D2983"/>
    <w:pPr>
      <w:keepNext/>
      <w:keepLines/>
      <w:spacing w:before="360" w:after="120"/>
      <w:jc w:val="center"/>
    </w:pPr>
    <w:rPr>
      <w:b/>
      <w:smallCaps/>
      <w:sz w:val="22"/>
    </w:rPr>
  </w:style>
  <w:style w:type="paragraph" w:customStyle="1" w:styleId="PTitle4ArticleSub">
    <w:name w:val="P_Title4_Article_Sub"/>
    <w:basedOn w:val="PTitle3Article"/>
    <w:uiPriority w:val="99"/>
    <w:rsid w:val="007D2983"/>
    <w:pPr>
      <w:spacing w:before="240"/>
    </w:pPr>
    <w:rPr>
      <w:smallCaps w:val="0"/>
      <w:sz w:val="20"/>
    </w:rPr>
  </w:style>
  <w:style w:type="paragraph" w:customStyle="1" w:styleId="PTitle5Subject">
    <w:name w:val="P_Title5_Subject"/>
    <w:basedOn w:val="Normal"/>
    <w:uiPriority w:val="99"/>
    <w:rsid w:val="007D2983"/>
    <w:pPr>
      <w:keepNext/>
      <w:keepLines/>
      <w:spacing w:before="240" w:after="120"/>
      <w:jc w:val="both"/>
    </w:pPr>
    <w:rPr>
      <w:b/>
      <w:i/>
    </w:rPr>
  </w:style>
  <w:style w:type="paragraph" w:customStyle="1" w:styleId="PTitle6SubjectSub">
    <w:name w:val="P_Title6_Subject_Sub"/>
    <w:basedOn w:val="Normal"/>
    <w:uiPriority w:val="99"/>
    <w:rsid w:val="007D2983"/>
    <w:pPr>
      <w:keepNext/>
      <w:keepLines/>
      <w:spacing w:before="240" w:after="120"/>
      <w:ind w:left="284"/>
      <w:jc w:val="both"/>
    </w:pPr>
    <w:rPr>
      <w:b/>
      <w:sz w:val="20"/>
    </w:rPr>
  </w:style>
  <w:style w:type="paragraph" w:customStyle="1" w:styleId="PTitle7CaseName">
    <w:name w:val="P_Title7_CaseName"/>
    <w:basedOn w:val="Normal"/>
    <w:uiPriority w:val="99"/>
    <w:rsid w:val="007D2983"/>
    <w:pPr>
      <w:keepLines/>
      <w:spacing w:after="240"/>
      <w:jc w:val="right"/>
    </w:pPr>
    <w:rPr>
      <w:sz w:val="22"/>
    </w:rPr>
  </w:style>
  <w:style w:type="paragraph" w:customStyle="1" w:styleId="OpiParaSub">
    <w:name w:val="Opi_Para_Sub"/>
    <w:basedOn w:val="JuParaSub"/>
    <w:uiPriority w:val="99"/>
    <w:rsid w:val="007D2983"/>
  </w:style>
  <w:style w:type="paragraph" w:customStyle="1" w:styleId="OpiQuotSub">
    <w:name w:val="Opi_Quot_Sub"/>
    <w:basedOn w:val="JuQuotSub"/>
    <w:uiPriority w:val="99"/>
    <w:rsid w:val="007D2983"/>
  </w:style>
  <w:style w:type="character" w:customStyle="1" w:styleId="ju-005fpara--char">
    <w:name w:val="ju-005fpara--char"/>
    <w:basedOn w:val="DefaultParagraphFont"/>
    <w:uiPriority w:val="99"/>
    <w:rsid w:val="00F0625E"/>
    <w:rPr>
      <w:rFonts w:cs="Times New Roman"/>
    </w:rPr>
  </w:style>
  <w:style w:type="character" w:customStyle="1" w:styleId="JuParaChar">
    <w:name w:val="Ju_Para Char"/>
    <w:basedOn w:val="DefaultParagraphFont"/>
    <w:link w:val="JuPara"/>
    <w:uiPriority w:val="99"/>
    <w:locked/>
    <w:rsid w:val="00986A9C"/>
    <w:rPr>
      <w:rFonts w:cs="Times New Roman"/>
      <w:sz w:val="24"/>
      <w:lang w:val="en-GB" w:eastAsia="fr-FR" w:bidi="ar-SA"/>
    </w:rPr>
  </w:style>
  <w:style w:type="paragraph" w:customStyle="1" w:styleId="JuParaChar1Char">
    <w:name w:val="Ju_Para Char1 Char"/>
    <w:basedOn w:val="Normal"/>
    <w:link w:val="JuParaChar1CharChar"/>
    <w:uiPriority w:val="99"/>
    <w:rsid w:val="00DA24C9"/>
    <w:pPr>
      <w:ind w:firstLine="284"/>
      <w:jc w:val="both"/>
    </w:pPr>
  </w:style>
  <w:style w:type="character" w:customStyle="1" w:styleId="JuParaChar1CharChar">
    <w:name w:val="Ju_Para Char1 Char Char"/>
    <w:basedOn w:val="DefaultParagraphFont"/>
    <w:link w:val="JuParaChar1Char"/>
    <w:uiPriority w:val="99"/>
    <w:locked/>
    <w:rsid w:val="00DA24C9"/>
    <w:rPr>
      <w:rFonts w:cs="Times New Roman"/>
      <w:sz w:val="24"/>
      <w:lang w:val="en-GB" w:eastAsia="fr-FR" w:bidi="ar-SA"/>
    </w:rPr>
  </w:style>
  <w:style w:type="paragraph" w:customStyle="1" w:styleId="jupara0">
    <w:name w:val="jupara"/>
    <w:basedOn w:val="Normal"/>
    <w:uiPriority w:val="99"/>
    <w:rsid w:val="00294C85"/>
    <w:pPr>
      <w:suppressAutoHyphens w:val="0"/>
      <w:spacing w:before="100" w:beforeAutospacing="1" w:after="100" w:afterAutospacing="1"/>
    </w:pPr>
    <w:rPr>
      <w:szCs w:val="24"/>
      <w:lang w:val="fr-FR"/>
    </w:rPr>
  </w:style>
  <w:style w:type="paragraph" w:customStyle="1" w:styleId="Perso1">
    <w:name w:val="Perso1"/>
    <w:basedOn w:val="Normal"/>
    <w:uiPriority w:val="99"/>
    <w:rsid w:val="00E847B5"/>
    <w:pPr>
      <w:suppressAutoHyphens w:val="0"/>
      <w:spacing w:line="360" w:lineRule="auto"/>
    </w:pPr>
    <w:rPr>
      <w:rFonts w:ascii="Garamond" w:hAnsi="Garamond"/>
      <w:b/>
      <w:bCs/>
      <w:smallCaps/>
      <w:sz w:val="20"/>
      <w:u w:val="single"/>
    </w:rPr>
  </w:style>
  <w:style w:type="paragraph" w:styleId="NormalWeb">
    <w:name w:val="Normal (Web)"/>
    <w:basedOn w:val="Normal"/>
    <w:uiPriority w:val="99"/>
    <w:rsid w:val="00E847B5"/>
    <w:pPr>
      <w:suppressAutoHyphens w:val="0"/>
      <w:spacing w:before="100" w:beforeAutospacing="1" w:after="100" w:afterAutospacing="1"/>
    </w:pPr>
    <w:rPr>
      <w:szCs w:val="24"/>
      <w:lang w:eastAsia="en-GB"/>
    </w:rPr>
  </w:style>
  <w:style w:type="paragraph" w:customStyle="1" w:styleId="articleti">
    <w:name w:val="articleti"/>
    <w:basedOn w:val="Normal"/>
    <w:uiPriority w:val="99"/>
    <w:rsid w:val="00E847B5"/>
    <w:pPr>
      <w:suppressAutoHyphens w:val="0"/>
      <w:spacing w:before="100" w:beforeAutospacing="1" w:after="100" w:afterAutospacing="1"/>
      <w:jc w:val="center"/>
    </w:pPr>
    <w:rPr>
      <w:i/>
      <w:iCs/>
      <w:szCs w:val="24"/>
      <w:lang w:eastAsia="en-GB"/>
    </w:rPr>
  </w:style>
  <w:style w:type="paragraph" w:customStyle="1" w:styleId="articlesti">
    <w:name w:val="articlesti"/>
    <w:basedOn w:val="Normal"/>
    <w:uiPriority w:val="99"/>
    <w:rsid w:val="00E847B5"/>
    <w:pPr>
      <w:suppressAutoHyphens w:val="0"/>
      <w:spacing w:before="100" w:beforeAutospacing="1" w:after="100" w:afterAutospacing="1"/>
      <w:jc w:val="center"/>
    </w:pPr>
    <w:rPr>
      <w:b/>
      <w:bCs/>
      <w:szCs w:val="24"/>
      <w:lang w:eastAsia="en-GB"/>
    </w:rPr>
  </w:style>
  <w:style w:type="paragraph" w:customStyle="1" w:styleId="grseq3ti">
    <w:name w:val="grseq3ti"/>
    <w:basedOn w:val="Normal"/>
    <w:uiPriority w:val="99"/>
    <w:rsid w:val="00A25DBC"/>
    <w:pPr>
      <w:suppressAutoHyphens w:val="0"/>
      <w:spacing w:before="100" w:beforeAutospacing="1" w:after="100" w:afterAutospacing="1"/>
    </w:pPr>
    <w:rPr>
      <w:b/>
      <w:bCs/>
      <w:szCs w:val="24"/>
      <w:lang w:eastAsia="en-GB"/>
    </w:rPr>
  </w:style>
  <w:style w:type="character" w:styleId="Emphasis">
    <w:name w:val="Emphasis"/>
    <w:basedOn w:val="DefaultParagraphFont"/>
    <w:uiPriority w:val="99"/>
    <w:qFormat/>
    <w:rsid w:val="009664AE"/>
    <w:rPr>
      <w:rFonts w:cs="Times New Roman"/>
      <w:i/>
      <w:iCs/>
    </w:rPr>
  </w:style>
  <w:style w:type="paragraph" w:styleId="DocumentMap">
    <w:name w:val="Document Map"/>
    <w:basedOn w:val="Normal"/>
    <w:link w:val="DocumentMapChar"/>
    <w:uiPriority w:val="99"/>
    <w:semiHidden/>
    <w:rsid w:val="00991B15"/>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Pr>
      <w:rFonts w:cs="Times New Roman"/>
      <w:sz w:val="2"/>
      <w:lang w:val="en-GB" w:eastAsia="fr-FR"/>
    </w:rPr>
  </w:style>
  <w:style w:type="table" w:styleId="TableGrid">
    <w:name w:val="Table Grid"/>
    <w:basedOn w:val="TableNormal"/>
    <w:uiPriority w:val="99"/>
    <w:rsid w:val="00090E56"/>
    <w:pPr>
      <w:suppressAutoHyphens/>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C360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coe.int/humanrightstrustfund" TargetMode="External" /><Relationship Id="rId11" Type="http://schemas.openxmlformats.org/officeDocument/2006/relationships/hyperlink" Target="http://www.coe.int/humanrightstrustfund" TargetMode="Externa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footer" Target="footer2.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e.int/humanrightstrustfund" TargetMode="External" /><Relationship Id="rId5" Type="http://schemas.openxmlformats.org/officeDocument/2006/relationships/hyperlink" Target="http://www.coe.int/humanrightstrustfund" TargetMode="External" /><Relationship Id="rId6" Type="http://schemas.openxmlformats.org/officeDocument/2006/relationships/hyperlink" Target="http://www.coe.int/humanrightstrustfund"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yperlink" Target="http://www.coe.int/humanrightstrustfund"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37</Pages>
  <Words>12315</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3</cp:revision>
  <cp:lastPrinted>2011-08-17T12:18:00Z</cp:lastPrinted>
  <dcterms:created xsi:type="dcterms:W3CDTF">2013-03-12T16:14:00Z</dcterms:created>
  <dcterms:modified xsi:type="dcterms:W3CDTF">2013-03-12T16:18:00Z</dcterms:modified>
  <cp:category>ECHR Template</cp:category>
</cp:coreProperties>
</file>