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97C" w:rsidP="00042867" w:rsidRDefault="0064397C">
      <w:pPr>
        <w:jc w:val="center"/>
      </w:pPr>
      <w:bookmarkStart w:name="_GoBack" w:id="0"/>
      <w:bookmarkEnd w:id="0"/>
    </w:p>
    <w:p w:rsidR="0064397C" w:rsidP="00042867" w:rsidRDefault="0064397C">
      <w:pPr>
        <w:jc w:val="center"/>
      </w:pPr>
    </w:p>
    <w:p w:rsidRPr="00122324" w:rsidR="00F71A6A" w:rsidP="00042867" w:rsidRDefault="00F71A6A">
      <w:pPr>
        <w:jc w:val="center"/>
      </w:pPr>
    </w:p>
    <w:p w:rsidRPr="00122324" w:rsidR="00F71A6A" w:rsidP="00042867" w:rsidRDefault="00122324">
      <w:pPr>
        <w:jc w:val="center"/>
      </w:pPr>
      <w:r w:rsidRPr="00122324">
        <w:t>FIRST SECTION</w:t>
      </w:r>
    </w:p>
    <w:p w:rsidR="0064397C" w:rsidP="00042867" w:rsidRDefault="0064397C">
      <w:pPr>
        <w:jc w:val="center"/>
      </w:pPr>
    </w:p>
    <w:p w:rsidR="0064397C" w:rsidP="00042867" w:rsidRDefault="0064397C">
      <w:pPr>
        <w:jc w:val="center"/>
      </w:pPr>
    </w:p>
    <w:p w:rsidR="0064397C" w:rsidP="00042867" w:rsidRDefault="0064397C">
      <w:pPr>
        <w:jc w:val="center"/>
      </w:pPr>
    </w:p>
    <w:p w:rsidR="0064397C" w:rsidP="00042867" w:rsidRDefault="0064397C">
      <w:pPr>
        <w:jc w:val="center"/>
      </w:pPr>
    </w:p>
    <w:p w:rsidR="0064397C" w:rsidP="00042867" w:rsidRDefault="0064397C">
      <w:pPr>
        <w:jc w:val="center"/>
      </w:pPr>
    </w:p>
    <w:p w:rsidRPr="00122324" w:rsidR="00F71A6A" w:rsidP="00042867" w:rsidRDefault="00F71A6A">
      <w:pPr>
        <w:jc w:val="center"/>
      </w:pPr>
    </w:p>
    <w:p w:rsidRPr="00122324" w:rsidR="00F71A6A" w:rsidP="00042867" w:rsidRDefault="00F71A6A">
      <w:pPr>
        <w:jc w:val="center"/>
        <w:rPr>
          <w:b/>
        </w:rPr>
      </w:pPr>
      <w:bookmarkStart w:name="To" w:id="1"/>
      <w:r w:rsidRPr="00122324">
        <w:rPr>
          <w:b/>
        </w:rPr>
        <w:t xml:space="preserve">CASE OF </w:t>
      </w:r>
      <w:bookmarkEnd w:id="1"/>
      <w:r w:rsidRPr="00122324" w:rsidR="00122324">
        <w:rPr>
          <w:b/>
        </w:rPr>
        <w:t xml:space="preserve">ROBATHIN v. </w:t>
      </w:r>
      <w:smartTag w:uri="urn:schemas-microsoft-com:office:smarttags" w:element="place">
        <w:smartTag w:uri="urn:schemas-microsoft-com:office:smarttags" w:element="country-region">
          <w:r w:rsidR="00122324" w:rsidRPr="00122324">
            <w:rPr>
              <w:b/>
            </w:rPr>
            <w:t>AUSTRIA</w:t>
          </w:r>
        </w:smartTag>
      </w:smartTag>
    </w:p>
    <w:p w:rsidRPr="00122324" w:rsidR="00F71A6A" w:rsidP="00042867" w:rsidRDefault="00F71A6A">
      <w:pPr>
        <w:jc w:val="center"/>
      </w:pPr>
    </w:p>
    <w:p w:rsidRPr="00122324" w:rsidR="00F71A6A" w:rsidP="00042867" w:rsidRDefault="00F71A6A">
      <w:pPr>
        <w:jc w:val="center"/>
        <w:rPr>
          <w:i/>
        </w:rPr>
      </w:pPr>
      <w:r w:rsidRPr="00122324">
        <w:rPr>
          <w:i/>
        </w:rPr>
        <w:t>(</w:t>
      </w:r>
      <w:r w:rsidRPr="00122324" w:rsidR="00122324">
        <w:rPr>
          <w:i/>
        </w:rPr>
        <w:t>Application no. 30457/06</w:t>
      </w:r>
      <w:r w:rsidRPr="00122324">
        <w:rPr>
          <w:i/>
        </w:rPr>
        <w:t>)</w:t>
      </w:r>
    </w:p>
    <w:p w:rsidRPr="00122324" w:rsidR="00F71A6A" w:rsidP="00042867" w:rsidRDefault="00F71A6A">
      <w:pPr>
        <w:jc w:val="center"/>
      </w:pPr>
    </w:p>
    <w:p w:rsidRPr="00122324" w:rsidR="00F71A6A" w:rsidP="00042867" w:rsidRDefault="00F71A6A">
      <w:pPr>
        <w:jc w:val="center"/>
      </w:pPr>
    </w:p>
    <w:p w:rsidRPr="00122324" w:rsidR="00F71A6A" w:rsidP="00042867" w:rsidRDefault="00F71A6A">
      <w:pPr>
        <w:jc w:val="center"/>
      </w:pPr>
    </w:p>
    <w:p w:rsidRPr="00122324" w:rsidR="00F71A6A" w:rsidP="00042867" w:rsidRDefault="00F71A6A">
      <w:pPr>
        <w:jc w:val="center"/>
      </w:pPr>
    </w:p>
    <w:p w:rsidRPr="00122324" w:rsidR="00F71A6A" w:rsidP="00042867" w:rsidRDefault="00F71A6A">
      <w:pPr>
        <w:jc w:val="center"/>
      </w:pPr>
    </w:p>
    <w:p w:rsidRPr="00122324" w:rsidR="00F71A6A" w:rsidP="00042867" w:rsidRDefault="00F71A6A">
      <w:pPr>
        <w:jc w:val="center"/>
      </w:pPr>
    </w:p>
    <w:p w:rsidR="0032579A" w:rsidP="00422563" w:rsidRDefault="0064397C">
      <w:pPr>
        <w:jc w:val="center"/>
        <w:rPr>
          <w:szCs w:val="24"/>
        </w:rPr>
      </w:pPr>
      <w:r>
        <w:rPr>
          <w:szCs w:val="24"/>
        </w:rPr>
        <w:t>JUDGMENT</w:t>
      </w:r>
    </w:p>
    <w:p w:rsidR="00422563" w:rsidP="00422563" w:rsidRDefault="00422563">
      <w:pPr>
        <w:jc w:val="center"/>
        <w:rPr>
          <w:szCs w:val="24"/>
        </w:rPr>
      </w:pPr>
    </w:p>
    <w:p w:rsidR="0064397C" w:rsidP="0064397C" w:rsidRDefault="0064397C">
      <w:pPr>
        <w:jc w:val="center"/>
      </w:pPr>
    </w:p>
    <w:p w:rsidR="0064397C" w:rsidP="0064397C" w:rsidRDefault="0064397C">
      <w:pPr>
        <w:jc w:val="center"/>
      </w:pPr>
    </w:p>
    <w:p w:rsidR="0064397C" w:rsidP="0064397C" w:rsidRDefault="0064397C">
      <w:pPr>
        <w:jc w:val="center"/>
      </w:pPr>
      <w:smartTag w:uri="urn:schemas-microsoft-com:office:smarttags" w:element="place">
        <w:smartTag w:uri="urn:schemas-microsoft-com:office:smarttags" w:element="City">
          <w:r>
            <w:t>STRASBOURG</w:t>
          </w:r>
        </w:smartTag>
      </w:smartTag>
    </w:p>
    <w:p w:rsidR="0064397C" w:rsidP="0064397C" w:rsidRDefault="0064397C">
      <w:pPr>
        <w:jc w:val="center"/>
      </w:pPr>
    </w:p>
    <w:p w:rsidR="0064397C" w:rsidP="0064397C" w:rsidRDefault="0064397C">
      <w:pPr>
        <w:jc w:val="center"/>
      </w:pPr>
      <w:r>
        <w:t>3 July 2012</w:t>
      </w:r>
    </w:p>
    <w:p w:rsidR="0064397C" w:rsidP="0064397C" w:rsidRDefault="0064397C">
      <w:pPr>
        <w:jc w:val="center"/>
      </w:pPr>
    </w:p>
    <w:p w:rsidRPr="005428F6" w:rsidR="00E56382" w:rsidP="00E56382" w:rsidRDefault="00E56382">
      <w:pPr>
        <w:jc w:val="center"/>
        <w:rPr>
          <w:b/>
          <w:bCs/>
          <w:color w:val="FF0000"/>
          <w:sz w:val="28"/>
          <w:szCs w:val="28"/>
          <w:u w:val="single"/>
        </w:rPr>
      </w:pPr>
      <w:bookmarkStart w:name="OLE_LINK3" w:id="2"/>
      <w:bookmarkStart w:name="OLE_LINK4" w:id="3"/>
      <w:bookmarkStart w:name="OLE_LINK8" w:id="4"/>
      <w:r w:rsidRPr="005428F6">
        <w:rPr>
          <w:b/>
          <w:bCs/>
          <w:color w:val="FF0000"/>
          <w:sz w:val="28"/>
          <w:szCs w:val="28"/>
          <w:u w:val="single"/>
        </w:rPr>
        <w:t>FINAL</w:t>
      </w:r>
    </w:p>
    <w:p w:rsidRPr="00B54AEE" w:rsidR="00E56382" w:rsidP="00E56382" w:rsidRDefault="00E56382">
      <w:pPr>
        <w:jc w:val="center"/>
        <w:rPr>
          <w:b/>
          <w:color w:val="FF0000"/>
          <w:u w:val="single"/>
        </w:rPr>
      </w:pPr>
    </w:p>
    <w:p w:rsidRPr="00B54AEE" w:rsidR="00E56382" w:rsidP="00E56382" w:rsidRDefault="00E56382">
      <w:pPr>
        <w:jc w:val="center"/>
        <w:rPr>
          <w:i/>
          <w:color w:val="FF0000"/>
          <w:sz w:val="28"/>
          <w:szCs w:val="28"/>
        </w:rPr>
      </w:pPr>
      <w:r>
        <w:rPr>
          <w:i/>
          <w:color w:val="FF0000"/>
          <w:sz w:val="28"/>
          <w:szCs w:val="28"/>
        </w:rPr>
        <w:t>03/10/2012</w:t>
      </w:r>
    </w:p>
    <w:p w:rsidRPr="00B54AEE" w:rsidR="00E56382" w:rsidP="00E56382" w:rsidRDefault="00E56382">
      <w:pPr>
        <w:jc w:val="center"/>
        <w:rPr>
          <w:i/>
        </w:rPr>
      </w:pPr>
    </w:p>
    <w:p w:rsidR="0064397C" w:rsidP="00E56382" w:rsidRDefault="00E56382">
      <w:pPr>
        <w:jc w:val="both"/>
        <w:rPr>
          <w:i/>
          <w:sz w:val="22"/>
        </w:rPr>
      </w:pPr>
      <w:r w:rsidRPr="00D01D56">
        <w:rPr>
          <w:i/>
          <w:color w:val="000000"/>
          <w:sz w:val="22"/>
          <w:szCs w:val="22"/>
        </w:rPr>
        <w:t>This judgment has become final under Article 44 § 2 of the Convention. It may be subject to editorial revision</w:t>
      </w:r>
      <w:r w:rsidRPr="00D01D56">
        <w:rPr>
          <w:i/>
          <w:sz w:val="22"/>
          <w:szCs w:val="22"/>
        </w:rPr>
        <w:t>.</w:t>
      </w:r>
      <w:bookmarkEnd w:id="2"/>
      <w:bookmarkEnd w:id="3"/>
      <w:bookmarkEnd w:id="4"/>
    </w:p>
    <w:p w:rsidRPr="0064397C" w:rsidR="0064397C" w:rsidP="0064397C" w:rsidRDefault="0064397C">
      <w:pPr>
        <w:jc w:val="both"/>
        <w:sectPr w:rsidRPr="0064397C" w:rsidR="0064397C" w:rsidSect="0064397C">
          <w:headerReference w:type="default" r:id="rId7"/>
          <w:headerReference w:type="first" r:id="rId8"/>
          <w:footerReference w:type="first" r:id="rId9"/>
          <w:footnotePr>
            <w:numRestart w:val="eachPage"/>
          </w:footnotePr>
          <w:pgSz w:w="11906" w:h="16838" w:code="9"/>
          <w:pgMar w:top="2274" w:right="2274" w:bottom="2274" w:left="2274" w:header="1701" w:footer="720" w:gutter="0"/>
          <w:pgNumType w:start="1"/>
          <w:cols w:space="720"/>
          <w:titlePg/>
          <w:docGrid w:linePitch="326"/>
        </w:sectPr>
      </w:pPr>
    </w:p>
    <w:p w:rsidRPr="00E46234" w:rsidR="00F71A6A" w:rsidP="00E56382" w:rsidRDefault="00F71A6A">
      <w:pPr>
        <w:pStyle w:val="JuCase"/>
        <w:rPr>
          <w:szCs w:val="24"/>
        </w:rPr>
      </w:pPr>
      <w:r w:rsidRPr="00122324">
        <w:t xml:space="preserve">In the case of </w:t>
      </w:r>
      <w:r w:rsidRPr="00E56382" w:rsidR="00122324">
        <w:t xml:space="preserve">Robathin v. </w:t>
      </w:r>
      <w:smartTag w:uri="urn:schemas-microsoft-com:office:smarttags" w:element="place">
        <w:smartTag w:uri="urn:schemas-microsoft-com:office:smarttags" w:element="country-region">
          <w:r w:rsidR="00122324" w:rsidRPr="00E56382">
            <w:t>Austria</w:t>
          </w:r>
        </w:smartTag>
      </w:smartTag>
      <w:r w:rsidRPr="00122324">
        <w:t>,</w:t>
      </w:r>
    </w:p>
    <w:p w:rsidRPr="00122324" w:rsidR="00730433" w:rsidP="009F0055" w:rsidRDefault="00F71A6A">
      <w:pPr>
        <w:pStyle w:val="JuPara"/>
      </w:pPr>
      <w:r w:rsidRPr="00122324">
        <w:t>The European Court of Human Rights (</w:t>
      </w:r>
      <w:r w:rsidRPr="00122324" w:rsidR="00122324">
        <w:t>First Section</w:t>
      </w:r>
      <w:r w:rsidRPr="00122324">
        <w:t xml:space="preserve">), sitting as a </w:t>
      </w:r>
      <w:r w:rsidRPr="00122324" w:rsidR="00122324">
        <w:t>Chamber</w:t>
      </w:r>
      <w:r w:rsidRPr="00122324" w:rsidR="00730433">
        <w:t xml:space="preserve"> composed of:</w:t>
      </w:r>
    </w:p>
    <w:p w:rsidRPr="00122324" w:rsidR="00F71A6A" w:rsidP="008824B9" w:rsidRDefault="0064397C">
      <w:pPr>
        <w:pStyle w:val="JuJudges"/>
      </w:pPr>
      <w:r w:rsidRPr="0064397C">
        <w:tab/>
        <w:t>Nina</w:t>
      </w:r>
      <w:r>
        <w:t xml:space="preserve"> </w:t>
      </w:r>
      <w:r w:rsidRPr="0064397C">
        <w:t>Vajić</w:t>
      </w:r>
      <w:r>
        <w:t>,</w:t>
      </w:r>
      <w:r w:rsidRPr="0064397C">
        <w:rPr>
          <w:i/>
        </w:rPr>
        <w:t xml:space="preserve"> President,</w:t>
      </w:r>
      <w:r>
        <w:rPr>
          <w:i/>
        </w:rPr>
        <w:br/>
      </w:r>
      <w:r w:rsidRPr="0064397C">
        <w:tab/>
        <w:t>Anatoly</w:t>
      </w:r>
      <w:r>
        <w:t xml:space="preserve"> </w:t>
      </w:r>
      <w:r w:rsidRPr="0064397C">
        <w:t>Kovler</w:t>
      </w:r>
      <w:r>
        <w:t>,</w:t>
      </w:r>
      <w:r>
        <w:rPr>
          <w:i/>
        </w:rPr>
        <w:br/>
      </w:r>
      <w:r w:rsidRPr="0064397C">
        <w:tab/>
        <w:t>Peer</w:t>
      </w:r>
      <w:r>
        <w:t xml:space="preserve"> </w:t>
      </w:r>
      <w:r w:rsidRPr="0064397C">
        <w:t>Lorenzen</w:t>
      </w:r>
      <w:r>
        <w:t>,</w:t>
      </w:r>
      <w:r>
        <w:rPr>
          <w:i/>
        </w:rPr>
        <w:br/>
      </w:r>
      <w:r w:rsidRPr="0064397C">
        <w:tab/>
        <w:t>Elisabeth</w:t>
      </w:r>
      <w:r>
        <w:t xml:space="preserve"> </w:t>
      </w:r>
      <w:r w:rsidRPr="0064397C">
        <w:t>Steiner</w:t>
      </w:r>
      <w:r>
        <w:t>,</w:t>
      </w:r>
      <w:r>
        <w:rPr>
          <w:i/>
        </w:rPr>
        <w:br/>
      </w:r>
      <w:r w:rsidRPr="0064397C">
        <w:tab/>
        <w:t>Khanlar</w:t>
      </w:r>
      <w:r>
        <w:t xml:space="preserve"> </w:t>
      </w:r>
      <w:r w:rsidRPr="0064397C">
        <w:t>Hajiyev</w:t>
      </w:r>
      <w:r>
        <w:t>,</w:t>
      </w:r>
      <w:r>
        <w:rPr>
          <w:i/>
        </w:rPr>
        <w:br/>
      </w:r>
      <w:r w:rsidRPr="0064397C">
        <w:tab/>
        <w:t>Mirjana</w:t>
      </w:r>
      <w:r>
        <w:t xml:space="preserve"> </w:t>
      </w:r>
      <w:r w:rsidRPr="0064397C">
        <w:t>Lazarova Trajkovska</w:t>
      </w:r>
      <w:r>
        <w:t>,</w:t>
      </w:r>
      <w:r>
        <w:rPr>
          <w:i/>
        </w:rPr>
        <w:br/>
      </w:r>
      <w:r w:rsidRPr="0064397C">
        <w:tab/>
        <w:t>Julia</w:t>
      </w:r>
      <w:r>
        <w:t xml:space="preserve"> </w:t>
      </w:r>
      <w:r w:rsidRPr="0064397C">
        <w:t>Laffranque</w:t>
      </w:r>
      <w:r>
        <w:t>,</w:t>
      </w:r>
      <w:r w:rsidRPr="0064397C">
        <w:rPr>
          <w:i/>
        </w:rPr>
        <w:t xml:space="preserve"> judges,</w:t>
      </w:r>
      <w:r w:rsidRPr="00122324" w:rsidR="00337600">
        <w:br/>
      </w:r>
      <w:r w:rsidRPr="00122324" w:rsidR="00F71A6A">
        <w:t>and</w:t>
      </w:r>
      <w:r w:rsidRPr="00122324" w:rsidR="000726F6">
        <w:t xml:space="preserve"> </w:t>
      </w:r>
      <w:r w:rsidRPr="00122324" w:rsidR="00122324">
        <w:t>Søren Nielsen</w:t>
      </w:r>
      <w:r w:rsidRPr="00122324" w:rsidR="009D4B87">
        <w:rPr>
          <w:rStyle w:val="JuJudgesChar"/>
        </w:rPr>
        <w:t xml:space="preserve">, </w:t>
      </w:r>
      <w:r w:rsidRPr="00122324" w:rsidR="00122324">
        <w:rPr>
          <w:i/>
        </w:rPr>
        <w:t xml:space="preserve">Section </w:t>
      </w:r>
      <w:r w:rsidRPr="00122324" w:rsidR="00122324">
        <w:rPr>
          <w:i/>
          <w:iCs/>
        </w:rPr>
        <w:t>Registrar</w:t>
      </w:r>
      <w:r w:rsidRPr="00122324" w:rsidR="00F71A6A">
        <w:rPr>
          <w:i/>
        </w:rPr>
        <w:t>,</w:t>
      </w:r>
    </w:p>
    <w:p w:rsidRPr="00122324" w:rsidR="00F71A6A" w:rsidP="002F4BCF" w:rsidRDefault="00F71A6A">
      <w:pPr>
        <w:pStyle w:val="JuPara"/>
      </w:pPr>
      <w:r w:rsidRPr="00122324">
        <w:t xml:space="preserve">Having deliberated in private on </w:t>
      </w:r>
      <w:r w:rsidR="0064397C">
        <w:t>12 June 2012</w:t>
      </w:r>
      <w:r w:rsidRPr="00122324">
        <w:t>,</w:t>
      </w:r>
    </w:p>
    <w:p w:rsidRPr="00122324" w:rsidR="00F71A6A" w:rsidP="002F4BCF" w:rsidRDefault="00F71A6A">
      <w:pPr>
        <w:pStyle w:val="JuPara"/>
      </w:pPr>
      <w:r w:rsidRPr="00122324">
        <w:t>Delivers the following judgment, which was adopted on that date:</w:t>
      </w:r>
    </w:p>
    <w:p w:rsidRPr="00122324" w:rsidR="00F71A6A" w:rsidP="008824B9" w:rsidRDefault="00F71A6A">
      <w:pPr>
        <w:pStyle w:val="JuHHead"/>
      </w:pPr>
      <w:r w:rsidRPr="00122324">
        <w:t>PROCEDURE</w:t>
      </w:r>
    </w:p>
    <w:p w:rsidR="0032579A" w:rsidP="002F4BCF" w:rsidRDefault="00122324">
      <w:pPr>
        <w:pStyle w:val="JuPara"/>
      </w:pPr>
      <w:r w:rsidRPr="00122324">
        <w:fldChar w:fldCharType="begin"/>
      </w:r>
      <w:r w:rsidRPr="00122324">
        <w:instrText xml:space="preserve"> SEQ level0 \*arabic </w:instrText>
      </w:r>
      <w:r w:rsidRPr="00122324">
        <w:fldChar w:fldCharType="separate"/>
      </w:r>
      <w:r w:rsidR="00E56382">
        <w:rPr>
          <w:noProof/>
        </w:rPr>
        <w:t>1</w:t>
      </w:r>
      <w:r w:rsidRPr="00122324">
        <w:fldChar w:fldCharType="end"/>
      </w:r>
      <w:r w:rsidRPr="00122324" w:rsidR="00F71A6A">
        <w:t xml:space="preserve">.  The case originated in </w:t>
      </w:r>
      <w:r w:rsidRPr="00122324">
        <w:t>an application (no. 30457/06)</w:t>
      </w:r>
      <w:r w:rsidRPr="00122324" w:rsidR="00F71A6A">
        <w:t xml:space="preserve"> against </w:t>
      </w:r>
      <w:r w:rsidRPr="00122324">
        <w:t xml:space="preserve">the </w:t>
      </w:r>
      <w:smartTag w:uri="urn:schemas-microsoft-com:office:smarttags" w:element="place">
        <w:smartTag w:uri="urn:schemas-microsoft-com:office:smarttags" w:element="PlaceType">
          <w:smartTag w:uri="urn:schemas:contacts" w:element="Sn">
            <w:r w:rsidRPr="00122324">
              <w:t>Republic</w:t>
            </w:r>
          </w:smartTag>
        </w:smartTag>
        <w:r w:rsidRPr="00122324">
          <w:t xml:space="preserve"> of </w:t>
        </w:r>
        <w:smartTag w:uri="urn:schemas-microsoft-com:office:smarttags" w:element="PlaceName">
          <w:r w:rsidRPr="00122324">
            <w:t>Austria</w:t>
          </w:r>
        </w:smartTag>
      </w:smartTag>
      <w:r w:rsidRPr="00122324" w:rsidR="00F71A6A">
        <w:t xml:space="preserve"> lodged with the </w:t>
      </w:r>
      <w:r w:rsidRPr="00122324">
        <w:t>Court under Article 34</w:t>
      </w:r>
      <w:r w:rsidRPr="00122324" w:rsidR="004920B1">
        <w:t xml:space="preserve"> of the Convention for the Protection of Human Rights and Fundamental Freedoms (“the Convention”)</w:t>
      </w:r>
      <w:r w:rsidRPr="00122324" w:rsidR="00F71A6A">
        <w:t xml:space="preserve"> by </w:t>
      </w:r>
      <w:r w:rsidRPr="00122324">
        <w:t>an Austrian national, Mr Heinz Robathin (“the applicant”), on 20 July 2006</w:t>
      </w:r>
      <w:r w:rsidR="00422563">
        <w:t>.</w:t>
      </w:r>
    </w:p>
    <w:p w:rsidRPr="00122324" w:rsidR="00122324" w:rsidP="002F4BCF" w:rsidRDefault="00122324">
      <w:pPr>
        <w:pStyle w:val="JuPara"/>
      </w:pPr>
      <w:r w:rsidRPr="00122324">
        <w:fldChar w:fldCharType="begin"/>
      </w:r>
      <w:r w:rsidRPr="00122324">
        <w:instrText xml:space="preserve"> SEQ level0 \*arabic </w:instrText>
      </w:r>
      <w:r w:rsidRPr="00122324">
        <w:fldChar w:fldCharType="separate"/>
      </w:r>
      <w:r w:rsidR="00E56382">
        <w:rPr>
          <w:noProof/>
        </w:rPr>
        <w:t>2</w:t>
      </w:r>
      <w:r w:rsidRPr="00122324">
        <w:fldChar w:fldCharType="end"/>
      </w:r>
      <w:r w:rsidRPr="00122324" w:rsidR="00F71A6A">
        <w:t>.  </w:t>
      </w:r>
      <w:r w:rsidRPr="00122324">
        <w:t xml:space="preserve">The applicant was represented by Mr R. Soyer, a lawyer practising in </w:t>
      </w:r>
      <w:smartTag w:uri="urn:schemas-microsoft-com:office:smarttags" w:element="place">
        <w:smartTag w:uri="urn:schemas-microsoft-com:office:smarttags" w:element="City">
          <w:r w:rsidRPr="00122324">
            <w:t>Vienna</w:t>
          </w:r>
        </w:smartTag>
      </w:smartTag>
      <w:r w:rsidRPr="00122324">
        <w:t xml:space="preserve">. </w:t>
      </w:r>
      <w:r w:rsidRPr="00122324" w:rsidR="00F71A6A">
        <w:t xml:space="preserve">The </w:t>
      </w:r>
      <w:r w:rsidRPr="00122324">
        <w:t>Austrian</w:t>
      </w:r>
      <w:r w:rsidRPr="00122324" w:rsidR="00F71A6A">
        <w:t xml:space="preserve"> Government (“the Government”) were represented by their Agent,</w:t>
      </w:r>
      <w:r w:rsidR="0032579A">
        <w:t xml:space="preserve"> Ambassador H. Tichy, Head of the International Law Department at the Federal Ministry for European and International Affairs</w:t>
      </w:r>
      <w:r w:rsidRPr="00122324" w:rsidR="00F71A6A">
        <w:t>.</w:t>
      </w:r>
    </w:p>
    <w:p w:rsidRPr="00122324" w:rsidR="00F71A6A" w:rsidP="002F4BCF" w:rsidRDefault="00122324">
      <w:pPr>
        <w:pStyle w:val="JuPara"/>
      </w:pPr>
      <w:r w:rsidRPr="00122324">
        <w:fldChar w:fldCharType="begin"/>
      </w:r>
      <w:r w:rsidRPr="00122324">
        <w:instrText xml:space="preserve"> SEQ level0 \*arabic </w:instrText>
      </w:r>
      <w:r w:rsidRPr="00122324">
        <w:fldChar w:fldCharType="separate"/>
      </w:r>
      <w:r w:rsidR="00E56382">
        <w:rPr>
          <w:noProof/>
        </w:rPr>
        <w:t>3</w:t>
      </w:r>
      <w:r w:rsidRPr="00122324">
        <w:fldChar w:fldCharType="end"/>
      </w:r>
      <w:r w:rsidRPr="00122324">
        <w:t>.  </w:t>
      </w:r>
      <w:r w:rsidRPr="00677982" w:rsidR="0032579A">
        <w:t xml:space="preserve">The applicant alleged </w:t>
      </w:r>
      <w:r w:rsidR="0032579A">
        <w:t>that the search and seizure of electronic data from his law office had violated his rights under Article 8 of the Convention</w:t>
      </w:r>
      <w:r w:rsidRPr="00122324">
        <w:t>.</w:t>
      </w:r>
    </w:p>
    <w:p w:rsidRPr="00122324" w:rsidR="00F71A6A" w:rsidP="002F4BCF" w:rsidRDefault="00122324">
      <w:pPr>
        <w:pStyle w:val="JuPara"/>
      </w:pPr>
      <w:r w:rsidRPr="00122324">
        <w:fldChar w:fldCharType="begin"/>
      </w:r>
      <w:r w:rsidRPr="00122324">
        <w:instrText xml:space="preserve"> SEQ level0 \*arabic </w:instrText>
      </w:r>
      <w:r w:rsidRPr="00122324">
        <w:fldChar w:fldCharType="separate"/>
      </w:r>
      <w:r w:rsidR="00E56382">
        <w:rPr>
          <w:noProof/>
        </w:rPr>
        <w:t>4</w:t>
      </w:r>
      <w:r w:rsidRPr="00122324">
        <w:fldChar w:fldCharType="end"/>
      </w:r>
      <w:r w:rsidRPr="00122324" w:rsidR="00F71A6A">
        <w:t xml:space="preserve">.  On </w:t>
      </w:r>
      <w:r w:rsidRPr="00122324">
        <w:rPr>
          <w:szCs w:val="24"/>
        </w:rPr>
        <w:t>5 September 2008</w:t>
      </w:r>
      <w:r w:rsidRPr="00122324" w:rsidR="00F71A6A">
        <w:t xml:space="preserve"> </w:t>
      </w:r>
      <w:r w:rsidRPr="00122324" w:rsidR="0009409F">
        <w:t xml:space="preserve">the </w:t>
      </w:r>
      <w:r w:rsidRPr="00122324">
        <w:t>application was</w:t>
      </w:r>
      <w:r w:rsidRPr="00122324" w:rsidR="0009409F">
        <w:t xml:space="preserve"> communicated </w:t>
      </w:r>
      <w:r w:rsidRPr="00122324" w:rsidR="00F71A6A">
        <w:t>to the Gove</w:t>
      </w:r>
      <w:r w:rsidRPr="00122324" w:rsidR="00485A6F">
        <w:t>rnment.</w:t>
      </w:r>
      <w:r w:rsidRPr="00122324">
        <w:t xml:space="preserve"> It was also decided to rule on the admissibility and merits of the application at the same time (Article 29 § 1).</w:t>
      </w:r>
    </w:p>
    <w:p w:rsidRPr="00122324" w:rsidR="00F71A6A" w:rsidP="008824B9" w:rsidRDefault="00F71A6A">
      <w:pPr>
        <w:pStyle w:val="JuHHead"/>
      </w:pPr>
      <w:r w:rsidRPr="00122324">
        <w:t>THE FACTS</w:t>
      </w:r>
    </w:p>
    <w:p w:rsidRPr="00122324" w:rsidR="00D353F4" w:rsidP="008824B9" w:rsidRDefault="007352DD">
      <w:pPr>
        <w:pStyle w:val="JuHIRoman"/>
        <w:outlineLvl w:val="0"/>
      </w:pPr>
      <w:r w:rsidRPr="00122324">
        <w:t xml:space="preserve">I.  THE CIRCUMSTANCES OF THE </w:t>
      </w:r>
      <w:r w:rsidRPr="00122324" w:rsidR="00D353F4">
        <w:t>CASE</w:t>
      </w:r>
    </w:p>
    <w:p w:rsidRPr="00122324" w:rsidR="00F71A6A" w:rsidP="002F4BCF" w:rsidRDefault="00122324">
      <w:pPr>
        <w:pStyle w:val="JuPara"/>
      </w:pPr>
      <w:r w:rsidRPr="00122324">
        <w:fldChar w:fldCharType="begin"/>
      </w:r>
      <w:r w:rsidRPr="00122324">
        <w:instrText xml:space="preserve"> SEQ level0 \*arabic </w:instrText>
      </w:r>
      <w:r w:rsidRPr="00122324">
        <w:fldChar w:fldCharType="separate"/>
      </w:r>
      <w:r w:rsidR="00E56382">
        <w:rPr>
          <w:noProof/>
        </w:rPr>
        <w:t>5</w:t>
      </w:r>
      <w:r w:rsidRPr="00122324">
        <w:fldChar w:fldCharType="end"/>
      </w:r>
      <w:r w:rsidRPr="00122324" w:rsidR="00F71A6A">
        <w:t xml:space="preserve">.  The </w:t>
      </w:r>
      <w:r w:rsidRPr="00122324">
        <w:t>applicant was born in 1959 and lives</w:t>
      </w:r>
      <w:r w:rsidRPr="00122324" w:rsidR="00F71A6A">
        <w:t xml:space="preserve"> in </w:t>
      </w:r>
      <w:smartTag w:uri="urn:schemas-microsoft-com:office:smarttags" w:element="place">
        <w:smartTag w:uri="urn:schemas-microsoft-com:office:smarttags" w:element="City">
          <w:r w:rsidRPr="00122324">
            <w:t>Vienna</w:t>
          </w:r>
        </w:smartTag>
      </w:smartTag>
      <w:r w:rsidRPr="00122324" w:rsidR="00F71A6A">
        <w:t>.</w:t>
      </w:r>
    </w:p>
    <w:p w:rsidR="0032579A" w:rsidP="0032579A" w:rsidRDefault="00122324">
      <w:pPr>
        <w:pStyle w:val="JuPara"/>
      </w:pPr>
      <w:r w:rsidRPr="00122324">
        <w:fldChar w:fldCharType="begin"/>
      </w:r>
      <w:r w:rsidRPr="00122324">
        <w:instrText xml:space="preserve"> SEQ level0 \*arabic </w:instrText>
      </w:r>
      <w:r w:rsidRPr="00122324">
        <w:fldChar w:fldCharType="separate"/>
      </w:r>
      <w:r w:rsidR="00E56382">
        <w:rPr>
          <w:noProof/>
        </w:rPr>
        <w:t>6</w:t>
      </w:r>
      <w:r w:rsidRPr="00122324">
        <w:fldChar w:fldCharType="end"/>
      </w:r>
      <w:r w:rsidRPr="00122324" w:rsidR="00F71A6A">
        <w:t>.  </w:t>
      </w:r>
      <w:r w:rsidR="0032579A">
        <w:t>The applicant is a practising lawyer by profession. He runs his law office with a partner.</w:t>
      </w:r>
    </w:p>
    <w:p w:rsidR="0032579A" w:rsidP="0032579A" w:rsidRDefault="0032579A">
      <w:pPr>
        <w:pStyle w:val="JuPara"/>
      </w:pPr>
      <w:r>
        <w:fldChar w:fldCharType="begin"/>
      </w:r>
      <w:r>
        <w:instrText xml:space="preserve"> SEQ level0 \*arabic </w:instrText>
      </w:r>
      <w:r>
        <w:fldChar w:fldCharType="separate"/>
      </w:r>
      <w:r w:rsidR="00E56382">
        <w:rPr>
          <w:noProof/>
        </w:rPr>
        <w:t>7</w:t>
      </w:r>
      <w:r>
        <w:fldChar w:fldCharType="end"/>
      </w:r>
      <w:r>
        <w:t>.  In 2005 criminal proceedings on suspicion of aggravated theft, aggravated fraud and embezzlement were opened against the applicant and a number of other persons by the Vienna Regional Criminal Court (</w:t>
      </w:r>
      <w:r>
        <w:rPr>
          <w:i/>
        </w:rPr>
        <w:t>Landesgericht fü</w:t>
      </w:r>
      <w:r w:rsidRPr="00A7270B">
        <w:rPr>
          <w:i/>
        </w:rPr>
        <w:t>r Strafsachen</w:t>
      </w:r>
      <w:r>
        <w:t>).</w:t>
      </w:r>
    </w:p>
    <w:p w:rsidR="0032579A" w:rsidP="0032579A" w:rsidRDefault="0032579A">
      <w:pPr>
        <w:pStyle w:val="JuPara"/>
      </w:pPr>
      <w:r>
        <w:fldChar w:fldCharType="begin"/>
      </w:r>
      <w:r>
        <w:instrText xml:space="preserve"> SEQ level0 \*arabic </w:instrText>
      </w:r>
      <w:r>
        <w:fldChar w:fldCharType="separate"/>
      </w:r>
      <w:r w:rsidR="00E56382">
        <w:rPr>
          <w:noProof/>
        </w:rPr>
        <w:t>8</w:t>
      </w:r>
      <w:r>
        <w:fldChar w:fldCharType="end"/>
      </w:r>
      <w:r>
        <w:t>.  On 21 February 2006 the investigating judge issued a search warrant for the applicant</w:t>
      </w:r>
      <w:r w:rsidR="00E56382">
        <w:t>’</w:t>
      </w:r>
      <w:r>
        <w:t>s premises. The warrant authorised the search and seizure of the following items:</w:t>
      </w:r>
    </w:p>
    <w:p w:rsidR="0032579A" w:rsidP="0032579A" w:rsidRDefault="0032579A">
      <w:pPr>
        <w:pStyle w:val="JuQuot"/>
      </w:pPr>
      <w:r>
        <w:t>“Documents, personal computers and discs, savings books, bank documents, deeds of gift and wills in favour of Dr Heinz Robathin, and any files concerning R. [name of one person] and G. [name of another person].”</w:t>
      </w:r>
    </w:p>
    <w:bookmarkStart w:name="para9" w:id="5"/>
    <w:p w:rsidR="0032579A" w:rsidP="0032579A" w:rsidRDefault="0032579A">
      <w:pPr>
        <w:pStyle w:val="JuPara"/>
      </w:pPr>
      <w:r>
        <w:fldChar w:fldCharType="begin"/>
      </w:r>
      <w:r>
        <w:instrText xml:space="preserve"> SEQ level0 \*arabic </w:instrText>
      </w:r>
      <w:r>
        <w:fldChar w:fldCharType="separate"/>
      </w:r>
      <w:r w:rsidR="00E56382">
        <w:rPr>
          <w:noProof/>
        </w:rPr>
        <w:t>9</w:t>
      </w:r>
      <w:r>
        <w:fldChar w:fldCharType="end"/>
      </w:r>
      <w:bookmarkEnd w:id="5"/>
      <w:r>
        <w:t>.  In its reasoning, the search warrant stated that the applicant was suspected firstly of having taken furniture, pictures and silver worth more than 50,000 euros (EUR) from Mr R. in December 2003 for personal enrichment; secondly, of having induced Mr G. to sign an agreement for a secured loan of EUR 150,000</w:t>
      </w:r>
      <w:r w:rsidRPr="00B26FF7">
        <w:t xml:space="preserve"> </w:t>
      </w:r>
      <w:r>
        <w:t>in December 2004, which Mr G. then failed to receive; and thirdly, of having abused the power of attorney granted to him by Mr R. in order to make bank transfers, causing the latter financial damage of more than EUR 50,000 in September 2003.</w:t>
      </w:r>
    </w:p>
    <w:p w:rsidR="0032579A" w:rsidP="0032579A" w:rsidRDefault="0032579A">
      <w:pPr>
        <w:pStyle w:val="JuPara"/>
      </w:pPr>
      <w:r>
        <w:fldChar w:fldCharType="begin"/>
      </w:r>
      <w:r>
        <w:instrText xml:space="preserve"> SEQ level0 \*arabic </w:instrText>
      </w:r>
      <w:r>
        <w:fldChar w:fldCharType="separate"/>
      </w:r>
      <w:r w:rsidR="00E56382">
        <w:rPr>
          <w:noProof/>
        </w:rPr>
        <w:t>10</w:t>
      </w:r>
      <w:r>
        <w:fldChar w:fldCharType="end"/>
      </w:r>
      <w:r>
        <w:t>.  The search of the applicant</w:t>
      </w:r>
      <w:r w:rsidR="00E56382">
        <w:t>’</w:t>
      </w:r>
      <w:r>
        <w:t xml:space="preserve">s business premises was carried out by police officers of the Federal Ministry of the Interior on 21 February 2006. The applicant, his defence counsel and a representative of the Vienna Bar </w:t>
      </w:r>
      <w:smartTag w:uri="urn:schemas-microsoft-com:office:smarttags" w:element="PersonName">
        <w:r>
          <w:t>Association</w:t>
        </w:r>
      </w:smartTag>
      <w:r>
        <w:t xml:space="preserve"> were present. The police officers proceeded to search the applicant</w:t>
      </w:r>
      <w:r w:rsidR="00E56382">
        <w:t>’</w:t>
      </w:r>
      <w:r>
        <w:t xml:space="preserve">s computer system, copying all files to </w:t>
      </w:r>
      <w:r w:rsidRPr="00DC7009">
        <w:t>dis</w:t>
      </w:r>
      <w:r>
        <w:t xml:space="preserve">c. The representative of the Vienna Bar </w:t>
      </w:r>
      <w:smartTag w:uri="urn:schemas-microsoft-com:office:smarttags" w:element="PersonName">
        <w:r>
          <w:t>Association</w:t>
        </w:r>
      </w:smartTag>
      <w:r>
        <w:t xml:space="preserve"> opposed this as being disproportionate since it was technically possible, by using appropriate search criteria, to search for and copy only those files which corresponded to the criteria set out in the search warrant. Having contacted the investigating judge, the police officers insisted on copying all files. On the proposal of the representative of the Vienna Bar </w:t>
      </w:r>
      <w:smartTag w:uri="urn:schemas-microsoft-com:office:smarttags" w:element="PersonName">
        <w:r>
          <w:t>Association</w:t>
        </w:r>
      </w:smartTag>
      <w:r>
        <w:t>, the police officers copied all data returned by a search for the names “R.” and “G.” to one disc and all other data to separate discs. All the discs were sealed.</w:t>
      </w:r>
    </w:p>
    <w:p w:rsidR="0032579A" w:rsidP="0032579A" w:rsidRDefault="0032579A">
      <w:pPr>
        <w:pStyle w:val="JuPara"/>
      </w:pPr>
      <w:r>
        <w:fldChar w:fldCharType="begin"/>
      </w:r>
      <w:r>
        <w:instrText xml:space="preserve"> SEQ level0 \*arabic </w:instrText>
      </w:r>
      <w:r>
        <w:fldChar w:fldCharType="separate"/>
      </w:r>
      <w:r w:rsidR="00E56382">
        <w:rPr>
          <w:noProof/>
        </w:rPr>
        <w:t>11</w:t>
      </w:r>
      <w:r>
        <w:fldChar w:fldCharType="end"/>
      </w:r>
      <w:r>
        <w:t>.  The report drawn up by the police officers lists the following seized items: (1) laptop, (2) CDs/DVDs of R./G. data, (3) CDs/DVDs of all Robathin law office data, and (4) copies of agendas.</w:t>
      </w:r>
    </w:p>
    <w:p w:rsidR="0032579A" w:rsidP="0032579A" w:rsidRDefault="0032579A">
      <w:pPr>
        <w:pStyle w:val="JuPara"/>
      </w:pPr>
      <w:r>
        <w:fldChar w:fldCharType="begin"/>
      </w:r>
      <w:r>
        <w:instrText xml:space="preserve"> SEQ level0 \*arabic </w:instrText>
      </w:r>
      <w:r>
        <w:fldChar w:fldCharType="separate"/>
      </w:r>
      <w:r w:rsidR="00E56382">
        <w:rPr>
          <w:noProof/>
        </w:rPr>
        <w:t>12</w:t>
      </w:r>
      <w:r>
        <w:fldChar w:fldCharType="end"/>
      </w:r>
      <w:r>
        <w:t>.  All these items were handed over to the investigating judge. Because the applicant opposed the search of the data, the Review Chamber (</w:t>
      </w:r>
      <w:r w:rsidRPr="00303580">
        <w:rPr>
          <w:i/>
        </w:rPr>
        <w:t>Ratskammer</w:t>
      </w:r>
      <w:r>
        <w:t>)</w:t>
      </w:r>
      <w:r w:rsidR="00372B9D">
        <w:t>, a panel of three judges,</w:t>
      </w:r>
      <w:r>
        <w:t xml:space="preserve"> of the Vienna Regional Criminal Court was called upon to decide whether they were to be examined or returned pursuant to Article</w:t>
      </w:r>
      <w:r w:rsidR="00B11BF9">
        <w:t xml:space="preserve"> </w:t>
      </w:r>
      <w:r>
        <w:t>145 § 2 of the Code of Criminal Procedure (</w:t>
      </w:r>
      <w:r w:rsidRPr="00DA131A">
        <w:rPr>
          <w:i/>
        </w:rPr>
        <w:t>Strafprozeßordnung</w:t>
      </w:r>
      <w:r>
        <w:t>).</w:t>
      </w:r>
    </w:p>
    <w:p w:rsidR="0032579A" w:rsidP="0032579A" w:rsidRDefault="0032579A">
      <w:pPr>
        <w:pStyle w:val="JuPara"/>
      </w:pPr>
      <w:r>
        <w:fldChar w:fldCharType="begin"/>
      </w:r>
      <w:r>
        <w:instrText xml:space="preserve"> SEQ level0 \*arabic </w:instrText>
      </w:r>
      <w:r>
        <w:fldChar w:fldCharType="separate"/>
      </w:r>
      <w:r w:rsidR="00E56382">
        <w:rPr>
          <w:noProof/>
        </w:rPr>
        <w:t>13</w:t>
      </w:r>
      <w:r>
        <w:fldChar w:fldCharType="end"/>
      </w:r>
      <w:r>
        <w:t>.  On 3 March 2006 the Review Chamber authorised the examination of all the files. It repeated that there were grounds for suspecting the applicant of the offences described in the search warrant and noted that the data in issue had been seized in the context of the preliminary investigations in respect of the applicant and other persons. A lawyer could not rely on his duty of professional secrecy and the attendant guarantees of Article 152 § 1 of the Code of Criminal Procedure when he himself was the suspect. In sum, the examination of the seized files was necessary in order to investigate the offences.</w:t>
      </w:r>
    </w:p>
    <w:p w:rsidR="0032579A" w:rsidP="0032579A" w:rsidRDefault="0032579A">
      <w:pPr>
        <w:pStyle w:val="JuPara"/>
      </w:pPr>
      <w:r>
        <w:fldChar w:fldCharType="begin"/>
      </w:r>
      <w:r>
        <w:instrText xml:space="preserve"> SEQ level0 \*arabic </w:instrText>
      </w:r>
      <w:r>
        <w:fldChar w:fldCharType="separate"/>
      </w:r>
      <w:r w:rsidR="00E56382">
        <w:rPr>
          <w:noProof/>
        </w:rPr>
        <w:t>14</w:t>
      </w:r>
      <w:r>
        <w:fldChar w:fldCharType="end"/>
      </w:r>
      <w:r>
        <w:t xml:space="preserve">.  On 23 March 2006 the Vienna Bar </w:t>
      </w:r>
      <w:smartTag w:uri="urn:schemas-microsoft-com:office:smarttags" w:element="PersonName">
        <w:r>
          <w:t>Association</w:t>
        </w:r>
      </w:smartTag>
      <w:r>
        <w:t xml:space="preserve"> contacted the Procurator General, suggesting that he lodge a plea of nullity for the preservation of the law (</w:t>
      </w:r>
      <w:r w:rsidRPr="00DA24F4">
        <w:rPr>
          <w:i/>
        </w:rPr>
        <w:t>Nichtigkeitsbeschwerde zur Wahrung des Gesetzes</w:t>
      </w:r>
      <w:r>
        <w:t>) in the applicant</w:t>
      </w:r>
      <w:r w:rsidR="00E56382">
        <w:t>’</w:t>
      </w:r>
      <w:r>
        <w:t>s case. It submitted, in particular, that a search of a lawyer</w:t>
      </w:r>
      <w:r w:rsidR="00E56382">
        <w:t>’</w:t>
      </w:r>
      <w:r>
        <w:t>s business premises risked impinging on his duty of professional secrecy.</w:t>
      </w:r>
    </w:p>
    <w:p w:rsidR="0032579A" w:rsidP="0032579A" w:rsidRDefault="0032579A">
      <w:pPr>
        <w:pStyle w:val="JuPara"/>
      </w:pPr>
      <w:r>
        <w:fldChar w:fldCharType="begin"/>
      </w:r>
      <w:r>
        <w:instrText xml:space="preserve"> SEQ level0 \*arabic </w:instrText>
      </w:r>
      <w:r>
        <w:fldChar w:fldCharType="separate"/>
      </w:r>
      <w:r w:rsidR="00E56382">
        <w:rPr>
          <w:noProof/>
        </w:rPr>
        <w:t>15</w:t>
      </w:r>
      <w:r>
        <w:fldChar w:fldCharType="end"/>
      </w:r>
      <w:r>
        <w:t>.  Pursuant to Article 139 of the Code of Criminal Procedure, the investigating judge had to give reasons when issuing a search warrant and to describe as clearly as possible which items were to be searched for and seized. In the applicant</w:t>
      </w:r>
      <w:r w:rsidR="00E56382">
        <w:t>’</w:t>
      </w:r>
      <w:r>
        <w:t>s case it was open to doubt whether the search warrant had accurately described which items could be seized. Generally, only a search for particular files likely to be related to the offence in issue could be authorised. The same applied to searches of electronic data. A practising lawyer was obliged by law to have at his disposal a computer system fulfilling certain standards in order to communicate electronically with the courts. In fact, most lawyers also had all their files in electronic form. Standard software for law offices allowed full-text searches for any name or word and thus made it easy to narrow the search of data. In the present case such a search had returned results and thus the search warrant did not extend to the seizure of all of the law office</w:t>
      </w:r>
      <w:r w:rsidR="00E56382">
        <w:t>’</w:t>
      </w:r>
      <w:r>
        <w:t>s data.</w:t>
      </w:r>
    </w:p>
    <w:p w:rsidR="0032579A" w:rsidP="0032579A" w:rsidRDefault="0032579A">
      <w:pPr>
        <w:pStyle w:val="JuPara"/>
      </w:pPr>
      <w:r>
        <w:fldChar w:fldCharType="begin"/>
      </w:r>
      <w:r>
        <w:instrText xml:space="preserve"> SEQ level0 \*arabic </w:instrText>
      </w:r>
      <w:r>
        <w:fldChar w:fldCharType="separate"/>
      </w:r>
      <w:r w:rsidR="00E56382">
        <w:rPr>
          <w:noProof/>
        </w:rPr>
        <w:t>16</w:t>
      </w:r>
      <w:r>
        <w:fldChar w:fldCharType="end"/>
      </w:r>
      <w:r>
        <w:t>.  For these reasons, the Bar Association argued that the seizure of all the data and the Review Chamber</w:t>
      </w:r>
      <w:r w:rsidR="00E56382">
        <w:t>’</w:t>
      </w:r>
      <w:r>
        <w:t>s decision to permit the examination thereof had been excessive and therefore unlawful. The Review Chamber had failed to give any specific reasons why an examination of the data relating to Mr R. and Mr G. would not be sufficient. The applicant</w:t>
      </w:r>
      <w:r w:rsidR="00E56382">
        <w:t>’</w:t>
      </w:r>
      <w:r>
        <w:t>s duty of professional secrecy could only be lifted in relation to the suspicion against him concerning two of his clients but not in respect of all his lawyer-client relationships. Moreover, the partner in his law office was not under any suspicion.</w:t>
      </w:r>
    </w:p>
    <w:p w:rsidRPr="00BE2F2D" w:rsidR="0032579A" w:rsidP="0032579A" w:rsidRDefault="0032579A">
      <w:pPr>
        <w:pStyle w:val="JuPara"/>
      </w:pPr>
      <w:r>
        <w:fldChar w:fldCharType="begin"/>
      </w:r>
      <w:r>
        <w:instrText xml:space="preserve"> SEQ level0 \*arabic </w:instrText>
      </w:r>
      <w:r>
        <w:fldChar w:fldCharType="separate"/>
      </w:r>
      <w:r w:rsidR="00E56382">
        <w:rPr>
          <w:noProof/>
        </w:rPr>
        <w:t>17</w:t>
      </w:r>
      <w:r>
        <w:fldChar w:fldCharType="end"/>
      </w:r>
      <w:r>
        <w:t>.  By a letter of 12 April 2006 the Procurator General informed the Vienna Bar Association that he had not found any reason to lodge a plea of nullity for the preservation of the law.</w:t>
      </w:r>
    </w:p>
    <w:p w:rsidRPr="00122324" w:rsidR="00F71A6A" w:rsidP="002F4BCF" w:rsidRDefault="005E06B0">
      <w:pPr>
        <w:pStyle w:val="JuPara"/>
      </w:pPr>
      <w:r>
        <w:fldChar w:fldCharType="begin"/>
      </w:r>
      <w:r>
        <w:instrText xml:space="preserve"> SEQ level0 \*arabic </w:instrText>
      </w:r>
      <w:r>
        <w:fldChar w:fldCharType="separate"/>
      </w:r>
      <w:r w:rsidR="00E56382">
        <w:rPr>
          <w:noProof/>
        </w:rPr>
        <w:t>18</w:t>
      </w:r>
      <w:r>
        <w:fldChar w:fldCharType="end"/>
      </w:r>
      <w:r>
        <w:t>.  </w:t>
      </w:r>
      <w:r w:rsidR="00992192">
        <w:t>On 14 May 2009</w:t>
      </w:r>
      <w:r w:rsidR="00A5120A">
        <w:t xml:space="preserve"> the Vienna Regional Criminal Court convicted </w:t>
      </w:r>
      <w:r w:rsidR="00992192">
        <w:t xml:space="preserve">the applicant </w:t>
      </w:r>
      <w:r w:rsidR="00A5120A">
        <w:t>of embe</w:t>
      </w:r>
      <w:r w:rsidR="00992192">
        <w:t xml:space="preserve">zzlement </w:t>
      </w:r>
      <w:r w:rsidR="00A5120A">
        <w:t xml:space="preserve">but acquitted him of the </w:t>
      </w:r>
      <w:r w:rsidR="00372B9D">
        <w:t xml:space="preserve">other </w:t>
      </w:r>
      <w:r w:rsidR="00A5120A">
        <w:t xml:space="preserve">charges. The court sentenced </w:t>
      </w:r>
      <w:r w:rsidR="00992192">
        <w:t xml:space="preserve">him </w:t>
      </w:r>
      <w:r w:rsidR="00A5120A">
        <w:t>to three years</w:t>
      </w:r>
      <w:r w:rsidR="00E56382">
        <w:t>’</w:t>
      </w:r>
      <w:r w:rsidR="00A5120A">
        <w:t xml:space="preserve"> imprisonment, two of which were suspended on probation. On 22 December 2009 the Supreme Court dismissed the applicant</w:t>
      </w:r>
      <w:r w:rsidR="00E56382">
        <w:t>’</w:t>
      </w:r>
      <w:r w:rsidR="00A5120A">
        <w:t xml:space="preserve">s and the </w:t>
      </w:r>
      <w:r w:rsidR="00B611B1">
        <w:t xml:space="preserve">public </w:t>
      </w:r>
      <w:r w:rsidR="00A5120A">
        <w:t>prosecutor</w:t>
      </w:r>
      <w:r w:rsidR="00E56382">
        <w:t>’</w:t>
      </w:r>
      <w:r w:rsidR="00A5120A">
        <w:t xml:space="preserve">s pleas of nullity and on 10 March 2010 the </w:t>
      </w:r>
      <w:smartTag w:uri="urn:schemas-microsoft-com:office:smarttags" w:element="place">
        <w:smartTag w:uri="urn:schemas-microsoft-com:office:smarttags" w:element="City">
          <w:r w:rsidR="00A5120A">
            <w:t>Vienna</w:t>
          </w:r>
        </w:smartTag>
      </w:smartTag>
      <w:r w:rsidR="00A5120A">
        <w:t xml:space="preserve"> Court of Appeal </w:t>
      </w:r>
      <w:r w:rsidR="005E7AD6">
        <w:t xml:space="preserve">upheld </w:t>
      </w:r>
      <w:r w:rsidR="00A5120A">
        <w:t xml:space="preserve">the sentence. Subsequently, the applicant obtained evidence which had not been available to </w:t>
      </w:r>
      <w:r w:rsidR="00B611B1">
        <w:t xml:space="preserve">him </w:t>
      </w:r>
      <w:r w:rsidR="00A5120A">
        <w:t>at the time of the trial. He requested a reopening of the proceedings, which was granted an</w:t>
      </w:r>
      <w:r w:rsidR="00992192">
        <w:t>d led to the applicant</w:t>
      </w:r>
      <w:r w:rsidR="00E56382">
        <w:t>’</w:t>
      </w:r>
      <w:r w:rsidR="00992192">
        <w:t>s acquittal by the Vienna Regional Criminal Court</w:t>
      </w:r>
      <w:r w:rsidR="00E56382">
        <w:t>’</w:t>
      </w:r>
      <w:r w:rsidR="00992192">
        <w:t>s judgment of 15 March 2011.</w:t>
      </w:r>
    </w:p>
    <w:p w:rsidRPr="00122324" w:rsidR="007352DD" w:rsidP="008824B9" w:rsidRDefault="007352DD">
      <w:pPr>
        <w:pStyle w:val="JuHIRoman"/>
        <w:outlineLvl w:val="0"/>
      </w:pPr>
      <w:r w:rsidRPr="00122324">
        <w:t>II.  RELEVANT DOMESTIC LAW AND PRACTICE</w:t>
      </w:r>
    </w:p>
    <w:p w:rsidRPr="00046434" w:rsidR="003D1C06" w:rsidP="003D1C06" w:rsidRDefault="003D1C06">
      <w:pPr>
        <w:pStyle w:val="JuHA"/>
      </w:pPr>
      <w:r>
        <w:t>A.  Provisions of the Code of Criminal Procedure relating to search and seizure</w:t>
      </w:r>
    </w:p>
    <w:p w:rsidR="003D1C06" w:rsidP="003D1C06" w:rsidRDefault="003D1C06">
      <w:pPr>
        <w:pStyle w:val="JuPara"/>
      </w:pPr>
      <w:r>
        <w:fldChar w:fldCharType="begin"/>
      </w:r>
      <w:r>
        <w:instrText xml:space="preserve"> SEQ level0 \*arabic </w:instrText>
      </w:r>
      <w:r>
        <w:fldChar w:fldCharType="separate"/>
      </w:r>
      <w:r w:rsidR="00E56382">
        <w:rPr>
          <w:noProof/>
        </w:rPr>
        <w:t>19</w:t>
      </w:r>
      <w:r>
        <w:fldChar w:fldCharType="end"/>
      </w:r>
      <w:r>
        <w:t>.  Articles 139 to 149 of the Code of Criminal Procedure in the version in force at the material time concerned the search of premises and persons and the seizure of objects.</w:t>
      </w:r>
    </w:p>
    <w:p w:rsidR="003D1C06" w:rsidP="003D1C06" w:rsidRDefault="003D1C06">
      <w:pPr>
        <w:pStyle w:val="JuPara"/>
      </w:pPr>
      <w:r>
        <w:fldChar w:fldCharType="begin"/>
      </w:r>
      <w:r>
        <w:instrText xml:space="preserve"> SEQ level0 \*arabic </w:instrText>
      </w:r>
      <w:r>
        <w:fldChar w:fldCharType="separate"/>
      </w:r>
      <w:r w:rsidR="00E56382">
        <w:rPr>
          <w:noProof/>
        </w:rPr>
        <w:t>20</w:t>
      </w:r>
      <w:r>
        <w:fldChar w:fldCharType="end"/>
      </w:r>
      <w:r>
        <w:t>.  Article 139 § 1 provided, in particular, that a search may be carried out only if there is reasonable suspicion that a person suspected of having committed an offence is hiding</w:t>
      </w:r>
      <w:r w:rsidRPr="00F264B6">
        <w:t xml:space="preserve"> </w:t>
      </w:r>
      <w:r>
        <w:t>on the premises concerned, or that there are objects on the premises the possession or examination of which is relevant to a particular criminal investigation.</w:t>
      </w:r>
    </w:p>
    <w:p w:rsidR="003D1C06" w:rsidP="003D1C06" w:rsidRDefault="003D1C06">
      <w:pPr>
        <w:pStyle w:val="JuPara"/>
      </w:pPr>
      <w:r>
        <w:fldChar w:fldCharType="begin"/>
      </w:r>
      <w:r>
        <w:instrText xml:space="preserve"> SEQ level0 \*arabic </w:instrText>
      </w:r>
      <w:r>
        <w:fldChar w:fldCharType="separate"/>
      </w:r>
      <w:r w:rsidR="00E56382">
        <w:rPr>
          <w:noProof/>
        </w:rPr>
        <w:t>21</w:t>
      </w:r>
      <w:r>
        <w:fldChar w:fldCharType="end"/>
      </w:r>
      <w:r>
        <w:t xml:space="preserve">.  Pursuant to Article 140 §§ 1 and 2, a search should, in general, be carried out only after the person concerned has been questioned, and only if the person sought has not come forward of his or her own volition or the object or objects sought have not been voluntarily produced and if the </w:t>
      </w:r>
      <w:r w:rsidRPr="003E003A">
        <w:t>reasons</w:t>
      </w:r>
      <w:r>
        <w:t xml:space="preserve"> warranting the search were not eliminated during the questioning. No such questioning is required where delay would be detrimental.</w:t>
      </w:r>
    </w:p>
    <w:p w:rsidR="003D1C06" w:rsidP="003D1C06" w:rsidRDefault="003D1C06">
      <w:pPr>
        <w:pStyle w:val="JuPara"/>
      </w:pPr>
      <w:r>
        <w:fldChar w:fldCharType="begin"/>
      </w:r>
      <w:r>
        <w:instrText xml:space="preserve"> SEQ level0 \*arabic </w:instrText>
      </w:r>
      <w:r>
        <w:fldChar w:fldCharType="separate"/>
      </w:r>
      <w:r w:rsidR="00E56382">
        <w:rPr>
          <w:noProof/>
        </w:rPr>
        <w:t>22</w:t>
      </w:r>
      <w:r>
        <w:fldChar w:fldCharType="end"/>
      </w:r>
      <w:r>
        <w:t>.  Article 140 § 3 stated that a search may, as a rule, only be carried out on the basis of a reasoned search warrant issued by a judge.</w:t>
      </w:r>
    </w:p>
    <w:p w:rsidR="003D1C06" w:rsidP="003D1C06" w:rsidRDefault="003D1C06">
      <w:pPr>
        <w:pStyle w:val="JuPara"/>
      </w:pPr>
      <w:r>
        <w:fldChar w:fldCharType="begin"/>
      </w:r>
      <w:r>
        <w:instrText xml:space="preserve"> SEQ level0 \*arabic </w:instrText>
      </w:r>
      <w:r>
        <w:fldChar w:fldCharType="separate"/>
      </w:r>
      <w:r w:rsidR="00E56382">
        <w:rPr>
          <w:noProof/>
        </w:rPr>
        <w:t>23</w:t>
      </w:r>
      <w:r>
        <w:fldChar w:fldCharType="end"/>
      </w:r>
      <w:r>
        <w:t>.  Pursuant to Article 142 §§ 2 and 3, the occupant of the premises subject to the search or, if he is unavailable, a relative of the occupant, must be present during the search. A report is to be drawn up and signed by all those present.</w:t>
      </w:r>
    </w:p>
    <w:p w:rsidR="003D1C06" w:rsidP="003D1C06" w:rsidRDefault="003D1C06">
      <w:pPr>
        <w:pStyle w:val="JuPara"/>
      </w:pPr>
      <w:r>
        <w:fldChar w:fldCharType="begin"/>
      </w:r>
      <w:r>
        <w:instrText xml:space="preserve"> SEQ level0 \*arabic </w:instrText>
      </w:r>
      <w:r>
        <w:fldChar w:fldCharType="separate"/>
      </w:r>
      <w:r w:rsidR="00E56382">
        <w:rPr>
          <w:noProof/>
        </w:rPr>
        <w:t>24</w:t>
      </w:r>
      <w:r>
        <w:fldChar w:fldCharType="end"/>
      </w:r>
      <w:r>
        <w:t>.  Article 143 § 1 of the Code of Criminal Procedure provided that, if objects relevant to the investigation or subject to forfeiture or confiscation are found, they are to be listed and taken to the court for safe keeping or seized. It referred in this respect to Article 98, pursuant to which objects in safe keeping must be put into an envelope to be sealed by the court, or have a label attached so as to avoid any substitution or confusion.</w:t>
      </w:r>
    </w:p>
    <w:p w:rsidR="003D1C06" w:rsidP="003D1C06" w:rsidRDefault="003D1C06">
      <w:pPr>
        <w:pStyle w:val="JuPara"/>
        <w:keepNext/>
        <w:keepLines/>
      </w:pPr>
      <w:r>
        <w:t>Article 145 read as follows:</w:t>
      </w:r>
    </w:p>
    <w:p w:rsidR="003D1C06" w:rsidP="00422563" w:rsidRDefault="003D1C06">
      <w:pPr>
        <w:pStyle w:val="JuQuot"/>
      </w:pPr>
      <w:r>
        <w:t>“1.  When searching through documents, steps must be taken to ensure that their content does not become known to unauthorised persons.</w:t>
      </w:r>
    </w:p>
    <w:p w:rsidR="003D1C06" w:rsidP="003D1C06" w:rsidRDefault="003D1C06">
      <w:pPr>
        <w:pStyle w:val="JuQuot"/>
      </w:pPr>
      <w:r>
        <w:t>2.  If the owner of the documents does not want to permit their being searched, they shall be sealed and deposited with the court; the Review Chamber must determine immediately whether they are to be examined or returned.”</w:t>
      </w:r>
    </w:p>
    <w:p w:rsidR="003D1C06" w:rsidP="003D1C06" w:rsidRDefault="003D1C06">
      <w:pPr>
        <w:pStyle w:val="JuPara"/>
      </w:pPr>
      <w:r>
        <w:fldChar w:fldCharType="begin"/>
      </w:r>
      <w:r>
        <w:instrText xml:space="preserve"> SEQ level0 \*arabic </w:instrText>
      </w:r>
      <w:r>
        <w:fldChar w:fldCharType="separate"/>
      </w:r>
      <w:r w:rsidR="00E56382">
        <w:rPr>
          <w:noProof/>
        </w:rPr>
        <w:t>25</w:t>
      </w:r>
      <w:r>
        <w:fldChar w:fldCharType="end"/>
      </w:r>
      <w:r>
        <w:t>.  According to the courts</w:t>
      </w:r>
      <w:r w:rsidR="00E56382">
        <w:t>’</w:t>
      </w:r>
      <w:r>
        <w:t xml:space="preserve"> case-law, which is endorsed by the opinion of academic writers (see </w:t>
      </w:r>
      <w:r w:rsidRPr="00F264B6">
        <w:t>Bertl/Vernier</w:t>
      </w:r>
      <w:r>
        <w:t xml:space="preserve">, </w:t>
      </w:r>
      <w:r w:rsidRPr="00B10791">
        <w:rPr>
          <w:i/>
        </w:rPr>
        <w:t>Grundriss des österreichischen Strafprozessrechts</w:t>
      </w:r>
      <w:r>
        <w:t xml:space="preserve">, 7th edition), the provisions relevant to the search and seizure of paper documents also apply </w:t>
      </w:r>
      <w:r w:rsidRPr="003A6127">
        <w:rPr>
          <w:i/>
        </w:rPr>
        <w:t>mutatis mutandis</w:t>
      </w:r>
      <w:r>
        <w:t xml:space="preserve"> to the search and seizure of electronic data. If the owner of discs or hard drives on which data are stored objects to their being searched, the data storage devices are to be sealed and the Review Chamber must decide whether they may be examined.</w:t>
      </w:r>
    </w:p>
    <w:p w:rsidR="003D1C06" w:rsidP="003D1C06" w:rsidRDefault="003D1C06">
      <w:pPr>
        <w:pStyle w:val="JuHA"/>
      </w:pPr>
      <w:r>
        <w:t>B.  Provisions relating to the professional secrecy of lawyers</w:t>
      </w:r>
    </w:p>
    <w:p w:rsidR="003D1C06" w:rsidP="003D1C06" w:rsidRDefault="003D1C06">
      <w:pPr>
        <w:pStyle w:val="JuPara"/>
      </w:pPr>
      <w:r>
        <w:fldChar w:fldCharType="begin"/>
      </w:r>
      <w:r>
        <w:instrText xml:space="preserve"> SEQ level0 \*arabic </w:instrText>
      </w:r>
      <w:r>
        <w:fldChar w:fldCharType="separate"/>
      </w:r>
      <w:r w:rsidR="00E56382">
        <w:rPr>
          <w:noProof/>
        </w:rPr>
        <w:t>26</w:t>
      </w:r>
      <w:r>
        <w:fldChar w:fldCharType="end"/>
      </w:r>
      <w:r>
        <w:t xml:space="preserve">.  Section 9 of the Austrian Lawyers Act regulates the professional duties of lawyers including, </w:t>
      </w:r>
      <w:r>
        <w:rPr>
          <w:i/>
        </w:rPr>
        <w:t>inter alia</w:t>
      </w:r>
      <w:r w:rsidRPr="00AE4CA9">
        <w:t>,</w:t>
      </w:r>
      <w:r>
        <w:t xml:space="preserve"> the duty to maintain professional secrecy.</w:t>
      </w:r>
    </w:p>
    <w:p w:rsidR="003D1C06" w:rsidP="003D1C06" w:rsidRDefault="003D1C06">
      <w:pPr>
        <w:pStyle w:val="JuPara"/>
      </w:pPr>
      <w:r>
        <w:fldChar w:fldCharType="begin"/>
      </w:r>
      <w:r>
        <w:instrText xml:space="preserve"> SEQ level0 \*arabic </w:instrText>
      </w:r>
      <w:r>
        <w:fldChar w:fldCharType="separate"/>
      </w:r>
      <w:r w:rsidR="00E56382">
        <w:rPr>
          <w:noProof/>
        </w:rPr>
        <w:t>27</w:t>
      </w:r>
      <w:r>
        <w:fldChar w:fldCharType="end"/>
      </w:r>
      <w:r>
        <w:t>.  Article 152 § 1 of the Code of Criminal Procedure exempts lawyers, notaries and business trustees from the obligation to give evidence as witnesses in respect of information given to them in the exercise of their profession.</w:t>
      </w:r>
    </w:p>
    <w:p w:rsidR="003D1C06" w:rsidP="003D1C06" w:rsidRDefault="003D1C06">
      <w:pPr>
        <w:pStyle w:val="JuPara"/>
      </w:pPr>
      <w:r>
        <w:fldChar w:fldCharType="begin"/>
      </w:r>
      <w:r>
        <w:instrText xml:space="preserve"> SEQ level0 \*arabic </w:instrText>
      </w:r>
      <w:r>
        <w:fldChar w:fldCharType="separate"/>
      </w:r>
      <w:r w:rsidR="00E56382">
        <w:rPr>
          <w:noProof/>
        </w:rPr>
        <w:t>28</w:t>
      </w:r>
      <w:r>
        <w:fldChar w:fldCharType="end"/>
      </w:r>
      <w:r>
        <w:t>.  It is established case-law that documents which contain information subject to professional secrecy may not be seized and used in a criminal investigation.</w:t>
      </w:r>
    </w:p>
    <w:p w:rsidRPr="00122324" w:rsidR="007352DD" w:rsidP="002F4BCF" w:rsidRDefault="003D1C06">
      <w:pPr>
        <w:pStyle w:val="JuPara"/>
      </w:pPr>
      <w:r>
        <w:fldChar w:fldCharType="begin"/>
      </w:r>
      <w:r>
        <w:instrText xml:space="preserve"> SEQ level0 \*arabic </w:instrText>
      </w:r>
      <w:r>
        <w:fldChar w:fldCharType="separate"/>
      </w:r>
      <w:r w:rsidR="00E56382">
        <w:rPr>
          <w:noProof/>
        </w:rPr>
        <w:t>29</w:t>
      </w:r>
      <w:r>
        <w:fldChar w:fldCharType="end"/>
      </w:r>
      <w:r>
        <w:t>.  Pursuant to an instruction (</w:t>
      </w:r>
      <w:r w:rsidRPr="007146C2">
        <w:rPr>
          <w:i/>
        </w:rPr>
        <w:t>Erlaß</w:t>
      </w:r>
      <w:r>
        <w:t xml:space="preserve">) of the Federal Minister of Justice of 21 July 1972, a representative of the competent Bar </w:t>
      </w:r>
      <w:smartTag w:uri="urn:schemas-microsoft-com:office:smarttags" w:element="PersonName">
        <w:r>
          <w:t>Association</w:t>
        </w:r>
      </w:smartTag>
      <w:r>
        <w:t xml:space="preserve"> shall be present during the search of a lawyer</w:t>
      </w:r>
      <w:r w:rsidR="00E56382">
        <w:t>’</w:t>
      </w:r>
      <w:r>
        <w:t>s office in order to ensure that the search does not encroach on professional secrecy.</w:t>
      </w:r>
    </w:p>
    <w:p w:rsidRPr="00122324" w:rsidR="00F71A6A" w:rsidP="008824B9" w:rsidRDefault="00F71A6A">
      <w:pPr>
        <w:pStyle w:val="JuHHead"/>
      </w:pPr>
      <w:r w:rsidRPr="00122324">
        <w:t>THE LAW</w:t>
      </w:r>
    </w:p>
    <w:p w:rsidRPr="00122324" w:rsidR="00F71A6A" w:rsidRDefault="00F71A6A">
      <w:pPr>
        <w:pStyle w:val="JuHIRoman"/>
      </w:pPr>
      <w:r w:rsidRPr="00122324">
        <w:t xml:space="preserve">I.  ALLEGED VIOLATION OF ARTICLE </w:t>
      </w:r>
      <w:r w:rsidR="003D1C06">
        <w:t>8</w:t>
      </w:r>
      <w:r w:rsidRPr="00122324">
        <w:t xml:space="preserve"> OF THE CONVENTION</w:t>
      </w:r>
    </w:p>
    <w:p w:rsidRPr="00677982" w:rsidR="003D1C06" w:rsidP="003D1C06" w:rsidRDefault="003D1C06">
      <w:pPr>
        <w:pStyle w:val="JuPara"/>
      </w:pPr>
      <w:r>
        <w:fldChar w:fldCharType="begin"/>
      </w:r>
      <w:r>
        <w:instrText xml:space="preserve"> SEQ level0 \*arabic </w:instrText>
      </w:r>
      <w:r>
        <w:fldChar w:fldCharType="separate"/>
      </w:r>
      <w:r w:rsidR="00E56382">
        <w:rPr>
          <w:noProof/>
        </w:rPr>
        <w:t>30</w:t>
      </w:r>
      <w:r>
        <w:fldChar w:fldCharType="end"/>
      </w:r>
      <w:r>
        <w:t>.  </w:t>
      </w:r>
      <w:r w:rsidRPr="00677982">
        <w:t xml:space="preserve">The applicant complained that </w:t>
      </w:r>
      <w:r>
        <w:t xml:space="preserve">the search and seizure of all his electronic data had violated his rights under </w:t>
      </w:r>
      <w:r w:rsidRPr="00677982">
        <w:t xml:space="preserve">Article </w:t>
      </w:r>
      <w:r>
        <w:t>8</w:t>
      </w:r>
      <w:r w:rsidRPr="00677982">
        <w:t xml:space="preserve"> of the Convention, which reads as follows:</w:t>
      </w:r>
    </w:p>
    <w:p w:rsidR="003D1C06" w:rsidP="003D1C06" w:rsidRDefault="003D1C06">
      <w:pPr>
        <w:pStyle w:val="JuQuot"/>
      </w:pPr>
      <w:r>
        <w:t>“1.  Everyone has the right to respect for his private and family life, his home and his correspondence.</w:t>
      </w:r>
    </w:p>
    <w:p w:rsidRPr="00677982" w:rsidR="003D1C06" w:rsidP="003D1C06" w:rsidRDefault="003D1C06">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122324" w:rsidP="002F4BCF" w:rsidRDefault="003D1C06">
      <w:pPr>
        <w:pStyle w:val="JuPara"/>
      </w:pPr>
      <w:r w:rsidRPr="00677982">
        <w:fldChar w:fldCharType="begin"/>
      </w:r>
      <w:r w:rsidRPr="00677982">
        <w:instrText xml:space="preserve"> SEQ level0 \*arabic </w:instrText>
      </w:r>
      <w:r w:rsidRPr="00677982">
        <w:fldChar w:fldCharType="separate"/>
      </w:r>
      <w:r w:rsidR="00E56382">
        <w:rPr>
          <w:noProof/>
        </w:rPr>
        <w:t>31</w:t>
      </w:r>
      <w:r w:rsidRPr="00677982">
        <w:fldChar w:fldCharType="end"/>
      </w:r>
      <w:r w:rsidRPr="00677982">
        <w:t>.  The Government contested that argument.</w:t>
      </w:r>
    </w:p>
    <w:p w:rsidRPr="00122324" w:rsidR="00F71A6A" w:rsidP="008824B9" w:rsidRDefault="00F71A6A">
      <w:pPr>
        <w:pStyle w:val="JuHA"/>
        <w:outlineLvl w:val="0"/>
      </w:pPr>
      <w:r w:rsidRPr="00122324">
        <w:t>A.  Admissibility</w:t>
      </w:r>
    </w:p>
    <w:p w:rsidRPr="00122324" w:rsidR="00F71A6A" w:rsidP="002F4BCF" w:rsidRDefault="00122324">
      <w:pPr>
        <w:pStyle w:val="JuPara"/>
      </w:pPr>
      <w:r w:rsidRPr="00122324">
        <w:fldChar w:fldCharType="begin"/>
      </w:r>
      <w:r w:rsidRPr="00122324">
        <w:instrText xml:space="preserve"> SEQ level0 \*arabic </w:instrText>
      </w:r>
      <w:r w:rsidRPr="00122324">
        <w:fldChar w:fldCharType="separate"/>
      </w:r>
      <w:r w:rsidR="00E56382">
        <w:rPr>
          <w:noProof/>
        </w:rPr>
        <w:t>32</w:t>
      </w:r>
      <w:r w:rsidRPr="00122324">
        <w:fldChar w:fldCharType="end"/>
      </w:r>
      <w:r w:rsidRPr="00122324" w:rsidR="00F71A6A">
        <w:t>.  The Court notes that the application</w:t>
      </w:r>
      <w:r w:rsidRPr="00122324" w:rsidR="00D44EA3">
        <w:t xml:space="preserve"> </w:t>
      </w:r>
      <w:r w:rsidRPr="00122324" w:rsidR="00F71A6A">
        <w:t xml:space="preserve">is not manifestly ill-founded within the meaning of Article </w:t>
      </w:r>
      <w:r w:rsidRPr="00122324" w:rsidR="00C63E30">
        <w:t>35 § 3 (a)</w:t>
      </w:r>
      <w:r w:rsidRPr="00122324" w:rsidR="00F71A6A">
        <w:t xml:space="preserve"> of the Convention. It further notes that it is not inadmissible on any other grounds. It must therefore be declared admissible.</w:t>
      </w:r>
    </w:p>
    <w:p w:rsidR="00F71A6A" w:rsidP="008824B9" w:rsidRDefault="00F71A6A">
      <w:pPr>
        <w:pStyle w:val="JuHA"/>
        <w:outlineLvl w:val="0"/>
      </w:pPr>
      <w:r w:rsidRPr="00122324">
        <w:t>B.  Merits</w:t>
      </w:r>
    </w:p>
    <w:p w:rsidRPr="00494427" w:rsidR="00494427" w:rsidP="00494427" w:rsidRDefault="00494427">
      <w:pPr>
        <w:pStyle w:val="JuH1"/>
      </w:pPr>
      <w:r>
        <w:t>1.</w:t>
      </w:r>
      <w:r w:rsidR="00B11BF9">
        <w:t>  </w:t>
      </w:r>
      <w:r>
        <w:t>The parties</w:t>
      </w:r>
      <w:r w:rsidR="00E56382">
        <w:t>’</w:t>
      </w:r>
      <w:r>
        <w:t xml:space="preserve"> submissions</w:t>
      </w:r>
    </w:p>
    <w:p w:rsidR="00494427" w:rsidP="00494427" w:rsidRDefault="00122324">
      <w:pPr>
        <w:pStyle w:val="JuPara"/>
      </w:pPr>
      <w:r w:rsidRPr="00122324">
        <w:fldChar w:fldCharType="begin"/>
      </w:r>
      <w:r w:rsidRPr="00122324">
        <w:instrText xml:space="preserve"> SEQ level0 \*arabic </w:instrText>
      </w:r>
      <w:r w:rsidRPr="00122324">
        <w:fldChar w:fldCharType="separate"/>
      </w:r>
      <w:r w:rsidR="00E56382">
        <w:rPr>
          <w:noProof/>
        </w:rPr>
        <w:t>33</w:t>
      </w:r>
      <w:r w:rsidRPr="00122324">
        <w:fldChar w:fldCharType="end"/>
      </w:r>
      <w:r w:rsidRPr="00122324" w:rsidR="00F71A6A">
        <w:t>.  </w:t>
      </w:r>
      <w:r w:rsidRPr="00677982" w:rsidR="00494427">
        <w:t xml:space="preserve">The applicant </w:t>
      </w:r>
      <w:r w:rsidR="00494427">
        <w:t>stated that under the Lawyers Act (</w:t>
      </w:r>
      <w:r w:rsidRPr="00B1384C" w:rsidR="00494427">
        <w:rPr>
          <w:i/>
        </w:rPr>
        <w:t>Rechtsanwaltsordnung</w:t>
      </w:r>
      <w:r w:rsidR="00494427">
        <w:t>), he was bound by the duty of professional secrecy in respect of information which became known to him in the course of the exercise of his profession, where it was</w:t>
      </w:r>
      <w:r w:rsidRPr="009E620E" w:rsidR="00494427">
        <w:t xml:space="preserve"> in the client</w:t>
      </w:r>
      <w:r w:rsidR="00E56382">
        <w:t>’</w:t>
      </w:r>
      <w:r w:rsidRPr="009E620E" w:rsidR="00494427">
        <w:t>s interest</w:t>
      </w:r>
      <w:r w:rsidR="00494427">
        <w:t xml:space="preserve"> for such information to remain secret. The principle of secrecy must not be circumvented by seizing documents or by hearing a lawyer</w:t>
      </w:r>
      <w:r w:rsidR="00E56382">
        <w:t>’</w:t>
      </w:r>
      <w:r w:rsidR="00494427">
        <w:t xml:space="preserve">s employees as witnesses. In the present case, he argued that the data contained in the files concerning Mr R. and Mr G., which were covered by the search warrant, had been saved on separate storage devices. </w:t>
      </w:r>
      <w:r w:rsidRPr="00E97AE6" w:rsidR="00494427">
        <w:t>However</w:t>
      </w:r>
      <w:r w:rsidR="00494427">
        <w:t xml:space="preserve">, the search and seizure warrant had been vague and could not be considered to be in accordance with the law, </w:t>
      </w:r>
      <w:r w:rsidRPr="004D0BAB" w:rsidR="00494427">
        <w:t>or</w:t>
      </w:r>
      <w:r w:rsidR="00494427">
        <w:t xml:space="preserve">, in the alternative, the search and seizure of all his </w:t>
      </w:r>
      <w:r w:rsidR="00E46234">
        <w:t>law office</w:t>
      </w:r>
      <w:r w:rsidR="00E56382">
        <w:t>’</w:t>
      </w:r>
      <w:r w:rsidR="00E46234">
        <w:t xml:space="preserve">s </w:t>
      </w:r>
      <w:r w:rsidR="00494427">
        <w:t>electronic data could not be considered proportionate and had thus not been necessary in a democratic society.</w:t>
      </w:r>
    </w:p>
    <w:p w:rsidRPr="00677982" w:rsidR="00992192" w:rsidP="00494427" w:rsidRDefault="00992192">
      <w:pPr>
        <w:pStyle w:val="JuPara"/>
      </w:pPr>
      <w:r>
        <w:fldChar w:fldCharType="begin"/>
      </w:r>
      <w:r>
        <w:instrText xml:space="preserve"> SEQ level0 \*arabic </w:instrText>
      </w:r>
      <w:r>
        <w:fldChar w:fldCharType="separate"/>
      </w:r>
      <w:r w:rsidR="00E56382">
        <w:rPr>
          <w:noProof/>
        </w:rPr>
        <w:t>34</w:t>
      </w:r>
      <w:r>
        <w:fldChar w:fldCharType="end"/>
      </w:r>
      <w:r>
        <w:t>.  </w:t>
      </w:r>
      <w:r w:rsidR="005E7AD6">
        <w:t>Lastly</w:t>
      </w:r>
      <w:r>
        <w:t xml:space="preserve">, the applicant argued that </w:t>
      </w:r>
      <w:r w:rsidR="00950C10">
        <w:t>his acquittal</w:t>
      </w:r>
      <w:r>
        <w:t xml:space="preserve"> showed that there had been no basis</w:t>
      </w:r>
      <w:r w:rsidR="00950C10">
        <w:t xml:space="preserve"> for the suspicion against him. </w:t>
      </w:r>
      <w:r w:rsidR="00E46234">
        <w:t>In the applicant</w:t>
      </w:r>
      <w:r w:rsidR="00E56382">
        <w:t>’</w:t>
      </w:r>
      <w:r w:rsidR="00E46234">
        <w:t xml:space="preserve">s view this confirmed that </w:t>
      </w:r>
      <w:r w:rsidR="00950C10">
        <w:t xml:space="preserve">the search </w:t>
      </w:r>
      <w:r w:rsidR="00E46234">
        <w:t xml:space="preserve">and seizure of all his </w:t>
      </w:r>
      <w:r w:rsidR="00950C10">
        <w:t>electronic data had been disproportionate</w:t>
      </w:r>
      <w:r w:rsidR="00E46234">
        <w:t>,</w:t>
      </w:r>
      <w:r w:rsidR="00950C10">
        <w:t xml:space="preserve"> if not arbitrary.</w:t>
      </w:r>
    </w:p>
    <w:p w:rsidR="00494427" w:rsidP="00494427" w:rsidRDefault="00494427">
      <w:pPr>
        <w:pStyle w:val="JuPara"/>
      </w:pPr>
      <w:r w:rsidRPr="00677982">
        <w:fldChar w:fldCharType="begin"/>
      </w:r>
      <w:r w:rsidRPr="00677982">
        <w:instrText xml:space="preserve"> SEQ level0 \*arabic </w:instrText>
      </w:r>
      <w:r w:rsidRPr="00677982">
        <w:fldChar w:fldCharType="separate"/>
      </w:r>
      <w:r w:rsidR="00E56382">
        <w:rPr>
          <w:noProof/>
        </w:rPr>
        <w:t>35</w:t>
      </w:r>
      <w:r w:rsidRPr="00677982">
        <w:fldChar w:fldCharType="end"/>
      </w:r>
      <w:r w:rsidRPr="00677982">
        <w:t xml:space="preserve">.  The Government </w:t>
      </w:r>
      <w:r>
        <w:t>argued that the search and seizure had indeed been in accordance with the law. Referring to the Court</w:t>
      </w:r>
      <w:r w:rsidR="00E56382">
        <w:t>’</w:t>
      </w:r>
      <w:r>
        <w:t xml:space="preserve">s finding in </w:t>
      </w:r>
      <w:r w:rsidRPr="00DE634C">
        <w:rPr>
          <w:i/>
          <w:lang w:eastAsia="en-US"/>
        </w:rPr>
        <w:t>Wieser and Bicos Beteiligungen GmbH v. Austria</w:t>
      </w:r>
      <w:r>
        <w:rPr>
          <w:lang w:eastAsia="en-US"/>
        </w:rPr>
        <w:t xml:space="preserve"> (</w:t>
      </w:r>
      <w:r w:rsidRPr="00DE634C">
        <w:rPr>
          <w:lang w:eastAsia="en-US"/>
        </w:rPr>
        <w:t xml:space="preserve">no. 74336/01, § </w:t>
      </w:r>
      <w:r>
        <w:rPr>
          <w:lang w:eastAsia="en-US"/>
        </w:rPr>
        <w:t>65</w:t>
      </w:r>
      <w:r w:rsidRPr="00DE634C">
        <w:rPr>
          <w:lang w:eastAsia="en-US"/>
        </w:rPr>
        <w:t>, ECHR 2007</w:t>
      </w:r>
      <w:r w:rsidRPr="00DE634C">
        <w:rPr>
          <w:lang w:eastAsia="en-US"/>
        </w:rPr>
        <w:noBreakHyphen/>
        <w:t>XI</w:t>
      </w:r>
      <w:r>
        <w:rPr>
          <w:lang w:eastAsia="en-US"/>
        </w:rPr>
        <w:t>) that the search of a lawyer</w:t>
      </w:r>
      <w:r w:rsidR="00E56382">
        <w:rPr>
          <w:lang w:eastAsia="en-US"/>
        </w:rPr>
        <w:t>’</w:t>
      </w:r>
      <w:r>
        <w:rPr>
          <w:lang w:eastAsia="en-US"/>
        </w:rPr>
        <w:t>s premises and his professional and business activities could have an impact on the lawyer</w:t>
      </w:r>
      <w:r w:rsidR="00E56382">
        <w:rPr>
          <w:lang w:eastAsia="en-US"/>
        </w:rPr>
        <w:t>’</w:t>
      </w:r>
      <w:r>
        <w:rPr>
          <w:lang w:eastAsia="en-US"/>
        </w:rPr>
        <w:t xml:space="preserve">s duty of professional secrecy and </w:t>
      </w:r>
      <w:r w:rsidR="00EA3840">
        <w:rPr>
          <w:lang w:eastAsia="en-US"/>
        </w:rPr>
        <w:t>con</w:t>
      </w:r>
      <w:r>
        <w:rPr>
          <w:lang w:eastAsia="en-US"/>
        </w:rPr>
        <w:t xml:space="preserve">sequently on the proper administration of </w:t>
      </w:r>
      <w:r w:rsidR="00EA3840">
        <w:rPr>
          <w:lang w:eastAsia="en-US"/>
        </w:rPr>
        <w:t xml:space="preserve">justice </w:t>
      </w:r>
      <w:r w:rsidRPr="00220147">
        <w:rPr>
          <w:lang w:eastAsia="en-US"/>
        </w:rPr>
        <w:t xml:space="preserve">as </w:t>
      </w:r>
      <w:r>
        <w:rPr>
          <w:lang w:eastAsia="en-US"/>
        </w:rPr>
        <w:t>guaranteed by Article 6 of the Convention, t</w:t>
      </w:r>
      <w:r>
        <w:t>he Government maintained that the search had been carried out in a way that had not interfered disproportionately with the applicant</w:t>
      </w:r>
      <w:r w:rsidR="00E56382">
        <w:t>’</w:t>
      </w:r>
      <w:r>
        <w:t>s rights.</w:t>
      </w:r>
    </w:p>
    <w:p w:rsidR="00494427" w:rsidP="00494427" w:rsidRDefault="00494427">
      <w:pPr>
        <w:pStyle w:val="JuPara"/>
      </w:pPr>
      <w:r>
        <w:fldChar w:fldCharType="begin"/>
      </w:r>
      <w:r>
        <w:instrText xml:space="preserve"> SEQ level0 \*arabic </w:instrText>
      </w:r>
      <w:r>
        <w:fldChar w:fldCharType="separate"/>
      </w:r>
      <w:r w:rsidR="00E56382">
        <w:rPr>
          <w:noProof/>
        </w:rPr>
        <w:t>36</w:t>
      </w:r>
      <w:r>
        <w:fldChar w:fldCharType="end"/>
      </w:r>
      <w:r>
        <w:t xml:space="preserve">.  The Government pointed out that while the principle of professional secrecy as expressed in the Lawyers Act served to protect the special relationship of confidence between a lawyer and a client, professional secrecy did not protect the lawyer himself against criminal prosecution or measures in connection with such prosecution. Turning to the present application, the Government stressed that the search had been carried out in the presence of a representative of the Bar Association, and in compliance with the relevant provisions of the Code of Criminal Procedure with a view to </w:t>
      </w:r>
      <w:r w:rsidRPr="00555E67">
        <w:t>securing</w:t>
      </w:r>
      <w:r>
        <w:t xml:space="preserve"> the guarantees of Article 8 of the Convention.</w:t>
      </w:r>
    </w:p>
    <w:p w:rsidR="00F71A6A" w:rsidP="002F4BCF" w:rsidRDefault="00494427">
      <w:pPr>
        <w:pStyle w:val="JuPara"/>
      </w:pPr>
      <w:r>
        <w:fldChar w:fldCharType="begin"/>
      </w:r>
      <w:r>
        <w:instrText xml:space="preserve"> SEQ level0 \*arabic </w:instrText>
      </w:r>
      <w:r>
        <w:fldChar w:fldCharType="separate"/>
      </w:r>
      <w:r w:rsidR="00E56382">
        <w:rPr>
          <w:noProof/>
        </w:rPr>
        <w:t>37</w:t>
      </w:r>
      <w:r>
        <w:fldChar w:fldCharType="end"/>
      </w:r>
      <w:r>
        <w:t>.  As to the applicant</w:t>
      </w:r>
      <w:r w:rsidR="00E56382">
        <w:t>’</w:t>
      </w:r>
      <w:r>
        <w:t xml:space="preserve">s claim that the examination of all his files had been excessive and disproportionate, the Government argued that in order to determine what was of relevance to the criminal proceedings, all the seized data had had to be searched, as some relevant documents might not have been detected by a comprehensive </w:t>
      </w:r>
      <w:r w:rsidRPr="009C1720">
        <w:t>full-te</w:t>
      </w:r>
      <w:r>
        <w:t>x</w:t>
      </w:r>
      <w:r w:rsidRPr="009C1720">
        <w:t>t</w:t>
      </w:r>
      <w:r>
        <w:t xml:space="preserve"> search alone. </w:t>
      </w:r>
      <w:r w:rsidR="00E46234">
        <w:t xml:space="preserve">A </w:t>
      </w:r>
      <w:r>
        <w:t xml:space="preserve">search of all files – at least on a superficial level – had </w:t>
      </w:r>
      <w:r w:rsidR="00E46234">
        <w:t xml:space="preserve">therefore </w:t>
      </w:r>
      <w:r>
        <w:t>been necessary. As a result, the measure had served a legitimate aim and the applicant</w:t>
      </w:r>
      <w:r w:rsidR="00E56382">
        <w:t>’</w:t>
      </w:r>
      <w:r>
        <w:t>s rights had been interfered with to the least extent possible. Thus, the measure could not be considered disproportionate. Furthermore, the search had not had any impact on the proper administration of justice as regards the relationship between the applicant and his other clients.</w:t>
      </w:r>
    </w:p>
    <w:p w:rsidR="003D1C06" w:rsidP="002F4BCF" w:rsidRDefault="00950C10">
      <w:pPr>
        <w:pStyle w:val="JuPara"/>
      </w:pPr>
      <w:r>
        <w:fldChar w:fldCharType="begin"/>
      </w:r>
      <w:r>
        <w:instrText xml:space="preserve"> SEQ level0 \*arabic </w:instrText>
      </w:r>
      <w:r>
        <w:fldChar w:fldCharType="separate"/>
      </w:r>
      <w:r w:rsidR="00E56382">
        <w:rPr>
          <w:noProof/>
        </w:rPr>
        <w:t>38</w:t>
      </w:r>
      <w:r>
        <w:fldChar w:fldCharType="end"/>
      </w:r>
      <w:r>
        <w:t xml:space="preserve">.  The Government </w:t>
      </w:r>
      <w:r w:rsidR="00E46234">
        <w:t>contested the applicant</w:t>
      </w:r>
      <w:r w:rsidR="00E56382">
        <w:t>’</w:t>
      </w:r>
      <w:r w:rsidR="00E46234">
        <w:t xml:space="preserve">s argument that his acquittal </w:t>
      </w:r>
      <w:r w:rsidR="00B2377B">
        <w:t>had to be taken into account when assessing whether the search and seizure of electronic data had been justified. They pointed out that</w:t>
      </w:r>
      <w:r w:rsidR="005A683D">
        <w:t>,</w:t>
      </w:r>
      <w:r w:rsidR="00B2377B">
        <w:t xml:space="preserve"> at the time when the search warrant was issued, there had been a reasonable suspicion against the applicant. The fact that, following his conviction, new evidence became available which led to the proceedings </w:t>
      </w:r>
      <w:r w:rsidR="00641BAE">
        <w:t xml:space="preserve">being reopened </w:t>
      </w:r>
      <w:r w:rsidR="00B2377B">
        <w:t>and</w:t>
      </w:r>
      <w:r w:rsidR="005A683D">
        <w:t xml:space="preserve"> </w:t>
      </w:r>
      <w:r w:rsidR="0068722C">
        <w:t xml:space="preserve">then </w:t>
      </w:r>
      <w:r w:rsidR="00B2377B">
        <w:t>to his acquittal co</w:t>
      </w:r>
      <w:r w:rsidR="00150217">
        <w:t>uld not change this assessment.</w:t>
      </w:r>
    </w:p>
    <w:p w:rsidR="00F71A6A" w:rsidP="00494427" w:rsidRDefault="00494427">
      <w:pPr>
        <w:pStyle w:val="JuH1"/>
      </w:pPr>
      <w:r>
        <w:t>2.</w:t>
      </w:r>
      <w:r w:rsidR="00B11BF9">
        <w:t>  </w:t>
      </w:r>
      <w:r>
        <w:t>The Court</w:t>
      </w:r>
      <w:r w:rsidR="00E56382">
        <w:t>’</w:t>
      </w:r>
      <w:r>
        <w:t>s assessment</w:t>
      </w:r>
    </w:p>
    <w:p w:rsidR="00B2377B" w:rsidP="00494427" w:rsidRDefault="00494427">
      <w:pPr>
        <w:pStyle w:val="JuPara"/>
        <w:rPr>
          <w:lang w:eastAsia="en-US"/>
        </w:rPr>
      </w:pPr>
      <w:r w:rsidRPr="00677982">
        <w:fldChar w:fldCharType="begin"/>
      </w:r>
      <w:r w:rsidRPr="00677982">
        <w:instrText xml:space="preserve"> SEQ level0 \*arabic </w:instrText>
      </w:r>
      <w:r w:rsidRPr="00677982">
        <w:fldChar w:fldCharType="separate"/>
      </w:r>
      <w:r w:rsidR="00E56382">
        <w:rPr>
          <w:noProof/>
        </w:rPr>
        <w:t>39</w:t>
      </w:r>
      <w:r w:rsidRPr="00677982">
        <w:fldChar w:fldCharType="end"/>
      </w:r>
      <w:r w:rsidRPr="00677982">
        <w:t>.</w:t>
      </w:r>
      <w:r w:rsidR="00B11BF9">
        <w:t> </w:t>
      </w:r>
      <w:r w:rsidRPr="00677982">
        <w:t> </w:t>
      </w:r>
      <w:r w:rsidR="00B2377B">
        <w:rPr>
          <w:lang w:eastAsia="en-US"/>
        </w:rPr>
        <w:t>It is not in dispute between the parties that the measures complained of interfered with the applicant</w:t>
      </w:r>
      <w:r w:rsidR="00E56382">
        <w:rPr>
          <w:lang w:eastAsia="en-US"/>
        </w:rPr>
        <w:t>’</w:t>
      </w:r>
      <w:r w:rsidR="00B2377B">
        <w:rPr>
          <w:lang w:eastAsia="en-US"/>
        </w:rPr>
        <w:t>s rights under Article 8 of the Convention.</w:t>
      </w:r>
      <w:r w:rsidR="0064397C">
        <w:t xml:space="preserve"> </w:t>
      </w:r>
      <w:r w:rsidRPr="00677982">
        <w:t xml:space="preserve">The Court </w:t>
      </w:r>
      <w:r>
        <w:t xml:space="preserve">finds that </w:t>
      </w:r>
      <w:r w:rsidR="00B2377B">
        <w:t xml:space="preserve">the </w:t>
      </w:r>
      <w:r>
        <w:t>search and seizure of electronic data constituted an interference with the applicant</w:t>
      </w:r>
      <w:r w:rsidR="00E56382">
        <w:t>’</w:t>
      </w:r>
      <w:r>
        <w:t xml:space="preserve">s right to respect for his “correspondence” within the meaning of Article 8 of the Convention (see </w:t>
      </w:r>
      <w:r w:rsidRPr="00B03D66">
        <w:rPr>
          <w:i/>
          <w:lang w:eastAsia="en-US"/>
        </w:rPr>
        <w:t>Wieser and Bicos Beteiligungen GmbH</w:t>
      </w:r>
      <w:r w:rsidRPr="00B03D66">
        <w:rPr>
          <w:lang w:eastAsia="en-US"/>
        </w:rPr>
        <w:t xml:space="preserve">, </w:t>
      </w:r>
      <w:r>
        <w:rPr>
          <w:lang w:eastAsia="en-US"/>
        </w:rPr>
        <w:t>cited above, § 45 with further references).</w:t>
      </w:r>
    </w:p>
    <w:p w:rsidRPr="00C83B26" w:rsidR="00494427" w:rsidP="00494427" w:rsidRDefault="00494427">
      <w:pPr>
        <w:pStyle w:val="JuPara"/>
        <w:rPr>
          <w:lang w:eastAsia="en-US"/>
        </w:rPr>
      </w:pPr>
      <w:r>
        <w:fldChar w:fldCharType="begin"/>
      </w:r>
      <w:r>
        <w:instrText xml:space="preserve"> SEQ level0 \*arabic </w:instrText>
      </w:r>
      <w:r>
        <w:fldChar w:fldCharType="separate"/>
      </w:r>
      <w:r w:rsidR="00E56382">
        <w:rPr>
          <w:noProof/>
        </w:rPr>
        <w:t>40</w:t>
      </w:r>
      <w:r>
        <w:fldChar w:fldCharType="end"/>
      </w:r>
      <w:r>
        <w:t>.  As to the question whether the measure was in accordance with the law, the Court</w:t>
      </w:r>
      <w:r w:rsidR="00E56382">
        <w:t>’</w:t>
      </w:r>
      <w:r>
        <w:t xml:space="preserve">s case-law has established that a measure must have some basis in domestic law, with the term “law” being understood in its “substantive” sense, not its “formal” one. In a sphere covered by statutory law, the “law” is the enactment in force as the competent courts have interpreted it (see </w:t>
      </w:r>
      <w:r w:rsidRPr="00531DA7">
        <w:rPr>
          <w:i/>
          <w:lang w:eastAsia="en-US"/>
        </w:rPr>
        <w:t xml:space="preserve">Société Colas Est and Others v. </w:t>
      </w:r>
      <w:smartTag w:uri="urn:schemas-microsoft-com:office:smarttags" w:element="place">
        <w:smartTag w:uri="urn:schemas-microsoft-com:office:smarttags" w:element="address">
          <w:r w:rsidRPr="00531DA7">
            <w:rPr>
              <w:i/>
              <w:lang w:eastAsia="en-US"/>
            </w:rPr>
            <w:t>France</w:t>
          </w:r>
        </w:smartTag>
      </w:smartTag>
      <w:r w:rsidRPr="00531DA7">
        <w:rPr>
          <w:lang w:eastAsia="en-US"/>
        </w:rPr>
        <w:t>, no. 37971/97, §</w:t>
      </w:r>
      <w:r>
        <w:rPr>
          <w:lang w:eastAsia="en-US"/>
        </w:rPr>
        <w:t> 43</w:t>
      </w:r>
      <w:r w:rsidRPr="00531DA7">
        <w:rPr>
          <w:lang w:eastAsia="en-US"/>
        </w:rPr>
        <w:t>, ECHR 2002</w:t>
      </w:r>
      <w:r w:rsidRPr="00531DA7">
        <w:rPr>
          <w:lang w:eastAsia="en-US"/>
        </w:rPr>
        <w:noBreakHyphen/>
        <w:t>III</w:t>
      </w:r>
      <w:r>
        <w:t xml:space="preserve">). In </w:t>
      </w:r>
      <w:r w:rsidRPr="00C83B26" w:rsidR="00C83B26">
        <w:rPr>
          <w:i/>
          <w:lang w:eastAsia="en-US"/>
        </w:rPr>
        <w:t xml:space="preserve">Kennedy v. the </w:t>
      </w:r>
      <w:smartTag w:uri="urn:schemas-microsoft-com:office:smarttags" w:element="place">
        <w:smartTag w:uri="urn:schemas-microsoft-com:office:smarttags" w:element="country-region">
          <w:r w:rsidR="00C83B26" w:rsidRPr="00C83B26">
            <w:rPr>
              <w:i/>
              <w:lang w:eastAsia="en-US"/>
            </w:rPr>
            <w:t>United Kingdom</w:t>
          </w:r>
        </w:smartTag>
      </w:smartTag>
      <w:r w:rsidR="0068722C">
        <w:rPr>
          <w:lang w:eastAsia="en-US"/>
        </w:rPr>
        <w:t xml:space="preserve"> (no. 26839/05, § </w:t>
      </w:r>
      <w:r w:rsidR="00C83B26">
        <w:rPr>
          <w:lang w:eastAsia="en-US"/>
        </w:rPr>
        <w:t>151</w:t>
      </w:r>
      <w:r w:rsidRPr="00F8313D" w:rsidR="00C83B26">
        <w:rPr>
          <w:lang w:eastAsia="en-US"/>
        </w:rPr>
        <w:t xml:space="preserve">, </w:t>
      </w:r>
      <w:r w:rsidR="00C83B26">
        <w:rPr>
          <w:lang w:eastAsia="en-US"/>
        </w:rPr>
        <w:t>18 May 2010)</w:t>
      </w:r>
      <w:r>
        <w:rPr>
          <w:lang w:eastAsia="en-US"/>
        </w:rPr>
        <w:t xml:space="preserve">, the Court also held that </w:t>
      </w:r>
      <w:r>
        <w:t>the domestic law must be compatible with the rule of law and accessible to the person concerned, and that the person affected must be able to foresee the consequences of the domestic law for him (see, among many other authorities,</w:t>
      </w:r>
      <w:r>
        <w:rPr>
          <w:rStyle w:val="ju-005fpara-002cleft-002cfirst-0020line-003a-0020-00200-0020cm--char"/>
          <w:i/>
          <w:iCs/>
        </w:rPr>
        <w:t xml:space="preserve"> </w:t>
      </w:r>
      <w:r w:rsidRPr="002E3004">
        <w:rPr>
          <w:i/>
          <w:lang w:eastAsia="en-US"/>
        </w:rPr>
        <w:t>Rotaru v.</w:t>
      </w:r>
      <w:r w:rsidR="00B11BF9">
        <w:rPr>
          <w:i/>
          <w:lang w:eastAsia="en-US"/>
        </w:rPr>
        <w:t xml:space="preserve"> </w:t>
      </w:r>
      <w:r w:rsidRPr="002E3004">
        <w:rPr>
          <w:i/>
          <w:lang w:eastAsia="en-US"/>
        </w:rPr>
        <w:t xml:space="preserve">Romania </w:t>
      </w:r>
      <w:r w:rsidRPr="002E3004">
        <w:rPr>
          <w:lang w:eastAsia="en-US"/>
        </w:rPr>
        <w:t xml:space="preserve">[GC], no. 28341/95, § </w:t>
      </w:r>
      <w:r>
        <w:rPr>
          <w:lang w:eastAsia="en-US"/>
        </w:rPr>
        <w:t>52, ECHR 2000</w:t>
      </w:r>
      <w:r>
        <w:rPr>
          <w:lang w:eastAsia="en-US"/>
        </w:rPr>
        <w:noBreakHyphen/>
        <w:t>V</w:t>
      </w:r>
      <w:r>
        <w:t xml:space="preserve">; </w:t>
      </w:r>
      <w:r w:rsidRPr="002E3004">
        <w:rPr>
          <w:i/>
          <w:lang w:eastAsia="en-US"/>
        </w:rPr>
        <w:t>Liberty and Others v.</w:t>
      </w:r>
      <w:r w:rsidR="00B11BF9">
        <w:rPr>
          <w:i/>
          <w:lang w:eastAsia="en-US"/>
        </w:rPr>
        <w:t xml:space="preserve"> </w:t>
      </w:r>
      <w:r w:rsidRPr="002E3004">
        <w:rPr>
          <w:i/>
          <w:lang w:eastAsia="en-US"/>
        </w:rPr>
        <w:t>the United Kingdom</w:t>
      </w:r>
      <w:r w:rsidRPr="002E3004">
        <w:rPr>
          <w:lang w:eastAsia="en-US"/>
        </w:rPr>
        <w:t xml:space="preserve">, no. 58243/00, § </w:t>
      </w:r>
      <w:r>
        <w:rPr>
          <w:lang w:eastAsia="en-US"/>
        </w:rPr>
        <w:t>59</w:t>
      </w:r>
      <w:r w:rsidRPr="002E3004">
        <w:rPr>
          <w:lang w:eastAsia="en-US"/>
        </w:rPr>
        <w:t>, 1 July 2008</w:t>
      </w:r>
      <w:r>
        <w:t xml:space="preserve">; and </w:t>
      </w:r>
      <w:r w:rsidRPr="002E3004">
        <w:rPr>
          <w:i/>
          <w:lang w:eastAsia="en-US"/>
        </w:rPr>
        <w:t xml:space="preserve">Iordachi and Others v. </w:t>
      </w:r>
      <w:smartTag w:uri="urn:schemas-microsoft-com:office:smarttags" w:element="address">
        <w:smartTag w:uri="urn:schemas-microsoft-com:office:smarttags" w:element="place">
          <w:r w:rsidRPr="002E3004">
            <w:rPr>
              <w:i/>
              <w:lang w:eastAsia="en-US"/>
            </w:rPr>
            <w:t>Moldova</w:t>
          </w:r>
        </w:smartTag>
      </w:smartTag>
      <w:r>
        <w:rPr>
          <w:lang w:eastAsia="en-US"/>
        </w:rPr>
        <w:t>, no. 25198/02, §</w:t>
      </w:r>
      <w:r w:rsidR="00B11BF9">
        <w:rPr>
          <w:lang w:eastAsia="en-US"/>
        </w:rPr>
        <w:t xml:space="preserve"> </w:t>
      </w:r>
      <w:r>
        <w:rPr>
          <w:lang w:eastAsia="en-US"/>
        </w:rPr>
        <w:t>37</w:t>
      </w:r>
      <w:r w:rsidRPr="002E3004">
        <w:rPr>
          <w:lang w:eastAsia="en-US"/>
        </w:rPr>
        <w:t>, 10 February 2009</w:t>
      </w:r>
      <w:r>
        <w:t>).</w:t>
      </w:r>
    </w:p>
    <w:p w:rsidR="00494427" w:rsidP="00494427" w:rsidRDefault="00494427">
      <w:pPr>
        <w:pStyle w:val="JuPara"/>
      </w:pPr>
      <w:r>
        <w:fldChar w:fldCharType="begin"/>
      </w:r>
      <w:r>
        <w:instrText xml:space="preserve"> SEQ level0 \*arabic </w:instrText>
      </w:r>
      <w:r>
        <w:fldChar w:fldCharType="separate"/>
      </w:r>
      <w:r w:rsidR="00E56382">
        <w:rPr>
          <w:noProof/>
        </w:rPr>
        <w:t>41</w:t>
      </w:r>
      <w:r>
        <w:fldChar w:fldCharType="end"/>
      </w:r>
      <w:r>
        <w:t xml:space="preserve">.  The Court found in the case of </w:t>
      </w:r>
      <w:r w:rsidRPr="0090304E">
        <w:rPr>
          <w:i/>
          <w:lang w:eastAsia="en-US"/>
        </w:rPr>
        <w:t xml:space="preserve">Wieser and Bicos Beteiligungen GmbH </w:t>
      </w:r>
      <w:r>
        <w:rPr>
          <w:lang w:eastAsia="en-US"/>
        </w:rPr>
        <w:t xml:space="preserve">(cited above, § 54) that the Austrian Code </w:t>
      </w:r>
      <w:r>
        <w:t>of Criminal Procedure did not contain specific provisions for the search and seizure of electronic data. However, it contained detailed provisions for the seizure of objects and, in addition, specific rules for the seizure of documents. It was established in the domestic courts</w:t>
      </w:r>
      <w:r w:rsidR="00E56382">
        <w:t>’</w:t>
      </w:r>
      <w:r>
        <w:t xml:space="preserve"> case-law that these provisions also applied to the search and seizure of electronic data. Taking into consideration the criteria of compatibility with the rule of law, accessibility of the domestic law, and foreseeability of the consequences of the law, the Court accepts that the search and seizure was in “accordance with the law”. In so far as the applicant argues that the search warrant was too vague to be in accordance with the law, the Court considers that his argument raises questions rather of proportionality, which will be examined below.</w:t>
      </w:r>
    </w:p>
    <w:p w:rsidR="00494427" w:rsidP="00494427" w:rsidRDefault="00494427">
      <w:pPr>
        <w:pStyle w:val="JuPara"/>
      </w:pPr>
      <w:r>
        <w:fldChar w:fldCharType="begin"/>
      </w:r>
      <w:r>
        <w:instrText xml:space="preserve"> SEQ level0 \*arabic </w:instrText>
      </w:r>
      <w:r>
        <w:fldChar w:fldCharType="separate"/>
      </w:r>
      <w:r w:rsidR="00E56382">
        <w:rPr>
          <w:noProof/>
        </w:rPr>
        <w:t>42</w:t>
      </w:r>
      <w:r>
        <w:fldChar w:fldCharType="end"/>
      </w:r>
      <w:r>
        <w:t>.  The search and seizure also pursued a legitimate aim, namely the prevention of crime.</w:t>
      </w:r>
    </w:p>
    <w:p w:rsidR="00316053" w:rsidP="00494427" w:rsidRDefault="00494427">
      <w:pPr>
        <w:pStyle w:val="JuPara"/>
      </w:pPr>
      <w:r>
        <w:fldChar w:fldCharType="begin"/>
      </w:r>
      <w:r>
        <w:instrText xml:space="preserve"> SEQ level0 \*arabic </w:instrText>
      </w:r>
      <w:r>
        <w:fldChar w:fldCharType="separate"/>
      </w:r>
      <w:r w:rsidR="00E56382">
        <w:rPr>
          <w:noProof/>
        </w:rPr>
        <w:t>43</w:t>
      </w:r>
      <w:r>
        <w:fldChar w:fldCharType="end"/>
      </w:r>
      <w:r>
        <w:t>.  It thus remains for the Court to ascertain whether the measure complained of was “necessary in a democratic society”, in other words, whether the relationship between the aim sought to be achieved and the means employed can be considered proportionate.</w:t>
      </w:r>
    </w:p>
    <w:p w:rsidR="00D21F8D" w:rsidP="00494427" w:rsidRDefault="00494427">
      <w:pPr>
        <w:pStyle w:val="JuPara"/>
      </w:pPr>
      <w:r w:rsidRPr="00677982">
        <w:fldChar w:fldCharType="begin"/>
      </w:r>
      <w:r w:rsidRPr="00677982">
        <w:instrText xml:space="preserve"> SEQ level0 \*arabic </w:instrText>
      </w:r>
      <w:r w:rsidRPr="00677982">
        <w:fldChar w:fldCharType="separate"/>
      </w:r>
      <w:r w:rsidR="00E56382">
        <w:rPr>
          <w:noProof/>
        </w:rPr>
        <w:t>44</w:t>
      </w:r>
      <w:r w:rsidRPr="00677982">
        <w:fldChar w:fldCharType="end"/>
      </w:r>
      <w:r w:rsidRPr="00677982">
        <w:t>.  </w:t>
      </w:r>
      <w:r w:rsidR="00316053">
        <w:t>In comparable cases, the Court has examined whether domestic law and practice afforded adequate and effective safeguards against any abuse and</w:t>
      </w:r>
      <w:r w:rsidR="00BD312B">
        <w:t xml:space="preserve"> arb</w:t>
      </w:r>
      <w:r w:rsidR="00316053">
        <w:t xml:space="preserve">itrariness </w:t>
      </w:r>
      <w:r w:rsidR="00BD312B">
        <w:t>(</w:t>
      </w:r>
      <w:r w:rsidR="00BD312B">
        <w:rPr>
          <w:lang w:eastAsia="en-US"/>
        </w:rPr>
        <w:t xml:space="preserve">see, for instance, </w:t>
      </w:r>
      <w:r w:rsidRPr="00EE4121" w:rsidR="00BD312B">
        <w:rPr>
          <w:i/>
          <w:lang w:eastAsia="en-US"/>
        </w:rPr>
        <w:t>Société Colas Est and Others</w:t>
      </w:r>
      <w:r w:rsidRPr="00EE4121" w:rsidR="00BD312B">
        <w:rPr>
          <w:lang w:eastAsia="en-US"/>
        </w:rPr>
        <w:t xml:space="preserve">, </w:t>
      </w:r>
      <w:r w:rsidR="00BD312B">
        <w:rPr>
          <w:lang w:eastAsia="en-US"/>
        </w:rPr>
        <w:t>cited above</w:t>
      </w:r>
      <w:r w:rsidRPr="00EE4121" w:rsidR="00BD312B">
        <w:rPr>
          <w:lang w:eastAsia="en-US"/>
        </w:rPr>
        <w:t xml:space="preserve">, § </w:t>
      </w:r>
      <w:r w:rsidR="00BD312B">
        <w:rPr>
          <w:lang w:eastAsia="en-US"/>
        </w:rPr>
        <w:t>48</w:t>
      </w:r>
      <w:r w:rsidR="00BD312B">
        <w:t>). E</w:t>
      </w:r>
      <w:r>
        <w:t xml:space="preserve">lements </w:t>
      </w:r>
      <w:r w:rsidR="00BD312B">
        <w:t xml:space="preserve">taken into consideration are, in particular, </w:t>
      </w:r>
      <w:r>
        <w:rPr>
          <w:lang w:eastAsia="en-US"/>
        </w:rPr>
        <w:t xml:space="preserve">whether </w:t>
      </w:r>
      <w:r>
        <w:t>the search was based on a warrant issued by a judge and based on reasonable suspicion; whether the scope of the warrant was reasonably limited; and – where the search of a lawyer</w:t>
      </w:r>
      <w:r w:rsidR="00E56382">
        <w:t>’</w:t>
      </w:r>
      <w:r>
        <w:t xml:space="preserve">s office was concerned – whether the search was carried out in the presence of an independent observer in order to ensure that materials subject to professional secrecy were not removed (see also </w:t>
      </w:r>
      <w:r>
        <w:rPr>
          <w:rStyle w:val="ju-005fpara--char"/>
          <w:i/>
          <w:iCs/>
        </w:rPr>
        <w:t>Niemietz v. Germany</w:t>
      </w:r>
      <w:r>
        <w:t xml:space="preserve">, </w:t>
      </w:r>
      <w:r w:rsidRPr="00B03D66">
        <w:rPr>
          <w:lang w:eastAsia="en-US"/>
        </w:rPr>
        <w:t>16</w:t>
      </w:r>
      <w:r w:rsidR="00B11BF9">
        <w:rPr>
          <w:lang w:eastAsia="en-US"/>
        </w:rPr>
        <w:t xml:space="preserve"> </w:t>
      </w:r>
      <w:r w:rsidRPr="00B03D66">
        <w:rPr>
          <w:lang w:eastAsia="en-US"/>
        </w:rPr>
        <w:t>December 1992,</w:t>
      </w:r>
      <w:r>
        <w:t xml:space="preserve"> § 37, </w:t>
      </w:r>
      <w:r w:rsidRPr="00864C4F">
        <w:rPr>
          <w:lang w:eastAsia="en-US"/>
        </w:rPr>
        <w:t xml:space="preserve">Series A no. </w:t>
      </w:r>
      <w:r>
        <w:rPr>
          <w:lang w:eastAsia="en-US"/>
        </w:rPr>
        <w:t>251</w:t>
      </w:r>
      <w:r>
        <w:rPr>
          <w:lang w:eastAsia="en-US"/>
        </w:rPr>
        <w:noBreakHyphen/>
        <w:t>B</w:t>
      </w:r>
      <w:r w:rsidR="00733CF4">
        <w:rPr>
          <w:lang w:eastAsia="en-US"/>
        </w:rPr>
        <w:t>;</w:t>
      </w:r>
      <w:r>
        <w:t xml:space="preserve"> </w:t>
      </w:r>
      <w:r w:rsidRPr="002E3004">
        <w:rPr>
          <w:i/>
          <w:lang w:eastAsia="en-US"/>
        </w:rPr>
        <w:t xml:space="preserve">Tamosius v. the </w:t>
      </w:r>
      <w:smartTag w:uri="urn:schemas-microsoft-com:office:smarttags" w:element="address">
        <w:smartTag w:uri="urn:schemas-microsoft-com:office:smarttags" w:element="place">
          <w:r w:rsidRPr="002E3004">
            <w:rPr>
              <w:i/>
              <w:lang w:eastAsia="en-US"/>
            </w:rPr>
            <w:t>United Kingdom</w:t>
          </w:r>
        </w:smartTag>
      </w:smartTag>
      <w:r w:rsidRPr="002E3004">
        <w:rPr>
          <w:lang w:eastAsia="en-US"/>
        </w:rPr>
        <w:t xml:space="preserve"> (dec.), no. 62002/00</w:t>
      </w:r>
      <w:r w:rsidRPr="002E3004">
        <w:rPr>
          <w:szCs w:val="24"/>
          <w:lang w:eastAsia="en-US"/>
        </w:rPr>
        <w:t xml:space="preserve">, </w:t>
      </w:r>
      <w:r>
        <w:rPr>
          <w:lang w:eastAsia="en-US"/>
        </w:rPr>
        <w:t>ECHR 2002</w:t>
      </w:r>
      <w:r>
        <w:rPr>
          <w:lang w:eastAsia="en-US"/>
        </w:rPr>
        <w:noBreakHyphen/>
        <w:t>VIII</w:t>
      </w:r>
      <w:r w:rsidR="007C0459">
        <w:rPr>
          <w:lang w:eastAsia="en-US"/>
        </w:rPr>
        <w:t>;</w:t>
      </w:r>
      <w:r w:rsidR="00733CF4">
        <w:rPr>
          <w:lang w:eastAsia="en-US"/>
        </w:rPr>
        <w:t xml:space="preserve"> and</w:t>
      </w:r>
      <w:r w:rsidRPr="00BD312B" w:rsidR="00BD312B">
        <w:rPr>
          <w:i/>
          <w:lang w:eastAsia="en-US"/>
        </w:rPr>
        <w:t xml:space="preserve"> </w:t>
      </w:r>
      <w:r w:rsidRPr="00EE4121" w:rsidR="00BD312B">
        <w:rPr>
          <w:i/>
          <w:lang w:eastAsia="en-US"/>
        </w:rPr>
        <w:t>Wies</w:t>
      </w:r>
      <w:r w:rsidR="00BD312B">
        <w:rPr>
          <w:i/>
          <w:lang w:eastAsia="en-US"/>
        </w:rPr>
        <w:t>er and Bicos Beteiligungen GmbH</w:t>
      </w:r>
      <w:r w:rsidRPr="00733CF4" w:rsidR="00BD312B">
        <w:rPr>
          <w:lang w:eastAsia="en-US"/>
        </w:rPr>
        <w:t>,</w:t>
      </w:r>
      <w:r w:rsidR="00BD312B">
        <w:rPr>
          <w:i/>
          <w:lang w:eastAsia="en-US"/>
        </w:rPr>
        <w:t xml:space="preserve"> </w:t>
      </w:r>
      <w:r w:rsidR="00BD312B">
        <w:rPr>
          <w:lang w:eastAsia="en-US"/>
        </w:rPr>
        <w:t>cited above, § 57</w:t>
      </w:r>
      <w:r w:rsidR="005A683D">
        <w:t>).</w:t>
      </w:r>
    </w:p>
    <w:p w:rsidR="00D21F8D" w:rsidP="00494427" w:rsidRDefault="00BD312B">
      <w:pPr>
        <w:pStyle w:val="JuPara"/>
      </w:pPr>
      <w:r>
        <w:fldChar w:fldCharType="begin"/>
      </w:r>
      <w:r>
        <w:instrText xml:space="preserve"> SEQ level0 \*arabic </w:instrText>
      </w:r>
      <w:r>
        <w:fldChar w:fldCharType="separate"/>
      </w:r>
      <w:r w:rsidR="00E56382">
        <w:rPr>
          <w:noProof/>
        </w:rPr>
        <w:t>45</w:t>
      </w:r>
      <w:r>
        <w:fldChar w:fldCharType="end"/>
      </w:r>
      <w:r>
        <w:t xml:space="preserve">.  In the present case the search and seizure complained </w:t>
      </w:r>
      <w:r w:rsidR="00D21F8D">
        <w:t xml:space="preserve">of </w:t>
      </w:r>
      <w:r>
        <w:t>were based on a warrant issued by the investigating judge in the context of criminal proceedings against the applicant on suspicion of aggravated theft, agg</w:t>
      </w:r>
      <w:r w:rsidR="00645105">
        <w:t>ravated fraud and embezzlement. He was suspected of having stolen valuables and of having defrauded substantial amounts of money from Mr.</w:t>
      </w:r>
      <w:r w:rsidR="00B11BF9">
        <w:t> </w:t>
      </w:r>
      <w:r w:rsidR="00645105">
        <w:t>R. and Mr. G. The warrant gave</w:t>
      </w:r>
      <w:r w:rsidR="00D21F8D">
        <w:t xml:space="preserve"> details in respect of the alleged acts</w:t>
      </w:r>
      <w:r w:rsidR="005A683D">
        <w:t>,</w:t>
      </w:r>
      <w:r w:rsidR="00D21F8D">
        <w:t xml:space="preserve"> the time of their commission and the damage allegedly caused.</w:t>
      </w:r>
    </w:p>
    <w:p w:rsidR="00C8737F" w:rsidP="00C8737F" w:rsidRDefault="00FA04E0">
      <w:pPr>
        <w:pStyle w:val="JuPara"/>
      </w:pPr>
      <w:r>
        <w:fldChar w:fldCharType="begin"/>
      </w:r>
      <w:r>
        <w:instrText xml:space="preserve"> SEQ level0 \*arabic </w:instrText>
      </w:r>
      <w:r>
        <w:fldChar w:fldCharType="separate"/>
      </w:r>
      <w:r w:rsidR="00E56382">
        <w:rPr>
          <w:noProof/>
        </w:rPr>
        <w:t>46</w:t>
      </w:r>
      <w:r>
        <w:fldChar w:fldCharType="end"/>
      </w:r>
      <w:r>
        <w:t>.  </w:t>
      </w:r>
      <w:r w:rsidR="00C8737F">
        <w:t>The Court disagrees with the applicant</w:t>
      </w:r>
      <w:r w:rsidR="00E56382">
        <w:t>’</w:t>
      </w:r>
      <w:r w:rsidR="00C8737F">
        <w:t>s argument that his acquittal show</w:t>
      </w:r>
      <w:r w:rsidR="00733CF4">
        <w:t>ed</w:t>
      </w:r>
      <w:r w:rsidR="00C8737F">
        <w:t xml:space="preserve"> the lack of a reasonable suspicion from the beginning. Rather</w:t>
      </w:r>
      <w:r w:rsidR="00AC48AA">
        <w:t xml:space="preserve">, </w:t>
      </w:r>
      <w:r w:rsidR="00C8737F">
        <w:t>the existence of reasonable suspicion is to be assessed at the time of issuing the search warrant. In the circumstances described above, the Court is satisfied that the search warrant was based on reasonable suspicion</w:t>
      </w:r>
      <w:r>
        <w:t xml:space="preserve"> at that</w:t>
      </w:r>
      <w:r w:rsidR="00C8737F">
        <w:t xml:space="preserve"> time. The fact that the appl</w:t>
      </w:r>
      <w:r>
        <w:t xml:space="preserve">icant was </w:t>
      </w:r>
      <w:r w:rsidR="005A683D">
        <w:t xml:space="preserve">eventually </w:t>
      </w:r>
      <w:r>
        <w:t>acquitted years later</w:t>
      </w:r>
      <w:r w:rsidR="00C8737F">
        <w:t xml:space="preserve"> cannot change this assessment.</w:t>
      </w:r>
    </w:p>
    <w:p w:rsidR="00812BE7" w:rsidP="00812BE7" w:rsidRDefault="00C83B26">
      <w:pPr>
        <w:pStyle w:val="JuPara"/>
      </w:pPr>
      <w:r>
        <w:fldChar w:fldCharType="begin"/>
      </w:r>
      <w:r>
        <w:instrText xml:space="preserve"> SEQ level0 \*arabic </w:instrText>
      </w:r>
      <w:r>
        <w:fldChar w:fldCharType="separate"/>
      </w:r>
      <w:r w:rsidR="00E56382">
        <w:rPr>
          <w:noProof/>
        </w:rPr>
        <w:t>47</w:t>
      </w:r>
      <w:r>
        <w:fldChar w:fldCharType="end"/>
      </w:r>
      <w:r>
        <w:t>.  </w:t>
      </w:r>
      <w:r w:rsidR="00692C36">
        <w:t xml:space="preserve">Turning to the question whether the scope of the warrant was reasonably limited, the Court considers that the search warrant was </w:t>
      </w:r>
      <w:r w:rsidR="006F78BF">
        <w:t xml:space="preserve">couched </w:t>
      </w:r>
      <w:r w:rsidR="00692C36">
        <w:t>in very broad terms. While limiting the search and seizure of files to those concerning R. and G., it authorised in a general and unlimited manner the search and seizure of documents, personal computers and discs, savings book</w:t>
      </w:r>
      <w:r w:rsidR="006F78BF">
        <w:t>s</w:t>
      </w:r>
      <w:r w:rsidR="00692C36">
        <w:t>, bank documents and deeds of gift and wills in favour of the applicant.</w:t>
      </w:r>
      <w:r w:rsidR="00784F0F">
        <w:t xml:space="preserve"> The Court will therefore examine </w:t>
      </w:r>
      <w:r w:rsidR="00812BE7">
        <w:t xml:space="preserve">whether deficiencies in the limitation </w:t>
      </w:r>
      <w:r w:rsidR="00917D98">
        <w:t xml:space="preserve">of </w:t>
      </w:r>
      <w:r w:rsidR="00812BE7">
        <w:t>the scope of the search and seizure warrant were offset by sufficient procedural safeguards, capable of protecting the applicant against any abuse or arbitrariness.</w:t>
      </w:r>
    </w:p>
    <w:p w:rsidR="006F78BF" w:rsidP="006F78BF" w:rsidRDefault="006F78BF">
      <w:pPr>
        <w:pStyle w:val="JuPara"/>
      </w:pPr>
      <w:r>
        <w:fldChar w:fldCharType="begin"/>
      </w:r>
      <w:r>
        <w:instrText xml:space="preserve"> SEQ level0 \*arabic </w:instrText>
      </w:r>
      <w:r>
        <w:fldChar w:fldCharType="separate"/>
      </w:r>
      <w:r w:rsidR="00E56382">
        <w:rPr>
          <w:noProof/>
        </w:rPr>
        <w:t>48</w:t>
      </w:r>
      <w:r>
        <w:fldChar w:fldCharType="end"/>
      </w:r>
      <w:r>
        <w:t xml:space="preserve">.  As the Court has already noted in the case of </w:t>
      </w:r>
      <w:r w:rsidRPr="00EE4121">
        <w:rPr>
          <w:i/>
          <w:lang w:eastAsia="en-US"/>
        </w:rPr>
        <w:t>Wies</w:t>
      </w:r>
      <w:r>
        <w:rPr>
          <w:i/>
          <w:lang w:eastAsia="en-US"/>
        </w:rPr>
        <w:t xml:space="preserve">er and Bicos Beteiligungen GmbH </w:t>
      </w:r>
      <w:r w:rsidR="006C721B">
        <w:rPr>
          <w:lang w:eastAsia="en-US"/>
        </w:rPr>
        <w:t xml:space="preserve">(cited above, § </w:t>
      </w:r>
      <w:r>
        <w:rPr>
          <w:lang w:eastAsia="en-US"/>
        </w:rPr>
        <w:t xml:space="preserve">60) </w:t>
      </w:r>
      <w:r>
        <w:t xml:space="preserve">the Austrian Code of Criminal Procedure provides the following procedural safeguards as regards the </w:t>
      </w:r>
      <w:r w:rsidR="00812BE7">
        <w:t xml:space="preserve">search and </w:t>
      </w:r>
      <w:r>
        <w:t>seizure of documents and electronic data:</w:t>
      </w:r>
    </w:p>
    <w:p w:rsidR="006F78BF" w:rsidP="006F78BF" w:rsidRDefault="006F78BF">
      <w:pPr>
        <w:pStyle w:val="JuPara"/>
      </w:pPr>
      <w:r>
        <w:t>(a) The occupant of the premises shall be present;</w:t>
      </w:r>
    </w:p>
    <w:p w:rsidR="006F78BF" w:rsidP="006F78BF" w:rsidRDefault="006F78BF">
      <w:pPr>
        <w:pStyle w:val="JuPara"/>
      </w:pPr>
      <w:r>
        <w:t>(b) A report is to be drawn up at the end of the search and items seized are to be listed;</w:t>
      </w:r>
    </w:p>
    <w:p w:rsidR="006F78BF" w:rsidP="006F78BF" w:rsidRDefault="006F78BF">
      <w:pPr>
        <w:pStyle w:val="JuPara"/>
      </w:pPr>
      <w:r>
        <w:t xml:space="preserve">(c) If the owner objects to the seizure of documents or data </w:t>
      </w:r>
      <w:r w:rsidR="00917D98">
        <w:t xml:space="preserve">storage </w:t>
      </w:r>
      <w:r w:rsidR="000A503D">
        <w:t xml:space="preserve">media </w:t>
      </w:r>
      <w:r>
        <w:t>they are to be sealed and put before the judge for a decision as to whether or not they are to be used for the investigation; and</w:t>
      </w:r>
    </w:p>
    <w:p w:rsidR="006F78BF" w:rsidP="006F78BF" w:rsidRDefault="006F78BF">
      <w:pPr>
        <w:pStyle w:val="JuPara"/>
      </w:pPr>
      <w:r>
        <w:t>(d) In addition, as far as the search of a lawyer</w:t>
      </w:r>
      <w:r w:rsidR="00E56382">
        <w:t>’</w:t>
      </w:r>
      <w:r>
        <w:t>s office is concerned, the presence of a representative of the Bar Association is required.</w:t>
      </w:r>
    </w:p>
    <w:p w:rsidR="006F78BF" w:rsidP="006F78BF" w:rsidRDefault="006F78BF">
      <w:pPr>
        <w:pStyle w:val="JuPara"/>
      </w:pPr>
      <w:r>
        <w:fldChar w:fldCharType="begin"/>
      </w:r>
      <w:r>
        <w:instrText xml:space="preserve"> SEQ level0 \*arabic </w:instrText>
      </w:r>
      <w:r>
        <w:fldChar w:fldCharType="separate"/>
      </w:r>
      <w:r w:rsidR="00E56382">
        <w:rPr>
          <w:noProof/>
        </w:rPr>
        <w:t>49</w:t>
      </w:r>
      <w:r>
        <w:fldChar w:fldCharType="end"/>
      </w:r>
      <w:r>
        <w:t xml:space="preserve">.  In the present case, the search was carried out in </w:t>
      </w:r>
      <w:r w:rsidR="00E359AC">
        <w:t xml:space="preserve">the </w:t>
      </w:r>
      <w:r>
        <w:t xml:space="preserve">presence of the applicant, his defence counsel and a representative of the Vienna Bar Association. While </w:t>
      </w:r>
      <w:r w:rsidR="00E359AC">
        <w:t xml:space="preserve">all of </w:t>
      </w:r>
      <w:r>
        <w:t>the applicant</w:t>
      </w:r>
      <w:r w:rsidR="00E56382">
        <w:t>’</w:t>
      </w:r>
      <w:r>
        <w:t>s electronic data were copied to discs, the police officers followed the proposal of the representative of the Bar Association and copied all data containing the names “R</w:t>
      </w:r>
      <w:r w:rsidR="00E359AC">
        <w:t>.</w:t>
      </w:r>
      <w:r>
        <w:t>” and “G</w:t>
      </w:r>
      <w:r w:rsidR="00E359AC">
        <w:t>.</w:t>
      </w:r>
      <w:r>
        <w:t>” to a separate disc. All the discs were sealed.</w:t>
      </w:r>
      <w:r w:rsidRPr="0018123A">
        <w:t xml:space="preserve"> </w:t>
      </w:r>
      <w:r>
        <w:t>A report was duly drawn up at the end of the search</w:t>
      </w:r>
      <w:r w:rsidR="00E359AC">
        <w:t>,</w:t>
      </w:r>
      <w:r>
        <w:t xml:space="preserve"> listing all the items seized.</w:t>
      </w:r>
    </w:p>
    <w:p w:rsidR="00812BE7" w:rsidP="00C83B26" w:rsidRDefault="006F78BF">
      <w:pPr>
        <w:pStyle w:val="JuPara"/>
      </w:pPr>
      <w:r>
        <w:fldChar w:fldCharType="begin"/>
      </w:r>
      <w:r>
        <w:instrText xml:space="preserve"> SEQ level0 \*arabic </w:instrText>
      </w:r>
      <w:r>
        <w:fldChar w:fldCharType="separate"/>
      </w:r>
      <w:r w:rsidR="00E56382">
        <w:rPr>
          <w:noProof/>
        </w:rPr>
        <w:t>50</w:t>
      </w:r>
      <w:r>
        <w:fldChar w:fldCharType="end"/>
      </w:r>
      <w:r>
        <w:t xml:space="preserve">.  The Court also notes that the applicant had a remedy against the </w:t>
      </w:r>
      <w:r w:rsidR="00812BE7">
        <w:t xml:space="preserve">examination of the seized data </w:t>
      </w:r>
      <w:r>
        <w:t>at his disposal, namely a complaint to the Review Chamber at the Regional Criminal Court. As the applicant opposed the search of the data, it was for the Review Chamber to decide which data could actually be examined. The Court has already noted above that the search warrant in the present case was couched in very broad terms</w:t>
      </w:r>
      <w:r w:rsidR="00AA0FFD">
        <w:t xml:space="preserve"> </w:t>
      </w:r>
      <w:r w:rsidR="00FA048C">
        <w:t>whereas the description of the alleged criminal activities related exclusively to “R.” and “G.”</w:t>
      </w:r>
      <w:r w:rsidR="00540903">
        <w:t xml:space="preserve"> (see paragraph </w:t>
      </w:r>
      <w:r w:rsidR="00263035">
        <w:rPr>
          <w:noProof/>
        </w:rPr>
        <w:t>9</w:t>
      </w:r>
      <w:r w:rsidR="00540903">
        <w:t xml:space="preserve"> above)</w:t>
      </w:r>
      <w:r w:rsidR="00FA048C">
        <w:t xml:space="preserve">. Nevertheless </w:t>
      </w:r>
      <w:r w:rsidR="00E359AC">
        <w:t xml:space="preserve">all of </w:t>
      </w:r>
      <w:r w:rsidR="00AA0FFD">
        <w:t>the applicant</w:t>
      </w:r>
      <w:r w:rsidR="00E56382">
        <w:t>’</w:t>
      </w:r>
      <w:r w:rsidR="00AA0FFD">
        <w:t>s electronic</w:t>
      </w:r>
      <w:r w:rsidR="00812BE7">
        <w:t xml:space="preserve"> data </w:t>
      </w:r>
      <w:r w:rsidR="00FA048C">
        <w:t xml:space="preserve">were </w:t>
      </w:r>
      <w:r w:rsidR="00812BE7">
        <w:t>copied to discs.</w:t>
      </w:r>
    </w:p>
    <w:p w:rsidR="006F78BF" w:rsidP="00C83B26" w:rsidRDefault="00812BE7">
      <w:pPr>
        <w:pStyle w:val="JuPara"/>
      </w:pPr>
      <w:r>
        <w:fldChar w:fldCharType="begin"/>
      </w:r>
      <w:r>
        <w:instrText xml:space="preserve"> SEQ level0 \*arabic </w:instrText>
      </w:r>
      <w:r>
        <w:fldChar w:fldCharType="separate"/>
      </w:r>
      <w:r w:rsidR="00E56382">
        <w:rPr>
          <w:noProof/>
        </w:rPr>
        <w:t>51</w:t>
      </w:r>
      <w:r>
        <w:fldChar w:fldCharType="end"/>
      </w:r>
      <w:r>
        <w:t>.  </w:t>
      </w:r>
      <w:r w:rsidR="006F78BF">
        <w:t>In these circumstances</w:t>
      </w:r>
      <w:r w:rsidR="00AA0FFD">
        <w:t xml:space="preserve">, </w:t>
      </w:r>
      <w:r w:rsidR="006F78BF">
        <w:t>the manner in which the Review Chamber exercised its supervi</w:t>
      </w:r>
      <w:r w:rsidR="00AA0FFD">
        <w:t xml:space="preserve">sory function is of particular importance. The Court </w:t>
      </w:r>
      <w:r w:rsidR="00FA048C">
        <w:t xml:space="preserve">notes </w:t>
      </w:r>
      <w:r w:rsidR="00AA0FFD">
        <w:t xml:space="preserve">that the Review Chamber gave </w:t>
      </w:r>
      <w:r w:rsidR="00E359AC">
        <w:t xml:space="preserve">only </w:t>
      </w:r>
      <w:r w:rsidR="00AA0FFD">
        <w:t xml:space="preserve">very </w:t>
      </w:r>
      <w:r w:rsidR="00FA048C">
        <w:t xml:space="preserve">brief </w:t>
      </w:r>
      <w:r w:rsidR="00AA0FFD">
        <w:t xml:space="preserve">and rather general reasons when authorising the search of </w:t>
      </w:r>
      <w:r w:rsidR="00E359AC">
        <w:t xml:space="preserve">all </w:t>
      </w:r>
      <w:r w:rsidR="00AA0FFD">
        <w:t xml:space="preserve">the electronic data </w:t>
      </w:r>
      <w:r w:rsidR="00E359AC">
        <w:t xml:space="preserve">from </w:t>
      </w:r>
      <w:r w:rsidR="00AA0FFD">
        <w:t>the applicant</w:t>
      </w:r>
      <w:r w:rsidR="00E56382">
        <w:t>’</w:t>
      </w:r>
      <w:r w:rsidR="00AA0FFD">
        <w:t xml:space="preserve">s law office. </w:t>
      </w:r>
      <w:r>
        <w:t>In particular</w:t>
      </w:r>
      <w:r w:rsidR="00E359AC">
        <w:t>,</w:t>
      </w:r>
      <w:r>
        <w:t xml:space="preserve"> it did not address the question whether it would be sufficient to search only those discs which contained data r</w:t>
      </w:r>
      <w:r w:rsidR="000F324B">
        <w:t>elating</w:t>
      </w:r>
      <w:r>
        <w:t xml:space="preserve"> to “</w:t>
      </w:r>
      <w:r w:rsidR="000F324B">
        <w:t>R</w:t>
      </w:r>
      <w:r w:rsidR="00E359AC">
        <w:t>.</w:t>
      </w:r>
      <w:r>
        <w:t>” and “</w:t>
      </w:r>
      <w:r w:rsidR="000F324B">
        <w:t>G</w:t>
      </w:r>
      <w:r w:rsidR="00E359AC">
        <w:t>.</w:t>
      </w:r>
      <w:r>
        <w:t>”</w:t>
      </w:r>
      <w:r w:rsidR="000F324B">
        <w:t xml:space="preserve">. Nor did it give any specific reasons for its finding that </w:t>
      </w:r>
      <w:r w:rsidR="00E359AC">
        <w:t xml:space="preserve">a </w:t>
      </w:r>
      <w:r w:rsidR="000F324B">
        <w:t>search of</w:t>
      </w:r>
      <w:r w:rsidR="00E359AC">
        <w:t xml:space="preserve"> all of</w:t>
      </w:r>
      <w:r w:rsidR="000F324B">
        <w:t xml:space="preserve"> the applicant</w:t>
      </w:r>
      <w:r w:rsidR="00E56382">
        <w:t>’</w:t>
      </w:r>
      <w:r w:rsidR="000F324B">
        <w:t>s data was n</w:t>
      </w:r>
      <w:r w:rsidR="00FA048C">
        <w:t xml:space="preserve">ecessary for the investigation. Thus, </w:t>
      </w:r>
      <w:r w:rsidR="00AA0FFD">
        <w:t>the way in which the Review Chamber exercised i</w:t>
      </w:r>
      <w:r w:rsidR="00E359AC">
        <w:t>t</w:t>
      </w:r>
      <w:r w:rsidR="00AA0FFD">
        <w:t>s s</w:t>
      </w:r>
      <w:r w:rsidR="00FA048C">
        <w:t xml:space="preserve">upervision in the present case does not enable the Court </w:t>
      </w:r>
      <w:r w:rsidR="00AA0FFD">
        <w:t xml:space="preserve">to establish that the search </w:t>
      </w:r>
      <w:r w:rsidR="00E359AC">
        <w:t xml:space="preserve">of all </w:t>
      </w:r>
      <w:r w:rsidR="00AA0FFD">
        <w:t xml:space="preserve">of the </w:t>
      </w:r>
      <w:r w:rsidR="009A5169">
        <w:t>applicant</w:t>
      </w:r>
      <w:r w:rsidR="00E56382">
        <w:t>’</w:t>
      </w:r>
      <w:r w:rsidR="009A5169">
        <w:t xml:space="preserve">s electronic </w:t>
      </w:r>
      <w:r w:rsidR="00AA0FFD">
        <w:t>data was proportionate in the circumstances.</w:t>
      </w:r>
    </w:p>
    <w:p w:rsidR="006A5B36" w:rsidP="00C83B26" w:rsidRDefault="00C83B26">
      <w:pPr>
        <w:pStyle w:val="JuPara"/>
      </w:pPr>
      <w:r>
        <w:fldChar w:fldCharType="begin"/>
      </w:r>
      <w:r>
        <w:instrText xml:space="preserve"> SEQ level0 \*arabic </w:instrText>
      </w:r>
      <w:r>
        <w:fldChar w:fldCharType="separate"/>
      </w:r>
      <w:r w:rsidR="00E56382">
        <w:rPr>
          <w:noProof/>
        </w:rPr>
        <w:t>52</w:t>
      </w:r>
      <w:r>
        <w:fldChar w:fldCharType="end"/>
      </w:r>
      <w:r>
        <w:t>.  </w:t>
      </w:r>
      <w:r w:rsidR="00FA048C">
        <w:t xml:space="preserve">However, the facts of the case show that the alleged criminal activities, necessitating a search warrant, related solely to the </w:t>
      </w:r>
      <w:r w:rsidR="00540903">
        <w:t>relationship between the applicant and “R.” and “G.” Thus, the Court finds that there should be particular reasons to allow the search of all other data, having regard to the specific circumstances prevailing in a law office. However, in the present case, there were no such reasons either in the search warrant itself or in any other document. In these circumstances, the Court finds that the seizure and examination of all data went beyond what was necessary to achieve the legitimate aim. It follows that there has been a violation of Article 8 of the Convention.</w:t>
      </w:r>
    </w:p>
    <w:p w:rsidRPr="00122324" w:rsidR="00F71A6A" w:rsidRDefault="006A5B36">
      <w:pPr>
        <w:pStyle w:val="JuHIRoman"/>
      </w:pPr>
      <w:r>
        <w:t>II</w:t>
      </w:r>
      <w:r w:rsidRPr="00122324" w:rsidR="00F71A6A">
        <w:t>.  APPLICATION OF ARTICLE 41 OF THE CONVENTION</w:t>
      </w:r>
    </w:p>
    <w:p w:rsidRPr="00122324" w:rsidR="00F71A6A" w:rsidP="002F4BCF" w:rsidRDefault="00122324">
      <w:pPr>
        <w:pStyle w:val="JuPara"/>
        <w:keepNext/>
        <w:keepLines/>
      </w:pPr>
      <w:r w:rsidRPr="00122324">
        <w:fldChar w:fldCharType="begin"/>
      </w:r>
      <w:r w:rsidRPr="00122324">
        <w:instrText xml:space="preserve"> SEQ level0 \*arabic </w:instrText>
      </w:r>
      <w:r w:rsidRPr="00122324">
        <w:fldChar w:fldCharType="separate"/>
      </w:r>
      <w:r w:rsidR="00E56382">
        <w:rPr>
          <w:noProof/>
        </w:rPr>
        <w:t>53</w:t>
      </w:r>
      <w:r w:rsidRPr="00122324">
        <w:fldChar w:fldCharType="end"/>
      </w:r>
      <w:r w:rsidRPr="00122324" w:rsidR="00F71A6A">
        <w:t>.  Article 41 of the Convention provides:</w:t>
      </w:r>
    </w:p>
    <w:p w:rsidRPr="00122324" w:rsidR="00F71A6A" w:rsidRDefault="00F71A6A">
      <w:pPr>
        <w:pStyle w:val="JuQuot"/>
        <w:keepNext/>
        <w:keepLines/>
      </w:pPr>
      <w:r w:rsidRPr="0012232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F71A6A" w:rsidP="008824B9" w:rsidRDefault="00F71A6A">
      <w:pPr>
        <w:pStyle w:val="JuHA"/>
        <w:keepLines w:val="0"/>
        <w:outlineLvl w:val="0"/>
      </w:pPr>
      <w:r w:rsidRPr="00122324">
        <w:t>A.  Damage</w:t>
      </w:r>
    </w:p>
    <w:p w:rsidRPr="00677982" w:rsidR="006A5B36" w:rsidP="006A5B36" w:rsidRDefault="006A5B36">
      <w:pPr>
        <w:pStyle w:val="JuPara"/>
      </w:pPr>
      <w:r w:rsidRPr="00677982">
        <w:fldChar w:fldCharType="begin"/>
      </w:r>
      <w:r w:rsidRPr="00677982">
        <w:instrText xml:space="preserve"> SEQ level0 \*arabic </w:instrText>
      </w:r>
      <w:r w:rsidRPr="00677982">
        <w:fldChar w:fldCharType="separate"/>
      </w:r>
      <w:r w:rsidR="00E56382">
        <w:rPr>
          <w:noProof/>
        </w:rPr>
        <w:t>54</w:t>
      </w:r>
      <w:r w:rsidRPr="00677982">
        <w:fldChar w:fldCharType="end"/>
      </w:r>
      <w:r w:rsidRPr="00677982">
        <w:t xml:space="preserve">.  The applicant claimed </w:t>
      </w:r>
      <w:r>
        <w:t>20,000</w:t>
      </w:r>
      <w:r w:rsidRPr="00677982">
        <w:t xml:space="preserve"> euros (EUR) in respect of </w:t>
      </w:r>
      <w:r>
        <w:t>non-pecuniary and pecuniary damage, without further substantiating his claim or stating which amounts were claimed under which head.</w:t>
      </w:r>
    </w:p>
    <w:p w:rsidRPr="00677982" w:rsidR="006A5B36" w:rsidP="006A5B36" w:rsidRDefault="006A5B36">
      <w:pPr>
        <w:pStyle w:val="JuPara"/>
        <w:outlineLvl w:val="0"/>
      </w:pPr>
      <w:r w:rsidRPr="00677982">
        <w:fldChar w:fldCharType="begin"/>
      </w:r>
      <w:r w:rsidRPr="00677982">
        <w:instrText xml:space="preserve"> SEQ level0 \*arabic </w:instrText>
      </w:r>
      <w:r w:rsidRPr="00677982">
        <w:fldChar w:fldCharType="separate"/>
      </w:r>
      <w:r w:rsidR="00E56382">
        <w:rPr>
          <w:noProof/>
        </w:rPr>
        <w:t>55</w:t>
      </w:r>
      <w:r w:rsidRPr="00677982">
        <w:fldChar w:fldCharType="end"/>
      </w:r>
      <w:r w:rsidRPr="00677982">
        <w:t xml:space="preserve">.  The Government </w:t>
      </w:r>
      <w:r>
        <w:t>asserted that there was no causal link between the violation in issue and the pecuniary damage alleged by the applicant.</w:t>
      </w:r>
    </w:p>
    <w:p w:rsidR="006A5B36" w:rsidP="006A5B36" w:rsidRDefault="006A5B36">
      <w:pPr>
        <w:pStyle w:val="JuPara"/>
      </w:pPr>
      <w:r w:rsidRPr="00677982">
        <w:fldChar w:fldCharType="begin"/>
      </w:r>
      <w:r w:rsidRPr="00677982">
        <w:instrText xml:space="preserve"> SEQ level0 \*arabic </w:instrText>
      </w:r>
      <w:r w:rsidRPr="00677982">
        <w:fldChar w:fldCharType="separate"/>
      </w:r>
      <w:r w:rsidR="00E56382">
        <w:rPr>
          <w:noProof/>
        </w:rPr>
        <w:t>56</w:t>
      </w:r>
      <w:r w:rsidRPr="00677982">
        <w:fldChar w:fldCharType="end"/>
      </w:r>
      <w:r w:rsidRPr="00677982">
        <w:t>.  The Court does not discern any causal link between the violation found and the pecuniary damage alleged; it therefore rejects this claim.</w:t>
      </w:r>
    </w:p>
    <w:p w:rsidRPr="006A5B36" w:rsidR="006A5B36" w:rsidP="006A5B36" w:rsidRDefault="006A5B36">
      <w:pPr>
        <w:pStyle w:val="JuPara"/>
      </w:pPr>
      <w:r>
        <w:fldChar w:fldCharType="begin"/>
      </w:r>
      <w:r>
        <w:instrText xml:space="preserve"> SEQ level0 \*arabic </w:instrText>
      </w:r>
      <w:r>
        <w:fldChar w:fldCharType="separate"/>
      </w:r>
      <w:r w:rsidR="00E56382">
        <w:rPr>
          <w:noProof/>
        </w:rPr>
        <w:t>57</w:t>
      </w:r>
      <w:r>
        <w:fldChar w:fldCharType="end"/>
      </w:r>
      <w:r>
        <w:t xml:space="preserve">.  However, the Court considers that the applicant </w:t>
      </w:r>
      <w:r w:rsidRPr="0020296C">
        <w:rPr>
          <w:bCs/>
        </w:rPr>
        <w:t>must</w:t>
      </w:r>
      <w:r w:rsidRPr="0020296C">
        <w:t xml:space="preserve"> </w:t>
      </w:r>
      <w:r w:rsidRPr="0020296C">
        <w:rPr>
          <w:bCs/>
        </w:rPr>
        <w:t>have</w:t>
      </w:r>
      <w:r w:rsidRPr="0020296C">
        <w:t xml:space="preserve"> </w:t>
      </w:r>
      <w:r w:rsidRPr="0020296C">
        <w:rPr>
          <w:bCs/>
        </w:rPr>
        <w:t>sustained</w:t>
      </w:r>
      <w:r>
        <w:rPr>
          <w:bCs/>
        </w:rPr>
        <w:t xml:space="preserve"> some</w:t>
      </w:r>
      <w:r>
        <w:t xml:space="preserve"> non-pecuniary damage. It thus awards the applicant</w:t>
      </w:r>
      <w:r w:rsidR="00540903">
        <w:t>, on an equitable basis, EUR 3,000 under this head, plus any tax that may be chargeable.</w:t>
      </w:r>
    </w:p>
    <w:p w:rsidRPr="00122324" w:rsidR="00F71A6A" w:rsidP="008824B9" w:rsidRDefault="00F71A6A">
      <w:pPr>
        <w:pStyle w:val="JuHA"/>
        <w:outlineLvl w:val="0"/>
      </w:pPr>
      <w:r w:rsidRPr="00122324">
        <w:t>B.  Costs and expenses</w:t>
      </w:r>
    </w:p>
    <w:p w:rsidRPr="00DE209B" w:rsidR="006A5B36" w:rsidP="006A5B36" w:rsidRDefault="006A5B36">
      <w:pPr>
        <w:pStyle w:val="JuPara"/>
        <w:rPr>
          <w:b/>
          <w:i/>
          <w:u w:val="single"/>
        </w:rPr>
      </w:pPr>
      <w:r w:rsidRPr="00677982">
        <w:fldChar w:fldCharType="begin"/>
      </w:r>
      <w:r w:rsidRPr="00677982">
        <w:instrText xml:space="preserve"> SEQ level0 \*arabic </w:instrText>
      </w:r>
      <w:r w:rsidRPr="00677982">
        <w:fldChar w:fldCharType="separate"/>
      </w:r>
      <w:r w:rsidR="00E56382">
        <w:rPr>
          <w:noProof/>
        </w:rPr>
        <w:t>58</w:t>
      </w:r>
      <w:r w:rsidRPr="00677982">
        <w:fldChar w:fldCharType="end"/>
      </w:r>
      <w:r w:rsidRPr="00677982">
        <w:t xml:space="preserve">.  The applicant also claimed EUR </w:t>
      </w:r>
      <w:r>
        <w:t>22,849.36</w:t>
      </w:r>
      <w:r w:rsidRPr="00677982">
        <w:t xml:space="preserve"> for the costs and expenses incurred before the domestic courts</w:t>
      </w:r>
      <w:r>
        <w:t xml:space="preserve">. </w:t>
      </w:r>
      <w:r w:rsidR="00172566">
        <w:t xml:space="preserve">This amount includes value-added tax. </w:t>
      </w:r>
      <w:r>
        <w:t xml:space="preserve">As far as claims for costs and expenses incurred </w:t>
      </w:r>
      <w:r w:rsidR="00DB32BD">
        <w:t xml:space="preserve">in </w:t>
      </w:r>
      <w:r>
        <w:t>the Convention proceedings are concerned, the applicant stated that he would submit these at a later stage.</w:t>
      </w:r>
    </w:p>
    <w:p w:rsidRPr="00677982" w:rsidR="006A5B36" w:rsidP="006A5B36" w:rsidRDefault="006A5B36">
      <w:pPr>
        <w:pStyle w:val="JuPara"/>
        <w:outlineLvl w:val="0"/>
      </w:pPr>
      <w:r w:rsidRPr="00677982">
        <w:fldChar w:fldCharType="begin"/>
      </w:r>
      <w:r w:rsidRPr="00677982">
        <w:instrText xml:space="preserve"> SEQ level0 \*arabic </w:instrText>
      </w:r>
      <w:r w:rsidRPr="00677982">
        <w:fldChar w:fldCharType="separate"/>
      </w:r>
      <w:r w:rsidR="00E56382">
        <w:rPr>
          <w:noProof/>
        </w:rPr>
        <w:t>59</w:t>
      </w:r>
      <w:r w:rsidRPr="00677982">
        <w:fldChar w:fldCharType="end"/>
      </w:r>
      <w:r w:rsidRPr="00677982">
        <w:t xml:space="preserve">.  The Government </w:t>
      </w:r>
      <w:r>
        <w:t>contested the claim for costs and expenses incurred before the domestic courts, arguing that the bills for costs and expenses only added up to the amount of EUR 22,749.36</w:t>
      </w:r>
      <w:r w:rsidRPr="00677982">
        <w:t xml:space="preserve"> </w:t>
      </w:r>
      <w:r>
        <w:t>and that the applicant had failed to show that the costs had been actually and necessarily incurred to prevent the violation of the Convention. The Government also argued that the applicant had failed to show that these costs were reasonable as to quantum.</w:t>
      </w:r>
    </w:p>
    <w:p w:rsidR="006A5B36" w:rsidP="006A5B36" w:rsidRDefault="006A5B36">
      <w:pPr>
        <w:pStyle w:val="JuPara"/>
      </w:pPr>
      <w:r w:rsidRPr="00677982">
        <w:fldChar w:fldCharType="begin"/>
      </w:r>
      <w:r w:rsidRPr="00677982">
        <w:instrText xml:space="preserve"> SEQ level0 \*arabic </w:instrText>
      </w:r>
      <w:r w:rsidRPr="00677982">
        <w:fldChar w:fldCharType="separate"/>
      </w:r>
      <w:r w:rsidR="00E56382">
        <w:rPr>
          <w:noProof/>
        </w:rPr>
        <w:t>60</w:t>
      </w:r>
      <w:r w:rsidRPr="00677982">
        <w:fldChar w:fldCharType="end"/>
      </w:r>
      <w:r w:rsidRPr="00677982">
        <w:t>.  According to the Court</w:t>
      </w:r>
      <w:r w:rsidR="00E56382">
        <w:t>’</w:t>
      </w:r>
      <w:r w:rsidRPr="00677982">
        <w:t xml:space="preserve">s case-law, an applicant is entitled to the reimbursement of costs and expenses only in so far as it has been shown that these have been actually and necessarily incurred and </w:t>
      </w:r>
      <w:r>
        <w:t>are</w:t>
      </w:r>
      <w:r w:rsidRPr="00677982">
        <w:t xml:space="preserve"> reasonable as to quantum. In the present case, regard being had to the documents in its possession and the above criteria, </w:t>
      </w:r>
      <w:r>
        <w:t>the Court</w:t>
      </w:r>
      <w:r w:rsidRPr="00677982">
        <w:t xml:space="preserve"> considers it reasonable to award the sum of EUR </w:t>
      </w:r>
      <w:r>
        <w:t>2,500</w:t>
      </w:r>
      <w:r w:rsidRPr="00677982">
        <w:t xml:space="preserve"> for costs and expenses in the domestic proceedings</w:t>
      </w:r>
      <w:r w:rsidR="00172566">
        <w:t>, plus any tax that may be chargeable to the applicant</w:t>
      </w:r>
      <w:r w:rsidRPr="00677982">
        <w:t>.</w:t>
      </w:r>
    </w:p>
    <w:p w:rsidRPr="00122324" w:rsidR="00F71A6A" w:rsidP="002F4BCF" w:rsidRDefault="006A5B36">
      <w:pPr>
        <w:pStyle w:val="JuPara"/>
      </w:pPr>
      <w:r>
        <w:fldChar w:fldCharType="begin"/>
      </w:r>
      <w:r>
        <w:instrText xml:space="preserve"> SEQ level0 \*arabic </w:instrText>
      </w:r>
      <w:r>
        <w:fldChar w:fldCharType="separate"/>
      </w:r>
      <w:r w:rsidR="00E56382">
        <w:rPr>
          <w:noProof/>
        </w:rPr>
        <w:t>61</w:t>
      </w:r>
      <w:r>
        <w:fldChar w:fldCharType="end"/>
      </w:r>
      <w:r>
        <w:t>.  Turning to the costs for the proceedings before the Court, it notes that the applicant did not make any claim for costs and expenses, despite having been instructed to do so by a letter dated 27 January 2009</w:t>
      </w:r>
      <w:r w:rsidR="00172566">
        <w:t>.</w:t>
      </w:r>
      <w:r>
        <w:t xml:space="preserve"> The Court is therefore unable to make an award under this head.</w:t>
      </w:r>
    </w:p>
    <w:p w:rsidRPr="00122324" w:rsidR="00F71A6A" w:rsidP="008824B9" w:rsidRDefault="00F71A6A">
      <w:pPr>
        <w:pStyle w:val="JuHA"/>
        <w:outlineLvl w:val="0"/>
      </w:pPr>
      <w:r w:rsidRPr="00122324">
        <w:t>C.  Default interest</w:t>
      </w:r>
    </w:p>
    <w:p w:rsidRPr="00122324" w:rsidR="00F71A6A" w:rsidP="00151CCA" w:rsidRDefault="00122324">
      <w:pPr>
        <w:pStyle w:val="JuPara"/>
      </w:pPr>
      <w:r w:rsidRPr="00122324">
        <w:fldChar w:fldCharType="begin"/>
      </w:r>
      <w:r w:rsidRPr="00122324">
        <w:instrText xml:space="preserve"> SEQ level0 \*arabic </w:instrText>
      </w:r>
      <w:r w:rsidRPr="00122324">
        <w:fldChar w:fldCharType="separate"/>
      </w:r>
      <w:r w:rsidR="00E56382">
        <w:rPr>
          <w:noProof/>
        </w:rPr>
        <w:t>62</w:t>
      </w:r>
      <w:r w:rsidRPr="00122324">
        <w:fldChar w:fldCharType="end"/>
      </w:r>
      <w:r w:rsidRPr="00122324" w:rsidR="00F71A6A">
        <w:t xml:space="preserve">.  The Court considers it appropriate that the default interest </w:t>
      </w:r>
      <w:r w:rsidRPr="00122324" w:rsidR="0034580F">
        <w:t xml:space="preserve">rate </w:t>
      </w:r>
      <w:r w:rsidRPr="00122324" w:rsidR="00F71A6A">
        <w:t>should be based on the marginal lending rate of the European Central Bank, to which should be added three percentage points.</w:t>
      </w:r>
    </w:p>
    <w:p w:rsidR="00F71A6A" w:rsidP="008824B9" w:rsidRDefault="006C721B">
      <w:pPr>
        <w:pStyle w:val="JuHHead"/>
      </w:pPr>
      <w:r>
        <w:t>FOR THESE REASONS, THE COURT</w:t>
      </w:r>
    </w:p>
    <w:p w:rsidR="0054439A" w:rsidP="0054439A" w:rsidRDefault="0054439A">
      <w:pPr>
        <w:pStyle w:val="JuList"/>
      </w:pPr>
      <w:r w:rsidRPr="00677982">
        <w:t>1.  </w:t>
      </w:r>
      <w:r w:rsidRPr="00677982">
        <w:rPr>
          <w:i/>
        </w:rPr>
        <w:t>Declares</w:t>
      </w:r>
      <w:r w:rsidRPr="00677982">
        <w:t xml:space="preserve"> </w:t>
      </w:r>
      <w:r w:rsidR="00C5351C">
        <w:t>unanimously</w:t>
      </w:r>
      <w:r w:rsidRPr="00677982" w:rsidR="00C5351C">
        <w:t xml:space="preserve"> </w:t>
      </w:r>
      <w:r w:rsidRPr="00677982">
        <w:t>the application admissib</w:t>
      </w:r>
      <w:r w:rsidR="006C721B">
        <w:t>le</w:t>
      </w:r>
      <w:r w:rsidR="009A5169">
        <w:t>;</w:t>
      </w:r>
    </w:p>
    <w:p w:rsidR="0054439A" w:rsidP="0054439A" w:rsidRDefault="0054439A">
      <w:pPr>
        <w:pStyle w:val="JuList"/>
      </w:pPr>
    </w:p>
    <w:p w:rsidRPr="00677982" w:rsidR="009A5169" w:rsidP="009A5169" w:rsidRDefault="009A5169">
      <w:pPr>
        <w:pStyle w:val="JuList"/>
      </w:pPr>
      <w:r>
        <w:t>2</w:t>
      </w:r>
      <w:r w:rsidRPr="00677982">
        <w:t>.  </w:t>
      </w:r>
      <w:r w:rsidRPr="00677982">
        <w:rPr>
          <w:i/>
        </w:rPr>
        <w:t>Holds</w:t>
      </w:r>
      <w:r w:rsidRPr="00677982">
        <w:t xml:space="preserve"> by </w:t>
      </w:r>
      <w:r w:rsidR="006C721B">
        <w:t xml:space="preserve">five </w:t>
      </w:r>
      <w:r w:rsidRPr="00677982">
        <w:t xml:space="preserve">votes to </w:t>
      </w:r>
      <w:r w:rsidR="006C721B">
        <w:t>two</w:t>
      </w:r>
      <w:r>
        <w:t xml:space="preserve"> </w:t>
      </w:r>
      <w:r w:rsidRPr="00677982">
        <w:t xml:space="preserve">that there has been a violation of Article </w:t>
      </w:r>
      <w:r>
        <w:t>8</w:t>
      </w:r>
      <w:r w:rsidRPr="00677982">
        <w:t xml:space="preserve"> of the Convention;</w:t>
      </w:r>
    </w:p>
    <w:p w:rsidRPr="00677982" w:rsidR="009A5169" w:rsidP="009A5169" w:rsidRDefault="009A5169">
      <w:pPr>
        <w:pStyle w:val="JuList"/>
      </w:pPr>
    </w:p>
    <w:p w:rsidR="009A5169" w:rsidP="009A5169" w:rsidRDefault="009A5169">
      <w:pPr>
        <w:pStyle w:val="JuList"/>
      </w:pPr>
      <w:r>
        <w:t>3</w:t>
      </w:r>
      <w:r w:rsidRPr="00677982">
        <w:t>.  </w:t>
      </w:r>
      <w:r w:rsidRPr="00677982">
        <w:rPr>
          <w:i/>
        </w:rPr>
        <w:t>Holds</w:t>
      </w:r>
      <w:r w:rsidRPr="00677982">
        <w:t xml:space="preserve"> </w:t>
      </w:r>
      <w:r w:rsidRPr="00677982" w:rsidR="006C721B">
        <w:t xml:space="preserve">by </w:t>
      </w:r>
      <w:r w:rsidR="006C721B">
        <w:t xml:space="preserve">five </w:t>
      </w:r>
      <w:r w:rsidRPr="00677982" w:rsidR="006C721B">
        <w:t xml:space="preserve">votes to </w:t>
      </w:r>
      <w:r w:rsidR="006C721B">
        <w:t>two</w:t>
      </w:r>
    </w:p>
    <w:p w:rsidRPr="00415690" w:rsidR="009A5169" w:rsidP="009A5169" w:rsidRDefault="009A5169">
      <w:pPr>
        <w:pStyle w:val="JuLista"/>
      </w:pPr>
      <w:r w:rsidRPr="00677982">
        <w:t xml:space="preserve">(a)  that the respondent State is to pay the applicant, within three months from the date on which the judgment becomes final in accordance with Article 44 § 2 of the Convention, </w:t>
      </w:r>
      <w:r w:rsidRPr="00415690">
        <w:t xml:space="preserve">EUR </w:t>
      </w:r>
      <w:r>
        <w:t>3,000</w:t>
      </w:r>
      <w:r w:rsidRPr="00415690">
        <w:t xml:space="preserve"> (</w:t>
      </w:r>
      <w:r>
        <w:t>three thousand</w:t>
      </w:r>
      <w:r w:rsidRPr="00415690">
        <w:t xml:space="preserve"> euros), plus any tax that may be chargeable, in respect of </w:t>
      </w:r>
      <w:r>
        <w:t>non-pecuniary damage and EUR 2,500 (two thousand five hundred euros),</w:t>
      </w:r>
      <w:r w:rsidRPr="00C41949">
        <w:t xml:space="preserve"> </w:t>
      </w:r>
      <w:r w:rsidRPr="00677982">
        <w:t>plus any tax that may be chargeable</w:t>
      </w:r>
      <w:r>
        <w:t xml:space="preserve"> to the applicant</w:t>
      </w:r>
      <w:r w:rsidRPr="00677982">
        <w:t>,</w:t>
      </w:r>
      <w:r>
        <w:t xml:space="preserve"> in respect of </w:t>
      </w:r>
      <w:r w:rsidRPr="00415690">
        <w:t>costs and exp</w:t>
      </w:r>
      <w:r>
        <w:t>enses</w:t>
      </w:r>
      <w:r w:rsidRPr="00415690">
        <w:t>;</w:t>
      </w:r>
    </w:p>
    <w:p w:rsidRPr="00677982" w:rsidR="009A5169" w:rsidP="009A5169" w:rsidRDefault="009A5169">
      <w:pPr>
        <w:pStyle w:val="JuLista"/>
      </w:pPr>
      <w:r w:rsidRPr="00677982">
        <w:t>(b)  that from the expiry of the above-mentioned three months until settlement simple interest shall b</w:t>
      </w:r>
      <w:r>
        <w:t>e payable on the above amount</w:t>
      </w:r>
      <w:r w:rsidRPr="00677982">
        <w:t xml:space="preserve"> at a rate equal to the marginal lending rate of the European Central Bank during the default period plus three percentage points;</w:t>
      </w:r>
    </w:p>
    <w:p w:rsidRPr="00677982" w:rsidR="009A5169" w:rsidP="009A5169" w:rsidRDefault="009A5169">
      <w:pPr>
        <w:pStyle w:val="JuList"/>
      </w:pPr>
    </w:p>
    <w:p w:rsidR="009A5169" w:rsidP="009A5169" w:rsidRDefault="009A5169">
      <w:pPr>
        <w:pStyle w:val="JuList"/>
      </w:pPr>
      <w:r>
        <w:t>4</w:t>
      </w:r>
      <w:r w:rsidRPr="00677982">
        <w:t>.  </w:t>
      </w:r>
      <w:r w:rsidRPr="00677982">
        <w:rPr>
          <w:i/>
        </w:rPr>
        <w:t>Dismisses</w:t>
      </w:r>
      <w:r w:rsidRPr="00677982">
        <w:t xml:space="preserve"> unanimously the remainder of the applicant</w:t>
      </w:r>
      <w:r w:rsidR="00E56382">
        <w:t>’</w:t>
      </w:r>
      <w:r w:rsidRPr="00677982">
        <w:t>s claim for just satisfaction.</w:t>
      </w:r>
    </w:p>
    <w:p w:rsidRPr="00677982" w:rsidR="0054439A" w:rsidP="0054439A" w:rsidRDefault="0054439A">
      <w:pPr>
        <w:pStyle w:val="JuList"/>
      </w:pPr>
    </w:p>
    <w:p w:rsidRPr="00B11BF9" w:rsidR="0054439A" w:rsidP="00B11BF9" w:rsidRDefault="0054439A">
      <w:pPr>
        <w:pStyle w:val="JuParaLast"/>
        <w:spacing w:before="0"/>
      </w:pPr>
      <w:r w:rsidRPr="00B11BF9">
        <w:t xml:space="preserve">Done in English, and notified in writing on </w:t>
      </w:r>
      <w:r w:rsidR="006C721B">
        <w:t>3 July 2012</w:t>
      </w:r>
      <w:r w:rsidRPr="00B11BF9">
        <w:t>, pursuant to Rule 77 §§ 2 and 3 of the Rules of Court.</w:t>
      </w:r>
    </w:p>
    <w:p w:rsidRPr="006C721B" w:rsidR="0079187F" w:rsidP="00C01E1C" w:rsidRDefault="00325C2B">
      <w:pPr>
        <w:pStyle w:val="JuSigned"/>
        <w:keepNext/>
        <w:keepLines/>
        <w:rPr>
          <w:lang w:val="de-DE"/>
        </w:rPr>
      </w:pPr>
      <w:r w:rsidRPr="00122324">
        <w:tab/>
      </w:r>
      <w:r w:rsidRPr="006C721B" w:rsidR="00122324">
        <w:rPr>
          <w:lang w:val="de-DE"/>
        </w:rPr>
        <w:t>Søren Nielsen</w:t>
      </w:r>
      <w:r w:rsidRPr="006C721B" w:rsidR="00A8381C">
        <w:rPr>
          <w:lang w:val="de-DE"/>
        </w:rPr>
        <w:tab/>
      </w:r>
      <w:r w:rsidRPr="006C721B" w:rsidR="0054439A">
        <w:rPr>
          <w:lang w:val="de-DE"/>
        </w:rPr>
        <w:t>Nina Vajić</w:t>
      </w:r>
      <w:r w:rsidRPr="006C721B" w:rsidR="00A8381C">
        <w:rPr>
          <w:lang w:val="de-DE"/>
        </w:rPr>
        <w:tab/>
      </w:r>
      <w:r w:rsidRPr="006C721B" w:rsidR="00A8381C">
        <w:rPr>
          <w:lang w:val="de-DE"/>
        </w:rPr>
        <w:br/>
      </w:r>
      <w:r w:rsidRPr="006C721B" w:rsidR="00A8381C">
        <w:rPr>
          <w:lang w:val="de-DE"/>
        </w:rPr>
        <w:tab/>
      </w:r>
      <w:r w:rsidRPr="006C721B" w:rsidR="00122324">
        <w:rPr>
          <w:iCs/>
          <w:lang w:val="de-DE"/>
        </w:rPr>
        <w:t>Registrar</w:t>
      </w:r>
      <w:r w:rsidRPr="006C721B" w:rsidR="00A8381C">
        <w:rPr>
          <w:lang w:val="de-DE"/>
        </w:rPr>
        <w:tab/>
        <w:t>President</w:t>
      </w:r>
    </w:p>
    <w:p w:rsidRPr="0025646D" w:rsidR="006C721B" w:rsidP="006C721B" w:rsidRDefault="006C721B">
      <w:pPr>
        <w:pStyle w:val="JuParaLast"/>
      </w:pPr>
      <w:r w:rsidRPr="0025646D">
        <w:t>In accordance with Article 45 § 2 of the Convention and Rule 74 § 2 of the Rules of Court, the separate opinion of Judge</w:t>
      </w:r>
      <w:r>
        <w:t>s</w:t>
      </w:r>
      <w:r w:rsidRPr="0025646D">
        <w:t xml:space="preserve"> </w:t>
      </w:r>
      <w:r>
        <w:t>Kovler and Lorenzen</w:t>
      </w:r>
      <w:r w:rsidRPr="0025646D">
        <w:t xml:space="preserve"> is annexed to this judgment.</w:t>
      </w:r>
    </w:p>
    <w:p w:rsidR="006C721B" w:rsidP="004A1C6A" w:rsidRDefault="006C721B">
      <w:pPr>
        <w:pStyle w:val="JuInitialled"/>
      </w:pPr>
      <w:r>
        <w:t>N.</w:t>
      </w:r>
      <w:r w:rsidR="002367FC">
        <w:t>A.</w:t>
      </w:r>
      <w:r>
        <w:t>V.</w:t>
      </w:r>
      <w:r w:rsidRPr="0025646D">
        <w:br/>
      </w:r>
      <w:r>
        <w:t>S.N.</w:t>
      </w:r>
    </w:p>
    <w:p w:rsidR="006C721B" w:rsidP="006C721B" w:rsidRDefault="006C721B">
      <w:pPr>
        <w:pStyle w:val="JuInitialled"/>
        <w:jc w:val="left"/>
        <w:sectPr w:rsidR="006C721B" w:rsidSect="0064397C">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326"/>
        </w:sectPr>
      </w:pPr>
    </w:p>
    <w:p w:rsidRPr="00141178" w:rsidR="004A1C6A" w:rsidP="004A1C6A" w:rsidRDefault="004A1C6A">
      <w:pPr>
        <w:pStyle w:val="OpiHHead"/>
        <w:rPr>
          <w:caps/>
        </w:rPr>
      </w:pPr>
      <w:r w:rsidRPr="00141178">
        <w:rPr>
          <w:caps/>
        </w:rPr>
        <w:t>Dissenting</w:t>
      </w:r>
      <w:r w:rsidRPr="00141178" w:rsidR="00141178">
        <w:rPr>
          <w:caps/>
        </w:rPr>
        <w:t xml:space="preserve"> opinion</w:t>
      </w:r>
      <w:r w:rsidRPr="00141178" w:rsidR="00141178">
        <w:rPr>
          <w:caps/>
        </w:rPr>
        <w:br/>
      </w:r>
      <w:r w:rsidRPr="00141178">
        <w:rPr>
          <w:caps/>
        </w:rPr>
        <w:t>of Judges Kovler and Lorenzen</w:t>
      </w:r>
    </w:p>
    <w:p w:rsidR="004A1C6A" w:rsidP="004A1C6A" w:rsidRDefault="004A1C6A">
      <w:pPr>
        <w:pStyle w:val="OpiPara"/>
      </w:pPr>
      <w:r>
        <w:t>In this case the majority found a violation of Article 8 because the search and seizure went beyond what was necessary to achieve the legitimate aim. For the following reasons we are unable to follow that conclusion.</w:t>
      </w:r>
    </w:p>
    <w:p w:rsidR="004A1C6A" w:rsidP="004A1C6A" w:rsidRDefault="004A1C6A">
      <w:pPr>
        <w:pStyle w:val="OpiPara"/>
      </w:pPr>
    </w:p>
    <w:p w:rsidR="004A1C6A" w:rsidP="00C5351C" w:rsidRDefault="004A1C6A">
      <w:pPr>
        <w:pStyle w:val="OpiPara"/>
      </w:pPr>
      <w:r>
        <w:t>When assessing whether the search and seizure was disproportionate because the applicant is a practising lawyer, it is in our opinion crucial to bear in mind that the measures were not directed against any of his clients but concerned a criminal investigation against himself and others for various offences in his relation to clients. The applicant was thus suspected of aggravated theft, aggravated fraud and embezzlement against R and G, and the authorities considered that the search and seizure could not be limited to the files bearing the names of those two persons, but that it was necessary to include the other items listed in the search warrant.</w:t>
      </w:r>
    </w:p>
    <w:p w:rsidR="004A1C6A" w:rsidP="004A1C6A" w:rsidRDefault="004A1C6A">
      <w:pPr>
        <w:pStyle w:val="OpiPara"/>
      </w:pPr>
    </w:p>
    <w:p w:rsidR="004A1C6A" w:rsidP="004A1C6A" w:rsidRDefault="004A1C6A">
      <w:pPr>
        <w:pStyle w:val="OpiPara"/>
      </w:pPr>
      <w:r>
        <w:t>We have no difficulties in accepting that it was important for the investigation to examine whether relevant evidence of the suspected illegal transactions were to be found outside the files of the two clients. Even if admittedly the Austrian authorities gave only succinct reasons for that necessity and did not address the allegations of the Vienna Bar Association that it might have been possible to narrow the search of data by electronic means, we fail to see that this can in itself justify the conclusion that the search and seizure was not in compliance with Article 8.</w:t>
      </w:r>
    </w:p>
    <w:p w:rsidR="004A1C6A" w:rsidP="004A1C6A" w:rsidRDefault="004A1C6A">
      <w:pPr>
        <w:pStyle w:val="OpiPara"/>
      </w:pPr>
    </w:p>
    <w:p w:rsidR="004A1C6A" w:rsidP="004A1C6A" w:rsidRDefault="004A1C6A">
      <w:pPr>
        <w:pStyle w:val="OpiPara"/>
      </w:pPr>
      <w:r>
        <w:t xml:space="preserve">In this connection we attach great importance to the fact that all the procedural safeguards provided for by Austrian law were complied with, including that all the copied discs were sealed and could only be examined under the control of the Review Chamber. The case differs in this respect from the case of </w:t>
      </w:r>
      <w:r>
        <w:rPr>
          <w:i/>
        </w:rPr>
        <w:t>Wieser and Bicos Beteiligungen GmbH</w:t>
      </w:r>
      <w:r>
        <w:t>. Furthermore there is no indication that the search and seizure of the applicant´s electronic data risked encroaching on his duty to professional secrecy as a lawyer.</w:t>
      </w:r>
    </w:p>
    <w:p w:rsidR="004A1C6A" w:rsidP="004A1C6A" w:rsidRDefault="004A1C6A">
      <w:pPr>
        <w:pStyle w:val="OpiPara"/>
      </w:pPr>
    </w:p>
    <w:p w:rsidRPr="006C721B" w:rsidR="006C721B" w:rsidP="004A1C6A" w:rsidRDefault="004A1C6A">
      <w:pPr>
        <w:pStyle w:val="OpiPara"/>
      </w:pPr>
      <w:r>
        <w:t>Accordingly we have voted for finding no violation of Article 8.</w:t>
      </w:r>
    </w:p>
    <w:sectPr w:rsidRPr="006C721B" w:rsidR="006C721B" w:rsidSect="000A1BC8">
      <w:headerReference w:type="default" r:id="rId12"/>
      <w:pgSz w:w="11907" w:h="16840" w:code="9"/>
      <w:pgMar w:top="1977" w:right="2325" w:bottom="2325" w:left="2325" w:header="1078" w:footer="102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2FEC" w:rsidRDefault="00E22FEC">
      <w:r>
        <w:separator/>
      </w:r>
    </w:p>
  </w:endnote>
  <w:endnote w:type="continuationSeparator" w:id="0">
    <w:p w:rsidR="00E22FEC" w:rsidRDefault="00E22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FEC" w:rsidRPr="00150BFA" w:rsidRDefault="00E22FEC" w:rsidP="0064397C">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E22FEC" w:rsidRDefault="00E22F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2FEC" w:rsidRDefault="00E22FEC">
      <w:r>
        <w:separator/>
      </w:r>
    </w:p>
  </w:footnote>
  <w:footnote w:type="continuationSeparator" w:id="0">
    <w:p w:rsidR="00E22FEC" w:rsidRDefault="00E22F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FEC" w:rsidRPr="0064397C" w:rsidRDefault="00E22FEC" w:rsidP="0064397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FEC" w:rsidRPr="00C00F0F" w:rsidRDefault="00E22FEC">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E22FEC" w:rsidRDefault="00E22F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FEC" w:rsidRDefault="00E22FEC">
    <w:pPr>
      <w:pStyle w:val="JuHeader"/>
    </w:pPr>
    <w:r>
      <w:rPr>
        <w:rStyle w:val="PageNumber"/>
      </w:rPr>
      <w:fldChar w:fldCharType="begin"/>
    </w:r>
    <w:r>
      <w:rPr>
        <w:rStyle w:val="PageNumber"/>
      </w:rPr>
      <w:instrText xml:space="preserve"> PAGE </w:instrText>
    </w:r>
    <w:r>
      <w:rPr>
        <w:rStyle w:val="PageNumber"/>
      </w:rPr>
      <w:fldChar w:fldCharType="separate"/>
    </w:r>
    <w:r w:rsidR="00E56382">
      <w:rPr>
        <w:rStyle w:val="PageNumber"/>
        <w:noProof/>
      </w:rPr>
      <w:t>2</w:t>
    </w:r>
    <w:r>
      <w:rPr>
        <w:rStyle w:val="PageNumber"/>
      </w:rPr>
      <w:fldChar w:fldCharType="end"/>
    </w:r>
    <w:r>
      <w:tab/>
      <w:t xml:space="preserve">ROBATHIN v. </w:t>
    </w:r>
    <w:smartTag w:uri="urn:schemas-microsoft-com:office:smarttags" w:element="place">
      <w:smartTag w:uri="urn:schemas-microsoft-com:office:smarttags" w:element="country-region">
        <w:r>
          <w:t>AUSTRIA</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FEC" w:rsidRDefault="00E22FEC">
    <w:pPr>
      <w:pStyle w:val="JuHeader"/>
    </w:pPr>
    <w:r>
      <w:tab/>
      <w:t xml:space="preserve">ROBATHIN v. </w:t>
    </w:r>
    <w:smartTag w:uri="urn:schemas-microsoft-com:office:smarttags" w:element="country-region">
      <w:smartTag w:uri="urn:schemas-microsoft-com:office:smarttags" w:element="place">
        <w:r>
          <w:t>AUSTRIA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E56382">
      <w:rPr>
        <w:rStyle w:val="PageNumber"/>
        <w:noProof/>
      </w:rPr>
      <w:t>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FEC" w:rsidRDefault="00E22FEC" w:rsidP="004A1C6A">
    <w:pPr>
      <w:pStyle w:val="JuHeader"/>
      <w:tabs>
        <w:tab w:val="clear" w:pos="7371"/>
        <w:tab w:val="right" w:pos="7200"/>
      </w:tabs>
      <w:ind w:right="295"/>
    </w:pPr>
    <w:r>
      <w:tab/>
      <w:t xml:space="preserve">ROBATHIN v. </w:t>
    </w:r>
    <w:smartTag w:uri="urn:schemas-microsoft-com:office:smarttags" w:element="country-region">
      <w:smartTag w:uri="urn:schemas-microsoft-com:office:smarttags" w:element="place">
        <w:r>
          <w:t>AUSTRIA</w:t>
        </w:r>
      </w:smartTag>
    </w:smartTag>
    <w:r>
      <w:t xml:space="preserve"> – SEPARATE OPINION</w:t>
    </w:r>
    <w:r>
      <w:tab/>
    </w:r>
    <w:r w:rsidRPr="004A1C6A">
      <w:fldChar w:fldCharType="begin"/>
    </w:r>
    <w:r w:rsidRPr="004A1C6A">
      <w:instrText xml:space="preserve"> PAGE </w:instrText>
    </w:r>
    <w:r w:rsidRPr="004A1C6A">
      <w:fldChar w:fldCharType="separate"/>
    </w:r>
    <w:r w:rsidR="00E56382">
      <w:rPr>
        <w:noProof/>
      </w:rPr>
      <w:t>13</w:t>
    </w:r>
    <w:r w:rsidRPr="004A1C6A">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2"/>
  </w:num>
  <w:num w:numId="5">
    <w:abstractNumId w:val="2"/>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122324"/>
    <w:rsid w:val="00001CC5"/>
    <w:rsid w:val="00002DD1"/>
    <w:rsid w:val="000042D1"/>
    <w:rsid w:val="00013894"/>
    <w:rsid w:val="000225E8"/>
    <w:rsid w:val="00033160"/>
    <w:rsid w:val="00033FD2"/>
    <w:rsid w:val="0003679E"/>
    <w:rsid w:val="00042867"/>
    <w:rsid w:val="0005522C"/>
    <w:rsid w:val="00055AC1"/>
    <w:rsid w:val="000726F6"/>
    <w:rsid w:val="00076A67"/>
    <w:rsid w:val="00085837"/>
    <w:rsid w:val="00085B3A"/>
    <w:rsid w:val="00090C82"/>
    <w:rsid w:val="0009409F"/>
    <w:rsid w:val="000A1BC8"/>
    <w:rsid w:val="000A503D"/>
    <w:rsid w:val="000D6108"/>
    <w:rsid w:val="000E1449"/>
    <w:rsid w:val="000F324B"/>
    <w:rsid w:val="000F699D"/>
    <w:rsid w:val="00104AD1"/>
    <w:rsid w:val="00111D99"/>
    <w:rsid w:val="0011665B"/>
    <w:rsid w:val="00122324"/>
    <w:rsid w:val="00126213"/>
    <w:rsid w:val="00141178"/>
    <w:rsid w:val="00150217"/>
    <w:rsid w:val="00151CCA"/>
    <w:rsid w:val="00157BD8"/>
    <w:rsid w:val="00172566"/>
    <w:rsid w:val="00174A6F"/>
    <w:rsid w:val="0018123A"/>
    <w:rsid w:val="001812B2"/>
    <w:rsid w:val="001856C3"/>
    <w:rsid w:val="0019388B"/>
    <w:rsid w:val="00195378"/>
    <w:rsid w:val="00197C29"/>
    <w:rsid w:val="001A0EBE"/>
    <w:rsid w:val="001A2CB2"/>
    <w:rsid w:val="001B2EFC"/>
    <w:rsid w:val="001B62B1"/>
    <w:rsid w:val="001B74F7"/>
    <w:rsid w:val="001D580B"/>
    <w:rsid w:val="001F5586"/>
    <w:rsid w:val="00221771"/>
    <w:rsid w:val="00225BE5"/>
    <w:rsid w:val="002266CD"/>
    <w:rsid w:val="002320C6"/>
    <w:rsid w:val="002367FC"/>
    <w:rsid w:val="00243E64"/>
    <w:rsid w:val="00252B31"/>
    <w:rsid w:val="00263035"/>
    <w:rsid w:val="0026789F"/>
    <w:rsid w:val="00271A81"/>
    <w:rsid w:val="00296B76"/>
    <w:rsid w:val="00297942"/>
    <w:rsid w:val="002A4296"/>
    <w:rsid w:val="002B18B7"/>
    <w:rsid w:val="002C7D3E"/>
    <w:rsid w:val="002E2EAF"/>
    <w:rsid w:val="002E6A74"/>
    <w:rsid w:val="002F4BCF"/>
    <w:rsid w:val="002F6FE9"/>
    <w:rsid w:val="00302008"/>
    <w:rsid w:val="003104E9"/>
    <w:rsid w:val="0031573C"/>
    <w:rsid w:val="00316053"/>
    <w:rsid w:val="0032093A"/>
    <w:rsid w:val="0032579A"/>
    <w:rsid w:val="00325C2B"/>
    <w:rsid w:val="00332547"/>
    <w:rsid w:val="00336887"/>
    <w:rsid w:val="00337600"/>
    <w:rsid w:val="00342E57"/>
    <w:rsid w:val="0034580F"/>
    <w:rsid w:val="003506C9"/>
    <w:rsid w:val="00355F8F"/>
    <w:rsid w:val="00371277"/>
    <w:rsid w:val="0037228D"/>
    <w:rsid w:val="00372B9D"/>
    <w:rsid w:val="003B41C7"/>
    <w:rsid w:val="003B50D7"/>
    <w:rsid w:val="003D1C06"/>
    <w:rsid w:val="003E2006"/>
    <w:rsid w:val="003E319C"/>
    <w:rsid w:val="003F3BFD"/>
    <w:rsid w:val="00401C5B"/>
    <w:rsid w:val="00412F5F"/>
    <w:rsid w:val="00413EFC"/>
    <w:rsid w:val="00422563"/>
    <w:rsid w:val="00424501"/>
    <w:rsid w:val="004406AA"/>
    <w:rsid w:val="00452CF1"/>
    <w:rsid w:val="00457A18"/>
    <w:rsid w:val="00460FAD"/>
    <w:rsid w:val="00485A6F"/>
    <w:rsid w:val="004920B1"/>
    <w:rsid w:val="00494427"/>
    <w:rsid w:val="004A1C6A"/>
    <w:rsid w:val="004B346F"/>
    <w:rsid w:val="004E317D"/>
    <w:rsid w:val="004E5DFC"/>
    <w:rsid w:val="0050096C"/>
    <w:rsid w:val="00513446"/>
    <w:rsid w:val="00516EBF"/>
    <w:rsid w:val="00522362"/>
    <w:rsid w:val="00540903"/>
    <w:rsid w:val="005419B6"/>
    <w:rsid w:val="0054439A"/>
    <w:rsid w:val="00546F49"/>
    <w:rsid w:val="0056771C"/>
    <w:rsid w:val="005777BA"/>
    <w:rsid w:val="00577E6A"/>
    <w:rsid w:val="00584A11"/>
    <w:rsid w:val="005874FF"/>
    <w:rsid w:val="00595C5D"/>
    <w:rsid w:val="005A3D27"/>
    <w:rsid w:val="005A683D"/>
    <w:rsid w:val="005B16A8"/>
    <w:rsid w:val="005B4233"/>
    <w:rsid w:val="005C1929"/>
    <w:rsid w:val="005C1956"/>
    <w:rsid w:val="005C1C82"/>
    <w:rsid w:val="005C2C88"/>
    <w:rsid w:val="005C41CB"/>
    <w:rsid w:val="005E06B0"/>
    <w:rsid w:val="005E384F"/>
    <w:rsid w:val="005E7AD6"/>
    <w:rsid w:val="005F4753"/>
    <w:rsid w:val="005F7A10"/>
    <w:rsid w:val="006111FF"/>
    <w:rsid w:val="00625699"/>
    <w:rsid w:val="0062787C"/>
    <w:rsid w:val="00633478"/>
    <w:rsid w:val="00640B82"/>
    <w:rsid w:val="00641BAE"/>
    <w:rsid w:val="0064397C"/>
    <w:rsid w:val="00645105"/>
    <w:rsid w:val="00655126"/>
    <w:rsid w:val="006639B6"/>
    <w:rsid w:val="0068722C"/>
    <w:rsid w:val="00692C36"/>
    <w:rsid w:val="006939F8"/>
    <w:rsid w:val="00697F14"/>
    <w:rsid w:val="006A3D9D"/>
    <w:rsid w:val="006A5B36"/>
    <w:rsid w:val="006A7C48"/>
    <w:rsid w:val="006A7E94"/>
    <w:rsid w:val="006C2B52"/>
    <w:rsid w:val="006C35C5"/>
    <w:rsid w:val="006C721B"/>
    <w:rsid w:val="006D71BC"/>
    <w:rsid w:val="006E6D33"/>
    <w:rsid w:val="006F1237"/>
    <w:rsid w:val="006F6366"/>
    <w:rsid w:val="006F78BF"/>
    <w:rsid w:val="007156E0"/>
    <w:rsid w:val="00730053"/>
    <w:rsid w:val="00730433"/>
    <w:rsid w:val="00733CF4"/>
    <w:rsid w:val="007352DD"/>
    <w:rsid w:val="00750E5E"/>
    <w:rsid w:val="00754ABE"/>
    <w:rsid w:val="00756D5B"/>
    <w:rsid w:val="00763908"/>
    <w:rsid w:val="00776807"/>
    <w:rsid w:val="0077789B"/>
    <w:rsid w:val="0078062F"/>
    <w:rsid w:val="007827E7"/>
    <w:rsid w:val="00784F0F"/>
    <w:rsid w:val="0079163D"/>
    <w:rsid w:val="0079187F"/>
    <w:rsid w:val="007A1FFE"/>
    <w:rsid w:val="007A357A"/>
    <w:rsid w:val="007A6967"/>
    <w:rsid w:val="007A6DBA"/>
    <w:rsid w:val="007B2958"/>
    <w:rsid w:val="007C0459"/>
    <w:rsid w:val="007C090B"/>
    <w:rsid w:val="007C1CE3"/>
    <w:rsid w:val="007C7F43"/>
    <w:rsid w:val="007D0D75"/>
    <w:rsid w:val="007F735A"/>
    <w:rsid w:val="00806E5F"/>
    <w:rsid w:val="00812BE7"/>
    <w:rsid w:val="00846856"/>
    <w:rsid w:val="00853345"/>
    <w:rsid w:val="00864209"/>
    <w:rsid w:val="008824B9"/>
    <w:rsid w:val="0088315D"/>
    <w:rsid w:val="00886BB5"/>
    <w:rsid w:val="008B5BFB"/>
    <w:rsid w:val="008C6F68"/>
    <w:rsid w:val="008E05A3"/>
    <w:rsid w:val="00900F2B"/>
    <w:rsid w:val="00901475"/>
    <w:rsid w:val="009169BC"/>
    <w:rsid w:val="00917D98"/>
    <w:rsid w:val="00927277"/>
    <w:rsid w:val="00930CD7"/>
    <w:rsid w:val="00932C7B"/>
    <w:rsid w:val="0094239F"/>
    <w:rsid w:val="00950C10"/>
    <w:rsid w:val="009514F5"/>
    <w:rsid w:val="00956501"/>
    <w:rsid w:val="00965BD4"/>
    <w:rsid w:val="0098535B"/>
    <w:rsid w:val="00992192"/>
    <w:rsid w:val="0099561C"/>
    <w:rsid w:val="00995F44"/>
    <w:rsid w:val="009A5169"/>
    <w:rsid w:val="009B039E"/>
    <w:rsid w:val="009B15A1"/>
    <w:rsid w:val="009B28C4"/>
    <w:rsid w:val="009C5183"/>
    <w:rsid w:val="009D46D7"/>
    <w:rsid w:val="009D4B87"/>
    <w:rsid w:val="009D6EA4"/>
    <w:rsid w:val="009F0055"/>
    <w:rsid w:val="009F07CC"/>
    <w:rsid w:val="009F18CE"/>
    <w:rsid w:val="009F1D27"/>
    <w:rsid w:val="009F5625"/>
    <w:rsid w:val="00A00A7F"/>
    <w:rsid w:val="00A012A5"/>
    <w:rsid w:val="00A04E02"/>
    <w:rsid w:val="00A06A89"/>
    <w:rsid w:val="00A135BE"/>
    <w:rsid w:val="00A32B81"/>
    <w:rsid w:val="00A35C98"/>
    <w:rsid w:val="00A5120A"/>
    <w:rsid w:val="00A5331A"/>
    <w:rsid w:val="00A621FE"/>
    <w:rsid w:val="00A7049C"/>
    <w:rsid w:val="00A74126"/>
    <w:rsid w:val="00A80135"/>
    <w:rsid w:val="00A8381C"/>
    <w:rsid w:val="00A92659"/>
    <w:rsid w:val="00AA0A20"/>
    <w:rsid w:val="00AA0FFD"/>
    <w:rsid w:val="00AA2B6A"/>
    <w:rsid w:val="00AA373E"/>
    <w:rsid w:val="00AA7CA2"/>
    <w:rsid w:val="00AB0594"/>
    <w:rsid w:val="00AB2166"/>
    <w:rsid w:val="00AB43D9"/>
    <w:rsid w:val="00AC134B"/>
    <w:rsid w:val="00AC48AA"/>
    <w:rsid w:val="00AD57B2"/>
    <w:rsid w:val="00AE2F4F"/>
    <w:rsid w:val="00B0594B"/>
    <w:rsid w:val="00B11BF9"/>
    <w:rsid w:val="00B122EA"/>
    <w:rsid w:val="00B2377B"/>
    <w:rsid w:val="00B324A5"/>
    <w:rsid w:val="00B3608A"/>
    <w:rsid w:val="00B4551C"/>
    <w:rsid w:val="00B460AF"/>
    <w:rsid w:val="00B52010"/>
    <w:rsid w:val="00B574E7"/>
    <w:rsid w:val="00B6108B"/>
    <w:rsid w:val="00B611B1"/>
    <w:rsid w:val="00B64488"/>
    <w:rsid w:val="00B662B2"/>
    <w:rsid w:val="00B6763B"/>
    <w:rsid w:val="00B67CBD"/>
    <w:rsid w:val="00B743BC"/>
    <w:rsid w:val="00B81192"/>
    <w:rsid w:val="00B921A8"/>
    <w:rsid w:val="00BC7EEE"/>
    <w:rsid w:val="00BD19AE"/>
    <w:rsid w:val="00BD312B"/>
    <w:rsid w:val="00BE50FE"/>
    <w:rsid w:val="00BE5958"/>
    <w:rsid w:val="00BF071D"/>
    <w:rsid w:val="00BF7B6B"/>
    <w:rsid w:val="00C01AD6"/>
    <w:rsid w:val="00C01E1C"/>
    <w:rsid w:val="00C02E48"/>
    <w:rsid w:val="00C27EF9"/>
    <w:rsid w:val="00C3018F"/>
    <w:rsid w:val="00C30671"/>
    <w:rsid w:val="00C5351C"/>
    <w:rsid w:val="00C577C8"/>
    <w:rsid w:val="00C63E30"/>
    <w:rsid w:val="00C73967"/>
    <w:rsid w:val="00C83B26"/>
    <w:rsid w:val="00C84877"/>
    <w:rsid w:val="00C8737F"/>
    <w:rsid w:val="00C94023"/>
    <w:rsid w:val="00C96EBF"/>
    <w:rsid w:val="00CB7E6C"/>
    <w:rsid w:val="00CC6623"/>
    <w:rsid w:val="00CD31A0"/>
    <w:rsid w:val="00CD5D90"/>
    <w:rsid w:val="00CE1C9D"/>
    <w:rsid w:val="00CF166A"/>
    <w:rsid w:val="00D00569"/>
    <w:rsid w:val="00D102A7"/>
    <w:rsid w:val="00D1288A"/>
    <w:rsid w:val="00D15473"/>
    <w:rsid w:val="00D21F8D"/>
    <w:rsid w:val="00D30F97"/>
    <w:rsid w:val="00D33169"/>
    <w:rsid w:val="00D333B8"/>
    <w:rsid w:val="00D353F4"/>
    <w:rsid w:val="00D357B5"/>
    <w:rsid w:val="00D44EA3"/>
    <w:rsid w:val="00D56B5D"/>
    <w:rsid w:val="00D63793"/>
    <w:rsid w:val="00D73611"/>
    <w:rsid w:val="00D76B5D"/>
    <w:rsid w:val="00D90810"/>
    <w:rsid w:val="00DB32BD"/>
    <w:rsid w:val="00DB5B90"/>
    <w:rsid w:val="00DB6D67"/>
    <w:rsid w:val="00DC2093"/>
    <w:rsid w:val="00DC5C22"/>
    <w:rsid w:val="00DE5E8F"/>
    <w:rsid w:val="00E0134B"/>
    <w:rsid w:val="00E22FEC"/>
    <w:rsid w:val="00E32625"/>
    <w:rsid w:val="00E32971"/>
    <w:rsid w:val="00E359AC"/>
    <w:rsid w:val="00E46234"/>
    <w:rsid w:val="00E50968"/>
    <w:rsid w:val="00E526A4"/>
    <w:rsid w:val="00E56382"/>
    <w:rsid w:val="00E81663"/>
    <w:rsid w:val="00E9155E"/>
    <w:rsid w:val="00E973F5"/>
    <w:rsid w:val="00EA3840"/>
    <w:rsid w:val="00EB41E9"/>
    <w:rsid w:val="00EB5EBC"/>
    <w:rsid w:val="00ED12C3"/>
    <w:rsid w:val="00ED3AC7"/>
    <w:rsid w:val="00EE1252"/>
    <w:rsid w:val="00EE47FF"/>
    <w:rsid w:val="00EE7911"/>
    <w:rsid w:val="00EF2384"/>
    <w:rsid w:val="00F22E8B"/>
    <w:rsid w:val="00F330A5"/>
    <w:rsid w:val="00F43FF3"/>
    <w:rsid w:val="00F5124B"/>
    <w:rsid w:val="00F71A6A"/>
    <w:rsid w:val="00F73D18"/>
    <w:rsid w:val="00F82E1F"/>
    <w:rsid w:val="00F90865"/>
    <w:rsid w:val="00F93034"/>
    <w:rsid w:val="00F94742"/>
    <w:rsid w:val="00F95641"/>
    <w:rsid w:val="00FA048C"/>
    <w:rsid w:val="00FA04E0"/>
    <w:rsid w:val="00FC7298"/>
    <w:rsid w:val="00FD3E2F"/>
    <w:rsid w:val="00FE6E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PlaceType"/>
  <w:smartTagType w:namespaceuri="urn:schemas-microsoft-com:office:smarttags" w:name="PlaceName"/>
  <w:smartTagType w:namespaceuri="urn:schemas:contacts" w:name="Sn"/>
  <w:smartTagType w:namespaceuri="urn:schemas-microsoft-com:office:smarttags" w:name="PersonName"/>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4B9"/>
    <w:pPr>
      <w:suppressAutoHyphens/>
    </w:pPr>
    <w:rPr>
      <w:sz w:val="24"/>
      <w:lang w:val="en-GB" w:eastAsia="fr-FR"/>
    </w:rPr>
  </w:style>
  <w:style w:type="paragraph" w:styleId="Heading1">
    <w:name w:val="heading 1"/>
    <w:basedOn w:val="Normal"/>
    <w:next w:val="Normal"/>
    <w:qFormat/>
    <w:rsid w:val="008824B9"/>
    <w:pPr>
      <w:keepNext/>
      <w:spacing w:before="360" w:after="240"/>
      <w:jc w:val="center"/>
      <w:outlineLvl w:val="0"/>
    </w:pPr>
    <w:rPr>
      <w:b/>
      <w:sz w:val="28"/>
    </w:rPr>
  </w:style>
  <w:style w:type="paragraph" w:styleId="Heading2">
    <w:name w:val="heading 2"/>
    <w:basedOn w:val="Normal"/>
    <w:next w:val="Normal"/>
    <w:qFormat/>
    <w:rsid w:val="008824B9"/>
    <w:pPr>
      <w:keepNext/>
      <w:spacing w:before="240" w:after="120"/>
      <w:ind w:left="284" w:hanging="284"/>
      <w:outlineLvl w:val="1"/>
    </w:pPr>
    <w:rPr>
      <w:b/>
    </w:rPr>
  </w:style>
  <w:style w:type="paragraph" w:styleId="Heading3">
    <w:name w:val="heading 3"/>
    <w:basedOn w:val="Normal"/>
    <w:next w:val="Normal"/>
    <w:qFormat/>
    <w:rsid w:val="008824B9"/>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824B9"/>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8824B9"/>
  </w:style>
  <w:style w:type="paragraph" w:customStyle="1" w:styleId="OpiHA">
    <w:name w:val="Opi_H_A"/>
    <w:basedOn w:val="JuHIRoman"/>
    <w:next w:val="OpiPara"/>
    <w:rsid w:val="00302008"/>
    <w:pPr>
      <w:tabs>
        <w:tab w:val="clear" w:pos="357"/>
      </w:tabs>
    </w:pPr>
    <w:rPr>
      <w:b/>
    </w:rPr>
  </w:style>
  <w:style w:type="paragraph" w:customStyle="1" w:styleId="JuHIRoman">
    <w:name w:val="Ju_H_I_Roman"/>
    <w:basedOn w:val="JuHHead"/>
    <w:next w:val="JuPara"/>
    <w:rsid w:val="00D1288A"/>
    <w:pPr>
      <w:tabs>
        <w:tab w:val="left" w:pos="357"/>
      </w:tabs>
      <w:spacing w:before="360"/>
      <w:ind w:left="357" w:hanging="357"/>
      <w:outlineLvl w:val="1"/>
    </w:pPr>
    <w:rPr>
      <w:sz w:val="24"/>
    </w:rPr>
  </w:style>
  <w:style w:type="paragraph" w:customStyle="1" w:styleId="JuHHead">
    <w:name w:val="Ju_H_Head"/>
    <w:basedOn w:val="NormalTimesNewRoman"/>
    <w:next w:val="JuPara"/>
    <w:rsid w:val="00D1288A"/>
    <w:pPr>
      <w:keepNext/>
      <w:keepLines/>
      <w:spacing w:before="720" w:after="240"/>
      <w:jc w:val="both"/>
      <w:outlineLvl w:val="0"/>
    </w:pPr>
    <w:rPr>
      <w:sz w:val="28"/>
    </w:rPr>
  </w:style>
  <w:style w:type="character" w:customStyle="1" w:styleId="DefaultTimesNewRoman">
    <w:name w:val="Default_TimesNewRoman"/>
    <w:basedOn w:val="DefaultParagraphFont"/>
    <w:rsid w:val="00D1288A"/>
    <w:rPr>
      <w:rFonts w:ascii="Times New Roman" w:hAnsi="Times New Roman"/>
    </w:rPr>
  </w:style>
  <w:style w:type="paragraph" w:customStyle="1" w:styleId="JuPara">
    <w:name w:val="Ju_Para"/>
    <w:aliases w:val="Left,First line:  0 cm"/>
    <w:basedOn w:val="NormalTimesNewRoman"/>
    <w:link w:val="JuParaChar"/>
    <w:rsid w:val="00D1288A"/>
    <w:pPr>
      <w:ind w:firstLine="284"/>
      <w:jc w:val="both"/>
    </w:pPr>
  </w:style>
  <w:style w:type="character" w:customStyle="1" w:styleId="JuParaChar">
    <w:name w:val="Ju_Para Char"/>
    <w:basedOn w:val="DefaultParagraphFont"/>
    <w:link w:val="JuPara"/>
    <w:rsid w:val="00B921A8"/>
    <w:rPr>
      <w:sz w:val="24"/>
      <w:lang w:val="en-GB" w:eastAsia="fr-FR" w:bidi="ar-SA"/>
    </w:rPr>
  </w:style>
  <w:style w:type="paragraph" w:customStyle="1" w:styleId="OpiPara">
    <w:name w:val="Opi_Para"/>
    <w:basedOn w:val="JuPara"/>
    <w:rsid w:val="00302008"/>
  </w:style>
  <w:style w:type="paragraph" w:customStyle="1" w:styleId="OpiH1">
    <w:name w:val="Opi_H_1."/>
    <w:basedOn w:val="OpiHA"/>
    <w:next w:val="OpiPara"/>
    <w:rsid w:val="00302008"/>
    <w:pPr>
      <w:spacing w:before="240" w:after="120"/>
      <w:ind w:left="635"/>
      <w:outlineLvl w:val="2"/>
    </w:pPr>
    <w:rPr>
      <w:b w:val="0"/>
      <w:i/>
    </w:rPr>
  </w:style>
  <w:style w:type="paragraph" w:customStyle="1" w:styleId="OpiHa0">
    <w:name w:val="Opi_H_a"/>
    <w:basedOn w:val="OpiH1"/>
    <w:next w:val="OpiPara"/>
    <w:rsid w:val="00302008"/>
    <w:pPr>
      <w:ind w:left="833"/>
      <w:outlineLvl w:val="3"/>
    </w:pPr>
    <w:rPr>
      <w:b/>
      <w:i w:val="0"/>
      <w:sz w:val="20"/>
    </w:rPr>
  </w:style>
  <w:style w:type="paragraph" w:customStyle="1" w:styleId="OpiHHead">
    <w:name w:val="Opi_H_Head"/>
    <w:basedOn w:val="JuHHead"/>
    <w:next w:val="OpiPara"/>
    <w:rsid w:val="00302008"/>
    <w:pPr>
      <w:spacing w:before="0"/>
      <w:jc w:val="center"/>
    </w:pPr>
  </w:style>
  <w:style w:type="paragraph" w:customStyle="1" w:styleId="OpiHi">
    <w:name w:val="Opi_H_i"/>
    <w:basedOn w:val="OpiHa0"/>
    <w:next w:val="OpiPara"/>
    <w:rsid w:val="00302008"/>
    <w:pPr>
      <w:ind w:left="1037"/>
      <w:outlineLvl w:val="4"/>
    </w:pPr>
    <w:rPr>
      <w:b w:val="0"/>
      <w:i/>
    </w:rPr>
  </w:style>
  <w:style w:type="paragraph" w:styleId="Footer">
    <w:name w:val="footer"/>
    <w:basedOn w:val="NormalTimesNewRoman"/>
    <w:rsid w:val="00D1288A"/>
    <w:pPr>
      <w:tabs>
        <w:tab w:val="center" w:pos="3686"/>
        <w:tab w:val="right" w:pos="7371"/>
      </w:tabs>
    </w:pPr>
    <w:rPr>
      <w:sz w:val="18"/>
    </w:rPr>
  </w:style>
  <w:style w:type="paragraph" w:customStyle="1" w:styleId="JuJudges">
    <w:name w:val="Ju_Judges"/>
    <w:basedOn w:val="NormalTimesNewRoman"/>
    <w:link w:val="JuJudgesChar"/>
    <w:rsid w:val="00D1288A"/>
    <w:pPr>
      <w:tabs>
        <w:tab w:val="left" w:pos="567"/>
        <w:tab w:val="left" w:pos="1134"/>
      </w:tabs>
    </w:pPr>
  </w:style>
  <w:style w:type="character" w:customStyle="1" w:styleId="JuJudgesChar">
    <w:name w:val="Ju_Judges Char"/>
    <w:basedOn w:val="DefaultParagraphFont"/>
    <w:link w:val="JuJudges"/>
    <w:locked/>
    <w:rsid w:val="00D15473"/>
    <w:rPr>
      <w:sz w:val="24"/>
      <w:lang w:val="en-GB" w:eastAsia="fr-FR" w:bidi="ar-SA"/>
    </w:rPr>
  </w:style>
  <w:style w:type="paragraph" w:customStyle="1" w:styleId="JuHA">
    <w:name w:val="Ju_H_A"/>
    <w:basedOn w:val="JuHIRoman"/>
    <w:next w:val="JuPara"/>
    <w:rsid w:val="00D1288A"/>
    <w:pPr>
      <w:tabs>
        <w:tab w:val="clear" w:pos="357"/>
        <w:tab w:val="left" w:pos="584"/>
      </w:tabs>
      <w:ind w:left="584" w:hanging="352"/>
      <w:outlineLvl w:val="2"/>
    </w:pPr>
    <w:rPr>
      <w:b/>
    </w:rPr>
  </w:style>
  <w:style w:type="paragraph" w:customStyle="1" w:styleId="JuQuot">
    <w:name w:val="Ju_Quot"/>
    <w:basedOn w:val="JuPara"/>
    <w:rsid w:val="00D1288A"/>
    <w:pPr>
      <w:spacing w:before="120" w:after="120"/>
      <w:ind w:left="425" w:firstLine="142"/>
    </w:pPr>
    <w:rPr>
      <w:sz w:val="20"/>
    </w:rPr>
  </w:style>
  <w:style w:type="paragraph" w:customStyle="1" w:styleId="JuSigned">
    <w:name w:val="Ju_Signed"/>
    <w:basedOn w:val="NormalTimesNewRoman"/>
    <w:next w:val="JuParaLast"/>
    <w:link w:val="JuSignedChar"/>
    <w:rsid w:val="00D1288A"/>
    <w:pPr>
      <w:tabs>
        <w:tab w:val="center" w:pos="851"/>
        <w:tab w:val="center" w:pos="6407"/>
      </w:tabs>
      <w:spacing w:before="720"/>
    </w:pPr>
  </w:style>
  <w:style w:type="paragraph" w:customStyle="1" w:styleId="JuParaLast">
    <w:name w:val="Ju_Para_Last"/>
    <w:basedOn w:val="JuPara"/>
    <w:next w:val="JuPara"/>
    <w:rsid w:val="00D1288A"/>
    <w:pPr>
      <w:keepNext/>
      <w:keepLines/>
      <w:spacing w:before="240"/>
    </w:pPr>
  </w:style>
  <w:style w:type="character" w:customStyle="1" w:styleId="JuSignedChar">
    <w:name w:val="Ju_Signed Char"/>
    <w:basedOn w:val="DefaultParagraphFont"/>
    <w:link w:val="JuSigned"/>
    <w:rsid w:val="000726F6"/>
    <w:rPr>
      <w:sz w:val="24"/>
      <w:lang w:val="en-GB" w:eastAsia="fr-FR" w:bidi="ar-SA"/>
    </w:rPr>
  </w:style>
  <w:style w:type="paragraph" w:customStyle="1" w:styleId="JuCase">
    <w:name w:val="Ju_Case"/>
    <w:basedOn w:val="JuPara"/>
    <w:next w:val="JuPara"/>
    <w:link w:val="JuCaseChar"/>
    <w:rsid w:val="00D1288A"/>
    <w:rPr>
      <w:b/>
    </w:rPr>
  </w:style>
  <w:style w:type="character" w:customStyle="1" w:styleId="JuCaseChar">
    <w:name w:val="Ju_Case Char"/>
    <w:basedOn w:val="JuParaChar"/>
    <w:link w:val="JuCase"/>
    <w:rsid w:val="00B921A8"/>
    <w:rPr>
      <w:b/>
      <w:sz w:val="24"/>
      <w:lang w:val="en-GB" w:eastAsia="fr-FR" w:bidi="ar-SA"/>
    </w:rPr>
  </w:style>
  <w:style w:type="paragraph" w:customStyle="1" w:styleId="JuList">
    <w:name w:val="Ju_List"/>
    <w:basedOn w:val="JuPara"/>
    <w:link w:val="JuListChar"/>
    <w:rsid w:val="00D1288A"/>
    <w:pPr>
      <w:ind w:left="340" w:hanging="340"/>
    </w:pPr>
  </w:style>
  <w:style w:type="character" w:customStyle="1" w:styleId="JuListChar">
    <w:name w:val="Ju_List Char"/>
    <w:basedOn w:val="DefaultParagraphFont"/>
    <w:link w:val="JuList"/>
    <w:rsid w:val="00930CD7"/>
    <w:rPr>
      <w:sz w:val="24"/>
      <w:lang w:val="en-GB" w:eastAsia="fr-FR" w:bidi="ar-SA"/>
    </w:rPr>
  </w:style>
  <w:style w:type="paragraph" w:customStyle="1" w:styleId="JuHArticle">
    <w:name w:val="Ju_H_Article"/>
    <w:basedOn w:val="JuHa0"/>
    <w:next w:val="JuQuot"/>
    <w:rsid w:val="00D1288A"/>
    <w:pPr>
      <w:ind w:left="0" w:firstLine="0"/>
      <w:jc w:val="center"/>
    </w:pPr>
  </w:style>
  <w:style w:type="paragraph" w:customStyle="1" w:styleId="JuHa0">
    <w:name w:val="Ju_H_a"/>
    <w:basedOn w:val="JuH1"/>
    <w:next w:val="JuPara"/>
    <w:rsid w:val="00D1288A"/>
    <w:pPr>
      <w:tabs>
        <w:tab w:val="clear" w:pos="731"/>
        <w:tab w:val="left" w:pos="975"/>
      </w:tabs>
      <w:ind w:left="975" w:hanging="340"/>
      <w:outlineLvl w:val="4"/>
    </w:pPr>
    <w:rPr>
      <w:b/>
      <w:i w:val="0"/>
      <w:sz w:val="20"/>
    </w:rPr>
  </w:style>
  <w:style w:type="paragraph" w:customStyle="1" w:styleId="JuH1">
    <w:name w:val="Ju_H_1."/>
    <w:basedOn w:val="JuHA"/>
    <w:next w:val="JuPara"/>
    <w:rsid w:val="00D1288A"/>
    <w:pPr>
      <w:tabs>
        <w:tab w:val="clear" w:pos="584"/>
        <w:tab w:val="left" w:pos="731"/>
      </w:tabs>
      <w:spacing w:before="240" w:after="120"/>
      <w:ind w:left="732" w:hanging="301"/>
      <w:outlineLvl w:val="3"/>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D1288A"/>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302008"/>
  </w:style>
  <w:style w:type="paragraph" w:customStyle="1" w:styleId="OpiTranslation">
    <w:name w:val="Opi_Translation"/>
    <w:basedOn w:val="OpiHHead"/>
    <w:next w:val="OpiPara"/>
    <w:rsid w:val="00302008"/>
    <w:rPr>
      <w:i/>
      <w:sz w:val="24"/>
    </w:rPr>
  </w:style>
  <w:style w:type="paragraph" w:styleId="FootnoteText">
    <w:name w:val="footnote text"/>
    <w:basedOn w:val="Normal"/>
    <w:semiHidden/>
    <w:rsid w:val="00D1288A"/>
    <w:pPr>
      <w:jc w:val="both"/>
    </w:pPr>
    <w:rPr>
      <w:sz w:val="20"/>
    </w:rPr>
  </w:style>
  <w:style w:type="character" w:styleId="FootnoteReference">
    <w:name w:val="footnote reference"/>
    <w:basedOn w:val="DefaultParagraphFont"/>
    <w:semiHidden/>
    <w:rsid w:val="00D1288A"/>
    <w:rPr>
      <w:vertAlign w:val="superscript"/>
    </w:rPr>
  </w:style>
  <w:style w:type="paragraph" w:customStyle="1" w:styleId="JuHi">
    <w:name w:val="Ju_H_i"/>
    <w:basedOn w:val="JuHa0"/>
    <w:next w:val="JuPara"/>
    <w:rsid w:val="00D1288A"/>
    <w:pPr>
      <w:tabs>
        <w:tab w:val="clear" w:pos="975"/>
        <w:tab w:val="left" w:pos="1191"/>
      </w:tabs>
      <w:ind w:left="1190" w:hanging="357"/>
      <w:outlineLvl w:val="5"/>
    </w:pPr>
    <w:rPr>
      <w:b w:val="0"/>
      <w:i/>
    </w:rPr>
  </w:style>
  <w:style w:type="paragraph" w:styleId="Header">
    <w:name w:val="header"/>
    <w:basedOn w:val="NormalTimesNewRoman"/>
    <w:rsid w:val="00D1288A"/>
    <w:pPr>
      <w:tabs>
        <w:tab w:val="center" w:pos="3686"/>
        <w:tab w:val="right" w:pos="7371"/>
      </w:tabs>
    </w:pPr>
    <w:rPr>
      <w:sz w:val="18"/>
    </w:rPr>
  </w:style>
  <w:style w:type="character" w:styleId="PageNumber">
    <w:name w:val="page number"/>
    <w:basedOn w:val="DefaultParagraphFont"/>
    <w:rsid w:val="00D1288A"/>
    <w:rPr>
      <w:sz w:val="18"/>
    </w:rPr>
  </w:style>
  <w:style w:type="paragraph" w:customStyle="1" w:styleId="JuH">
    <w:name w:val="Ju_H_–"/>
    <w:basedOn w:val="JuHalpha"/>
    <w:next w:val="JuPara"/>
    <w:rsid w:val="00D1288A"/>
    <w:pPr>
      <w:tabs>
        <w:tab w:val="clear" w:pos="1372"/>
      </w:tabs>
      <w:ind w:left="1236" w:firstLine="0"/>
    </w:pPr>
    <w:rPr>
      <w:i/>
    </w:rPr>
  </w:style>
  <w:style w:type="paragraph" w:customStyle="1" w:styleId="JuHalpha">
    <w:name w:val="Ju_H_alpha"/>
    <w:basedOn w:val="JuHi"/>
    <w:next w:val="JuPara"/>
    <w:rsid w:val="00D1288A"/>
    <w:pPr>
      <w:tabs>
        <w:tab w:val="clear" w:pos="1191"/>
        <w:tab w:val="left" w:pos="1372"/>
      </w:tabs>
      <w:ind w:left="1373" w:hanging="335"/>
    </w:pPr>
    <w:rPr>
      <w:i w:val="0"/>
    </w:rPr>
  </w:style>
  <w:style w:type="paragraph" w:customStyle="1" w:styleId="JuLista">
    <w:name w:val="Ju_List_a"/>
    <w:basedOn w:val="JuList"/>
    <w:rsid w:val="00D1288A"/>
    <w:pPr>
      <w:ind w:left="346" w:firstLine="0"/>
    </w:pPr>
  </w:style>
  <w:style w:type="paragraph" w:customStyle="1" w:styleId="JuListi">
    <w:name w:val="Ju_List_i"/>
    <w:basedOn w:val="JuLista"/>
    <w:rsid w:val="00D1288A"/>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D1288A"/>
    <w:pPr>
      <w:tabs>
        <w:tab w:val="clear" w:pos="851"/>
      </w:tabs>
      <w:jc w:val="right"/>
    </w:pPr>
  </w:style>
  <w:style w:type="paragraph" w:customStyle="1" w:styleId="JuHeader">
    <w:name w:val="Ju_Header"/>
    <w:basedOn w:val="Header"/>
    <w:rsid w:val="00D1288A"/>
  </w:style>
  <w:style w:type="paragraph" w:customStyle="1" w:styleId="DecHTitle">
    <w:name w:val="Dec_H_Title"/>
    <w:basedOn w:val="Normal"/>
    <w:rsid w:val="0037228D"/>
    <w:pPr>
      <w:spacing w:after="240"/>
      <w:jc w:val="center"/>
      <w:outlineLvl w:val="0"/>
    </w:pPr>
    <w:rPr>
      <w:sz w:val="28"/>
    </w:rPr>
  </w:style>
  <w:style w:type="paragraph" w:customStyle="1" w:styleId="DecHCase">
    <w:name w:val="Dec_H_Case"/>
    <w:basedOn w:val="DecHTitle"/>
    <w:next w:val="JuPara"/>
    <w:rsid w:val="00302008"/>
    <w:rPr>
      <w:sz w:val="24"/>
    </w:rPr>
  </w:style>
  <w:style w:type="paragraph" w:customStyle="1" w:styleId="DecList">
    <w:name w:val="Dec_List"/>
    <w:basedOn w:val="Normal"/>
    <w:rsid w:val="0037228D"/>
    <w:pPr>
      <w:spacing w:before="240"/>
      <w:ind w:left="284"/>
      <w:jc w:val="both"/>
    </w:pPr>
  </w:style>
  <w:style w:type="paragraph" w:customStyle="1" w:styleId="JuParaSub">
    <w:name w:val="Ju_Para_Sub"/>
    <w:basedOn w:val="JuPara"/>
    <w:rsid w:val="00D1288A"/>
    <w:pPr>
      <w:ind w:left="284"/>
    </w:pPr>
    <w:rPr>
      <w:szCs w:val="24"/>
    </w:rPr>
  </w:style>
  <w:style w:type="paragraph" w:customStyle="1" w:styleId="JuQuotSub">
    <w:name w:val="Ju_Quot_Sub"/>
    <w:basedOn w:val="JuQuot"/>
    <w:rsid w:val="00D1288A"/>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basedOn w:val="DefaultParagraphFont"/>
    <w:semiHidden/>
    <w:rsid w:val="00D1288A"/>
    <w:rPr>
      <w:vertAlign w:val="superscript"/>
    </w:rPr>
  </w:style>
  <w:style w:type="paragraph" w:styleId="EndnoteText">
    <w:name w:val="endnote text"/>
    <w:basedOn w:val="Normal"/>
    <w:semiHidden/>
    <w:rsid w:val="00D1288A"/>
    <w:rPr>
      <w:sz w:val="20"/>
    </w:rPr>
  </w:style>
  <w:style w:type="character" w:styleId="FollowedHyperlink">
    <w:name w:val="FollowedHyperlink"/>
    <w:basedOn w:val="DefaultParagraphFont"/>
    <w:rsid w:val="00D1288A"/>
    <w:rPr>
      <w:color w:val="800080"/>
      <w:u w:val="single"/>
    </w:rPr>
  </w:style>
  <w:style w:type="paragraph" w:customStyle="1" w:styleId="SuCoverTitle1">
    <w:name w:val="Su_Cover_Title1"/>
    <w:basedOn w:val="Normal"/>
    <w:next w:val="SuCoverTitle2"/>
    <w:rsid w:val="0037228D"/>
    <w:pPr>
      <w:spacing w:before="2500"/>
      <w:jc w:val="center"/>
    </w:pPr>
    <w:rPr>
      <w:sz w:val="22"/>
    </w:rPr>
  </w:style>
  <w:style w:type="paragraph" w:customStyle="1" w:styleId="SuCoverTitle2">
    <w:name w:val="Su_Cover_Title2"/>
    <w:basedOn w:val="SuCoverTitle1"/>
    <w:next w:val="Normal"/>
    <w:rsid w:val="00864209"/>
    <w:pPr>
      <w:spacing w:before="240"/>
    </w:pPr>
    <w:rPr>
      <w:sz w:val="18"/>
    </w:rPr>
  </w:style>
  <w:style w:type="paragraph" w:customStyle="1" w:styleId="SuPara">
    <w:name w:val="Su_Para"/>
    <w:basedOn w:val="SuKeywords"/>
    <w:rsid w:val="00864209"/>
    <w:pPr>
      <w:spacing w:before="0" w:after="0"/>
    </w:pPr>
    <w:rPr>
      <w:i w:val="0"/>
    </w:rPr>
  </w:style>
  <w:style w:type="paragraph" w:customStyle="1" w:styleId="SuKeywords">
    <w:name w:val="Su_Keywords"/>
    <w:basedOn w:val="SuHHead"/>
    <w:rsid w:val="00864209"/>
    <w:pPr>
      <w:spacing w:before="120"/>
    </w:pPr>
    <w:rPr>
      <w:b w:val="0"/>
      <w:i/>
    </w:rPr>
  </w:style>
  <w:style w:type="paragraph" w:customStyle="1" w:styleId="SuHHead">
    <w:name w:val="Su_H_Head"/>
    <w:basedOn w:val="SuSubject"/>
    <w:rsid w:val="00864209"/>
    <w:pPr>
      <w:spacing w:after="120"/>
    </w:pPr>
  </w:style>
  <w:style w:type="paragraph" w:customStyle="1" w:styleId="SuSubject">
    <w:name w:val="Su_Subject"/>
    <w:basedOn w:val="SuSummary"/>
    <w:rsid w:val="00864209"/>
    <w:pPr>
      <w:suppressAutoHyphens w:val="0"/>
      <w:spacing w:before="360"/>
      <w:jc w:val="both"/>
    </w:pPr>
    <w:rPr>
      <w:b/>
      <w:sz w:val="22"/>
    </w:rPr>
  </w:style>
  <w:style w:type="paragraph" w:customStyle="1" w:styleId="SuSummary">
    <w:name w:val="Su_Summary"/>
    <w:basedOn w:val="Normal"/>
    <w:next w:val="SuSubject"/>
    <w:rsid w:val="0037228D"/>
    <w:pPr>
      <w:spacing w:after="240"/>
      <w:jc w:val="center"/>
    </w:pPr>
  </w:style>
  <w:style w:type="paragraph" w:customStyle="1" w:styleId="OpiParaSub">
    <w:name w:val="Opi_Para_Sub"/>
    <w:basedOn w:val="JuParaSub"/>
    <w:rsid w:val="00302008"/>
  </w:style>
  <w:style w:type="paragraph" w:customStyle="1" w:styleId="OpiQuotSub">
    <w:name w:val="Opi_Quot_Sub"/>
    <w:basedOn w:val="JuQuotSub"/>
    <w:rsid w:val="00302008"/>
  </w:style>
  <w:style w:type="character" w:styleId="Hyperlink">
    <w:name w:val="Hyperlink"/>
    <w:basedOn w:val="DefaultParagraphFont"/>
    <w:rsid w:val="00D1288A"/>
    <w:rPr>
      <w:color w:val="0000FF"/>
      <w:u w:val="single"/>
    </w:rPr>
  </w:style>
  <w:style w:type="character" w:styleId="Strong">
    <w:name w:val="Strong"/>
    <w:basedOn w:val="DefaultParagraphFont"/>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basedOn w:val="DefaultParagraphFont"/>
    <w:rsid w:val="00D1288A"/>
    <w:rPr>
      <w:smallCaps/>
    </w:rPr>
  </w:style>
  <w:style w:type="paragraph" w:customStyle="1" w:styleId="NormalJustified">
    <w:name w:val="Normal_Justified"/>
    <w:basedOn w:val="Normal"/>
    <w:rsid w:val="008824B9"/>
    <w:pPr>
      <w:jc w:val="both"/>
    </w:pPr>
  </w:style>
  <w:style w:type="paragraph" w:customStyle="1" w:styleId="JuAppQuestion">
    <w:name w:val="Ju_App_Question"/>
    <w:basedOn w:val="ListBullet"/>
    <w:rsid w:val="00D1288A"/>
    <w:pPr>
      <w:numPr>
        <w:numId w:val="6"/>
      </w:numPr>
      <w:suppressAutoHyphens w:val="0"/>
    </w:pPr>
    <w:rPr>
      <w:b/>
      <w:color w:val="333333"/>
    </w:rPr>
  </w:style>
  <w:style w:type="paragraph" w:styleId="ListBullet">
    <w:name w:val="List Bullet"/>
    <w:basedOn w:val="Normal"/>
    <w:rsid w:val="008824B9"/>
    <w:pPr>
      <w:numPr>
        <w:numId w:val="2"/>
      </w:numPr>
    </w:pPr>
  </w:style>
  <w:style w:type="paragraph" w:customStyle="1" w:styleId="NormalTimesNewRoman">
    <w:name w:val="Normal_TimesNewRoman"/>
    <w:rsid w:val="00D1288A"/>
    <w:rPr>
      <w:sz w:val="24"/>
      <w:lang w:val="en-GB" w:eastAsia="fr-FR"/>
    </w:rPr>
  </w:style>
  <w:style w:type="character" w:customStyle="1" w:styleId="JuITMark">
    <w:name w:val="Ju_ITMark"/>
    <w:basedOn w:val="DefaultTimesNewRoman"/>
    <w:rsid w:val="00D1288A"/>
    <w:rPr>
      <w:rFonts w:ascii="Times New Roman" w:hAnsi="Times New Roman"/>
      <w:vanish/>
      <w:color w:val="339966"/>
      <w:sz w:val="16"/>
      <w:szCs w:val="16"/>
      <w:lang w:val="fi-FI"/>
    </w:rPr>
  </w:style>
  <w:style w:type="paragraph" w:customStyle="1" w:styleId="JuTitle">
    <w:name w:val="Ju_Title"/>
    <w:basedOn w:val="JuHHead"/>
    <w:next w:val="JuPara"/>
    <w:rsid w:val="00D1288A"/>
    <w:pPr>
      <w:jc w:val="center"/>
    </w:pPr>
    <w:rPr>
      <w:b/>
      <w:caps/>
      <w:sz w:val="24"/>
      <w:szCs w:val="24"/>
      <w:u w:val="single"/>
    </w:rPr>
  </w:style>
  <w:style w:type="character" w:customStyle="1" w:styleId="ju-005fpara--char">
    <w:name w:val="ju-005fpara--char"/>
    <w:basedOn w:val="DefaultParagraphFont"/>
    <w:rsid w:val="00494427"/>
  </w:style>
  <w:style w:type="character" w:customStyle="1" w:styleId="ju-005fpara-002cleft-002cfirst-0020line-003a-0020-00200-0020cm--char">
    <w:name w:val="ju-005fpara-002cleft-002cfirst-0020line-003a-0020-00200-0020cm--char"/>
    <w:basedOn w:val="DefaultParagraphFont"/>
    <w:rsid w:val="00494427"/>
  </w:style>
  <w:style w:type="character" w:customStyle="1" w:styleId="JuParaCar">
    <w:name w:val="Ju_Para Car"/>
    <w:basedOn w:val="DefaultParagraphFont"/>
    <w:rsid w:val="00A92659"/>
    <w:rPr>
      <w:sz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63CB41-06DD-4867-819F-8631EDB137FF}"/>
</file>

<file path=customXml/itemProps2.xml><?xml version="1.0" encoding="utf-8"?>
<ds:datastoreItem xmlns:ds="http://schemas.openxmlformats.org/officeDocument/2006/customXml" ds:itemID="{51F195E6-09B1-41C4-BB60-66BCA8184A34}"/>
</file>

<file path=customXml/itemProps3.xml><?xml version="1.0" encoding="utf-8"?>
<ds:datastoreItem xmlns:ds="http://schemas.openxmlformats.org/officeDocument/2006/customXml" ds:itemID="{B770C839-B580-4745-8016-59A22EC59071}"/>
</file>

<file path=docProps/app.xml><?xml version="1.0" encoding="utf-8"?>
<Properties xmlns="http://schemas.openxmlformats.org/officeDocument/2006/extended-properties" xmlns:vt="http://schemas.openxmlformats.org/officeDocument/2006/docPropsVTypes">
  <Template>Normal.dotm</Template>
  <TotalTime>3</TotalTime>
  <Pages>1</Pages>
  <Words>4905</Words>
  <Characters>27961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2012-06-25T08:04:00Z</cp:lastPrinted>
  <dcterms:created xsi:type="dcterms:W3CDTF">2021-11-26T14:45:00Z</dcterms:created>
  <dcterms:modified xsi:type="dcterms:W3CDTF">2021-11-26T14:45:00Z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