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594" w:rsidRDefault="00E07594">
      <w:pPr>
        <w:jc w:val="center"/>
      </w:pPr>
      <w:bookmarkStart w:name="_GoBack" w:id="0"/>
      <w:bookmarkEnd w:id="0"/>
    </w:p>
    <w:p w:rsidRPr="00EF0015" w:rsidR="00F71A6A" w:rsidRDefault="00F71A6A">
      <w:pPr>
        <w:jc w:val="center"/>
      </w:pPr>
    </w:p>
    <w:p w:rsidRPr="00EF0015" w:rsidR="00F71A6A" w:rsidRDefault="005027B8">
      <w:pPr>
        <w:jc w:val="center"/>
      </w:pPr>
      <w:r w:rsidRPr="00EF0015">
        <w:t>GRAND CHAMBER</w:t>
      </w:r>
    </w:p>
    <w:p w:rsidRPr="00EF0015" w:rsidR="00F71A6A" w:rsidRDefault="00F71A6A">
      <w:pPr>
        <w:jc w:val="center"/>
      </w:pPr>
    </w:p>
    <w:p w:rsidR="00F71A6A" w:rsidRDefault="00F71A6A">
      <w:pPr>
        <w:jc w:val="center"/>
      </w:pPr>
    </w:p>
    <w:p w:rsidR="00921F1B" w:rsidRDefault="00921F1B">
      <w:pPr>
        <w:jc w:val="center"/>
      </w:pPr>
    </w:p>
    <w:p w:rsidR="00921F1B" w:rsidRDefault="00921F1B">
      <w:pPr>
        <w:jc w:val="center"/>
      </w:pPr>
    </w:p>
    <w:p w:rsidR="00921F1B" w:rsidRDefault="00921F1B">
      <w:pPr>
        <w:jc w:val="center"/>
      </w:pPr>
    </w:p>
    <w:p w:rsidR="00921F1B" w:rsidRDefault="00921F1B">
      <w:pPr>
        <w:jc w:val="center"/>
      </w:pPr>
    </w:p>
    <w:p w:rsidRPr="00EF0015" w:rsidR="00F71A6A" w:rsidRDefault="00F71A6A">
      <w:pPr>
        <w:jc w:val="center"/>
        <w:rPr>
          <w:b/>
        </w:rPr>
      </w:pPr>
      <w:bookmarkStart w:name="To" w:id="1"/>
      <w:r w:rsidRPr="00EF0015">
        <w:rPr>
          <w:b/>
        </w:rPr>
        <w:t xml:space="preserve">CASE OF </w:t>
      </w:r>
      <w:bookmarkEnd w:id="1"/>
      <w:r w:rsidRPr="00EF0015" w:rsidR="005027B8">
        <w:rPr>
          <w:b/>
        </w:rPr>
        <w:t>AL-SKEINI AND OTHERS v. THE UNITED KINGDOM</w:t>
      </w:r>
    </w:p>
    <w:p w:rsidRPr="00EF0015" w:rsidR="00F71A6A" w:rsidRDefault="00F71A6A">
      <w:pPr>
        <w:jc w:val="center"/>
      </w:pPr>
    </w:p>
    <w:p w:rsidR="00E07594" w:rsidP="00E07594" w:rsidRDefault="00F71A6A">
      <w:pPr>
        <w:jc w:val="center"/>
        <w:rPr>
          <w:i/>
        </w:rPr>
      </w:pPr>
      <w:r w:rsidRPr="00EF0015">
        <w:rPr>
          <w:i/>
        </w:rPr>
        <w:t>(</w:t>
      </w:r>
      <w:r w:rsidRPr="00EF0015" w:rsidR="005027B8">
        <w:rPr>
          <w:i/>
        </w:rPr>
        <w:t>Application no. 55721/07</w:t>
      </w:r>
      <w:r w:rsidRPr="00EF0015">
        <w:rPr>
          <w:i/>
        </w:rPr>
        <w:t>)</w:t>
      </w:r>
    </w:p>
    <w:p w:rsidR="00E07594" w:rsidP="00405921" w:rsidRDefault="00E07594">
      <w:pPr>
        <w:jc w:val="center"/>
      </w:pPr>
    </w:p>
    <w:p w:rsidR="00E07594" w:rsidP="00405921" w:rsidRDefault="00E07594">
      <w:pPr>
        <w:jc w:val="center"/>
      </w:pPr>
    </w:p>
    <w:p w:rsidR="00E07594" w:rsidP="00405921" w:rsidRDefault="00E07594">
      <w:pPr>
        <w:jc w:val="center"/>
      </w:pPr>
    </w:p>
    <w:p w:rsidR="00E07594" w:rsidP="00405921" w:rsidRDefault="00E07594">
      <w:pPr>
        <w:jc w:val="center"/>
      </w:pPr>
    </w:p>
    <w:p w:rsidR="00E07594" w:rsidP="00405921" w:rsidRDefault="00E07594">
      <w:pPr>
        <w:jc w:val="center"/>
      </w:pPr>
    </w:p>
    <w:p w:rsidR="00E07594" w:rsidP="00405921" w:rsidRDefault="00E07594">
      <w:pPr>
        <w:jc w:val="center"/>
      </w:pPr>
    </w:p>
    <w:p w:rsidR="00E07594" w:rsidP="00405921" w:rsidRDefault="00E07594">
      <w:pPr>
        <w:jc w:val="center"/>
      </w:pPr>
    </w:p>
    <w:p w:rsidR="00E07594" w:rsidP="00405921" w:rsidRDefault="00E07594">
      <w:pPr>
        <w:jc w:val="center"/>
      </w:pPr>
    </w:p>
    <w:p w:rsidR="00542113" w:rsidP="00405921" w:rsidRDefault="00542113">
      <w:pPr>
        <w:jc w:val="center"/>
      </w:pPr>
    </w:p>
    <w:p w:rsidR="00542113" w:rsidP="00405921" w:rsidRDefault="00542113">
      <w:pPr>
        <w:jc w:val="center"/>
      </w:pPr>
    </w:p>
    <w:p w:rsidR="00E07594" w:rsidP="00405921" w:rsidRDefault="00E07594">
      <w:pPr>
        <w:jc w:val="center"/>
      </w:pPr>
      <w:r>
        <w:t>JUDGMENT</w:t>
      </w:r>
    </w:p>
    <w:p w:rsidR="00E07594" w:rsidP="00405921" w:rsidRDefault="00E07594">
      <w:pPr>
        <w:jc w:val="center"/>
      </w:pPr>
    </w:p>
    <w:p w:rsidR="00E07594" w:rsidP="00405921" w:rsidRDefault="00E07594">
      <w:pPr>
        <w:jc w:val="center"/>
      </w:pPr>
    </w:p>
    <w:p w:rsidR="00E07594" w:rsidP="00405921" w:rsidRDefault="00E07594">
      <w:pPr>
        <w:jc w:val="center"/>
      </w:pPr>
      <w:r>
        <w:t>STRASBOURG</w:t>
      </w:r>
    </w:p>
    <w:p w:rsidR="00E07594" w:rsidP="00405921" w:rsidRDefault="00E07594">
      <w:pPr>
        <w:jc w:val="center"/>
      </w:pPr>
    </w:p>
    <w:p w:rsidR="00E07594" w:rsidP="00405921" w:rsidRDefault="008D39A8">
      <w:pPr>
        <w:jc w:val="center"/>
      </w:pPr>
      <w:r>
        <w:t>7 July 2011</w:t>
      </w:r>
    </w:p>
    <w:p w:rsidR="00E07594" w:rsidP="00405921" w:rsidRDefault="00E07594">
      <w:pPr>
        <w:jc w:val="center"/>
      </w:pPr>
    </w:p>
    <w:p w:rsidR="00E07594" w:rsidP="00405921" w:rsidRDefault="00E07594">
      <w:pPr>
        <w:jc w:val="center"/>
      </w:pPr>
    </w:p>
    <w:p w:rsidRPr="00E07594" w:rsidR="00F71A6A" w:rsidP="00E07594" w:rsidRDefault="00F71A6A">
      <w:pPr>
        <w:jc w:val="both"/>
      </w:pPr>
    </w:p>
    <w:p w:rsidR="009A0AD5" w:rsidP="00B12019" w:rsidRDefault="009A0AD5">
      <w:pPr>
        <w:pStyle w:val="JuCase"/>
        <w:jc w:val="center"/>
        <w:sectPr w:rsidR="009A0AD5" w:rsidSect="00E07594">
          <w:headerReference w:type="default" r:id="rId8"/>
          <w:footnotePr>
            <w:numRestart w:val="eachPage"/>
          </w:footnotePr>
          <w:pgSz w:w="11906" w:h="16838" w:code="9"/>
          <w:pgMar w:top="2274" w:right="2274" w:bottom="2274" w:left="2274" w:header="1701" w:footer="720" w:gutter="0"/>
          <w:pgNumType w:start="1"/>
          <w:cols w:space="720"/>
          <w:docGrid w:linePitch="254"/>
        </w:sectPr>
      </w:pPr>
    </w:p>
    <w:p w:rsidRPr="00EF0015" w:rsidR="00F71A6A" w:rsidP="00573593" w:rsidRDefault="00E07594">
      <w:pPr>
        <w:pStyle w:val="JuCase"/>
      </w:pPr>
      <w:r>
        <w:t xml:space="preserve">In </w:t>
      </w:r>
      <w:r w:rsidRPr="00EF0015" w:rsidR="00F71A6A">
        <w:t xml:space="preserve">the case of </w:t>
      </w:r>
      <w:r w:rsidRPr="00EF0015" w:rsidR="005027B8">
        <w:rPr>
          <w:rStyle w:val="JuCaseChar"/>
        </w:rPr>
        <w:t>Al-Skeini and Others v. the United Kingdom</w:t>
      </w:r>
      <w:r w:rsidRPr="00EF0015" w:rsidR="00F71A6A">
        <w:t>,</w:t>
      </w:r>
    </w:p>
    <w:p w:rsidRPr="00EF0015" w:rsidR="00730433" w:rsidP="00730433" w:rsidRDefault="00F71A6A">
      <w:pPr>
        <w:pStyle w:val="JuPara"/>
      </w:pPr>
      <w:r w:rsidRPr="00EF0015">
        <w:t>The</w:t>
      </w:r>
      <w:r w:rsidR="0004624B">
        <w:t xml:space="preserve"> European Court of Human Rights</w:t>
      </w:r>
      <w:r w:rsidRPr="00EF0015">
        <w:t xml:space="preserve">, sitting as a </w:t>
      </w:r>
      <w:r w:rsidRPr="00EF0015" w:rsidR="005027B8">
        <w:t>Grand Chamber</w:t>
      </w:r>
      <w:r w:rsidRPr="00EF0015" w:rsidR="00730433">
        <w:t xml:space="preserve"> composed of:</w:t>
      </w:r>
    </w:p>
    <w:p w:rsidRPr="00E07594" w:rsidR="007A2A19" w:rsidP="00730433" w:rsidRDefault="00CE6A13">
      <w:pPr>
        <w:pStyle w:val="JuJudges"/>
        <w:rPr>
          <w:lang w:val="fr-FR"/>
        </w:rPr>
      </w:pPr>
      <w:r w:rsidRPr="00EF0015">
        <w:tab/>
      </w:r>
      <w:r w:rsidRPr="00E07594">
        <w:rPr>
          <w:lang w:val="fr-FR"/>
        </w:rPr>
        <w:t>Jean-Paul Costa,</w:t>
      </w:r>
      <w:r w:rsidRPr="00E07594">
        <w:rPr>
          <w:i/>
          <w:lang w:val="fr-FR"/>
        </w:rPr>
        <w:t xml:space="preserve"> President</w:t>
      </w:r>
      <w:r w:rsidRPr="00D8100E">
        <w:rPr>
          <w:lang w:val="fr-FR"/>
        </w:rPr>
        <w:t>,</w:t>
      </w:r>
      <w:r w:rsidRPr="00E07594">
        <w:rPr>
          <w:i/>
          <w:lang w:val="fr-FR"/>
        </w:rPr>
        <w:br/>
      </w:r>
      <w:r w:rsidRPr="00E07594">
        <w:rPr>
          <w:lang w:val="fr-FR"/>
        </w:rPr>
        <w:tab/>
        <w:t>Christos Rozakis,</w:t>
      </w:r>
      <w:r w:rsidRPr="00E07594">
        <w:rPr>
          <w:i/>
          <w:lang w:val="fr-FR"/>
        </w:rPr>
        <w:br/>
      </w:r>
      <w:r w:rsidRPr="00E07594">
        <w:rPr>
          <w:lang w:val="fr-FR"/>
        </w:rPr>
        <w:tab/>
        <w:t>Nicolas Bratza,</w:t>
      </w:r>
      <w:r w:rsidRPr="00E07594">
        <w:rPr>
          <w:i/>
          <w:lang w:val="fr-FR"/>
        </w:rPr>
        <w:br/>
      </w:r>
      <w:r w:rsidRPr="00E07594">
        <w:rPr>
          <w:lang w:val="fr-FR"/>
        </w:rPr>
        <w:tab/>
        <w:t>Françoise Tulkens,</w:t>
      </w:r>
      <w:r w:rsidRPr="00E07594">
        <w:rPr>
          <w:i/>
          <w:lang w:val="fr-FR"/>
        </w:rPr>
        <w:br/>
      </w:r>
      <w:r w:rsidRPr="00E07594">
        <w:rPr>
          <w:lang w:val="fr-FR"/>
        </w:rPr>
        <w:tab/>
        <w:t>Josep Casadevall,</w:t>
      </w:r>
    </w:p>
    <w:p w:rsidRPr="00E07594" w:rsidR="00F71A6A" w:rsidP="00730433" w:rsidRDefault="007A2A19">
      <w:pPr>
        <w:pStyle w:val="JuJudges"/>
        <w:rPr>
          <w:lang w:val="fr-FR"/>
        </w:rPr>
      </w:pPr>
      <w:r w:rsidRPr="00E07594">
        <w:rPr>
          <w:lang w:val="fr-FR"/>
        </w:rPr>
        <w:tab/>
        <w:t>Dean Spielmann,</w:t>
      </w:r>
      <w:r w:rsidRPr="00E07594" w:rsidR="00CE6A13">
        <w:rPr>
          <w:i/>
          <w:lang w:val="fr-FR"/>
        </w:rPr>
        <w:br/>
      </w:r>
      <w:r w:rsidRPr="00E07594" w:rsidR="00CE6A13">
        <w:rPr>
          <w:lang w:val="fr-FR"/>
        </w:rPr>
        <w:tab/>
        <w:t>Giovanni Bonello,</w:t>
      </w:r>
      <w:r w:rsidRPr="00E07594" w:rsidR="00CE6A13">
        <w:rPr>
          <w:i/>
          <w:lang w:val="fr-FR"/>
        </w:rPr>
        <w:br/>
      </w:r>
      <w:r w:rsidRPr="00E07594" w:rsidR="00CE6A13">
        <w:rPr>
          <w:lang w:val="fr-FR"/>
        </w:rPr>
        <w:tab/>
        <w:t>Elisabeth Steiner,</w:t>
      </w:r>
      <w:r w:rsidRPr="00E07594" w:rsidR="00CE6A13">
        <w:rPr>
          <w:i/>
          <w:lang w:val="fr-FR"/>
        </w:rPr>
        <w:br/>
      </w:r>
      <w:r w:rsidRPr="00E07594" w:rsidR="00CE6A13">
        <w:rPr>
          <w:lang w:val="fr-FR"/>
        </w:rPr>
        <w:tab/>
        <w:t>Lech Garlicki,</w:t>
      </w:r>
      <w:r w:rsidRPr="00E07594" w:rsidR="00CE6A13">
        <w:rPr>
          <w:i/>
          <w:lang w:val="fr-FR"/>
        </w:rPr>
        <w:br/>
      </w:r>
      <w:r w:rsidRPr="00E07594" w:rsidR="00CE6A13">
        <w:rPr>
          <w:lang w:val="fr-FR"/>
        </w:rPr>
        <w:tab/>
        <w:t>Ljiljana Mijović,</w:t>
      </w:r>
      <w:r w:rsidRPr="00E07594" w:rsidR="00CE6A13">
        <w:rPr>
          <w:i/>
          <w:lang w:val="fr-FR"/>
        </w:rPr>
        <w:br/>
      </w:r>
      <w:r w:rsidRPr="00E07594" w:rsidR="00CE6A13">
        <w:rPr>
          <w:lang w:val="fr-FR"/>
        </w:rPr>
        <w:tab/>
        <w:t>Dav</w:t>
      </w:r>
      <w:r w:rsidR="00EC3FA6">
        <w:rPr>
          <w:lang w:val="fr-FR"/>
        </w:rPr>
        <w:t>í</w:t>
      </w:r>
      <w:r w:rsidRPr="00E07594" w:rsidR="00CE6A13">
        <w:rPr>
          <w:lang w:val="fr-FR"/>
        </w:rPr>
        <w:t>d Thór Björgvinsson,</w:t>
      </w:r>
      <w:r w:rsidRPr="00E07594" w:rsidR="00CE6A13">
        <w:rPr>
          <w:i/>
          <w:lang w:val="fr-FR"/>
        </w:rPr>
        <w:br/>
      </w:r>
      <w:r w:rsidRPr="00E07594" w:rsidR="00CE6A13">
        <w:rPr>
          <w:lang w:val="fr-FR"/>
        </w:rPr>
        <w:tab/>
        <w:t>Isabelle Berro-Lefèvre,</w:t>
      </w:r>
      <w:r w:rsidRPr="00E07594" w:rsidR="00CE6A13">
        <w:rPr>
          <w:i/>
          <w:lang w:val="fr-FR"/>
        </w:rPr>
        <w:br/>
      </w:r>
      <w:r w:rsidRPr="00E07594" w:rsidR="00CE6A13">
        <w:rPr>
          <w:lang w:val="fr-FR"/>
        </w:rPr>
        <w:tab/>
        <w:t>George Nicolaou,</w:t>
      </w:r>
      <w:r w:rsidRPr="00E07594" w:rsidR="00CE6A13">
        <w:rPr>
          <w:i/>
          <w:lang w:val="fr-FR"/>
        </w:rPr>
        <w:br/>
      </w:r>
      <w:r w:rsidRPr="00E07594" w:rsidR="00CE6A13">
        <w:rPr>
          <w:lang w:val="fr-FR"/>
        </w:rPr>
        <w:tab/>
        <w:t>Luis López Guerra,</w:t>
      </w:r>
      <w:r w:rsidRPr="00E07594" w:rsidR="00CE6A13">
        <w:rPr>
          <w:i/>
          <w:lang w:val="fr-FR"/>
        </w:rPr>
        <w:br/>
      </w:r>
      <w:r w:rsidRPr="00E07594" w:rsidR="00CE6A13">
        <w:rPr>
          <w:lang w:val="fr-FR"/>
        </w:rPr>
        <w:tab/>
        <w:t>Ledi Bianku,</w:t>
      </w:r>
      <w:r w:rsidRPr="00E07594" w:rsidR="00CE6A13">
        <w:rPr>
          <w:i/>
          <w:lang w:val="fr-FR"/>
        </w:rPr>
        <w:br/>
      </w:r>
      <w:r w:rsidRPr="00E07594" w:rsidR="00CE6A13">
        <w:rPr>
          <w:lang w:val="fr-FR"/>
        </w:rPr>
        <w:tab/>
        <w:t>Ann Power,</w:t>
      </w:r>
      <w:r w:rsidRPr="00E07594" w:rsidR="00CE6A13">
        <w:rPr>
          <w:i/>
          <w:lang w:val="fr-FR"/>
        </w:rPr>
        <w:br/>
      </w:r>
      <w:r w:rsidRPr="00E07594" w:rsidR="00CE6A13">
        <w:rPr>
          <w:lang w:val="fr-FR"/>
        </w:rPr>
        <w:tab/>
        <w:t>Mihai Poalelungi,</w:t>
      </w:r>
      <w:r w:rsidRPr="00E07594" w:rsidR="00CE6A13">
        <w:rPr>
          <w:i/>
          <w:lang w:val="fr-FR"/>
        </w:rPr>
        <w:t xml:space="preserve"> judges</w:t>
      </w:r>
      <w:r w:rsidRPr="00D8100E" w:rsidR="00CE6A13">
        <w:rPr>
          <w:lang w:val="fr-FR"/>
        </w:rPr>
        <w:t>,</w:t>
      </w:r>
      <w:r w:rsidRPr="00E07594" w:rsidR="00CE6A13">
        <w:rPr>
          <w:i/>
          <w:lang w:val="fr-FR"/>
        </w:rPr>
        <w:br/>
      </w:r>
      <w:r w:rsidRPr="00E07594" w:rsidR="00F71A6A">
        <w:rPr>
          <w:lang w:val="fr-FR"/>
        </w:rPr>
        <w:t>and</w:t>
      </w:r>
      <w:r w:rsidRPr="00E07594" w:rsidR="000726F6">
        <w:rPr>
          <w:lang w:val="fr-FR"/>
        </w:rPr>
        <w:t xml:space="preserve"> </w:t>
      </w:r>
      <w:r w:rsidRPr="00E07594" w:rsidR="005027B8">
        <w:rPr>
          <w:lang w:val="fr-FR"/>
        </w:rPr>
        <w:t>Michael</w:t>
      </w:r>
      <w:r w:rsidRPr="00E07594" w:rsidR="000726F6">
        <w:rPr>
          <w:rStyle w:val="JuSignedChar"/>
          <w:lang w:val="fr-FR"/>
        </w:rPr>
        <w:t xml:space="preserve"> </w:t>
      </w:r>
      <w:r w:rsidRPr="00E07594" w:rsidR="005027B8">
        <w:rPr>
          <w:lang w:val="fr-FR"/>
        </w:rPr>
        <w:t>O</w:t>
      </w:r>
      <w:r w:rsidR="008570E8">
        <w:rPr>
          <w:lang w:val="fr-FR"/>
        </w:rPr>
        <w:t>’</w:t>
      </w:r>
      <w:r w:rsidRPr="00E07594" w:rsidR="005027B8">
        <w:rPr>
          <w:lang w:val="fr-FR"/>
        </w:rPr>
        <w:t>Boyle</w:t>
      </w:r>
      <w:r w:rsidRPr="00E07594" w:rsidR="000726F6">
        <w:rPr>
          <w:rStyle w:val="JuSignedChar"/>
          <w:lang w:val="fr-FR"/>
        </w:rPr>
        <w:t xml:space="preserve">, </w:t>
      </w:r>
      <w:r w:rsidRPr="00E07594" w:rsidR="005027B8">
        <w:rPr>
          <w:i/>
          <w:lang w:val="fr-FR"/>
        </w:rPr>
        <w:t>Deputy Registrar</w:t>
      </w:r>
      <w:r w:rsidRPr="00D8100E" w:rsidR="00F71A6A">
        <w:rPr>
          <w:lang w:val="fr-FR"/>
        </w:rPr>
        <w:t>,</w:t>
      </w:r>
    </w:p>
    <w:p w:rsidRPr="00EF0015" w:rsidR="00F71A6A" w:rsidRDefault="00F71A6A">
      <w:pPr>
        <w:pStyle w:val="JuPara"/>
      </w:pPr>
      <w:r w:rsidRPr="00EF0015">
        <w:t xml:space="preserve">Having deliberated in private on </w:t>
      </w:r>
      <w:r w:rsidRPr="00EF0015" w:rsidR="00CE6A13">
        <w:t>9 and 16 June 2010</w:t>
      </w:r>
      <w:r w:rsidRPr="00EF0015" w:rsidR="002B5260">
        <w:t xml:space="preserve"> and </w:t>
      </w:r>
      <w:r w:rsidR="007A2A19">
        <w:t>15 June 2011</w:t>
      </w:r>
      <w:r w:rsidRPr="00EF0015">
        <w:t>,</w:t>
      </w:r>
    </w:p>
    <w:p w:rsidRPr="00EF0015" w:rsidR="00F71A6A" w:rsidRDefault="00F71A6A">
      <w:pPr>
        <w:pStyle w:val="JuPara"/>
      </w:pPr>
      <w:r w:rsidRPr="00EF0015">
        <w:t xml:space="preserve">Delivers the following judgment, which was adopted on </w:t>
      </w:r>
      <w:r w:rsidR="00C10970">
        <w:t>the</w:t>
      </w:r>
      <w:r w:rsidRPr="00EF0015">
        <w:t xml:space="preserve"> </w:t>
      </w:r>
      <w:r w:rsidR="007A2A19">
        <w:t>last</w:t>
      </w:r>
      <w:r w:rsidR="00C10970">
        <w:t>-mentioned</w:t>
      </w:r>
      <w:r w:rsidR="007A2A19">
        <w:t xml:space="preserve"> </w:t>
      </w:r>
      <w:r w:rsidRPr="00EF0015">
        <w:t>date:</w:t>
      </w:r>
    </w:p>
    <w:p w:rsidRPr="00EF0015" w:rsidR="00F71A6A" w:rsidRDefault="00F71A6A">
      <w:pPr>
        <w:pStyle w:val="JuHHead"/>
      </w:pPr>
      <w:bookmarkStart w:name="_Toc275785562" w:id="2"/>
      <w:bookmarkStart w:name="_Toc289868937" w:id="3"/>
      <w:bookmarkStart w:name="_Toc297210633" w:id="4"/>
      <w:r w:rsidRPr="00EF0015">
        <w:t>PROCEDURE</w:t>
      </w:r>
      <w:bookmarkEnd w:id="2"/>
      <w:bookmarkEnd w:id="3"/>
      <w:bookmarkEnd w:id="4"/>
    </w:p>
    <w:p w:rsidR="00C81668" w:rsidP="00AE2F4F" w:rsidRDefault="005027B8">
      <w:pPr>
        <w:pStyle w:val="JuPara"/>
      </w:pPr>
      <w:r w:rsidRPr="00EF0015">
        <w:fldChar w:fldCharType="begin"/>
      </w:r>
      <w:r w:rsidRPr="00EF0015">
        <w:instrText xml:space="preserve"> SEQ level0 \*arabic </w:instrText>
      </w:r>
      <w:r w:rsidRPr="00EF0015">
        <w:fldChar w:fldCharType="separate"/>
      </w:r>
      <w:r w:rsidR="00524A6D">
        <w:rPr>
          <w:noProof/>
        </w:rPr>
        <w:t>1</w:t>
      </w:r>
      <w:r w:rsidRPr="00EF0015">
        <w:fldChar w:fldCharType="end"/>
      </w:r>
      <w:r w:rsidRPr="00EF0015" w:rsidR="00F71A6A">
        <w:t xml:space="preserve">.  The case originated in </w:t>
      </w:r>
      <w:r w:rsidRPr="00EF0015">
        <w:t>an application (no. 55721/07)</w:t>
      </w:r>
      <w:r w:rsidRPr="00EF0015" w:rsidR="00F71A6A">
        <w:t xml:space="preserve"> against </w:t>
      </w:r>
      <w:r w:rsidRPr="00EF0015">
        <w:t>the United Kingdom of Great Britain and Northern Ireland</w:t>
      </w:r>
      <w:r w:rsidRPr="00EF0015" w:rsidR="00F71A6A">
        <w:t xml:space="preserve"> lodged with the </w:t>
      </w:r>
      <w:r w:rsidRPr="00EF0015">
        <w:t>Court under Article 34</w:t>
      </w:r>
      <w:r w:rsidRPr="00EF0015" w:rsidR="004920B1">
        <w:t xml:space="preserve"> of the Convention for the Protection of Human Rights and Fundamental Freedoms (“the Convention”)</w:t>
      </w:r>
      <w:r w:rsidRPr="00EF0015" w:rsidR="00F71A6A">
        <w:t xml:space="preserve"> by </w:t>
      </w:r>
      <w:r w:rsidRPr="00EF0015" w:rsidR="004E58D9">
        <w:t>six</w:t>
      </w:r>
      <w:r w:rsidRPr="00EF0015">
        <w:t xml:space="preserve"> Iraqi nationals, </w:t>
      </w:r>
      <w:r w:rsidRPr="00EF0015" w:rsidR="00A9151F">
        <w:t>Mr Mazin Jum</w:t>
      </w:r>
      <w:r w:rsidR="008570E8">
        <w:t>’</w:t>
      </w:r>
      <w:r w:rsidR="00960A6B">
        <w:t>a</w:t>
      </w:r>
      <w:r w:rsidRPr="00EF0015" w:rsidR="00A9151F">
        <w:t>a Gatteh Al-Skeini, Ms Fattema Zabun Dahesh, Mr Hameed Abdul Rida Awaid Kareem, Mr Fadil Fayay Muzban, Mr</w:t>
      </w:r>
      <w:r w:rsidRPr="00EF0015" w:rsidR="004E5291">
        <w:t> </w:t>
      </w:r>
      <w:r w:rsidRPr="00EF0015" w:rsidR="00A9151F">
        <w:t xml:space="preserve">Jabbar Kareem Ali and Colonel Daoud Mousa </w:t>
      </w:r>
      <w:r w:rsidRPr="00EF0015">
        <w:t>(“the applicants”), on 11</w:t>
      </w:r>
      <w:r w:rsidRPr="00EF0015" w:rsidR="004E5291">
        <w:t> </w:t>
      </w:r>
      <w:r w:rsidRPr="00EF0015" w:rsidR="004E58D9">
        <w:t>December</w:t>
      </w:r>
      <w:r w:rsidRPr="00EF0015">
        <w:t xml:space="preserve"> 2007</w:t>
      </w:r>
      <w:r w:rsidRPr="00EF0015" w:rsidR="004E58D9">
        <w:t>.</w:t>
      </w:r>
    </w:p>
    <w:p w:rsidR="00C81668" w:rsidP="00B81192" w:rsidRDefault="005027B8">
      <w:pPr>
        <w:pStyle w:val="JuPara"/>
      </w:pPr>
      <w:r w:rsidRPr="00EF0015">
        <w:fldChar w:fldCharType="begin"/>
      </w:r>
      <w:r w:rsidRPr="00EF0015">
        <w:instrText xml:space="preserve"> SEQ level0 \*arabic </w:instrText>
      </w:r>
      <w:r w:rsidRPr="00EF0015">
        <w:fldChar w:fldCharType="separate"/>
      </w:r>
      <w:r w:rsidR="00524A6D">
        <w:rPr>
          <w:noProof/>
        </w:rPr>
        <w:t>2</w:t>
      </w:r>
      <w:r w:rsidRPr="00EF0015">
        <w:fldChar w:fldCharType="end"/>
      </w:r>
      <w:r w:rsidRPr="00EF0015" w:rsidR="00F71A6A">
        <w:t>.  </w:t>
      </w:r>
      <w:r w:rsidRPr="00EF0015" w:rsidR="004E58D9">
        <w:t>The applicants</w:t>
      </w:r>
      <w:r w:rsidRPr="00EF0015">
        <w:t xml:space="preserve">, </w:t>
      </w:r>
      <w:r w:rsidRPr="00EF0015" w:rsidR="004E58D9">
        <w:t>who had been granted legal aid,</w:t>
      </w:r>
      <w:r w:rsidR="00405921">
        <w:t xml:space="preserve"> were represented by </w:t>
      </w:r>
      <w:r w:rsidRPr="00EF0015">
        <w:t xml:space="preserve">Public Interest Lawyers, </w:t>
      </w:r>
      <w:r w:rsidRPr="00EF0015" w:rsidR="004E5291">
        <w:t xml:space="preserve">solicitors </w:t>
      </w:r>
      <w:r w:rsidRPr="00EF0015" w:rsidR="00A9151F">
        <w:t xml:space="preserve">based </w:t>
      </w:r>
      <w:r w:rsidRPr="00EF0015">
        <w:t xml:space="preserve">in Birmingham. </w:t>
      </w:r>
      <w:r w:rsidRPr="00EF0015" w:rsidR="00F71A6A">
        <w:t xml:space="preserve">The </w:t>
      </w:r>
      <w:r w:rsidRPr="00EF0015">
        <w:t>United Kingdom</w:t>
      </w:r>
      <w:r w:rsidRPr="00EF0015" w:rsidR="00F71A6A">
        <w:t xml:space="preserve"> Government (“the Government”) were represented by their Agent, Mr </w:t>
      </w:r>
      <w:r w:rsidRPr="00EF0015" w:rsidR="00A9151F">
        <w:t>D. Walton, Foreign and Commonwealth Office.</w:t>
      </w:r>
    </w:p>
    <w:p w:rsidRPr="00EF0015" w:rsidR="005A504B" w:rsidP="005A504B" w:rsidRDefault="005A504B">
      <w:pPr>
        <w:pStyle w:val="JuPara"/>
      </w:pPr>
      <w:r w:rsidRPr="00EF0015">
        <w:fldChar w:fldCharType="begin"/>
      </w:r>
      <w:r w:rsidRPr="00EF0015">
        <w:instrText xml:space="preserve"> SEQ level0 \*arabic </w:instrText>
      </w:r>
      <w:r w:rsidRPr="00EF0015">
        <w:fldChar w:fldCharType="separate"/>
      </w:r>
      <w:r w:rsidR="00524A6D">
        <w:rPr>
          <w:noProof/>
        </w:rPr>
        <w:t>3</w:t>
      </w:r>
      <w:r w:rsidRPr="00EF0015">
        <w:fldChar w:fldCharType="end"/>
      </w:r>
      <w:r w:rsidRPr="00EF0015">
        <w:t>.  The applicant</w:t>
      </w:r>
      <w:r w:rsidRPr="00EF0015" w:rsidR="003F091B">
        <w:t>s</w:t>
      </w:r>
      <w:r w:rsidRPr="00EF0015">
        <w:t xml:space="preserve"> alleged</w:t>
      </w:r>
      <w:r w:rsidRPr="00EF0015" w:rsidR="003F091B">
        <w:t xml:space="preserve"> that </w:t>
      </w:r>
      <w:r w:rsidRPr="00EF0015" w:rsidR="004E5291">
        <w:t xml:space="preserve">their relatives fell within United Kingdom jurisdiction when killed and that </w:t>
      </w:r>
      <w:r w:rsidRPr="00EF0015" w:rsidR="003F091B">
        <w:t>there had been no effective investigation in</w:t>
      </w:r>
      <w:r w:rsidRPr="00EF0015" w:rsidR="004E5291">
        <w:t>to</w:t>
      </w:r>
      <w:r w:rsidRPr="00EF0015" w:rsidR="003F091B">
        <w:t xml:space="preserve"> the</w:t>
      </w:r>
      <w:r w:rsidR="00960A6B">
        <w:t>ir</w:t>
      </w:r>
      <w:r w:rsidRPr="00EF0015" w:rsidR="003F091B">
        <w:t xml:space="preserve"> deaths, in breach of Article 2 </w:t>
      </w:r>
      <w:r w:rsidRPr="00EF0015">
        <w:t>of the Convention.</w:t>
      </w:r>
    </w:p>
    <w:p w:rsidRPr="00EF0015" w:rsidR="003F091B" w:rsidP="003F091B" w:rsidRDefault="005A504B">
      <w:pPr>
        <w:pStyle w:val="JuPara"/>
      </w:pPr>
      <w:r w:rsidRPr="00EF0015">
        <w:fldChar w:fldCharType="begin"/>
      </w:r>
      <w:r w:rsidRPr="00EF0015">
        <w:instrText xml:space="preserve"> SEQ level0 \*arabic </w:instrText>
      </w:r>
      <w:r w:rsidRPr="00EF0015">
        <w:fldChar w:fldCharType="separate"/>
      </w:r>
      <w:r w:rsidR="00524A6D">
        <w:rPr>
          <w:noProof/>
        </w:rPr>
        <w:t>4</w:t>
      </w:r>
      <w:r w:rsidRPr="00EF0015">
        <w:fldChar w:fldCharType="end"/>
      </w:r>
      <w:r w:rsidRPr="00EF0015">
        <w:t xml:space="preserve">.  The application was allocated to the </w:t>
      </w:r>
      <w:r w:rsidRPr="00EF0015" w:rsidR="003F091B">
        <w:t>Fourth</w:t>
      </w:r>
      <w:r w:rsidRPr="00EF0015">
        <w:t xml:space="preserve"> Section of the Court (Rule 52 §</w:t>
      </w:r>
      <w:r w:rsidR="006D3793">
        <w:t xml:space="preserve"> </w:t>
      </w:r>
      <w:r w:rsidRPr="00EF0015">
        <w:t xml:space="preserve">1 of the Rules of Court). </w:t>
      </w:r>
      <w:r w:rsidRPr="00EF0015" w:rsidR="003F091B">
        <w:t xml:space="preserve">On </w:t>
      </w:r>
      <w:r w:rsidRPr="00EF0015" w:rsidR="00BE5AE8">
        <w:t>16 December 2008</w:t>
      </w:r>
      <w:r w:rsidRPr="00EF0015" w:rsidR="003F091B">
        <w:t xml:space="preserve"> the Court</w:t>
      </w:r>
      <w:r w:rsidRPr="00EF0015" w:rsidR="00BE5AE8">
        <w:t xml:space="preserve"> </w:t>
      </w:r>
      <w:r w:rsidRPr="00EF0015" w:rsidR="003F091B">
        <w:t>decided to give notice of the application to the Government. It also decided to examine the merits of the application at the same time as its admissibility (Article 29 § 1</w:t>
      </w:r>
      <w:r w:rsidR="008C3D91">
        <w:t xml:space="preserve"> of the Convention</w:t>
      </w:r>
      <w:r w:rsidRPr="00EF0015" w:rsidR="003F091B">
        <w:t xml:space="preserve">). </w:t>
      </w:r>
      <w:r w:rsidR="0028309F">
        <w:t xml:space="preserve">The parties </w:t>
      </w:r>
      <w:r w:rsidR="0043595B">
        <w:t>took turns to file</w:t>
      </w:r>
      <w:r w:rsidR="0028309F">
        <w:t xml:space="preserve"> observations on the admissibility and merits of the case. </w:t>
      </w:r>
      <w:r w:rsidRPr="00EF0015" w:rsidR="003F091B">
        <w:t xml:space="preserve">On </w:t>
      </w:r>
      <w:r w:rsidRPr="00EF0015" w:rsidR="00BE5AE8">
        <w:t>19 January 2010</w:t>
      </w:r>
      <w:r w:rsidRPr="00EF0015" w:rsidR="003F091B">
        <w:t xml:space="preserve"> the Chamber decided to relinquish jurisdiction </w:t>
      </w:r>
      <w:r w:rsidR="008C3D91">
        <w:t>in favour of</w:t>
      </w:r>
      <w:r w:rsidRPr="00EF0015" w:rsidR="003F091B">
        <w:t xml:space="preserve"> the Grand Chamber</w:t>
      </w:r>
      <w:r w:rsidR="008C3D91">
        <w:t xml:space="preserve"> </w:t>
      </w:r>
      <w:r w:rsidRPr="00BD6A58" w:rsidR="008C3D91">
        <w:t>(Article 30 of the Convention and Rule 72)</w:t>
      </w:r>
      <w:r w:rsidRPr="00EF0015" w:rsidR="00BE5AE8">
        <w:t>.</w:t>
      </w:r>
    </w:p>
    <w:p w:rsidRPr="00EF0015" w:rsidR="005A504B" w:rsidP="005A504B" w:rsidRDefault="005A504B">
      <w:pPr>
        <w:pStyle w:val="JuPara"/>
      </w:pPr>
      <w:r w:rsidRPr="00EF0015">
        <w:fldChar w:fldCharType="begin"/>
      </w:r>
      <w:r w:rsidRPr="00EF0015">
        <w:instrText xml:space="preserve"> SEQ level0 \*arabic </w:instrText>
      </w:r>
      <w:r w:rsidRPr="00EF0015">
        <w:fldChar w:fldCharType="separate"/>
      </w:r>
      <w:r w:rsidR="00524A6D">
        <w:rPr>
          <w:noProof/>
        </w:rPr>
        <w:t>5</w:t>
      </w:r>
      <w:r w:rsidRPr="00EF0015">
        <w:fldChar w:fldCharType="end"/>
      </w:r>
      <w:r w:rsidRPr="00EF0015">
        <w:t>.  The composition of the Grand Chamber was determined according to the provisions of Article 27 §§ 2 and 3 of the Convention and Rule 24</w:t>
      </w:r>
      <w:r w:rsidR="00D14124">
        <w:t>.</w:t>
      </w:r>
      <w:r w:rsidRPr="00EF0015">
        <w:t xml:space="preserve"> Judge </w:t>
      </w:r>
      <w:r w:rsidRPr="00EF0015" w:rsidR="003F091B">
        <w:t>Peer Lorenzen</w:t>
      </w:r>
      <w:r w:rsidRPr="00EF0015">
        <w:t xml:space="preserve">, President of the </w:t>
      </w:r>
      <w:r w:rsidRPr="00EF0015" w:rsidR="003F091B">
        <w:t>Fifth</w:t>
      </w:r>
      <w:r w:rsidRPr="00EF0015">
        <w:t xml:space="preserve"> Section, withdrew and </w:t>
      </w:r>
      <w:r w:rsidR="00D14124">
        <w:t xml:space="preserve">was replaced by </w:t>
      </w:r>
      <w:r w:rsidRPr="00EF0015">
        <w:t xml:space="preserve">Judge </w:t>
      </w:r>
      <w:r w:rsidRPr="00EF0015" w:rsidR="00E65FEC">
        <w:t xml:space="preserve">Luis </w:t>
      </w:r>
      <w:r w:rsidRPr="00EF0015" w:rsidR="003F091B">
        <w:t>López Guerra</w:t>
      </w:r>
      <w:r w:rsidRPr="00EF0015" w:rsidR="009A60A9">
        <w:t>, substitute judge</w:t>
      </w:r>
      <w:r w:rsidR="00D14124">
        <w:t>.</w:t>
      </w:r>
    </w:p>
    <w:p w:rsidR="00C81668" w:rsidP="005A504B" w:rsidRDefault="005A504B">
      <w:pPr>
        <w:pStyle w:val="JuPara"/>
      </w:pPr>
      <w:r w:rsidRPr="00EF0015">
        <w:fldChar w:fldCharType="begin"/>
      </w:r>
      <w:r w:rsidRPr="00EF0015">
        <w:instrText xml:space="preserve"> SEQ level0 \*arabic </w:instrText>
      </w:r>
      <w:r w:rsidRPr="00EF0015">
        <w:fldChar w:fldCharType="separate"/>
      </w:r>
      <w:r w:rsidR="00524A6D">
        <w:rPr>
          <w:noProof/>
        </w:rPr>
        <w:t>6</w:t>
      </w:r>
      <w:r w:rsidRPr="00EF0015">
        <w:fldChar w:fldCharType="end"/>
      </w:r>
      <w:r w:rsidRPr="00EF0015">
        <w:t>.  The applicant</w:t>
      </w:r>
      <w:r w:rsidRPr="00EF0015" w:rsidR="003F091B">
        <w:t>s</w:t>
      </w:r>
      <w:r w:rsidRPr="00EF0015">
        <w:t xml:space="preserve"> and the Government each filed a </w:t>
      </w:r>
      <w:r w:rsidR="0028309F">
        <w:t xml:space="preserve">further </w:t>
      </w:r>
      <w:r w:rsidRPr="00EF0015">
        <w:t xml:space="preserve">memorial on the </w:t>
      </w:r>
      <w:r w:rsidRPr="00EF0015" w:rsidR="003F091B">
        <w:t xml:space="preserve">admissibility and </w:t>
      </w:r>
      <w:r w:rsidRPr="00EF0015">
        <w:t>merits</w:t>
      </w:r>
      <w:r w:rsidR="00BE5210">
        <w:t>,</w:t>
      </w:r>
      <w:r w:rsidRPr="00EF0015">
        <w:t xml:space="preserve"> and </w:t>
      </w:r>
      <w:r w:rsidRPr="00EF0015" w:rsidR="00BE5AE8">
        <w:t xml:space="preserve">joint </w:t>
      </w:r>
      <w:r w:rsidRPr="00EF0015">
        <w:t xml:space="preserve">third-party comments were received from </w:t>
      </w:r>
      <w:r w:rsidRPr="00EF0015" w:rsidR="00BE5AE8">
        <w:t>the Bar Human Rights Committee, the European Human Rights Advocacy Centre, Human Rights Watch, Interights</w:t>
      </w:r>
      <w:r w:rsidR="00C83412">
        <w:t xml:space="preserve">, </w:t>
      </w:r>
      <w:r w:rsidRPr="00EF0015" w:rsidR="00BE5AE8">
        <w:t>the International Federation for Human Rights</w:t>
      </w:r>
      <w:r w:rsidR="00C83412">
        <w:t>, the Law Society</w:t>
      </w:r>
      <w:r w:rsidR="00D1038D">
        <w:t>,</w:t>
      </w:r>
      <w:r w:rsidR="00C83412">
        <w:t xml:space="preserve"> and Liberty</w:t>
      </w:r>
      <w:r w:rsidRPr="00EF0015" w:rsidR="00BE5AE8">
        <w:t xml:space="preserve"> (“the </w:t>
      </w:r>
      <w:r w:rsidR="00BE5210">
        <w:t xml:space="preserve">third-party </w:t>
      </w:r>
      <w:r w:rsidRPr="00EF0015" w:rsidR="00BE5AE8">
        <w:t>interveners”).</w:t>
      </w:r>
    </w:p>
    <w:p w:rsidRPr="00EF0015" w:rsidR="005A504B" w:rsidP="005A504B" w:rsidRDefault="005A504B">
      <w:pPr>
        <w:pStyle w:val="JuPara"/>
      </w:pPr>
      <w:r w:rsidRPr="00EF0015">
        <w:fldChar w:fldCharType="begin"/>
      </w:r>
      <w:r w:rsidRPr="00EF0015">
        <w:instrText xml:space="preserve"> SEQ level0 \*arabic </w:instrText>
      </w:r>
      <w:r w:rsidRPr="00EF0015">
        <w:fldChar w:fldCharType="separate"/>
      </w:r>
      <w:r w:rsidR="00524A6D">
        <w:rPr>
          <w:noProof/>
        </w:rPr>
        <w:t>7</w:t>
      </w:r>
      <w:r w:rsidRPr="00EF0015">
        <w:fldChar w:fldCharType="end"/>
      </w:r>
      <w:r w:rsidRPr="00EF0015">
        <w:t xml:space="preserve">.  A hearing took place in public in the Human Rights Building, Strasbourg, on </w:t>
      </w:r>
      <w:r w:rsidRPr="00EF0015" w:rsidR="003F091B">
        <w:t>9 June 2010</w:t>
      </w:r>
      <w:r w:rsidRPr="00EF0015">
        <w:t xml:space="preserve"> (Rule 59 § 3).</w:t>
      </w:r>
    </w:p>
    <w:p w:rsidRPr="00EF0015" w:rsidR="005A504B" w:rsidP="00B4464C" w:rsidRDefault="005A504B">
      <w:pPr>
        <w:pStyle w:val="JuPara"/>
        <w:keepNext/>
        <w:keepLines/>
        <w:tabs>
          <w:tab w:val="left" w:pos="426"/>
        </w:tabs>
      </w:pPr>
      <w:r w:rsidRPr="00EF0015">
        <w:t>There appeared before the Court:</w:t>
      </w:r>
    </w:p>
    <w:p w:rsidRPr="00EF0015" w:rsidR="003F091B" w:rsidP="005A504B" w:rsidRDefault="005A504B">
      <w:pPr>
        <w:pStyle w:val="JuCourt"/>
        <w:keepLines/>
      </w:pPr>
      <w:r w:rsidRPr="00EF0015">
        <w:t>(a)  </w:t>
      </w:r>
      <w:r w:rsidRPr="00EF0015">
        <w:rPr>
          <w:i/>
        </w:rPr>
        <w:t>for the Government</w:t>
      </w:r>
      <w:r w:rsidR="00C81668">
        <w:t xml:space="preserve"> </w:t>
      </w:r>
      <w:r w:rsidR="00405921">
        <w:tab/>
      </w:r>
    </w:p>
    <w:p w:rsidRPr="00F44A7D" w:rsidR="00C37629" w:rsidP="00D615A7" w:rsidRDefault="00C37629">
      <w:pPr>
        <w:tabs>
          <w:tab w:val="decimal" w:pos="851"/>
          <w:tab w:val="decimal" w:pos="993"/>
          <w:tab w:val="right" w:pos="7358"/>
        </w:tabs>
        <w:ind w:firstLine="397"/>
        <w:rPr>
          <w:i/>
          <w:szCs w:val="24"/>
        </w:rPr>
      </w:pPr>
      <w:r w:rsidRPr="00EF0015">
        <w:rPr>
          <w:szCs w:val="24"/>
        </w:rPr>
        <w:t>Mr</w:t>
      </w:r>
      <w:r w:rsidR="00D615A7">
        <w:rPr>
          <w:szCs w:val="24"/>
        </w:rPr>
        <w:tab/>
      </w:r>
      <w:r w:rsidR="00D615A7">
        <w:rPr>
          <w:szCs w:val="24"/>
        </w:rPr>
        <w:tab/>
      </w:r>
      <w:r w:rsidRPr="00F41656">
        <w:rPr>
          <w:rStyle w:val="JuNames"/>
        </w:rPr>
        <w:t>D. Walton</w:t>
      </w:r>
      <w:r w:rsidRPr="00EF0015">
        <w:rPr>
          <w:szCs w:val="24"/>
        </w:rPr>
        <w:t xml:space="preserve">, </w:t>
      </w:r>
      <w:r w:rsidRPr="00EF0015">
        <w:rPr>
          <w:szCs w:val="24"/>
        </w:rPr>
        <w:tab/>
      </w:r>
      <w:r w:rsidRPr="00EF0015">
        <w:rPr>
          <w:i/>
        </w:rPr>
        <w:t>Agent</w:t>
      </w:r>
      <w:r w:rsidRPr="00D8100E">
        <w:t>,</w:t>
      </w:r>
    </w:p>
    <w:p w:rsidRPr="00EF0015" w:rsidR="00C37629" w:rsidP="00D615A7" w:rsidRDefault="00C37629">
      <w:pPr>
        <w:tabs>
          <w:tab w:val="left" w:pos="851"/>
          <w:tab w:val="right" w:pos="7358"/>
        </w:tabs>
        <w:ind w:firstLine="397"/>
        <w:rPr>
          <w:szCs w:val="24"/>
        </w:rPr>
      </w:pPr>
      <w:r w:rsidRPr="00EF0015">
        <w:rPr>
          <w:szCs w:val="24"/>
        </w:rPr>
        <w:t>Mr</w:t>
      </w:r>
      <w:r w:rsidR="00D615A7">
        <w:rPr>
          <w:szCs w:val="24"/>
        </w:rPr>
        <w:tab/>
      </w:r>
      <w:r w:rsidRPr="00F41656">
        <w:rPr>
          <w:rStyle w:val="JuNames"/>
        </w:rPr>
        <w:t>J. Eadie</w:t>
      </w:r>
      <w:r w:rsidRPr="00EF0015">
        <w:rPr>
          <w:szCs w:val="24"/>
        </w:rPr>
        <w:t xml:space="preserve"> QC, </w:t>
      </w:r>
      <w:r w:rsidRPr="00EF0015">
        <w:rPr>
          <w:szCs w:val="24"/>
        </w:rPr>
        <w:tab/>
      </w:r>
    </w:p>
    <w:p w:rsidR="00C81668" w:rsidP="00D615A7" w:rsidRDefault="00C37629">
      <w:pPr>
        <w:tabs>
          <w:tab w:val="left" w:pos="851"/>
        </w:tabs>
        <w:ind w:firstLine="397"/>
        <w:rPr>
          <w:szCs w:val="24"/>
        </w:rPr>
      </w:pPr>
      <w:r w:rsidRPr="00EF0015">
        <w:rPr>
          <w:szCs w:val="24"/>
        </w:rPr>
        <w:t>Ms</w:t>
      </w:r>
      <w:r w:rsidR="00D615A7">
        <w:rPr>
          <w:szCs w:val="24"/>
        </w:rPr>
        <w:tab/>
      </w:r>
      <w:r w:rsidRPr="00F41656">
        <w:rPr>
          <w:rStyle w:val="JuNames"/>
        </w:rPr>
        <w:t>C. Ivimy</w:t>
      </w:r>
      <w:r w:rsidRPr="00EF0015">
        <w:rPr>
          <w:szCs w:val="24"/>
        </w:rPr>
        <w:t>,</w:t>
      </w:r>
    </w:p>
    <w:p w:rsidRPr="00EF0015" w:rsidR="00C37629" w:rsidP="00D615A7" w:rsidRDefault="00C37629">
      <w:pPr>
        <w:tabs>
          <w:tab w:val="left" w:pos="851"/>
          <w:tab w:val="right" w:pos="7358"/>
        </w:tabs>
        <w:ind w:firstLine="397"/>
        <w:rPr>
          <w:szCs w:val="24"/>
        </w:rPr>
      </w:pPr>
      <w:r w:rsidRPr="00EF0015">
        <w:rPr>
          <w:szCs w:val="24"/>
        </w:rPr>
        <w:t>Mr</w:t>
      </w:r>
      <w:r w:rsidR="00D615A7">
        <w:rPr>
          <w:szCs w:val="24"/>
        </w:rPr>
        <w:tab/>
      </w:r>
      <w:r w:rsidRPr="00F41656">
        <w:rPr>
          <w:rStyle w:val="JuNames"/>
        </w:rPr>
        <w:t>S. Wordsworth</w:t>
      </w:r>
      <w:r w:rsidRPr="00EF0015">
        <w:rPr>
          <w:szCs w:val="24"/>
        </w:rPr>
        <w:t xml:space="preserve">, </w:t>
      </w:r>
      <w:r w:rsidRPr="00EF0015">
        <w:rPr>
          <w:szCs w:val="24"/>
        </w:rPr>
        <w:tab/>
      </w:r>
      <w:r w:rsidRPr="00EF0015">
        <w:rPr>
          <w:i/>
          <w:szCs w:val="24"/>
        </w:rPr>
        <w:t>Counsel</w:t>
      </w:r>
      <w:r w:rsidRPr="00D8100E">
        <w:rPr>
          <w:szCs w:val="24"/>
        </w:rPr>
        <w:t>,</w:t>
      </w:r>
    </w:p>
    <w:p w:rsidRPr="00EF0015" w:rsidR="00C37629" w:rsidP="00D615A7" w:rsidRDefault="00C37629">
      <w:pPr>
        <w:tabs>
          <w:tab w:val="left" w:pos="851"/>
          <w:tab w:val="right" w:pos="7358"/>
        </w:tabs>
        <w:ind w:firstLine="397"/>
        <w:rPr>
          <w:szCs w:val="24"/>
        </w:rPr>
      </w:pPr>
      <w:r w:rsidRPr="00EF0015">
        <w:rPr>
          <w:szCs w:val="24"/>
        </w:rPr>
        <w:t>Ms</w:t>
      </w:r>
      <w:r w:rsidR="00D615A7">
        <w:rPr>
          <w:szCs w:val="24"/>
        </w:rPr>
        <w:tab/>
      </w:r>
      <w:r w:rsidRPr="00F41656">
        <w:rPr>
          <w:rStyle w:val="JuNames"/>
        </w:rPr>
        <w:t>L. Dann</w:t>
      </w:r>
      <w:r w:rsidRPr="00EF0015">
        <w:rPr>
          <w:caps/>
          <w:szCs w:val="24"/>
        </w:rPr>
        <w:t>,</w:t>
      </w:r>
      <w:r w:rsidRPr="00EF0015">
        <w:rPr>
          <w:szCs w:val="24"/>
        </w:rPr>
        <w:t xml:space="preserve"> </w:t>
      </w:r>
      <w:r w:rsidRPr="00EF0015">
        <w:rPr>
          <w:szCs w:val="24"/>
        </w:rPr>
        <w:tab/>
      </w:r>
    </w:p>
    <w:p w:rsidRPr="00EF0015" w:rsidR="00C37629" w:rsidP="00D615A7" w:rsidRDefault="00C37629">
      <w:pPr>
        <w:tabs>
          <w:tab w:val="left" w:pos="851"/>
          <w:tab w:val="right" w:pos="7358"/>
        </w:tabs>
        <w:ind w:firstLine="397"/>
        <w:rPr>
          <w:szCs w:val="24"/>
        </w:rPr>
      </w:pPr>
      <w:r w:rsidRPr="00EF0015">
        <w:rPr>
          <w:szCs w:val="24"/>
        </w:rPr>
        <w:t>Ms</w:t>
      </w:r>
      <w:r w:rsidR="00D615A7">
        <w:rPr>
          <w:szCs w:val="24"/>
        </w:rPr>
        <w:tab/>
      </w:r>
      <w:r w:rsidRPr="00F41656">
        <w:rPr>
          <w:rStyle w:val="JuNames"/>
        </w:rPr>
        <w:t>H. Akiwumi</w:t>
      </w:r>
      <w:r w:rsidRPr="00EF0015">
        <w:rPr>
          <w:caps/>
          <w:szCs w:val="24"/>
        </w:rPr>
        <w:t>,</w:t>
      </w:r>
      <w:r w:rsidRPr="00EF0015">
        <w:rPr>
          <w:szCs w:val="24"/>
        </w:rPr>
        <w:t xml:space="preserve"> </w:t>
      </w:r>
      <w:r w:rsidRPr="00EF0015">
        <w:rPr>
          <w:szCs w:val="24"/>
        </w:rPr>
        <w:tab/>
      </w:r>
      <w:r w:rsidRPr="00EF0015">
        <w:rPr>
          <w:i/>
          <w:szCs w:val="24"/>
        </w:rPr>
        <w:t>Advisers</w:t>
      </w:r>
      <w:r w:rsidRPr="00D8100E">
        <w:rPr>
          <w:szCs w:val="24"/>
        </w:rPr>
        <w:t>;</w:t>
      </w:r>
    </w:p>
    <w:p w:rsidRPr="00EF0015" w:rsidR="005A504B" w:rsidP="005A504B" w:rsidRDefault="003F091B">
      <w:pPr>
        <w:pStyle w:val="JuCourt"/>
        <w:keepLines/>
      </w:pPr>
      <w:r w:rsidRPr="00EF0015">
        <w:tab/>
      </w:r>
      <w:r w:rsidRPr="00EF0015">
        <w:tab/>
      </w:r>
      <w:r w:rsidRPr="00EF0015">
        <w:tab/>
      </w:r>
    </w:p>
    <w:p w:rsidR="00B4464C" w:rsidP="00B4464C" w:rsidRDefault="005A504B">
      <w:pPr>
        <w:rPr>
          <w:i/>
        </w:rPr>
      </w:pPr>
      <w:r w:rsidRPr="00EF0015">
        <w:t>(b)  </w:t>
      </w:r>
      <w:r w:rsidRPr="00EF0015">
        <w:rPr>
          <w:i/>
        </w:rPr>
        <w:t>for the applicant</w:t>
      </w:r>
      <w:r w:rsidRPr="00EF0015" w:rsidR="003F091B">
        <w:rPr>
          <w:i/>
        </w:rPr>
        <w:t>s</w:t>
      </w:r>
    </w:p>
    <w:p w:rsidR="00C81668" w:rsidP="00D615A7" w:rsidRDefault="00C37629">
      <w:pPr>
        <w:tabs>
          <w:tab w:val="left" w:pos="851"/>
        </w:tabs>
        <w:ind w:firstLine="397"/>
        <w:rPr>
          <w:szCs w:val="24"/>
        </w:rPr>
      </w:pPr>
      <w:r w:rsidRPr="00EF0015">
        <w:rPr>
          <w:szCs w:val="24"/>
        </w:rPr>
        <w:t>M</w:t>
      </w:r>
      <w:r w:rsidRPr="00EF0015" w:rsidR="005C5A1D">
        <w:rPr>
          <w:szCs w:val="24"/>
        </w:rPr>
        <w:t>r</w:t>
      </w:r>
      <w:r w:rsidR="00D615A7">
        <w:rPr>
          <w:szCs w:val="24"/>
        </w:rPr>
        <w:tab/>
      </w:r>
      <w:r w:rsidR="00F41656">
        <w:rPr>
          <w:rStyle w:val="JuNames"/>
        </w:rPr>
        <w:t>R</w:t>
      </w:r>
      <w:r w:rsidR="00960A6B">
        <w:rPr>
          <w:rStyle w:val="JuNames"/>
        </w:rPr>
        <w:t>.</w:t>
      </w:r>
      <w:r w:rsidRPr="00EF0015" w:rsidR="00F41656">
        <w:rPr>
          <w:caps/>
          <w:szCs w:val="24"/>
        </w:rPr>
        <w:t xml:space="preserve"> </w:t>
      </w:r>
      <w:r w:rsidRPr="00F41656">
        <w:rPr>
          <w:rStyle w:val="JuNames"/>
        </w:rPr>
        <w:t>Singh</w:t>
      </w:r>
      <w:r w:rsidRPr="00EF0015">
        <w:rPr>
          <w:caps/>
          <w:szCs w:val="24"/>
        </w:rPr>
        <w:t xml:space="preserve"> </w:t>
      </w:r>
      <w:r w:rsidRPr="00EF0015">
        <w:rPr>
          <w:szCs w:val="24"/>
        </w:rPr>
        <w:t>QC,</w:t>
      </w:r>
    </w:p>
    <w:p w:rsidR="00C81668" w:rsidP="00D615A7" w:rsidRDefault="00C37629">
      <w:pPr>
        <w:tabs>
          <w:tab w:val="left" w:pos="851"/>
        </w:tabs>
        <w:ind w:firstLine="397"/>
        <w:rPr>
          <w:szCs w:val="24"/>
        </w:rPr>
      </w:pPr>
      <w:r w:rsidRPr="00EF0015">
        <w:rPr>
          <w:szCs w:val="24"/>
        </w:rPr>
        <w:t>Mr</w:t>
      </w:r>
      <w:r w:rsidR="00D615A7">
        <w:rPr>
          <w:szCs w:val="24"/>
        </w:rPr>
        <w:tab/>
      </w:r>
      <w:r w:rsidRPr="00F41656">
        <w:rPr>
          <w:rStyle w:val="JuNames"/>
        </w:rPr>
        <w:t>R. Husain</w:t>
      </w:r>
      <w:r w:rsidRPr="00EF0015">
        <w:rPr>
          <w:caps/>
          <w:szCs w:val="24"/>
        </w:rPr>
        <w:t xml:space="preserve"> </w:t>
      </w:r>
      <w:r w:rsidRPr="00EF0015">
        <w:rPr>
          <w:szCs w:val="24"/>
        </w:rPr>
        <w:t>QC,</w:t>
      </w:r>
    </w:p>
    <w:p w:rsidR="00C81668" w:rsidP="00D615A7" w:rsidRDefault="00C37629">
      <w:pPr>
        <w:tabs>
          <w:tab w:val="left" w:pos="851"/>
        </w:tabs>
        <w:ind w:firstLine="397"/>
        <w:rPr>
          <w:szCs w:val="24"/>
        </w:rPr>
      </w:pPr>
      <w:r w:rsidRPr="00EF0015">
        <w:rPr>
          <w:szCs w:val="24"/>
        </w:rPr>
        <w:t>Ms</w:t>
      </w:r>
      <w:r w:rsidR="00D615A7">
        <w:rPr>
          <w:szCs w:val="24"/>
        </w:rPr>
        <w:tab/>
      </w:r>
      <w:r w:rsidRPr="00F41656">
        <w:rPr>
          <w:rStyle w:val="JuNames"/>
        </w:rPr>
        <w:t>S. Fatima</w:t>
      </w:r>
      <w:r w:rsidRPr="00EF0015">
        <w:rPr>
          <w:caps/>
          <w:szCs w:val="24"/>
        </w:rPr>
        <w:t>,</w:t>
      </w:r>
    </w:p>
    <w:p w:rsidR="00C81668" w:rsidP="00D615A7" w:rsidRDefault="00C37629">
      <w:pPr>
        <w:tabs>
          <w:tab w:val="left" w:pos="851"/>
        </w:tabs>
        <w:ind w:firstLine="397"/>
        <w:rPr>
          <w:szCs w:val="24"/>
        </w:rPr>
      </w:pPr>
      <w:r w:rsidRPr="00EF0015">
        <w:rPr>
          <w:szCs w:val="24"/>
        </w:rPr>
        <w:t>Ms</w:t>
      </w:r>
      <w:r w:rsidR="00D615A7">
        <w:rPr>
          <w:szCs w:val="24"/>
        </w:rPr>
        <w:tab/>
      </w:r>
      <w:r w:rsidRPr="00F41656">
        <w:rPr>
          <w:rStyle w:val="JuNames"/>
        </w:rPr>
        <w:t>N. Patel</w:t>
      </w:r>
      <w:r w:rsidRPr="00EF0015">
        <w:rPr>
          <w:caps/>
          <w:szCs w:val="24"/>
        </w:rPr>
        <w:t>,</w:t>
      </w:r>
    </w:p>
    <w:p w:rsidR="00C81668" w:rsidP="00D615A7" w:rsidRDefault="00C37629">
      <w:pPr>
        <w:tabs>
          <w:tab w:val="left" w:pos="851"/>
        </w:tabs>
        <w:ind w:firstLine="397"/>
        <w:rPr>
          <w:szCs w:val="24"/>
        </w:rPr>
      </w:pPr>
      <w:r w:rsidRPr="00EF0015">
        <w:rPr>
          <w:szCs w:val="24"/>
        </w:rPr>
        <w:t>Mr</w:t>
      </w:r>
      <w:r w:rsidR="00D615A7">
        <w:rPr>
          <w:szCs w:val="24"/>
        </w:rPr>
        <w:tab/>
      </w:r>
      <w:r w:rsidRPr="00F41656">
        <w:rPr>
          <w:rStyle w:val="JuNames"/>
        </w:rPr>
        <w:t>T. Tridimas</w:t>
      </w:r>
      <w:r w:rsidRPr="00EF0015">
        <w:rPr>
          <w:caps/>
          <w:szCs w:val="24"/>
        </w:rPr>
        <w:t>,</w:t>
      </w:r>
    </w:p>
    <w:p w:rsidRPr="00F44A7D" w:rsidR="00C37629" w:rsidP="00D615A7" w:rsidRDefault="00C37629">
      <w:pPr>
        <w:tabs>
          <w:tab w:val="left" w:pos="851"/>
          <w:tab w:val="right" w:pos="7358"/>
        </w:tabs>
        <w:ind w:firstLine="397"/>
        <w:rPr>
          <w:i/>
          <w:szCs w:val="24"/>
        </w:rPr>
      </w:pPr>
      <w:r w:rsidRPr="00EF0015">
        <w:rPr>
          <w:szCs w:val="24"/>
        </w:rPr>
        <w:t>Ms</w:t>
      </w:r>
      <w:r w:rsidR="00D615A7">
        <w:rPr>
          <w:szCs w:val="24"/>
        </w:rPr>
        <w:tab/>
      </w:r>
      <w:r w:rsidRPr="00F41656">
        <w:rPr>
          <w:rStyle w:val="JuNames"/>
        </w:rPr>
        <w:t>H. Law</w:t>
      </w:r>
      <w:r w:rsidRPr="00EF0015">
        <w:rPr>
          <w:szCs w:val="24"/>
        </w:rPr>
        <w:t xml:space="preserve">, </w:t>
      </w:r>
      <w:r w:rsidRPr="00EF0015">
        <w:rPr>
          <w:szCs w:val="24"/>
        </w:rPr>
        <w:tab/>
      </w:r>
      <w:r w:rsidRPr="00EF0015">
        <w:rPr>
          <w:i/>
          <w:szCs w:val="24"/>
        </w:rPr>
        <w:t>Counsel</w:t>
      </w:r>
      <w:r w:rsidRPr="00D8100E">
        <w:rPr>
          <w:szCs w:val="24"/>
        </w:rPr>
        <w:t>,</w:t>
      </w:r>
    </w:p>
    <w:p w:rsidR="00C81668" w:rsidP="00D615A7" w:rsidRDefault="00C37629">
      <w:pPr>
        <w:tabs>
          <w:tab w:val="left" w:pos="851"/>
        </w:tabs>
        <w:ind w:firstLine="397"/>
        <w:rPr>
          <w:szCs w:val="24"/>
        </w:rPr>
      </w:pPr>
      <w:r w:rsidRPr="00EF0015">
        <w:rPr>
          <w:szCs w:val="24"/>
        </w:rPr>
        <w:t>Mr</w:t>
      </w:r>
      <w:r w:rsidR="00D615A7">
        <w:rPr>
          <w:szCs w:val="24"/>
        </w:rPr>
        <w:tab/>
      </w:r>
      <w:r w:rsidRPr="00F41656">
        <w:rPr>
          <w:rStyle w:val="JuNames"/>
        </w:rPr>
        <w:t>P. Shiner</w:t>
      </w:r>
      <w:r w:rsidRPr="00EF0015">
        <w:rPr>
          <w:szCs w:val="24"/>
        </w:rPr>
        <w:t>,</w:t>
      </w:r>
    </w:p>
    <w:p w:rsidR="00C81668" w:rsidP="00D615A7" w:rsidRDefault="00C37629">
      <w:pPr>
        <w:tabs>
          <w:tab w:val="left" w:pos="851"/>
        </w:tabs>
        <w:ind w:firstLine="397"/>
        <w:rPr>
          <w:szCs w:val="24"/>
        </w:rPr>
      </w:pPr>
      <w:r w:rsidRPr="00EF0015">
        <w:rPr>
          <w:szCs w:val="24"/>
        </w:rPr>
        <w:t>Mr</w:t>
      </w:r>
      <w:r w:rsidR="00D615A7">
        <w:rPr>
          <w:szCs w:val="24"/>
        </w:rPr>
        <w:tab/>
      </w:r>
      <w:r w:rsidRPr="00F41656">
        <w:rPr>
          <w:rStyle w:val="JuNames"/>
        </w:rPr>
        <w:t>D. Carey</w:t>
      </w:r>
      <w:r w:rsidRPr="00EF0015">
        <w:rPr>
          <w:szCs w:val="24"/>
        </w:rPr>
        <w:t>,</w:t>
      </w:r>
    </w:p>
    <w:p w:rsidR="00C81668" w:rsidP="00D615A7" w:rsidRDefault="00C37629">
      <w:pPr>
        <w:tabs>
          <w:tab w:val="left" w:pos="851"/>
        </w:tabs>
        <w:ind w:firstLine="397"/>
        <w:rPr>
          <w:szCs w:val="24"/>
        </w:rPr>
      </w:pPr>
      <w:r w:rsidRPr="00EF0015">
        <w:rPr>
          <w:szCs w:val="24"/>
        </w:rPr>
        <w:t>Ms</w:t>
      </w:r>
      <w:r w:rsidR="00D615A7">
        <w:rPr>
          <w:szCs w:val="24"/>
        </w:rPr>
        <w:tab/>
      </w:r>
      <w:r w:rsidRPr="00F41656">
        <w:rPr>
          <w:rStyle w:val="JuNames"/>
        </w:rPr>
        <w:t>T. Gregory</w:t>
      </w:r>
      <w:r w:rsidRPr="00EF0015">
        <w:rPr>
          <w:szCs w:val="24"/>
        </w:rPr>
        <w:t>,</w:t>
      </w:r>
    </w:p>
    <w:p w:rsidRPr="00EF0015" w:rsidR="005A504B" w:rsidP="00D615A7" w:rsidRDefault="00C37629">
      <w:pPr>
        <w:tabs>
          <w:tab w:val="left" w:pos="851"/>
          <w:tab w:val="right" w:pos="7358"/>
        </w:tabs>
        <w:ind w:firstLine="397"/>
      </w:pPr>
      <w:r w:rsidRPr="00EF0015">
        <w:t>Mr</w:t>
      </w:r>
      <w:r w:rsidR="00D615A7">
        <w:tab/>
      </w:r>
      <w:r w:rsidRPr="00F41656">
        <w:rPr>
          <w:rStyle w:val="JuNames"/>
        </w:rPr>
        <w:t>J. Duffy</w:t>
      </w:r>
      <w:r w:rsidRPr="00EF0015">
        <w:t>,</w:t>
      </w:r>
      <w:r w:rsidRPr="00EF0015">
        <w:tab/>
      </w:r>
      <w:r w:rsidRPr="00EF0015">
        <w:rPr>
          <w:i/>
        </w:rPr>
        <w:t>Advisers</w:t>
      </w:r>
      <w:r w:rsidRPr="00D8100E">
        <w:t>.</w:t>
      </w:r>
    </w:p>
    <w:p w:rsidRPr="00EF0015" w:rsidR="005A504B" w:rsidP="003F091B" w:rsidRDefault="005A504B">
      <w:pPr>
        <w:pStyle w:val="JuCourt"/>
        <w:keepLines/>
      </w:pPr>
      <w:r w:rsidRPr="00EF0015">
        <w:tab/>
      </w:r>
    </w:p>
    <w:p w:rsidRPr="00EF0015" w:rsidR="005A504B" w:rsidP="005A504B" w:rsidRDefault="005A504B">
      <w:pPr>
        <w:pStyle w:val="JuPara"/>
      </w:pPr>
      <w:r w:rsidRPr="00EF0015">
        <w:t xml:space="preserve">The Court heard addresses by Mr </w:t>
      </w:r>
      <w:r w:rsidRPr="00EF0015" w:rsidR="003F091B">
        <w:t>Eadie</w:t>
      </w:r>
      <w:r w:rsidRPr="00EF0015">
        <w:t xml:space="preserve"> and Mr </w:t>
      </w:r>
      <w:r w:rsidRPr="00EF0015" w:rsidR="003F091B">
        <w:t>Singh</w:t>
      </w:r>
      <w:r w:rsidRPr="00EF0015">
        <w:t>.</w:t>
      </w:r>
    </w:p>
    <w:p w:rsidRPr="00EF0015" w:rsidR="00F71A6A" w:rsidP="002C3188" w:rsidRDefault="00F71A6A">
      <w:pPr>
        <w:pStyle w:val="JuHHead"/>
      </w:pPr>
      <w:bookmarkStart w:name="_Toc275785563" w:id="5"/>
      <w:bookmarkStart w:name="_Toc289868938" w:id="6"/>
      <w:bookmarkStart w:name="_Toc297210634" w:id="7"/>
      <w:r w:rsidRPr="00EF0015">
        <w:t>THE FACTS</w:t>
      </w:r>
      <w:bookmarkEnd w:id="5"/>
      <w:bookmarkEnd w:id="6"/>
      <w:bookmarkEnd w:id="7"/>
    </w:p>
    <w:p w:rsidRPr="00EF0015" w:rsidR="00D353F4" w:rsidP="00D353F4" w:rsidRDefault="007352DD">
      <w:pPr>
        <w:pStyle w:val="JuHIRoman"/>
      </w:pPr>
      <w:bookmarkStart w:name="_Toc275785564" w:id="8"/>
      <w:bookmarkStart w:name="_Toc289868939" w:id="9"/>
      <w:bookmarkStart w:name="_Toc297210635" w:id="10"/>
      <w:r w:rsidRPr="00EF0015">
        <w:t xml:space="preserve">I.  THE CIRCUMSTANCES OF THE </w:t>
      </w:r>
      <w:r w:rsidRPr="00EF0015" w:rsidR="00D353F4">
        <w:t>CASE</w:t>
      </w:r>
      <w:bookmarkEnd w:id="8"/>
      <w:bookmarkEnd w:id="9"/>
      <w:bookmarkEnd w:id="10"/>
    </w:p>
    <w:p w:rsidRPr="00EF0015" w:rsidR="00DE668F" w:rsidP="00DE668F" w:rsidRDefault="00DE668F">
      <w:pPr>
        <w:pStyle w:val="JuPara"/>
      </w:pPr>
      <w:r w:rsidRPr="00EF0015">
        <w:fldChar w:fldCharType="begin"/>
      </w:r>
      <w:r w:rsidRPr="00EF0015">
        <w:instrText xml:space="preserve"> SEQ level0 \*arabic </w:instrText>
      </w:r>
      <w:r w:rsidRPr="00EF0015">
        <w:fldChar w:fldCharType="separate"/>
      </w:r>
      <w:r w:rsidR="00524A6D">
        <w:rPr>
          <w:noProof/>
        </w:rPr>
        <w:t>8</w:t>
      </w:r>
      <w:r w:rsidRPr="00EF0015">
        <w:fldChar w:fldCharType="end"/>
      </w:r>
      <w:r w:rsidRPr="00EF0015">
        <w:t>.  The facts of the case may be summarised as follows.</w:t>
      </w:r>
    </w:p>
    <w:p w:rsidRPr="00EF0015" w:rsidR="00DE668F" w:rsidP="00DE668F" w:rsidRDefault="00405921">
      <w:pPr>
        <w:pStyle w:val="JuHAA"/>
      </w:pPr>
      <w:bookmarkStart w:name="_Toc289868940" w:id="11"/>
      <w:bookmarkStart w:name="_Toc297210636" w:id="12"/>
      <w:r>
        <w:t>A.  </w:t>
      </w:r>
      <w:r w:rsidRPr="00EF0015" w:rsidR="00DE668F">
        <w:t>The occupation of Iraq</w:t>
      </w:r>
      <w:r w:rsidR="00362192">
        <w:t xml:space="preserve"> </w:t>
      </w:r>
      <w:r w:rsidR="00161782">
        <w:t xml:space="preserve">from </w:t>
      </w:r>
      <w:r w:rsidRPr="00EF0015" w:rsidR="00627E94">
        <w:t xml:space="preserve">1 </w:t>
      </w:r>
      <w:r w:rsidRPr="00EF0015" w:rsidR="0007785A">
        <w:t>May 2003</w:t>
      </w:r>
      <w:r w:rsidR="00362192">
        <w:t xml:space="preserve"> </w:t>
      </w:r>
      <w:r w:rsidR="001B1435">
        <w:t xml:space="preserve">to </w:t>
      </w:r>
      <w:r w:rsidRPr="00EF0015" w:rsidR="00627E94">
        <w:t xml:space="preserve">28 </w:t>
      </w:r>
      <w:r w:rsidRPr="00EF0015" w:rsidR="0007785A">
        <w:t>June 2004</w:t>
      </w:r>
      <w:bookmarkEnd w:id="11"/>
      <w:bookmarkEnd w:id="12"/>
    </w:p>
    <w:p w:rsidR="00C81668" w:rsidP="00BA5249" w:rsidRDefault="00BA5249">
      <w:pPr>
        <w:pStyle w:val="JuH1"/>
      </w:pPr>
      <w:bookmarkStart w:name="_Toc275785565" w:id="13"/>
      <w:bookmarkStart w:name="_Toc289765852" w:id="14"/>
      <w:bookmarkStart w:name="_Toc289868941" w:id="15"/>
      <w:bookmarkStart w:name="_Toc297210637" w:id="16"/>
      <w:r w:rsidRPr="00EF0015">
        <w:t>1.</w:t>
      </w:r>
      <w:bookmarkEnd w:id="13"/>
      <w:r w:rsidR="00405921">
        <w:t>  </w:t>
      </w:r>
      <w:r w:rsidRPr="00EF0015" w:rsidR="00D84FA0">
        <w:t xml:space="preserve">Background: </w:t>
      </w:r>
      <w:r w:rsidRPr="00EF0015" w:rsidR="00F12FE2">
        <w:t xml:space="preserve">United Nations Security Council Resolution </w:t>
      </w:r>
      <w:r w:rsidRPr="00EF0015" w:rsidR="00D84FA0">
        <w:t>1441</w:t>
      </w:r>
      <w:bookmarkEnd w:id="14"/>
      <w:bookmarkEnd w:id="15"/>
      <w:bookmarkEnd w:id="16"/>
    </w:p>
    <w:p w:rsidRPr="00EF0015" w:rsidR="00073A89" w:rsidP="00073A89" w:rsidRDefault="00073A89">
      <w:pPr>
        <w:pStyle w:val="JuPara"/>
      </w:pPr>
      <w:r w:rsidRPr="00EF0015">
        <w:fldChar w:fldCharType="begin"/>
      </w:r>
      <w:r w:rsidRPr="00EF0015">
        <w:instrText xml:space="preserve"> SEQ level0 \*arabic </w:instrText>
      </w:r>
      <w:r w:rsidRPr="00EF0015">
        <w:fldChar w:fldCharType="separate"/>
      </w:r>
      <w:r w:rsidR="00524A6D">
        <w:rPr>
          <w:noProof/>
        </w:rPr>
        <w:t>9</w:t>
      </w:r>
      <w:r w:rsidRPr="00EF0015">
        <w:fldChar w:fldCharType="end"/>
      </w:r>
      <w:r w:rsidRPr="00EF0015">
        <w:t>.  On 8 November 2002 the United Nations Security Council</w:t>
      </w:r>
      <w:r w:rsidRPr="00EF0015" w:rsidR="00F12FE2">
        <w:t>,</w:t>
      </w:r>
      <w:r w:rsidRPr="00EF0015">
        <w:t xml:space="preserve"> acting under Chapter VII of the </w:t>
      </w:r>
      <w:r w:rsidR="00F21D90">
        <w:t xml:space="preserve">Charter of the </w:t>
      </w:r>
      <w:r w:rsidRPr="00EF0015">
        <w:t>United Nations</w:t>
      </w:r>
      <w:r w:rsidR="00F21D90">
        <w:t>,</w:t>
      </w:r>
      <w:r w:rsidR="000720E7">
        <w:t xml:space="preserve"> adopted Resolution </w:t>
      </w:r>
      <w:r w:rsidRPr="00EF0015" w:rsidR="00F12FE2">
        <w:t>1441</w:t>
      </w:r>
      <w:r w:rsidRPr="00EF0015">
        <w:t xml:space="preserve">. The </w:t>
      </w:r>
      <w:r w:rsidRPr="00EF0015" w:rsidR="0034231B">
        <w:t>R</w:t>
      </w:r>
      <w:r w:rsidRPr="00EF0015">
        <w:t xml:space="preserve">esolution decided, </w:t>
      </w:r>
      <w:r w:rsidRPr="00EF0015">
        <w:rPr>
          <w:i/>
        </w:rPr>
        <w:t>inter alia</w:t>
      </w:r>
      <w:r w:rsidRPr="00D8100E">
        <w:t>,</w:t>
      </w:r>
      <w:r w:rsidRPr="00EF0015">
        <w:rPr>
          <w:i/>
        </w:rPr>
        <w:t xml:space="preserve"> </w:t>
      </w:r>
      <w:r w:rsidRPr="00EF0015">
        <w:t xml:space="preserve">that Iraq had been and remained in material breach of its obligations under previous </w:t>
      </w:r>
      <w:r w:rsidRPr="00EF0015" w:rsidR="00F12FE2">
        <w:t xml:space="preserve">United Nations Security Council </w:t>
      </w:r>
      <w:r w:rsidR="00B04CE6">
        <w:t>r</w:t>
      </w:r>
      <w:r w:rsidRPr="00EF0015">
        <w:t xml:space="preserve">esolutions to disarm and to cooperate with United Nations and International Atomic Energy Agency weapons inspectors. </w:t>
      </w:r>
      <w:r w:rsidRPr="00EF0015" w:rsidR="00F12FE2">
        <w:t>Reso</w:t>
      </w:r>
      <w:r w:rsidR="007F5826">
        <w:t xml:space="preserve">lution </w:t>
      </w:r>
      <w:r w:rsidRPr="00EF0015">
        <w:t xml:space="preserve">1441 decided to afford Iraq a final opportunity to comply with its disarmament obligations and set up an enhanced inspection regime. It requested the Secretary-General </w:t>
      </w:r>
      <w:r w:rsidR="00F21D90">
        <w:t xml:space="preserve">of the United Nations </w:t>
      </w:r>
      <w:r w:rsidRPr="00EF0015">
        <w:t xml:space="preserve">immediately to notify Iraq of the </w:t>
      </w:r>
      <w:r w:rsidR="00F21D90">
        <w:t>R</w:t>
      </w:r>
      <w:r w:rsidRPr="00EF0015">
        <w:t xml:space="preserve">esolution and demanded that Iraq cooperate immediately, unconditionally, and actively with the inspectors. </w:t>
      </w:r>
      <w:r w:rsidRPr="00EF0015" w:rsidR="00F12FE2">
        <w:t>Resolution</w:t>
      </w:r>
      <w:r w:rsidRPr="00EF0015">
        <w:t xml:space="preserve"> 1441 concluded by recalling that the </w:t>
      </w:r>
      <w:r w:rsidRPr="00EF0015" w:rsidR="00F12FE2">
        <w:t xml:space="preserve">Security Council </w:t>
      </w:r>
      <w:r w:rsidRPr="00EF0015">
        <w:t>had “repeatedly warned Iraq that it w</w:t>
      </w:r>
      <w:r w:rsidR="00313577">
        <w:t>[ould]</w:t>
      </w:r>
      <w:r w:rsidRPr="00EF0015">
        <w:t xml:space="preserve"> face serious consequences as a result of its continued violations of its obligations”. The </w:t>
      </w:r>
      <w:r w:rsidRPr="00EF0015" w:rsidR="00F12FE2">
        <w:t xml:space="preserve">Security Council </w:t>
      </w:r>
      <w:r w:rsidRPr="00EF0015">
        <w:t>decided to remain sei</w:t>
      </w:r>
      <w:r w:rsidR="00F21D90">
        <w:t>s</w:t>
      </w:r>
      <w:r w:rsidRPr="00EF0015">
        <w:t>ed of the matter.</w:t>
      </w:r>
    </w:p>
    <w:p w:rsidRPr="00EF0015" w:rsidR="00D84FA0" w:rsidP="00D84FA0" w:rsidRDefault="00405921">
      <w:pPr>
        <w:pStyle w:val="JuH1"/>
      </w:pPr>
      <w:bookmarkStart w:name="_Toc289765853" w:id="17"/>
      <w:bookmarkStart w:name="_Toc289868942" w:id="18"/>
      <w:bookmarkStart w:name="_Toc297210638" w:id="19"/>
      <w:r>
        <w:t>2.  </w:t>
      </w:r>
      <w:r w:rsidRPr="00EF0015" w:rsidR="00D84FA0">
        <w:t>Major combat operations: 20 March</w:t>
      </w:r>
      <w:r w:rsidR="00665890">
        <w:t xml:space="preserve"> to </w:t>
      </w:r>
      <w:r w:rsidRPr="00EF0015" w:rsidR="00D84FA0">
        <w:t>1 May 2003</w:t>
      </w:r>
      <w:bookmarkEnd w:id="17"/>
      <w:bookmarkEnd w:id="18"/>
      <w:bookmarkEnd w:id="19"/>
      <w:r w:rsidRPr="00EF0015" w:rsidR="00D84FA0">
        <w:t xml:space="preserve"> </w:t>
      </w:r>
      <w:r w:rsidRPr="00EF0015" w:rsidR="00D84FA0">
        <w:tab/>
      </w:r>
    </w:p>
    <w:p w:rsidR="00C81668" w:rsidP="00073A89" w:rsidRDefault="00073A89">
      <w:pPr>
        <w:pStyle w:val="JuPara"/>
      </w:pPr>
      <w:r w:rsidRPr="00EF0015">
        <w:fldChar w:fldCharType="begin"/>
      </w:r>
      <w:r w:rsidRPr="00EF0015">
        <w:instrText xml:space="preserve"> SEQ level0 \*arabic </w:instrText>
      </w:r>
      <w:r w:rsidRPr="00EF0015">
        <w:fldChar w:fldCharType="separate"/>
      </w:r>
      <w:r w:rsidR="00524A6D">
        <w:rPr>
          <w:noProof/>
        </w:rPr>
        <w:t>10</w:t>
      </w:r>
      <w:r w:rsidRPr="00EF0015">
        <w:fldChar w:fldCharType="end"/>
      </w:r>
      <w:r w:rsidRPr="00EF0015">
        <w:t xml:space="preserve">.  On 20 March 2003 a </w:t>
      </w:r>
      <w:r w:rsidR="00F21D90">
        <w:t>C</w:t>
      </w:r>
      <w:r w:rsidRPr="00EF0015">
        <w:t>oalition of armed forces</w:t>
      </w:r>
      <w:r w:rsidRPr="00EF0015" w:rsidR="006E71CF">
        <w:t xml:space="preserve"> under unified command</w:t>
      </w:r>
      <w:r w:rsidRPr="00EF0015">
        <w:t xml:space="preserve">, led by the United States of America with a large force from the United Kingdom and small contingents from Australia, Denmark and Poland, commenced the invasion of Iraq. By 5 April 2003 the British had captured Basra and by 9 April 2003 United States troops had gained control of Baghdad. Major combat operations in Iraq were declared complete on 1 May 2003. Thereafter, other States sent </w:t>
      </w:r>
      <w:r w:rsidRPr="00EF0015" w:rsidR="002C59C2">
        <w:t>personnel</w:t>
      </w:r>
      <w:r w:rsidRPr="00EF0015">
        <w:t xml:space="preserve"> to help</w:t>
      </w:r>
      <w:r w:rsidRPr="00EF0015" w:rsidR="002C59C2">
        <w:t xml:space="preserve"> with the reconstruction effort.</w:t>
      </w:r>
    </w:p>
    <w:p w:rsidRPr="00EF0015" w:rsidR="00D84FA0" w:rsidP="00D84FA0" w:rsidRDefault="00D84FA0">
      <w:pPr>
        <w:pStyle w:val="JuH1"/>
      </w:pPr>
      <w:bookmarkStart w:name="_Toc289765854" w:id="20"/>
      <w:bookmarkStart w:name="_Toc289868943" w:id="21"/>
      <w:bookmarkStart w:name="_Toc297210639" w:id="22"/>
      <w:r w:rsidRPr="00EF0015">
        <w:t>3.</w:t>
      </w:r>
      <w:r w:rsidR="00405921">
        <w:t>  </w:t>
      </w:r>
      <w:r w:rsidRPr="00EF0015" w:rsidR="00771296">
        <w:t>Legal and political d</w:t>
      </w:r>
      <w:r w:rsidRPr="00EF0015">
        <w:t>evelopments in May 2003</w:t>
      </w:r>
      <w:bookmarkEnd w:id="20"/>
      <w:bookmarkEnd w:id="21"/>
      <w:bookmarkEnd w:id="22"/>
    </w:p>
    <w:p w:rsidRPr="00EF0015" w:rsidR="00073A89" w:rsidP="00073A89" w:rsidRDefault="00073A89">
      <w:pPr>
        <w:pStyle w:val="JuPara"/>
      </w:pPr>
      <w:r w:rsidRPr="00EF0015">
        <w:fldChar w:fldCharType="begin"/>
      </w:r>
      <w:r w:rsidRPr="00EF0015">
        <w:instrText xml:space="preserve"> SEQ level0 \*arabic </w:instrText>
      </w:r>
      <w:r w:rsidRPr="00EF0015">
        <w:fldChar w:fldCharType="separate"/>
      </w:r>
      <w:r w:rsidR="00524A6D">
        <w:rPr>
          <w:noProof/>
        </w:rPr>
        <w:t>11</w:t>
      </w:r>
      <w:r w:rsidRPr="00EF0015">
        <w:fldChar w:fldCharType="end"/>
      </w:r>
      <w:r w:rsidRPr="00EF0015">
        <w:t xml:space="preserve">.  On 8 May 2003 the Permanent Representatives of the United Kingdom and the United States </w:t>
      </w:r>
      <w:r w:rsidR="005C4DB4">
        <w:t xml:space="preserve">of America </w:t>
      </w:r>
      <w:r w:rsidRPr="00EF0015">
        <w:t xml:space="preserve">at the United Nations addressed a joint letter to the President of the </w:t>
      </w:r>
      <w:r w:rsidRPr="00EF0015" w:rsidR="00F12FE2">
        <w:t>United Nations Security Council</w:t>
      </w:r>
      <w:r w:rsidRPr="00EF0015">
        <w:t>, which read as follows:</w:t>
      </w:r>
    </w:p>
    <w:p w:rsidRPr="00EF0015" w:rsidR="00073A89" w:rsidP="00073A89" w:rsidRDefault="00073A89">
      <w:pPr>
        <w:pStyle w:val="JuQuot"/>
      </w:pPr>
      <w:r w:rsidRPr="00EF0015">
        <w:t xml:space="preserve">“The United States of America, the United Kingdom of Great Britain and Northern Ireland and Coalition partners continue to act together to ensure the complete disarmament of Iraq of weapons of mass destruction and means of delivery in accordance with United Nations Security Council </w:t>
      </w:r>
      <w:r w:rsidR="00B04CE6">
        <w:t>r</w:t>
      </w:r>
      <w:r w:rsidRPr="00EF0015">
        <w:t>esolutions. The States participating in the Coalition will strictly abide by their obligations under international law, including those relating to the essential humanitarian needs of the people of Iraq. We will act to ensure that Iraq</w:t>
      </w:r>
      <w:r w:rsidR="008570E8">
        <w:t>’</w:t>
      </w:r>
      <w:r w:rsidRPr="00EF0015">
        <w:t>s oil is protected and used for the benefit of the Iraqi people.</w:t>
      </w:r>
    </w:p>
    <w:p w:rsidRPr="00EF0015" w:rsidR="00073A89" w:rsidP="00073A89" w:rsidRDefault="00073A89">
      <w:pPr>
        <w:pStyle w:val="JuQuot"/>
      </w:pPr>
      <w:r w:rsidRPr="00EF0015">
        <w:t>In order to meet these objectives and obligations in the post-conflict period in Iraq, the United States, the United Kingdom and Coalition partners, acting under existing command and control arrangements through the Commander of Coalition Forces, have created the Coalition Provisional Authority, which includes the Office of Reconstruction and Humanitarian Assistance, to exercise powers of government temporarily, and, as necessary, especially to provide security, to allow the delivery of humanitarian aid, and to eliminate weapons of mass destruction.</w:t>
      </w:r>
    </w:p>
    <w:p w:rsidRPr="00EF0015" w:rsidR="00073A89" w:rsidP="0004624B" w:rsidRDefault="0004624B">
      <w:pPr>
        <w:pStyle w:val="JuQuot"/>
      </w:pPr>
      <w:r>
        <w:t>The United States, the United Kingdom and Coalition partners, working through the Coalition Provisional Authority, shall</w:t>
      </w:r>
      <w:r w:rsidR="005C4DB4">
        <w:t>,</w:t>
      </w:r>
      <w:r>
        <w:t xml:space="preserve"> </w:t>
      </w:r>
      <w:r w:rsidRPr="00D8100E">
        <w:rPr>
          <w:i/>
        </w:rPr>
        <w:t>inter alia</w:t>
      </w:r>
      <w:r>
        <w:t>, provide for security in and for the provisional administration of Iraq, including by:</w:t>
      </w:r>
      <w:r w:rsidRPr="00EF0015" w:rsidR="00073A89">
        <w:t xml:space="preserve"> deterring hostilities; maintaining the territorial integrity of Iraq and securing Iraq</w:t>
      </w:r>
      <w:r w:rsidR="008570E8">
        <w:t>’</w:t>
      </w:r>
      <w:r w:rsidRPr="00EF0015" w:rsidR="00073A89">
        <w:t>s borders; securing, and removing, disabling, rendering harmless, eliminating or destroying (a) all of Iraq</w:t>
      </w:r>
      <w:r w:rsidR="008570E8">
        <w:t>’</w:t>
      </w:r>
      <w:r w:rsidRPr="00EF0015" w:rsidR="00073A89">
        <w:t>s weapons of mass destruction, ballistic missiles, unmanned aerial vehicles and all other chemical, biological and nuclear delivery systems</w:t>
      </w:r>
      <w:r w:rsidR="005C4DB4">
        <w:t>;</w:t>
      </w:r>
      <w:r w:rsidRPr="00EF0015" w:rsidR="00073A89">
        <w:t xml:space="preserve"> and (b) all elements of Iraq</w:t>
      </w:r>
      <w:r w:rsidR="008570E8">
        <w:t>’</w:t>
      </w:r>
      <w:r w:rsidRPr="00EF0015" w:rsidR="00073A89">
        <w:t>s programme to research, develop, design, manufacture, produce, support, assemble and employ such weapons and delivery systems and subsystems and components thereof, including but not limited to stocks of chemical and biological agents, nuclear-weapon-usable material, and other related materials, technology, equipment, facilities and intellectual property that have been used in or can materially contribute to these programmes; in consultation with relevant international organi</w:t>
      </w:r>
      <w:r w:rsidR="005C4DB4">
        <w:t>s</w:t>
      </w:r>
      <w:r w:rsidRPr="00EF0015" w:rsidR="00073A89">
        <w:t>ations, facilitating the orderly and voluntary return of refugees and displaced persons; maintaining civil law and order, including through encouraging international efforts to rebuild the capacity of the Iraqi civilian police force; eliminating all terrorist infrastructure and resources within Iraq and working to ensure that terrorists and terrorist groups are denied safe haven; supporting and coordinating de</w:t>
      </w:r>
      <w:r w:rsidR="005C4DB4">
        <w:t>-</w:t>
      </w:r>
      <w:r w:rsidRPr="00EF0015" w:rsidR="00073A89">
        <w:t>mining and related activities; promoting accountability for crimes and atrocities committed by the previous Iraqi regime; and assuming immediate control of Iraqi institutions responsible for military and security matters and providing, as appropriate, for the demilitari</w:t>
      </w:r>
      <w:r w:rsidR="005C4DB4">
        <w:t>s</w:t>
      </w:r>
      <w:r w:rsidRPr="00EF0015" w:rsidR="00073A89">
        <w:t>ation, demobili</w:t>
      </w:r>
      <w:r w:rsidR="005C4DB4">
        <w:t>s</w:t>
      </w:r>
      <w:r w:rsidRPr="00EF0015" w:rsidR="00073A89">
        <w:t>ation, control, command, reformation, disestablishment, or reorgani</w:t>
      </w:r>
      <w:r w:rsidR="005C4DB4">
        <w:t>s</w:t>
      </w:r>
      <w:r w:rsidRPr="00EF0015" w:rsidR="00073A89">
        <w:t>ation of those institutions so that they no longer pose a threat to the Iraqi people or international peace and security but will be capable of defending Iraq</w:t>
      </w:r>
      <w:r w:rsidR="008570E8">
        <w:t>’</w:t>
      </w:r>
      <w:r w:rsidRPr="00EF0015" w:rsidR="00073A89">
        <w:t>s sovereignty and territorial integrity.</w:t>
      </w:r>
    </w:p>
    <w:p w:rsidRPr="00EF0015" w:rsidR="00073A89" w:rsidP="00073A89" w:rsidRDefault="00073A89">
      <w:pPr>
        <w:pStyle w:val="JuQuot"/>
      </w:pPr>
      <w:r w:rsidRPr="00EF0015">
        <w:t>The United States, the United Kingdom and Coalition partners recogni</w:t>
      </w:r>
      <w:r w:rsidR="00513021">
        <w:t>s</w:t>
      </w:r>
      <w:r w:rsidRPr="00EF0015">
        <w:t>e the urgent need to create an environment in which the Iraqi people may freely determine their own political future. To this end, the United States, the United Kingdom and Coalition partners are facilitating the efforts of the Iraqi people to take the first steps towards forming a representative govern</w:t>
      </w:r>
      <w:r w:rsidR="001702A0">
        <w:t xml:space="preserve">ment, based on the rule of law, </w:t>
      </w:r>
      <w:r w:rsidRPr="00EF0015">
        <w:t>that affords fundamental freedoms and equal protection and justice under law to the people of Iraq without regard to ethnicity, religion or gender. The United States, the United Kingdom and Coalition partners are facilitating the establishment of representative institutions of government, and providing for the responsible administration of the Iraqi financial sector, for humanitarian relief, for economic reconstruction, for the transparent operation and repair of Iraq</w:t>
      </w:r>
      <w:r w:rsidR="008570E8">
        <w:t>’</w:t>
      </w:r>
      <w:r w:rsidRPr="00EF0015">
        <w:t>s infrastructure and natural resources, and for the progressive transfer of administrative responsibilities to such representative institutions of government, as appropriate. Our goal is to transfer responsibility for administration to representative Iraqi authorities as early as possible.</w:t>
      </w:r>
    </w:p>
    <w:p w:rsidRPr="00EF0015" w:rsidR="00073A89" w:rsidP="00073A89" w:rsidRDefault="00073A89">
      <w:pPr>
        <w:pStyle w:val="JuQuot"/>
      </w:pPr>
      <w:r w:rsidRPr="00EF0015">
        <w:t>The United Nations has a vital role to play in providing humanitarian relief, in supporting the reconstruction of Iraq, and in helping in the formation of an Iraqi interim authority. The United States, the United Kingdom and Coalition partners are ready to work closely with representatives of the United Nations and its speciali</w:t>
      </w:r>
      <w:r w:rsidR="00513021">
        <w:t>s</w:t>
      </w:r>
      <w:r w:rsidRPr="00EF0015">
        <w:t xml:space="preserve">ed agencies and look forward to the appointment of a special coordinator by the Secretary-General. We also welcome the support and contributions of </w:t>
      </w:r>
      <w:r w:rsidR="00513021">
        <w:t>m</w:t>
      </w:r>
      <w:r w:rsidRPr="00EF0015">
        <w:t>ember States, international and regional organi</w:t>
      </w:r>
      <w:r w:rsidR="00513021">
        <w:t>s</w:t>
      </w:r>
      <w:r w:rsidRPr="00EF0015">
        <w:t>ations, and other entities, under appropriate coordination arrangements with the Coalition Provisional Authority.</w:t>
      </w:r>
    </w:p>
    <w:p w:rsidRPr="00EF0015" w:rsidR="00073A89" w:rsidP="00073A89" w:rsidRDefault="00073A89">
      <w:pPr>
        <w:pStyle w:val="JuQuot"/>
      </w:pPr>
      <w:r w:rsidRPr="00EF0015">
        <w:t>We would be grateful if you could arrange for the present letter to be circulated as a document of the Security Council.</w:t>
      </w:r>
    </w:p>
    <w:p w:rsidRPr="00EF0015" w:rsidR="00073A89" w:rsidP="00D8100E" w:rsidRDefault="00073A89">
      <w:pPr>
        <w:pStyle w:val="JuQuot"/>
        <w:jc w:val="right"/>
      </w:pPr>
      <w:r w:rsidRPr="00EF0015">
        <w:tab/>
      </w:r>
      <w:r w:rsidRPr="00EF0015">
        <w:tab/>
      </w:r>
      <w:r w:rsidRPr="00EF0015">
        <w:tab/>
      </w:r>
      <w:r w:rsidRPr="00EF0015">
        <w:tab/>
      </w:r>
      <w:r w:rsidRPr="00EF0015">
        <w:tab/>
      </w:r>
      <w:r w:rsidRPr="00EF0015">
        <w:tab/>
        <w:t>(Signed) Jeremy Greenstock</w:t>
      </w:r>
      <w:r w:rsidR="00513021">
        <w:br/>
      </w:r>
      <w:r w:rsidRPr="00EF0015">
        <w:tab/>
      </w:r>
      <w:r w:rsidRPr="00EF0015">
        <w:tab/>
      </w:r>
      <w:r w:rsidRPr="00EF0015">
        <w:tab/>
        <w:t>Permanent Representative of the United Kingdom</w:t>
      </w:r>
    </w:p>
    <w:p w:rsidRPr="00EF0015" w:rsidR="00073A89" w:rsidP="00D8100E" w:rsidRDefault="00073A89">
      <w:pPr>
        <w:pStyle w:val="JuQuot"/>
        <w:jc w:val="right"/>
      </w:pPr>
      <w:r w:rsidRPr="00EF0015">
        <w:tab/>
      </w:r>
      <w:r w:rsidRPr="00EF0015">
        <w:tab/>
      </w:r>
      <w:r w:rsidRPr="00EF0015">
        <w:tab/>
      </w:r>
      <w:r w:rsidRPr="00EF0015">
        <w:tab/>
      </w:r>
      <w:r w:rsidRPr="00EF0015">
        <w:tab/>
      </w:r>
      <w:r w:rsidRPr="00EF0015">
        <w:tab/>
        <w:t>(Signed) John D. Negroponte</w:t>
      </w:r>
      <w:r w:rsidR="00513021">
        <w:br/>
      </w:r>
      <w:r w:rsidRPr="00EF0015">
        <w:tab/>
      </w:r>
      <w:r w:rsidRPr="00EF0015">
        <w:tab/>
      </w:r>
      <w:r w:rsidRPr="00EF0015">
        <w:tab/>
      </w:r>
      <w:r w:rsidRPr="00EF0015">
        <w:tab/>
      </w:r>
      <w:r w:rsidRPr="00EF0015">
        <w:tab/>
        <w:t>Permanent Representative of the United States”</w:t>
      </w:r>
    </w:p>
    <w:p w:rsidR="0097099F" w:rsidP="00D818D9" w:rsidRDefault="00D818D9">
      <w:pPr>
        <w:pStyle w:val="JuPara"/>
      </w:pPr>
      <w:r w:rsidRPr="00EF0015">
        <w:fldChar w:fldCharType="begin"/>
      </w:r>
      <w:r w:rsidRPr="00EF0015">
        <w:instrText xml:space="preserve"> SEQ level0 \*arabic </w:instrText>
      </w:r>
      <w:r w:rsidRPr="00EF0015">
        <w:fldChar w:fldCharType="separate"/>
      </w:r>
      <w:r w:rsidR="00524A6D">
        <w:rPr>
          <w:noProof/>
        </w:rPr>
        <w:t>12</w:t>
      </w:r>
      <w:r w:rsidRPr="00EF0015">
        <w:fldChar w:fldCharType="end"/>
      </w:r>
      <w:r w:rsidRPr="00EF0015">
        <w:t xml:space="preserve">.  As mentioned in the above letter, the occupying States, acting through the Commander of Coalition Forces, created the Coalition Provisional Authority </w:t>
      </w:r>
      <w:r w:rsidR="003C3C6E">
        <w:t xml:space="preserve">(CPA) </w:t>
      </w:r>
      <w:r w:rsidRPr="00EF0015">
        <w:t xml:space="preserve">to act as a “caretaker administration” until an Iraqi government could be established. It had power, </w:t>
      </w:r>
      <w:r w:rsidRPr="00EF0015">
        <w:rPr>
          <w:i/>
        </w:rPr>
        <w:t>inter alia</w:t>
      </w:r>
      <w:r w:rsidRPr="00D8100E">
        <w:t>,</w:t>
      </w:r>
      <w:r w:rsidRPr="00EF0015">
        <w:t xml:space="preserve"> to issue legislation. On 13 May 2003 the </w:t>
      </w:r>
      <w:r w:rsidR="003C3C6E">
        <w:t>US</w:t>
      </w:r>
      <w:r w:rsidRPr="00EF0015">
        <w:t xml:space="preserve"> Secretary </w:t>
      </w:r>
      <w:r w:rsidR="003C3C6E">
        <w:t>of</w:t>
      </w:r>
      <w:r w:rsidRPr="00EF0015">
        <w:t xml:space="preserve"> Defence, Donald Rumsfeld, issued a memorandum formally appointing Ambassador Paul Bremer as Administrator of the </w:t>
      </w:r>
      <w:r w:rsidR="003C3C6E">
        <w:t>CPA</w:t>
      </w:r>
      <w:r w:rsidRPr="00EF0015">
        <w:t xml:space="preserve"> with responsibility for the temporary governance of Iraq</w:t>
      </w:r>
      <w:r w:rsidR="00405921">
        <w:t xml:space="preserve">. </w:t>
      </w:r>
      <w:r w:rsidR="0097099F">
        <w:t xml:space="preserve">In </w:t>
      </w:r>
      <w:r w:rsidR="00405921">
        <w:t>CPA Regulation</w:t>
      </w:r>
      <w:r w:rsidR="000720E7">
        <w:t xml:space="preserve"> </w:t>
      </w:r>
      <w:r w:rsidRPr="00EF0015">
        <w:t>No.</w:t>
      </w:r>
      <w:r w:rsidR="000720E7">
        <w:t xml:space="preserve"> </w:t>
      </w:r>
      <w:r w:rsidRPr="00EF0015">
        <w:t xml:space="preserve">1, dated 16 May 2003, </w:t>
      </w:r>
      <w:r w:rsidR="0097099F">
        <w:t>Ambassador Bremer provided as follows:</w:t>
      </w:r>
    </w:p>
    <w:p w:rsidR="008570E8" w:rsidP="0097099F" w:rsidRDefault="00D92F80">
      <w:pPr>
        <w:pStyle w:val="JuQuot"/>
      </w:pPr>
      <w:r>
        <w:t>“</w:t>
      </w:r>
      <w:r w:rsidR="0097099F">
        <w:t xml:space="preserve">Pursuant to my authority as Administrator of the Coalition Provisional Authority (CPA), relevant UN Security Council </w:t>
      </w:r>
      <w:r w:rsidR="00B04CE6">
        <w:t>r</w:t>
      </w:r>
      <w:r w:rsidR="0097099F">
        <w:t>esolutions, including Resolution 1483 (2003), and the laws and usages of war,</w:t>
      </w:r>
    </w:p>
    <w:p w:rsidR="0097099F" w:rsidP="0097099F" w:rsidRDefault="0097099F">
      <w:pPr>
        <w:pStyle w:val="JuQuot"/>
      </w:pPr>
      <w:r>
        <w:t>I hereby promulgate the following:</w:t>
      </w:r>
    </w:p>
    <w:p w:rsidRPr="00D8100E" w:rsidR="0097099F" w:rsidP="00661783" w:rsidRDefault="0097099F">
      <w:pPr>
        <w:pStyle w:val="JuQuot"/>
        <w:spacing w:after="0"/>
        <w:jc w:val="center"/>
        <w:rPr>
          <w:b/>
        </w:rPr>
      </w:pPr>
      <w:r w:rsidRPr="00D8100E">
        <w:rPr>
          <w:b/>
        </w:rPr>
        <w:t>Section 1</w:t>
      </w:r>
    </w:p>
    <w:p w:rsidRPr="00D8100E" w:rsidR="0097099F" w:rsidP="00661783" w:rsidRDefault="0097099F">
      <w:pPr>
        <w:pStyle w:val="JuQuot"/>
        <w:spacing w:before="0"/>
        <w:jc w:val="center"/>
        <w:rPr>
          <w:b/>
        </w:rPr>
      </w:pPr>
      <w:r w:rsidRPr="00D8100E">
        <w:rPr>
          <w:b/>
        </w:rPr>
        <w:t>The Coalition Provisional Authority</w:t>
      </w:r>
    </w:p>
    <w:p w:rsidR="0097099F" w:rsidP="0097099F" w:rsidRDefault="00C514B1">
      <w:pPr>
        <w:pStyle w:val="JuQuot"/>
      </w:pPr>
      <w:r>
        <w:t>(</w:t>
      </w:r>
      <w:r w:rsidR="0097099F">
        <w:t>1)</w:t>
      </w:r>
      <w:r>
        <w:t>  </w:t>
      </w:r>
      <w:r w:rsidR="0097099F">
        <w:t>The CPA shall exercise powers of government temporarily in order to provide for the effective administration of Iraq during the period of transitional administration, to restore conditions of security and stability, to create conditions in which the Iraqi people can freely determine their own political future, including by advancing efforts to restore and establish national and local institutions for representative governance and facilitating economic recovery and sustainable reconstruction and development.</w:t>
      </w:r>
    </w:p>
    <w:p w:rsidR="0097099F" w:rsidP="0097099F" w:rsidRDefault="00C514B1">
      <w:pPr>
        <w:pStyle w:val="JuQuot"/>
      </w:pPr>
      <w:r>
        <w:t>(</w:t>
      </w:r>
      <w:r w:rsidR="0097099F">
        <w:t>2)</w:t>
      </w:r>
      <w:r>
        <w:t>  </w:t>
      </w:r>
      <w:r w:rsidR="0097099F">
        <w:t xml:space="preserve">The CPA is vested with all executive, legislative and judicial authority necessary to achieve its objectives, to be exercised under relevant UN Security Council </w:t>
      </w:r>
      <w:r w:rsidR="00B04CE6">
        <w:t>r</w:t>
      </w:r>
      <w:r w:rsidR="0097099F">
        <w:t>esolutions, including Resolution 1483 (2003), and the laws and usages of war. This authority shall be exercised by the CPA Administrator.</w:t>
      </w:r>
    </w:p>
    <w:p w:rsidR="0097099F" w:rsidP="0097099F" w:rsidRDefault="00C514B1">
      <w:pPr>
        <w:pStyle w:val="JuQuot"/>
      </w:pPr>
      <w:r>
        <w:t>(</w:t>
      </w:r>
      <w:r w:rsidR="0097099F">
        <w:t>3)</w:t>
      </w:r>
      <w:r>
        <w:t>  </w:t>
      </w:r>
      <w:r w:rsidR="0097099F">
        <w:t>As the Commander of Coalition Forces, the Commander of US Central Command shall directly support the CPA by deterring hostilities; maintaining Iraq</w:t>
      </w:r>
      <w:r w:rsidR="008570E8">
        <w:t>’</w:t>
      </w:r>
      <w:r w:rsidR="0097099F">
        <w:t>s territorial integrity and security; searching for, securing and destroying weapons of mass destruction; and assisting in carrying out Coalition policy generally.</w:t>
      </w:r>
    </w:p>
    <w:p w:rsidRPr="00D8100E" w:rsidR="0097099F" w:rsidP="00661783" w:rsidRDefault="0097099F">
      <w:pPr>
        <w:pStyle w:val="JuQuot"/>
        <w:spacing w:after="0"/>
        <w:jc w:val="center"/>
        <w:rPr>
          <w:b/>
        </w:rPr>
      </w:pPr>
      <w:r w:rsidRPr="00D8100E">
        <w:rPr>
          <w:b/>
        </w:rPr>
        <w:t>Section 2</w:t>
      </w:r>
    </w:p>
    <w:p w:rsidRPr="00D8100E" w:rsidR="0097099F" w:rsidP="00661783" w:rsidRDefault="0097099F">
      <w:pPr>
        <w:pStyle w:val="JuQuot"/>
        <w:spacing w:before="0"/>
        <w:jc w:val="center"/>
        <w:rPr>
          <w:b/>
        </w:rPr>
      </w:pPr>
      <w:r w:rsidRPr="00D8100E">
        <w:rPr>
          <w:b/>
        </w:rPr>
        <w:t>The Applicable Law</w:t>
      </w:r>
    </w:p>
    <w:p w:rsidR="008570E8" w:rsidP="0097099F" w:rsidRDefault="0097099F">
      <w:pPr>
        <w:pStyle w:val="JuQuot"/>
      </w:pPr>
      <w:r>
        <w:t xml:space="preserve">Unless suspended or replaced by the CPA or superseded by legislation issued by democratic institutions of Iraq, laws in force in Iraq as of </w:t>
      </w:r>
      <w:r w:rsidR="002019C8">
        <w:t xml:space="preserve">16 </w:t>
      </w:r>
      <w:r>
        <w:t>April 2003 shall continue to apply in Iraq in</w:t>
      </w:r>
      <w:r w:rsidR="002019C8">
        <w:t xml:space="preserve"> </w:t>
      </w:r>
      <w:r>
        <w:t>so</w:t>
      </w:r>
      <w:r w:rsidR="002019C8">
        <w:t xml:space="preserve"> </w:t>
      </w:r>
      <w:r>
        <w:t>far as the laws do not prevent the CPA from exercising its rights and fulfilling its obligations, or conflict with the present or any other Regulation or Order issued by the CPA.</w:t>
      </w:r>
    </w:p>
    <w:p w:rsidR="0097099F" w:rsidP="0097099F" w:rsidRDefault="00E07594">
      <w:pPr>
        <w:pStyle w:val="JuQuot"/>
      </w:pPr>
      <w:r>
        <w:t>...</w:t>
      </w:r>
      <w:r w:rsidR="0097099F">
        <w:t>”</w:t>
      </w:r>
    </w:p>
    <w:p w:rsidRPr="00EF0015" w:rsidR="00DB6392" w:rsidP="00DB6392" w:rsidRDefault="00DB6392">
      <w:pPr>
        <w:pStyle w:val="JuPara"/>
      </w:pPr>
      <w:r w:rsidRPr="00EF0015">
        <w:fldChar w:fldCharType="begin"/>
      </w:r>
      <w:r w:rsidRPr="00EF0015">
        <w:instrText xml:space="preserve"> SEQ level0 \*arabic </w:instrText>
      </w:r>
      <w:r w:rsidRPr="00EF0015">
        <w:fldChar w:fldCharType="separate"/>
      </w:r>
      <w:r w:rsidR="00524A6D">
        <w:rPr>
          <w:noProof/>
        </w:rPr>
        <w:t>13</w:t>
      </w:r>
      <w:r w:rsidRPr="00EF0015">
        <w:fldChar w:fldCharType="end"/>
      </w:r>
      <w:r w:rsidRPr="00EF0015">
        <w:t xml:space="preserve">.  The </w:t>
      </w:r>
      <w:r w:rsidR="002019C8">
        <w:t>CPA</w:t>
      </w:r>
      <w:r w:rsidRPr="00EF0015" w:rsidR="004F05F5">
        <w:rPr>
          <w:b/>
        </w:rPr>
        <w:t xml:space="preserve"> </w:t>
      </w:r>
      <w:r w:rsidRPr="00EF0015">
        <w:t xml:space="preserve">administration was divided into regional areas. CPA South </w:t>
      </w:r>
      <w:r w:rsidR="00572D1F">
        <w:t>was placed</w:t>
      </w:r>
      <w:r w:rsidRPr="00EF0015">
        <w:t xml:space="preserve"> under United Kingdom responsibility and control, with a United Kingdom Regional Coordinator. It covered the southernmost four of Iraq</w:t>
      </w:r>
      <w:r w:rsidR="008570E8">
        <w:t>’</w:t>
      </w:r>
      <w:r w:rsidRPr="00EF0015">
        <w:t>s eighteen provinces, each having a governorate coordinator. United Kingdom troops were deployed in the same area.</w:t>
      </w:r>
      <w:r w:rsidR="00EF72A1">
        <w:t xml:space="preserve"> </w:t>
      </w:r>
      <w:r w:rsidRPr="00EF0015">
        <w:t xml:space="preserve">The United Kingdom was represented at </w:t>
      </w:r>
      <w:r w:rsidR="002019C8">
        <w:t>CPA</w:t>
      </w:r>
      <w:r w:rsidRPr="00EF0015" w:rsidR="004F05F5">
        <w:rPr>
          <w:b/>
        </w:rPr>
        <w:t xml:space="preserve"> </w:t>
      </w:r>
      <w:r w:rsidRPr="00EF0015">
        <w:t xml:space="preserve">headquarters through the </w:t>
      </w:r>
      <w:r w:rsidR="002019C8">
        <w:t>O</w:t>
      </w:r>
      <w:r w:rsidRPr="00EF0015">
        <w:t xml:space="preserve">ffice of the United Kingdom Special Representative. </w:t>
      </w:r>
      <w:r w:rsidR="000B2567">
        <w:t>According to the Government, a</w:t>
      </w:r>
      <w:r w:rsidRPr="00EF0015">
        <w:t xml:space="preserve">lthough the United Kingdom Special Representative and his </w:t>
      </w:r>
      <w:r w:rsidR="002019C8">
        <w:t>O</w:t>
      </w:r>
      <w:r w:rsidRPr="00EF0015">
        <w:t xml:space="preserve">ffice sought to influence </w:t>
      </w:r>
      <w:r w:rsidR="002019C8">
        <w:t>CPA</w:t>
      </w:r>
      <w:r w:rsidRPr="00EF0015" w:rsidR="004F05F5">
        <w:rPr>
          <w:b/>
        </w:rPr>
        <w:t xml:space="preserve"> </w:t>
      </w:r>
      <w:r w:rsidRPr="00EF0015">
        <w:t>policy and decisions, United Kingdom personnel had no formal decision-making power within the A</w:t>
      </w:r>
      <w:r w:rsidRPr="00EF0015" w:rsidR="004F05F5">
        <w:t>uthority</w:t>
      </w:r>
      <w:r w:rsidRPr="00EF0015">
        <w:t xml:space="preserve">. All the </w:t>
      </w:r>
      <w:r w:rsidR="002019C8">
        <w:t>CPA</w:t>
      </w:r>
      <w:r w:rsidR="008570E8">
        <w:t>’</w:t>
      </w:r>
      <w:r w:rsidR="002019C8">
        <w:t>s</w:t>
      </w:r>
      <w:r w:rsidRPr="00EF0015" w:rsidR="004F05F5">
        <w:t xml:space="preserve"> </w:t>
      </w:r>
      <w:r w:rsidRPr="00EF0015">
        <w:t>administrative and legislative decisions were taken by Ambassador Bremer.</w:t>
      </w:r>
    </w:p>
    <w:p w:rsidRPr="00EF0015" w:rsidR="00073A89" w:rsidP="00073A89" w:rsidRDefault="00073A89">
      <w:pPr>
        <w:pStyle w:val="JuPara"/>
      </w:pPr>
      <w:r w:rsidRPr="00EF0015">
        <w:fldChar w:fldCharType="begin"/>
      </w:r>
      <w:r w:rsidRPr="00EF0015">
        <w:instrText xml:space="preserve"> SEQ level0 \*arabic </w:instrText>
      </w:r>
      <w:r w:rsidRPr="00EF0015">
        <w:fldChar w:fldCharType="separate"/>
      </w:r>
      <w:r w:rsidR="00524A6D">
        <w:rPr>
          <w:noProof/>
        </w:rPr>
        <w:t>14</w:t>
      </w:r>
      <w:r w:rsidRPr="00EF0015">
        <w:fldChar w:fldCharType="end"/>
      </w:r>
      <w:r w:rsidRPr="00EF0015">
        <w:t>.  </w:t>
      </w:r>
      <w:r w:rsidRPr="00EF0015" w:rsidR="00F12FE2">
        <w:t xml:space="preserve">United Nations Security Council </w:t>
      </w:r>
      <w:r w:rsidRPr="00EF0015">
        <w:t>Resolution</w:t>
      </w:r>
      <w:r w:rsidR="00D92F80">
        <w:t xml:space="preserve"> 1483</w:t>
      </w:r>
      <w:r w:rsidRPr="00EF0015">
        <w:t xml:space="preserve"> </w:t>
      </w:r>
      <w:r w:rsidR="00D92F80">
        <w:t xml:space="preserve">referred to by Ambassador Bremer in </w:t>
      </w:r>
      <w:r w:rsidR="002019C8">
        <w:t>CPA</w:t>
      </w:r>
      <w:r w:rsidR="006D3793">
        <w:t xml:space="preserve"> Regulation No.</w:t>
      </w:r>
      <w:r w:rsidR="00B02D33">
        <w:t xml:space="preserve"> </w:t>
      </w:r>
      <w:r w:rsidR="00D92F80">
        <w:t>1 was actually adopted six days later,</w:t>
      </w:r>
      <w:r w:rsidRPr="00EF0015">
        <w:t xml:space="preserve"> on 22</w:t>
      </w:r>
      <w:r w:rsidR="006D3793">
        <w:t xml:space="preserve"> </w:t>
      </w:r>
      <w:r w:rsidRPr="00EF0015">
        <w:t>May 2003. It provided as follows:</w:t>
      </w:r>
    </w:p>
    <w:p w:rsidRPr="00EF0015" w:rsidR="00073A89" w:rsidP="00073A89" w:rsidRDefault="00073A89">
      <w:pPr>
        <w:pStyle w:val="JuQuot"/>
      </w:pPr>
      <w:r w:rsidRPr="00EF0015">
        <w:t>“</w:t>
      </w:r>
      <w:r w:rsidRPr="00EF0015">
        <w:rPr>
          <w:i/>
        </w:rPr>
        <w:t>The Security Council</w:t>
      </w:r>
      <w:r w:rsidRPr="00EF0015">
        <w:t>,</w:t>
      </w:r>
    </w:p>
    <w:p w:rsidRPr="00EF0015" w:rsidR="00073A89" w:rsidP="00073A89" w:rsidRDefault="00073A89">
      <w:pPr>
        <w:pStyle w:val="JuQuot"/>
      </w:pPr>
      <w:r w:rsidRPr="00EF0015">
        <w:rPr>
          <w:i/>
        </w:rPr>
        <w:t>Recalling</w:t>
      </w:r>
      <w:r w:rsidRPr="00EF0015">
        <w:t xml:space="preserve"> all its previous relevant </w:t>
      </w:r>
      <w:r w:rsidR="00B04CE6">
        <w:t>r</w:t>
      </w:r>
      <w:r w:rsidRPr="00EF0015">
        <w:t>esolutions,</w:t>
      </w:r>
    </w:p>
    <w:p w:rsidRPr="00EF0015" w:rsidR="00073A89" w:rsidP="00073A89" w:rsidRDefault="00073A89">
      <w:pPr>
        <w:pStyle w:val="JuQuot"/>
      </w:pPr>
      <w:r w:rsidRPr="00EF0015">
        <w:rPr>
          <w:i/>
        </w:rPr>
        <w:t>Reaffirming</w:t>
      </w:r>
      <w:r w:rsidRPr="00EF0015">
        <w:t xml:space="preserve"> the sovereignty and territorial integrity of Iraq,</w:t>
      </w:r>
    </w:p>
    <w:p w:rsidRPr="00EF0015" w:rsidR="00073A89" w:rsidP="00073A89" w:rsidRDefault="00073A89">
      <w:pPr>
        <w:pStyle w:val="JuQuot"/>
      </w:pPr>
      <w:r w:rsidRPr="00EF0015">
        <w:rPr>
          <w:i/>
        </w:rPr>
        <w:t>Reaffirming also</w:t>
      </w:r>
      <w:r w:rsidRPr="00EF0015">
        <w:t xml:space="preserve"> the importance of the disarmament of Iraqi weapons of mass destruction and of eventual confirmation of the disarmament of Iraq,</w:t>
      </w:r>
    </w:p>
    <w:p w:rsidRPr="00EF0015" w:rsidR="00073A89" w:rsidP="00073A89" w:rsidRDefault="00073A89">
      <w:pPr>
        <w:pStyle w:val="JuQuot"/>
      </w:pPr>
      <w:r w:rsidRPr="00EF0015">
        <w:rPr>
          <w:i/>
        </w:rPr>
        <w:t>Stressing</w:t>
      </w:r>
      <w:r w:rsidRPr="00EF0015">
        <w:t xml:space="preserve"> the right of the Iraqi people freely to determine their own political future and control their own natural resources, </w:t>
      </w:r>
      <w:r w:rsidRPr="00D8100E">
        <w:rPr>
          <w:i/>
        </w:rPr>
        <w:t>welcoming</w:t>
      </w:r>
      <w:r w:rsidRPr="00EF0015">
        <w:t xml:space="preserve"> the commitment of all parties concerned to support the creation of an environment in which they may do so as soon as possible, and </w:t>
      </w:r>
      <w:r w:rsidRPr="00D8100E">
        <w:rPr>
          <w:i/>
        </w:rPr>
        <w:t>expressing</w:t>
      </w:r>
      <w:r w:rsidRPr="00EF0015">
        <w:t xml:space="preserve"> resolve that the day when Iraqis govern themselves must come quickly,</w:t>
      </w:r>
    </w:p>
    <w:p w:rsidRPr="00EF0015" w:rsidR="006372D6" w:rsidP="00073A89" w:rsidRDefault="00073A89">
      <w:pPr>
        <w:pStyle w:val="JuQuot"/>
      </w:pPr>
      <w:r w:rsidRPr="00EF0015">
        <w:rPr>
          <w:i/>
        </w:rPr>
        <w:t>Encouraging</w:t>
      </w:r>
      <w:r w:rsidRPr="00EF0015">
        <w:t xml:space="preserve"> efforts by the people of Iraq to form a representative government based on the rule of law that affords equal rights and justice to all Iraqi citizens without regard to ethnicity, religion, or gender, and, in this</w:t>
      </w:r>
      <w:r w:rsidR="006D3793">
        <w:t xml:space="preserve"> connection, </w:t>
      </w:r>
      <w:r w:rsidRPr="00D8100E" w:rsidR="006D3793">
        <w:rPr>
          <w:i/>
        </w:rPr>
        <w:t>recalls</w:t>
      </w:r>
      <w:r w:rsidR="006D3793">
        <w:t xml:space="preserve"> </w:t>
      </w:r>
      <w:r w:rsidR="0062169E">
        <w:t>R</w:t>
      </w:r>
      <w:r w:rsidR="00B02D33">
        <w:t xml:space="preserve">esolution </w:t>
      </w:r>
      <w:r w:rsidRPr="00EF0015">
        <w:t>1325 (2000) of 31 October 2000,</w:t>
      </w:r>
    </w:p>
    <w:p w:rsidRPr="00EF0015" w:rsidR="00073A89" w:rsidP="00073A89" w:rsidRDefault="00073A89">
      <w:pPr>
        <w:pStyle w:val="JuQuot"/>
      </w:pPr>
      <w:r w:rsidRPr="00EF0015">
        <w:rPr>
          <w:i/>
        </w:rPr>
        <w:t>Welcoming</w:t>
      </w:r>
      <w:r w:rsidRPr="00EF0015">
        <w:t xml:space="preserve"> the first steps of the Iraqi people in this regard, and </w:t>
      </w:r>
      <w:r w:rsidRPr="00D8100E">
        <w:rPr>
          <w:i/>
        </w:rPr>
        <w:t>noting</w:t>
      </w:r>
      <w:r w:rsidRPr="00EF0015">
        <w:t xml:space="preserve"> in this connection the 15 April 2003 Nasiriyah statement and the 28 April 2003 Baghdad statement,</w:t>
      </w:r>
    </w:p>
    <w:p w:rsidR="00073A89" w:rsidP="00073A89" w:rsidRDefault="00073A89">
      <w:pPr>
        <w:pStyle w:val="JuQuot"/>
      </w:pPr>
      <w:r w:rsidRPr="00EF0015">
        <w:rPr>
          <w:i/>
        </w:rPr>
        <w:t>Resolved</w:t>
      </w:r>
      <w:r w:rsidRPr="00EF0015">
        <w:t xml:space="preserve"> that the United Nations should play a vital role in humanitarian relief, the reconstruction of Iraq, and the restoration and establishment of national and local institutions for representative governance,</w:t>
      </w:r>
    </w:p>
    <w:p w:rsidRPr="00EF0015" w:rsidR="006372D6" w:rsidP="00073A89" w:rsidRDefault="00E07594">
      <w:pPr>
        <w:pStyle w:val="JuQuot"/>
      </w:pPr>
      <w:r>
        <w:t>...</w:t>
      </w:r>
    </w:p>
    <w:p w:rsidRPr="00EF0015" w:rsidR="00073A89" w:rsidP="00073A89" w:rsidRDefault="00073A89">
      <w:pPr>
        <w:pStyle w:val="JuQuot"/>
      </w:pPr>
      <w:r w:rsidRPr="00EF0015">
        <w:rPr>
          <w:i/>
        </w:rPr>
        <w:t>Noting</w:t>
      </w:r>
      <w:r w:rsidRPr="00EF0015">
        <w:t xml:space="preserve"> the letter of 8 May 2003 from the Permanent Representatives of the United States of America and the United Kingdom of Great Britain and Northern Ireland to the President of the Security Council (S/2003/538) and recogni</w:t>
      </w:r>
      <w:r w:rsidR="006466F8">
        <w:t>s</w:t>
      </w:r>
      <w:r w:rsidRPr="00EF0015">
        <w:t xml:space="preserve">ing the specific authorities, responsibilities, and obligations under applicable international law of these </w:t>
      </w:r>
      <w:r w:rsidR="006466F8">
        <w:t>S</w:t>
      </w:r>
      <w:r w:rsidRPr="00EF0015">
        <w:t xml:space="preserve">tates as </w:t>
      </w:r>
      <w:r w:rsidR="006466F8">
        <w:t>O</w:t>
      </w:r>
      <w:r w:rsidRPr="00EF0015">
        <w:t xml:space="preserve">ccupying </w:t>
      </w:r>
      <w:r w:rsidR="006466F8">
        <w:t>P</w:t>
      </w:r>
      <w:r w:rsidRPr="00EF0015">
        <w:t xml:space="preserve">owers under unified command (the </w:t>
      </w:r>
      <w:r w:rsidR="008570E8">
        <w:t>‘</w:t>
      </w:r>
      <w:r w:rsidRPr="00EF0015">
        <w:t>Authority</w:t>
      </w:r>
      <w:r w:rsidR="008570E8">
        <w:t>’</w:t>
      </w:r>
      <w:r w:rsidRPr="00EF0015">
        <w:t>),</w:t>
      </w:r>
    </w:p>
    <w:p w:rsidRPr="00EF0015" w:rsidR="00073A89" w:rsidP="00073A89" w:rsidRDefault="00073A89">
      <w:pPr>
        <w:pStyle w:val="JuQuot"/>
      </w:pPr>
      <w:r w:rsidRPr="00EF0015">
        <w:rPr>
          <w:i/>
        </w:rPr>
        <w:t>Noting further</w:t>
      </w:r>
      <w:r w:rsidRPr="00EF0015">
        <w:t xml:space="preserve"> that other States that are not </w:t>
      </w:r>
      <w:r w:rsidR="00BA19DD">
        <w:t>O</w:t>
      </w:r>
      <w:r w:rsidRPr="00EF0015">
        <w:t xml:space="preserve">ccupying </w:t>
      </w:r>
      <w:r w:rsidR="00BA19DD">
        <w:t>P</w:t>
      </w:r>
      <w:r w:rsidRPr="00EF0015">
        <w:t>owers are working now or in the future may work under the Authority,</w:t>
      </w:r>
    </w:p>
    <w:p w:rsidRPr="00EF0015" w:rsidR="00073A89" w:rsidP="00073A89" w:rsidRDefault="00073A89">
      <w:pPr>
        <w:pStyle w:val="JuQuot"/>
      </w:pPr>
      <w:r w:rsidRPr="00EF0015">
        <w:rPr>
          <w:i/>
        </w:rPr>
        <w:t>Welcoming further</w:t>
      </w:r>
      <w:r w:rsidRPr="00EF0015">
        <w:t xml:space="preserve"> the willingness of </w:t>
      </w:r>
      <w:r w:rsidR="00BA19DD">
        <w:t>m</w:t>
      </w:r>
      <w:r w:rsidRPr="00EF0015">
        <w:t>ember States to contribute to stability and security in Iraq by contributing personnel, equipment, and other resources under the Authority,</w:t>
      </w:r>
    </w:p>
    <w:p w:rsidRPr="00EF0015" w:rsidR="00073A89" w:rsidP="00073A89" w:rsidRDefault="00073A89">
      <w:pPr>
        <w:pStyle w:val="JuQuot"/>
      </w:pPr>
      <w:r w:rsidRPr="00EF0015">
        <w:rPr>
          <w:i/>
        </w:rPr>
        <w:t>Concerned</w:t>
      </w:r>
      <w:r w:rsidRPr="00EF0015">
        <w:t xml:space="preserve"> that many Kuwaitis and Third-State Nationals still are not accounted for since 2 August 1990,</w:t>
      </w:r>
    </w:p>
    <w:p w:rsidRPr="00EF0015" w:rsidR="00073A89" w:rsidP="00073A89" w:rsidRDefault="00073A89">
      <w:pPr>
        <w:pStyle w:val="JuQuot"/>
      </w:pPr>
      <w:r w:rsidRPr="00EF0015">
        <w:rPr>
          <w:i/>
        </w:rPr>
        <w:t>Determining</w:t>
      </w:r>
      <w:r w:rsidRPr="00EF0015">
        <w:t xml:space="preserve"> that the situation in Iraq, although improved, continues to constitute a threat to international peace and security,</w:t>
      </w:r>
    </w:p>
    <w:p w:rsidRPr="00EF0015" w:rsidR="00073A89" w:rsidP="00073A89" w:rsidRDefault="00073A89">
      <w:pPr>
        <w:pStyle w:val="JuQuot"/>
      </w:pPr>
      <w:r w:rsidRPr="00EF0015">
        <w:rPr>
          <w:i/>
        </w:rPr>
        <w:t>Acting</w:t>
      </w:r>
      <w:r w:rsidRPr="00EF0015">
        <w:t xml:space="preserve"> under Chapter VII of the Charter of the United Nations,</w:t>
      </w:r>
    </w:p>
    <w:p w:rsidRPr="00EF0015" w:rsidR="00073A89" w:rsidP="00073A89" w:rsidRDefault="00073A89">
      <w:pPr>
        <w:pStyle w:val="JuQuot"/>
      </w:pPr>
      <w:r w:rsidRPr="00EF0015">
        <w:t>1.</w:t>
      </w:r>
      <w:r w:rsidR="00AC3176">
        <w:t>  </w:t>
      </w:r>
      <w:r w:rsidRPr="00EF0015">
        <w:rPr>
          <w:i/>
        </w:rPr>
        <w:t>Appeals</w:t>
      </w:r>
      <w:r w:rsidRPr="00EF0015">
        <w:t xml:space="preserve"> to </w:t>
      </w:r>
      <w:r w:rsidR="00BA19DD">
        <w:t>m</w:t>
      </w:r>
      <w:r w:rsidRPr="00EF0015">
        <w:t>ember States and concerned organi</w:t>
      </w:r>
      <w:r w:rsidR="00BA19DD">
        <w:t>s</w:t>
      </w:r>
      <w:r w:rsidRPr="00EF0015">
        <w:t xml:space="preserve">ations to assist the people of Iraq in their efforts to reform their institutions and rebuild their country, and to contribute to conditions of stability and security in Iraq in accordance with this </w:t>
      </w:r>
      <w:r w:rsidR="00BA19DD">
        <w:t>R</w:t>
      </w:r>
      <w:r w:rsidRPr="00EF0015">
        <w:t>esolution;</w:t>
      </w:r>
    </w:p>
    <w:p w:rsidRPr="00EF0015" w:rsidR="00073A89" w:rsidP="00073A89" w:rsidRDefault="00073A89">
      <w:pPr>
        <w:pStyle w:val="JuQuot"/>
      </w:pPr>
      <w:r w:rsidRPr="00EF0015">
        <w:t>2.</w:t>
      </w:r>
      <w:r w:rsidR="00AC3176">
        <w:t>  </w:t>
      </w:r>
      <w:r w:rsidRPr="00EF0015">
        <w:rPr>
          <w:i/>
        </w:rPr>
        <w:t>Calls upon</w:t>
      </w:r>
      <w:r w:rsidRPr="00EF0015">
        <w:t xml:space="preserve"> all </w:t>
      </w:r>
      <w:r w:rsidR="00BA19DD">
        <w:t>m</w:t>
      </w:r>
      <w:r w:rsidRPr="00EF0015">
        <w:t>ember States in a position to do so to respond immediately to the humanitarian appeals of the United Nations and other international organi</w:t>
      </w:r>
      <w:r w:rsidR="00BA19DD">
        <w:t>s</w:t>
      </w:r>
      <w:r w:rsidRPr="00EF0015">
        <w:t>ations for Iraq and to help meet the humanitarian and other needs of the Iraqi people by providing food, medical supplies, and resources necessary for reconstruction and rehabilitation of Iraq</w:t>
      </w:r>
      <w:r w:rsidR="008570E8">
        <w:t>’</w:t>
      </w:r>
      <w:r w:rsidRPr="00EF0015">
        <w:t>s economic infrastructure;</w:t>
      </w:r>
    </w:p>
    <w:p w:rsidRPr="00EF0015" w:rsidR="00073A89" w:rsidP="00073A89" w:rsidRDefault="00073A89">
      <w:pPr>
        <w:pStyle w:val="JuQuot"/>
      </w:pPr>
      <w:r w:rsidRPr="00EF0015">
        <w:t>3.</w:t>
      </w:r>
      <w:r w:rsidR="00AC3176">
        <w:t>  </w:t>
      </w:r>
      <w:r w:rsidRPr="00EF0015">
        <w:rPr>
          <w:i/>
        </w:rPr>
        <w:t>Appeals</w:t>
      </w:r>
      <w:r w:rsidRPr="00EF0015">
        <w:t xml:space="preserve"> to </w:t>
      </w:r>
      <w:r w:rsidR="00BA19DD">
        <w:t>m</w:t>
      </w:r>
      <w:r w:rsidRPr="00EF0015">
        <w:t>ember States to deny safe haven to those members of the previous Iraqi regime who are alleged to be responsible for crimes and atrocities and to support actions to bring them to justice;</w:t>
      </w:r>
    </w:p>
    <w:p w:rsidRPr="00EF0015" w:rsidR="00073A89" w:rsidP="00073A89" w:rsidRDefault="00073A89">
      <w:pPr>
        <w:pStyle w:val="JuQuot"/>
      </w:pPr>
      <w:r w:rsidRPr="00EF0015">
        <w:t>4.</w:t>
      </w:r>
      <w:r w:rsidR="00AC3176">
        <w:t>  </w:t>
      </w:r>
      <w:r w:rsidRPr="00EF0015">
        <w:rPr>
          <w:i/>
        </w:rPr>
        <w:t>Calls upon</w:t>
      </w:r>
      <w:r w:rsidRPr="00EF0015">
        <w:t xml:space="preserve"> the Authority, consistent with the Charter of the United Nations and other relevant international law, to promote the welfare of the Iraqi people through the effective administration of the territory, including in particular working towards the restoration of conditions of security and stability and the creation of conditions in which the Iraqi people can freely determine their own political future;</w:t>
      </w:r>
    </w:p>
    <w:p w:rsidRPr="00EF0015" w:rsidR="00073A89" w:rsidP="00073A89" w:rsidRDefault="00073A89">
      <w:pPr>
        <w:pStyle w:val="JuQuot"/>
      </w:pPr>
      <w:r w:rsidRPr="00EF0015">
        <w:t>5.</w:t>
      </w:r>
      <w:r w:rsidR="00AC3176">
        <w:t>  </w:t>
      </w:r>
      <w:r w:rsidRPr="00EF0015">
        <w:rPr>
          <w:i/>
        </w:rPr>
        <w:t>Calls upon</w:t>
      </w:r>
      <w:r w:rsidRPr="00EF0015">
        <w:t xml:space="preserve"> all concerned to comply fully with their obligations under international law including in particular the Geneva Conventions of 1949 and the Hague Regulations of 1907;</w:t>
      </w:r>
    </w:p>
    <w:p w:rsidRPr="00EF0015" w:rsidR="00073A89" w:rsidP="00073A89" w:rsidRDefault="00E07594">
      <w:pPr>
        <w:pStyle w:val="JuQuot"/>
      </w:pPr>
      <w:r>
        <w:t>...</w:t>
      </w:r>
    </w:p>
    <w:p w:rsidRPr="00EF0015" w:rsidR="00073A89" w:rsidP="00073A89" w:rsidRDefault="00073A89">
      <w:pPr>
        <w:pStyle w:val="JuQuot"/>
      </w:pPr>
      <w:r w:rsidRPr="00EF0015">
        <w:t>8.</w:t>
      </w:r>
      <w:r w:rsidR="00AC3176">
        <w:t>  </w:t>
      </w:r>
      <w:r w:rsidRPr="00EF0015">
        <w:rPr>
          <w:i/>
        </w:rPr>
        <w:t>Requests</w:t>
      </w:r>
      <w:r w:rsidRPr="00EF0015">
        <w:t xml:space="preserve"> the Secretary-General to appoint a Special Representative for Iraq whose independent responsibilities shall involve reporting regularly to the Council on his activities under this </w:t>
      </w:r>
      <w:r w:rsidR="00BA19DD">
        <w:t>R</w:t>
      </w:r>
      <w:r w:rsidRPr="00EF0015">
        <w:t>esolution, coordinating activities of the United Nations in post-conflict processes in Iraq, coordinating among United Nations and international agencies engaged in humanitarian assistance and reconstruction activities in Iraq, and, in coordination with the Authority, assisting the people of Iraq through:</w:t>
      </w:r>
    </w:p>
    <w:p w:rsidRPr="00EF0015" w:rsidR="00073A89" w:rsidP="00073A89" w:rsidRDefault="00073A89">
      <w:pPr>
        <w:pStyle w:val="JuQuot"/>
      </w:pPr>
      <w:r w:rsidRPr="00EF0015">
        <w:t>(a)</w:t>
      </w:r>
      <w:r w:rsidR="00AC3176">
        <w:t>  </w:t>
      </w:r>
      <w:r w:rsidRPr="00EF0015">
        <w:t>coordinating humanitarian and reconstruction assistance by United Nations agencies and between United Nations agencies and non-governmental organi</w:t>
      </w:r>
      <w:r w:rsidR="00BA19DD">
        <w:t>s</w:t>
      </w:r>
      <w:r w:rsidRPr="00EF0015">
        <w:t>ations;</w:t>
      </w:r>
    </w:p>
    <w:p w:rsidRPr="00EF0015" w:rsidR="00073A89" w:rsidP="00073A89" w:rsidRDefault="00073A89">
      <w:pPr>
        <w:pStyle w:val="JuQuot"/>
      </w:pPr>
      <w:r w:rsidRPr="00EF0015">
        <w:t>(b)</w:t>
      </w:r>
      <w:r w:rsidR="00AC3176">
        <w:t>  </w:t>
      </w:r>
      <w:r w:rsidRPr="00EF0015">
        <w:t>promoting the safe, orderly, and voluntary return of refugees and displaced persons;</w:t>
      </w:r>
    </w:p>
    <w:p w:rsidRPr="00EF0015" w:rsidR="00073A89" w:rsidP="00073A89" w:rsidRDefault="00073A89">
      <w:pPr>
        <w:pStyle w:val="JuQuot"/>
      </w:pPr>
      <w:r w:rsidRPr="00EF0015">
        <w:t>(c)</w:t>
      </w:r>
      <w:r w:rsidR="00AC3176">
        <w:t>  </w:t>
      </w:r>
      <w:r w:rsidRPr="00EF0015">
        <w:t>working intensively with the Authority, the people of Iraq, and others concerned to advance efforts to restore and establish national and local institutions for representative governance, including by working together to facilitate a process leading to an internationally recogni</w:t>
      </w:r>
      <w:r w:rsidR="00BA19DD">
        <w:t>s</w:t>
      </w:r>
      <w:r w:rsidRPr="00EF0015">
        <w:t>ed, representative government of Iraq;</w:t>
      </w:r>
    </w:p>
    <w:p w:rsidRPr="00EF0015" w:rsidR="00073A89" w:rsidP="00073A89" w:rsidRDefault="00073A89">
      <w:pPr>
        <w:pStyle w:val="JuQuot"/>
      </w:pPr>
      <w:r w:rsidRPr="00EF0015">
        <w:t>(d)</w:t>
      </w:r>
      <w:r w:rsidR="00AC3176">
        <w:t>  </w:t>
      </w:r>
      <w:r w:rsidRPr="00EF0015">
        <w:t>facilitating the reconstruction of key infrastructure, in cooperation with other international organi</w:t>
      </w:r>
      <w:r w:rsidR="00BA19DD">
        <w:t>s</w:t>
      </w:r>
      <w:r w:rsidRPr="00EF0015">
        <w:t>ations;</w:t>
      </w:r>
    </w:p>
    <w:p w:rsidRPr="00EF0015" w:rsidR="00073A89" w:rsidP="00073A89" w:rsidRDefault="00073A89">
      <w:pPr>
        <w:pStyle w:val="JuQuot"/>
      </w:pPr>
      <w:r w:rsidRPr="00EF0015">
        <w:t>(e)</w:t>
      </w:r>
      <w:r w:rsidR="00AC3176">
        <w:t>  </w:t>
      </w:r>
      <w:r w:rsidRPr="00EF0015">
        <w:t>promoting economic reconstruction and the conditions for sustainable development, including through coordination with national and regional organi</w:t>
      </w:r>
      <w:r w:rsidR="00BA19DD">
        <w:t>s</w:t>
      </w:r>
      <w:r w:rsidRPr="00EF0015">
        <w:t>ations, as appropriate, civil society, donors, and the international financial institutions;</w:t>
      </w:r>
    </w:p>
    <w:p w:rsidRPr="00EF0015" w:rsidR="00073A89" w:rsidP="00073A89" w:rsidRDefault="00073A89">
      <w:pPr>
        <w:pStyle w:val="JuQuot"/>
      </w:pPr>
      <w:r w:rsidRPr="00EF0015">
        <w:t>(f)</w:t>
      </w:r>
      <w:r w:rsidR="00AC3176">
        <w:t>  </w:t>
      </w:r>
      <w:r w:rsidRPr="00EF0015">
        <w:t>encouraging international efforts to contribute to basic civilian administration functions;</w:t>
      </w:r>
    </w:p>
    <w:p w:rsidRPr="00EF0015" w:rsidR="00073A89" w:rsidP="00073A89" w:rsidRDefault="00073A89">
      <w:pPr>
        <w:pStyle w:val="JuQuot"/>
      </w:pPr>
      <w:r w:rsidRPr="00EF0015">
        <w:t>(g)</w:t>
      </w:r>
      <w:r w:rsidR="00AC3176">
        <w:t>  </w:t>
      </w:r>
      <w:r w:rsidRPr="00EF0015">
        <w:t>promoting the protection of human rights;</w:t>
      </w:r>
    </w:p>
    <w:p w:rsidRPr="00EF0015" w:rsidR="00073A89" w:rsidP="00073A89" w:rsidRDefault="00073A89">
      <w:pPr>
        <w:pStyle w:val="JuQuot"/>
      </w:pPr>
      <w:r w:rsidRPr="00EF0015">
        <w:t>(h)</w:t>
      </w:r>
      <w:r w:rsidR="00AC3176">
        <w:t>  </w:t>
      </w:r>
      <w:r w:rsidRPr="00EF0015">
        <w:t>encouraging international efforts to rebuild the capacity of the Iraqi civilian police force; and</w:t>
      </w:r>
    </w:p>
    <w:p w:rsidR="00C81668" w:rsidP="00073A89" w:rsidRDefault="00073A89">
      <w:pPr>
        <w:pStyle w:val="JuQuot"/>
      </w:pPr>
      <w:r w:rsidRPr="00EF0015">
        <w:t>(i)</w:t>
      </w:r>
      <w:r w:rsidR="00AC3176">
        <w:t>  </w:t>
      </w:r>
      <w:r w:rsidRPr="00EF0015">
        <w:t>encouraging international efforts to promote legal and judicial reform;</w:t>
      </w:r>
    </w:p>
    <w:p w:rsidRPr="00EF0015" w:rsidR="00073A89" w:rsidP="00073A89" w:rsidRDefault="00073A89">
      <w:pPr>
        <w:pStyle w:val="JuQuot"/>
      </w:pPr>
      <w:r w:rsidRPr="00EF0015">
        <w:t>9.</w:t>
      </w:r>
      <w:r w:rsidR="00AC3176">
        <w:t>  </w:t>
      </w:r>
      <w:r w:rsidRPr="00EF0015">
        <w:rPr>
          <w:i/>
        </w:rPr>
        <w:t>Supports</w:t>
      </w:r>
      <w:r w:rsidRPr="00EF0015">
        <w:t xml:space="preserve"> the formation, by the people of Iraq with the help of the Authority and working with the Special Representative, of an Iraqi interim administration as a transitional administration run by Iraqis, until an internationally recogni</w:t>
      </w:r>
      <w:r w:rsidR="000374A6">
        <w:t>s</w:t>
      </w:r>
      <w:r w:rsidRPr="00EF0015">
        <w:t>ed, representative government is established by the people of Iraq and assumes the responsibilities of the Authority;</w:t>
      </w:r>
    </w:p>
    <w:p w:rsidRPr="00EF0015" w:rsidR="00073A89" w:rsidP="00073A89" w:rsidRDefault="00E07594">
      <w:pPr>
        <w:pStyle w:val="JuQuot"/>
      </w:pPr>
      <w:r>
        <w:t>...</w:t>
      </w:r>
    </w:p>
    <w:p w:rsidRPr="00EF0015" w:rsidR="00073A89" w:rsidP="00073A89" w:rsidRDefault="00073A89">
      <w:pPr>
        <w:pStyle w:val="JuQuot"/>
      </w:pPr>
      <w:r w:rsidRPr="00EF0015">
        <w:t>24.</w:t>
      </w:r>
      <w:r w:rsidR="00AC3176">
        <w:t>  </w:t>
      </w:r>
      <w:r w:rsidRPr="00B03C2D">
        <w:rPr>
          <w:i/>
        </w:rPr>
        <w:t>Requests</w:t>
      </w:r>
      <w:r w:rsidRPr="00EF0015">
        <w:t xml:space="preserve"> the Secretary-General to report to the Council at regular intervals on the work of the Special Representative with respect to the implementation of this </w:t>
      </w:r>
      <w:r w:rsidR="000374A6">
        <w:t>R</w:t>
      </w:r>
      <w:r w:rsidRPr="00EF0015">
        <w:t xml:space="preserve">esolution and on the work of the International Advisory and Monitoring Board and </w:t>
      </w:r>
      <w:r w:rsidRPr="00B03C2D">
        <w:rPr>
          <w:i/>
        </w:rPr>
        <w:t>encourages</w:t>
      </w:r>
      <w:r w:rsidRPr="00EF0015">
        <w:t xml:space="preserve"> the United Kingdom of Great Britain and Northern Ireland and the United States of America to inform the Council at regular intervals of their efforts under this </w:t>
      </w:r>
      <w:r w:rsidR="000374A6">
        <w:t>R</w:t>
      </w:r>
      <w:r w:rsidRPr="00EF0015">
        <w:t>esolution;</w:t>
      </w:r>
    </w:p>
    <w:p w:rsidRPr="00EF0015" w:rsidR="00073A89" w:rsidP="00073A89" w:rsidRDefault="00073A89">
      <w:pPr>
        <w:pStyle w:val="JuQuot"/>
      </w:pPr>
      <w:r w:rsidRPr="00EF0015">
        <w:t>25.</w:t>
      </w:r>
      <w:r w:rsidR="00AC3176">
        <w:t>  </w:t>
      </w:r>
      <w:r w:rsidRPr="00B03C2D">
        <w:rPr>
          <w:i/>
        </w:rPr>
        <w:t>Decides</w:t>
      </w:r>
      <w:r w:rsidRPr="00EF0015">
        <w:t xml:space="preserve"> to review the implementation of this </w:t>
      </w:r>
      <w:r w:rsidR="000374A6">
        <w:t>R</w:t>
      </w:r>
      <w:r w:rsidRPr="00EF0015">
        <w:t>esolution within twelve months of adoption and to consider further steps that might be necessary.</w:t>
      </w:r>
    </w:p>
    <w:p w:rsidRPr="00EF0015" w:rsidR="00073A89" w:rsidP="00073A89" w:rsidRDefault="00073A89">
      <w:pPr>
        <w:pStyle w:val="JuQuot"/>
      </w:pPr>
      <w:r w:rsidRPr="00EF0015">
        <w:t>26.</w:t>
      </w:r>
      <w:r w:rsidR="00AC3176">
        <w:t>  </w:t>
      </w:r>
      <w:r w:rsidRPr="00B03C2D">
        <w:rPr>
          <w:i/>
        </w:rPr>
        <w:t>Calls upon</w:t>
      </w:r>
      <w:r w:rsidRPr="00EF0015">
        <w:t xml:space="preserve"> </w:t>
      </w:r>
      <w:r w:rsidR="00B70BE0">
        <w:t>m</w:t>
      </w:r>
      <w:r w:rsidRPr="00EF0015">
        <w:t>ember States and international and regional organi</w:t>
      </w:r>
      <w:r w:rsidR="00B70BE0">
        <w:t>s</w:t>
      </w:r>
      <w:r w:rsidRPr="00EF0015">
        <w:t xml:space="preserve">ations to contribute to the implementation of this </w:t>
      </w:r>
      <w:r w:rsidR="00B70BE0">
        <w:t>R</w:t>
      </w:r>
      <w:r w:rsidRPr="00EF0015">
        <w:t>esolution;</w:t>
      </w:r>
    </w:p>
    <w:p w:rsidRPr="00EF0015" w:rsidR="00073A89" w:rsidP="00073A89" w:rsidRDefault="00073A89">
      <w:pPr>
        <w:pStyle w:val="JuQuot"/>
      </w:pPr>
      <w:r w:rsidRPr="00EF0015">
        <w:t>27.</w:t>
      </w:r>
      <w:r w:rsidR="00AC3176">
        <w:t>  </w:t>
      </w:r>
      <w:r w:rsidRPr="00B03C2D">
        <w:rPr>
          <w:i/>
        </w:rPr>
        <w:t>Decides</w:t>
      </w:r>
      <w:r w:rsidRPr="00EF0015">
        <w:t xml:space="preserve"> to remain sei</w:t>
      </w:r>
      <w:r w:rsidR="00B70BE0">
        <w:t>s</w:t>
      </w:r>
      <w:r w:rsidRPr="00EF0015">
        <w:t>ed of this matter.”</w:t>
      </w:r>
    </w:p>
    <w:p w:rsidRPr="00EF0015" w:rsidR="00BA5249" w:rsidP="00BA5249" w:rsidRDefault="00D84FA0">
      <w:pPr>
        <w:pStyle w:val="JuH1"/>
      </w:pPr>
      <w:bookmarkStart w:name="_Toc275785567" w:id="23"/>
      <w:bookmarkStart w:name="_Toc289765855" w:id="24"/>
      <w:bookmarkStart w:name="_Toc289868944" w:id="25"/>
      <w:bookmarkStart w:name="_Toc297210640" w:id="26"/>
      <w:r w:rsidRPr="00EF0015">
        <w:t>5</w:t>
      </w:r>
      <w:r w:rsidRPr="00EF0015" w:rsidR="00BA5249">
        <w:t>.</w:t>
      </w:r>
      <w:r w:rsidR="00AC3176">
        <w:t>  </w:t>
      </w:r>
      <w:bookmarkEnd w:id="23"/>
      <w:r w:rsidRPr="00EF0015">
        <w:t xml:space="preserve">Developments between July 2003 and </w:t>
      </w:r>
      <w:r w:rsidRPr="00EF0015" w:rsidR="00A504AA">
        <w:t>June 2004</w:t>
      </w:r>
      <w:bookmarkEnd w:id="24"/>
      <w:bookmarkEnd w:id="25"/>
      <w:bookmarkEnd w:id="26"/>
    </w:p>
    <w:p w:rsidRPr="00EF0015" w:rsidR="00CC3841" w:rsidP="00CC3841" w:rsidRDefault="00CC3841">
      <w:pPr>
        <w:pStyle w:val="JuPara"/>
      </w:pPr>
      <w:r w:rsidRPr="00EF0015">
        <w:fldChar w:fldCharType="begin"/>
      </w:r>
      <w:r w:rsidRPr="00EF0015">
        <w:instrText xml:space="preserve"> SEQ level0 \*arabic </w:instrText>
      </w:r>
      <w:r w:rsidRPr="00EF0015">
        <w:fldChar w:fldCharType="separate"/>
      </w:r>
      <w:r w:rsidR="00524A6D">
        <w:rPr>
          <w:noProof/>
        </w:rPr>
        <w:t>15</w:t>
      </w:r>
      <w:r w:rsidRPr="00EF0015">
        <w:fldChar w:fldCharType="end"/>
      </w:r>
      <w:r w:rsidRPr="00EF0015">
        <w:t>.  In July 2003 the Governing Council of Iraq</w:t>
      </w:r>
      <w:r w:rsidRPr="00EF0015" w:rsidR="00DC5448">
        <w:t xml:space="preserve"> </w:t>
      </w:r>
      <w:r w:rsidRPr="00EF0015">
        <w:t>was established</w:t>
      </w:r>
      <w:r w:rsidRPr="00EF0015" w:rsidR="009E72BE">
        <w:t>. The</w:t>
      </w:r>
      <w:r w:rsidR="00C81668">
        <w:t xml:space="preserve"> </w:t>
      </w:r>
      <w:r w:rsidR="00B70BE0">
        <w:t>CPA</w:t>
      </w:r>
      <w:r w:rsidRPr="00EF0015">
        <w:t xml:space="preserve"> was </w:t>
      </w:r>
      <w:r w:rsidRPr="00EF0015" w:rsidR="009E72BE">
        <w:t xml:space="preserve">required </w:t>
      </w:r>
      <w:r w:rsidRPr="00EF0015">
        <w:t xml:space="preserve">to consult </w:t>
      </w:r>
      <w:r w:rsidRPr="00EF0015" w:rsidR="009E72BE">
        <w:t xml:space="preserve">with it </w:t>
      </w:r>
      <w:r w:rsidRPr="00EF0015">
        <w:t>on all matters concerning the temporary governance of Iraq.</w:t>
      </w:r>
    </w:p>
    <w:p w:rsidRPr="00EF0015" w:rsidR="00166A43" w:rsidP="00E90246" w:rsidRDefault="00CC3841">
      <w:pPr>
        <w:pStyle w:val="JuPara"/>
      </w:pPr>
      <w:r w:rsidRPr="00EF0015">
        <w:fldChar w:fldCharType="begin"/>
      </w:r>
      <w:r w:rsidRPr="00EF0015">
        <w:instrText xml:space="preserve"> SEQ level0 \*arabic </w:instrText>
      </w:r>
      <w:r w:rsidRPr="00EF0015">
        <w:fldChar w:fldCharType="separate"/>
      </w:r>
      <w:r w:rsidR="00524A6D">
        <w:rPr>
          <w:noProof/>
        </w:rPr>
        <w:t>16</w:t>
      </w:r>
      <w:r w:rsidRPr="00EF0015">
        <w:fldChar w:fldCharType="end"/>
      </w:r>
      <w:r w:rsidRPr="00EF0015">
        <w:t>.  O</w:t>
      </w:r>
      <w:r w:rsidRPr="00EF0015" w:rsidR="00E90246">
        <w:t xml:space="preserve">n 16 October 2003 the </w:t>
      </w:r>
      <w:r w:rsidRPr="00EF0015" w:rsidR="00F12FE2">
        <w:t xml:space="preserve">United Nations Security Council </w:t>
      </w:r>
      <w:r w:rsidRPr="00EF0015" w:rsidR="00E90246">
        <w:t xml:space="preserve">passed </w:t>
      </w:r>
      <w:r w:rsidR="00B70BE0">
        <w:t>R</w:t>
      </w:r>
      <w:r w:rsidRPr="00EF0015" w:rsidR="00E90246">
        <w:t>esolution</w:t>
      </w:r>
      <w:r w:rsidRPr="00EF0015">
        <w:t xml:space="preserve"> </w:t>
      </w:r>
      <w:r w:rsidRPr="00EF0015" w:rsidR="00E90246">
        <w:t>1511</w:t>
      </w:r>
      <w:r w:rsidRPr="00EF0015" w:rsidR="00166A43">
        <w:t>, which provided</w:t>
      </w:r>
      <w:r w:rsidR="00B70BE0">
        <w:t>,</w:t>
      </w:r>
      <w:r w:rsidRPr="00EF0015" w:rsidR="00166A43">
        <w:t xml:space="preserve"> </w:t>
      </w:r>
      <w:r w:rsidRPr="00EF0015" w:rsidR="00166A43">
        <w:rPr>
          <w:i/>
        </w:rPr>
        <w:t>inter alia</w:t>
      </w:r>
      <w:r w:rsidR="00B70BE0">
        <w:t>,</w:t>
      </w:r>
      <w:r w:rsidRPr="00EF0015" w:rsidR="00166A43">
        <w:rPr>
          <w:i/>
        </w:rPr>
        <w:t xml:space="preserve"> </w:t>
      </w:r>
      <w:r w:rsidRPr="00EF0015" w:rsidR="00166A43">
        <w:t>as follows:</w:t>
      </w:r>
    </w:p>
    <w:p w:rsidRPr="00EF0015" w:rsidR="00166A43" w:rsidP="00166A43" w:rsidRDefault="007268EE">
      <w:pPr>
        <w:pStyle w:val="JuQuot"/>
        <w:rPr>
          <w:i/>
        </w:rPr>
      </w:pPr>
      <w:r w:rsidRPr="00EF0015">
        <w:t>“</w:t>
      </w:r>
      <w:r w:rsidRPr="00EF0015" w:rsidR="00166A43">
        <w:rPr>
          <w:i/>
        </w:rPr>
        <w:t>The Security Council</w:t>
      </w:r>
    </w:p>
    <w:p w:rsidRPr="00EF0015" w:rsidR="007268EE" w:rsidP="00166A43" w:rsidRDefault="00E07594">
      <w:pPr>
        <w:pStyle w:val="JuQuot"/>
      </w:pPr>
      <w:r>
        <w:t>...</w:t>
      </w:r>
    </w:p>
    <w:p w:rsidRPr="00EF0015" w:rsidR="007268EE" w:rsidP="007268EE" w:rsidRDefault="007268EE">
      <w:pPr>
        <w:pStyle w:val="JuQuot"/>
      </w:pPr>
      <w:r w:rsidRPr="00EF0015">
        <w:rPr>
          <w:i/>
        </w:rPr>
        <w:t xml:space="preserve">Underscoring </w:t>
      </w:r>
      <w:r w:rsidRPr="00EF0015">
        <w:t xml:space="preserve">that the sovereignty of Iraq resides in the State of Iraq, </w:t>
      </w:r>
      <w:r w:rsidRPr="00D8100E">
        <w:rPr>
          <w:i/>
        </w:rPr>
        <w:t>reaffirming</w:t>
      </w:r>
      <w:r w:rsidRPr="00EF0015">
        <w:t xml:space="preserve"> the right of the Iraqi people freely to determine their own political future and control their own natural resources, </w:t>
      </w:r>
      <w:r w:rsidRPr="00D8100E">
        <w:rPr>
          <w:i/>
        </w:rPr>
        <w:t>reiterating</w:t>
      </w:r>
      <w:r w:rsidRPr="00EF0015">
        <w:t xml:space="preserve"> its resolve that the day when Iraqis govern themselves must come quickly, and </w:t>
      </w:r>
      <w:r w:rsidRPr="00D8100E">
        <w:rPr>
          <w:i/>
        </w:rPr>
        <w:t>recogni</w:t>
      </w:r>
      <w:r w:rsidRPr="00D8100E" w:rsidR="00897BF1">
        <w:rPr>
          <w:i/>
        </w:rPr>
        <w:t>s</w:t>
      </w:r>
      <w:r w:rsidRPr="00D8100E">
        <w:rPr>
          <w:i/>
        </w:rPr>
        <w:t>ing</w:t>
      </w:r>
      <w:r w:rsidRPr="00EF0015">
        <w:t xml:space="preserve"> the importance of international support, particularly that of countries in the region, Iraq</w:t>
      </w:r>
      <w:r w:rsidR="008570E8">
        <w:t>’</w:t>
      </w:r>
      <w:r w:rsidRPr="00EF0015">
        <w:t>s neighbours, and regional organi</w:t>
      </w:r>
      <w:r w:rsidR="00897BF1">
        <w:t>s</w:t>
      </w:r>
      <w:r w:rsidRPr="00EF0015">
        <w:t>ations, in taking forward this process expeditiously,</w:t>
      </w:r>
    </w:p>
    <w:p w:rsidRPr="00EF0015" w:rsidR="007268EE" w:rsidP="007268EE" w:rsidRDefault="007268EE">
      <w:pPr>
        <w:pStyle w:val="JuQuot"/>
      </w:pPr>
      <w:r w:rsidRPr="00EF0015">
        <w:rPr>
          <w:i/>
        </w:rPr>
        <w:t>Recogni</w:t>
      </w:r>
      <w:r w:rsidR="00E3341C">
        <w:rPr>
          <w:i/>
        </w:rPr>
        <w:t>s</w:t>
      </w:r>
      <w:r w:rsidRPr="00EF0015">
        <w:rPr>
          <w:i/>
        </w:rPr>
        <w:t xml:space="preserve">ing </w:t>
      </w:r>
      <w:r w:rsidRPr="00EF0015">
        <w:t xml:space="preserve">that international support for restoration of conditions of stability and security is essential to the well-being of the people of Iraq as well as to the ability of all concerned to carry out their work on behalf of the people of Iraq, and </w:t>
      </w:r>
      <w:r w:rsidRPr="00D8100E">
        <w:rPr>
          <w:i/>
        </w:rPr>
        <w:t xml:space="preserve">welcoming </w:t>
      </w:r>
      <w:r w:rsidR="0049766A">
        <w:t>m</w:t>
      </w:r>
      <w:r w:rsidRPr="00EF0015">
        <w:t xml:space="preserve">ember State contributions in this regard under </w:t>
      </w:r>
      <w:r w:rsidR="0049766A">
        <w:t>R</w:t>
      </w:r>
      <w:r w:rsidRPr="00EF0015">
        <w:t>esolution 1483 (2003),</w:t>
      </w:r>
    </w:p>
    <w:p w:rsidRPr="00EF0015" w:rsidR="007268EE" w:rsidP="007268EE" w:rsidRDefault="007268EE">
      <w:pPr>
        <w:pStyle w:val="JuQuot"/>
      </w:pPr>
      <w:r w:rsidRPr="00EF0015">
        <w:rPr>
          <w:i/>
        </w:rPr>
        <w:t>Welcoming</w:t>
      </w:r>
      <w:r w:rsidRPr="00EF0015">
        <w:t xml:space="preserve"> the decision of the Governing Council of Iraq to form a preparatory constitutional committee to prepare for a constitutional conference that will draft a </w:t>
      </w:r>
      <w:r w:rsidR="00177474">
        <w:t>C</w:t>
      </w:r>
      <w:r w:rsidRPr="00EF0015">
        <w:t xml:space="preserve">onstitution to embody the aspirations of the Iraqi people, and </w:t>
      </w:r>
      <w:r w:rsidRPr="00D8100E">
        <w:rPr>
          <w:i/>
        </w:rPr>
        <w:t>urging</w:t>
      </w:r>
      <w:r w:rsidRPr="00EF0015">
        <w:t xml:space="preserve"> it to complete this process quickly,</w:t>
      </w:r>
    </w:p>
    <w:p w:rsidRPr="00EF0015" w:rsidR="00166A43" w:rsidP="00166A43" w:rsidRDefault="00E07594">
      <w:pPr>
        <w:pStyle w:val="JuQuot"/>
      </w:pPr>
      <w:r>
        <w:t>...</w:t>
      </w:r>
    </w:p>
    <w:p w:rsidRPr="00EF0015" w:rsidR="00EC6778" w:rsidP="00EC6778" w:rsidRDefault="00EC6778">
      <w:pPr>
        <w:pStyle w:val="JuQuot"/>
      </w:pPr>
      <w:r w:rsidRPr="00EF0015">
        <w:rPr>
          <w:i/>
        </w:rPr>
        <w:t>Determining</w:t>
      </w:r>
      <w:r w:rsidRPr="00EF0015">
        <w:t xml:space="preserve"> that the situation in Iraq, although improved, continues to constitute a threat to international peace and security,</w:t>
      </w:r>
    </w:p>
    <w:p w:rsidRPr="00EF0015" w:rsidR="006E71CF" w:rsidP="00166A43" w:rsidRDefault="006E71CF">
      <w:pPr>
        <w:pStyle w:val="JuQuot"/>
      </w:pPr>
      <w:r w:rsidRPr="00EF0015">
        <w:rPr>
          <w:i/>
        </w:rPr>
        <w:t>Acting</w:t>
      </w:r>
      <w:r w:rsidRPr="00EF0015">
        <w:t xml:space="preserve"> under Chapter VII of the Charter of the United Nations,</w:t>
      </w:r>
    </w:p>
    <w:p w:rsidRPr="00EF0015" w:rsidR="006E71CF" w:rsidP="00166A43" w:rsidRDefault="006E71CF">
      <w:pPr>
        <w:pStyle w:val="JuQuot"/>
      </w:pPr>
      <w:r w:rsidRPr="00EF0015">
        <w:t>1.</w:t>
      </w:r>
      <w:r w:rsidR="00AC3176">
        <w:t>  </w:t>
      </w:r>
      <w:r w:rsidRPr="00EF0015">
        <w:rPr>
          <w:i/>
        </w:rPr>
        <w:t>Reaffirms</w:t>
      </w:r>
      <w:r w:rsidRPr="00EF0015">
        <w:t xml:space="preserve"> the sovereignty and territorial integrity of Iraq, and</w:t>
      </w:r>
      <w:r w:rsidRPr="00EF0015" w:rsidR="00166A43">
        <w:t xml:space="preserve"> </w:t>
      </w:r>
      <w:r w:rsidRPr="00D8100E">
        <w:rPr>
          <w:i/>
        </w:rPr>
        <w:t>underscores</w:t>
      </w:r>
      <w:r w:rsidRPr="00EF0015">
        <w:t>, in that context, the temporary nature of the exercise by the Coalition</w:t>
      </w:r>
      <w:r w:rsidRPr="00EF0015" w:rsidR="00166A43">
        <w:t xml:space="preserve"> </w:t>
      </w:r>
      <w:r w:rsidRPr="00EF0015">
        <w:t>Provisional Authority (Authority) of the specific responsibilities, authorities, and</w:t>
      </w:r>
      <w:r w:rsidRPr="00EF0015" w:rsidR="00166A43">
        <w:t xml:space="preserve"> </w:t>
      </w:r>
      <w:r w:rsidRPr="00EF0015">
        <w:t>obligations under applicable international law recogni</w:t>
      </w:r>
      <w:r w:rsidR="00177474">
        <w:t>s</w:t>
      </w:r>
      <w:r w:rsidRPr="00EF0015">
        <w:t xml:space="preserve">ed and set forth in </w:t>
      </w:r>
      <w:r w:rsidR="00177474">
        <w:t>R</w:t>
      </w:r>
      <w:r w:rsidRPr="00EF0015">
        <w:t>esolution</w:t>
      </w:r>
      <w:r w:rsidRPr="00EF0015" w:rsidR="00166A43">
        <w:t xml:space="preserve"> </w:t>
      </w:r>
      <w:r w:rsidRPr="00EF0015">
        <w:t>1483 (2003), which will cease when an internationally recogni</w:t>
      </w:r>
      <w:r w:rsidR="00177474">
        <w:t>s</w:t>
      </w:r>
      <w:r w:rsidRPr="00EF0015">
        <w:t>ed, representative</w:t>
      </w:r>
      <w:r w:rsidRPr="00EF0015" w:rsidR="00166A43">
        <w:t xml:space="preserve"> </w:t>
      </w:r>
      <w:r w:rsidRPr="00EF0015">
        <w:t>government established by the people of Iraq is sworn in and assumes the</w:t>
      </w:r>
      <w:r w:rsidRPr="00EF0015" w:rsidR="00166A43">
        <w:t xml:space="preserve"> </w:t>
      </w:r>
      <w:r w:rsidRPr="00EF0015">
        <w:t xml:space="preserve">responsibilities of the Authority, </w:t>
      </w:r>
      <w:r w:rsidRPr="00EF0015">
        <w:rPr>
          <w:i/>
        </w:rPr>
        <w:t>inter alia</w:t>
      </w:r>
      <w:r w:rsidR="00177474">
        <w:t>,</w:t>
      </w:r>
      <w:r w:rsidRPr="00EF0015">
        <w:t xml:space="preserve"> through steps envisaged in paragraphs 4</w:t>
      </w:r>
      <w:r w:rsidRPr="00EF0015" w:rsidR="00166A43">
        <w:t xml:space="preserve"> </w:t>
      </w:r>
      <w:r w:rsidRPr="00EF0015">
        <w:t>through 7 and 10 below;</w:t>
      </w:r>
    </w:p>
    <w:p w:rsidRPr="00EF0015" w:rsidR="00166A43" w:rsidP="00166A43" w:rsidRDefault="00E07594">
      <w:pPr>
        <w:pStyle w:val="JuQuot"/>
      </w:pPr>
      <w:r>
        <w:t>...</w:t>
      </w:r>
    </w:p>
    <w:p w:rsidRPr="00EF0015" w:rsidR="006E71CF" w:rsidP="00166A43" w:rsidRDefault="006E71CF">
      <w:pPr>
        <w:pStyle w:val="JuQuot"/>
      </w:pPr>
      <w:r w:rsidRPr="00EF0015">
        <w:t>4.</w:t>
      </w:r>
      <w:r w:rsidR="00AC3176">
        <w:t>  </w:t>
      </w:r>
      <w:r w:rsidRPr="00EF0015">
        <w:rPr>
          <w:i/>
        </w:rPr>
        <w:t>Determines</w:t>
      </w:r>
      <w:r w:rsidRPr="00EF0015">
        <w:t xml:space="preserve"> that the Governing Council and its ministers are the principal</w:t>
      </w:r>
      <w:r w:rsidRPr="00EF0015" w:rsidR="00166A43">
        <w:t xml:space="preserve"> </w:t>
      </w:r>
      <w:r w:rsidRPr="00EF0015">
        <w:t>bodies of the Iraqi interim administration, which, without prejudice to its further</w:t>
      </w:r>
      <w:r w:rsidRPr="00EF0015" w:rsidR="00166A43">
        <w:t xml:space="preserve"> </w:t>
      </w:r>
      <w:r w:rsidRPr="00EF0015">
        <w:t>evolution, embodies the sovereignty of the State of Iraq during the transitional</w:t>
      </w:r>
      <w:r w:rsidRPr="00EF0015" w:rsidR="00166A43">
        <w:t xml:space="preserve"> </w:t>
      </w:r>
      <w:r w:rsidRPr="00EF0015">
        <w:t>period until an internationally recogni</w:t>
      </w:r>
      <w:r w:rsidR="00177474">
        <w:t>s</w:t>
      </w:r>
      <w:r w:rsidRPr="00EF0015">
        <w:t>ed, representative government is established</w:t>
      </w:r>
      <w:r w:rsidRPr="00EF0015" w:rsidR="00166A43">
        <w:t xml:space="preserve"> </w:t>
      </w:r>
      <w:r w:rsidRPr="00EF0015">
        <w:t>and assumes the responsibilities of the Authority;</w:t>
      </w:r>
    </w:p>
    <w:p w:rsidRPr="00EF0015" w:rsidR="006E71CF" w:rsidP="00166A43" w:rsidRDefault="006E71CF">
      <w:pPr>
        <w:pStyle w:val="JuQuot"/>
      </w:pPr>
      <w:r w:rsidRPr="00EF0015">
        <w:t>5.</w:t>
      </w:r>
      <w:r w:rsidR="00AC3176">
        <w:t>  </w:t>
      </w:r>
      <w:r w:rsidRPr="00EF0015">
        <w:rPr>
          <w:i/>
        </w:rPr>
        <w:t xml:space="preserve">Affirms </w:t>
      </w:r>
      <w:r w:rsidRPr="00EF0015">
        <w:t>that the administration of Iraq will be progressively undertaken</w:t>
      </w:r>
      <w:r w:rsidRPr="00EF0015" w:rsidR="00166A43">
        <w:t xml:space="preserve"> </w:t>
      </w:r>
      <w:r w:rsidRPr="00EF0015">
        <w:t>by the evolving structures of the Iraqi interim administration;</w:t>
      </w:r>
    </w:p>
    <w:p w:rsidRPr="00EF0015" w:rsidR="006E71CF" w:rsidP="00166A43" w:rsidRDefault="006E71CF">
      <w:pPr>
        <w:pStyle w:val="JuQuot"/>
      </w:pPr>
      <w:r w:rsidRPr="00EF0015">
        <w:t>6.</w:t>
      </w:r>
      <w:r w:rsidR="00AC3176">
        <w:t>  </w:t>
      </w:r>
      <w:r w:rsidRPr="00177474">
        <w:rPr>
          <w:i/>
        </w:rPr>
        <w:t xml:space="preserve">Calls </w:t>
      </w:r>
      <w:r w:rsidRPr="00D8100E">
        <w:rPr>
          <w:i/>
        </w:rPr>
        <w:t>upon</w:t>
      </w:r>
      <w:r w:rsidRPr="00EF0015">
        <w:t xml:space="preserve"> the Authority, in this context, to return governing</w:t>
      </w:r>
      <w:r w:rsidRPr="00EF0015" w:rsidR="00166A43">
        <w:t xml:space="preserve"> </w:t>
      </w:r>
      <w:r w:rsidRPr="00EF0015">
        <w:t>responsibilities and authorities to the people of Iraq as soon as practicable and</w:t>
      </w:r>
      <w:r w:rsidRPr="00EF0015" w:rsidR="00166A43">
        <w:t xml:space="preserve"> </w:t>
      </w:r>
      <w:r w:rsidRPr="00D8100E">
        <w:rPr>
          <w:i/>
        </w:rPr>
        <w:t xml:space="preserve">requests </w:t>
      </w:r>
      <w:r w:rsidRPr="00EF0015">
        <w:t>the Authority, in cooperation as appropriate with the Governing Council</w:t>
      </w:r>
      <w:r w:rsidRPr="00EF0015" w:rsidR="00166A43">
        <w:t xml:space="preserve"> </w:t>
      </w:r>
      <w:r w:rsidRPr="00EF0015">
        <w:t>and the Secretary-General, to report to the Council on the progress being made;</w:t>
      </w:r>
    </w:p>
    <w:p w:rsidRPr="00EF0015" w:rsidR="006E71CF" w:rsidP="00166A43" w:rsidRDefault="006E71CF">
      <w:pPr>
        <w:pStyle w:val="JuQuot"/>
      </w:pPr>
      <w:r w:rsidRPr="00EF0015">
        <w:t>7.</w:t>
      </w:r>
      <w:r w:rsidR="00AC3176">
        <w:t>  </w:t>
      </w:r>
      <w:r w:rsidRPr="00EF0015">
        <w:rPr>
          <w:i/>
        </w:rPr>
        <w:t>Invites</w:t>
      </w:r>
      <w:r w:rsidRPr="00EF0015">
        <w:t xml:space="preserve"> the Governing Council to provide to the Security Council, for its</w:t>
      </w:r>
      <w:r w:rsidRPr="00EF0015" w:rsidR="00166A43">
        <w:t xml:space="preserve"> </w:t>
      </w:r>
      <w:r w:rsidRPr="00EF0015">
        <w:t>review, no later than 15 December 2003, in cooperation with the Authority and, as</w:t>
      </w:r>
      <w:r w:rsidRPr="00EF0015" w:rsidR="00166A43">
        <w:t xml:space="preserve"> </w:t>
      </w:r>
      <w:r w:rsidRPr="00EF0015">
        <w:t>circumstances permit, the Special Representative of the Secretary-General, a</w:t>
      </w:r>
      <w:r w:rsidRPr="00EF0015" w:rsidR="00166A43">
        <w:t xml:space="preserve"> </w:t>
      </w:r>
      <w:r w:rsidRPr="00EF0015">
        <w:t xml:space="preserve">timetable and a programme for the drafting of a new </w:t>
      </w:r>
      <w:r w:rsidR="00177474">
        <w:t>C</w:t>
      </w:r>
      <w:r w:rsidRPr="00EF0015">
        <w:t>onstitution for Iraq and for the</w:t>
      </w:r>
      <w:r w:rsidRPr="00EF0015" w:rsidR="00166A43">
        <w:t xml:space="preserve"> </w:t>
      </w:r>
      <w:r w:rsidRPr="00EF0015">
        <w:t xml:space="preserve">holding of democratic elections under that </w:t>
      </w:r>
      <w:r w:rsidR="00177474">
        <w:t>C</w:t>
      </w:r>
      <w:r w:rsidRPr="00EF0015">
        <w:t>onstitution;</w:t>
      </w:r>
    </w:p>
    <w:p w:rsidRPr="00EF0015" w:rsidR="006E71CF" w:rsidP="00166A43" w:rsidRDefault="006E71CF">
      <w:pPr>
        <w:pStyle w:val="JuQuot"/>
      </w:pPr>
      <w:r w:rsidRPr="00EF0015">
        <w:t>8.</w:t>
      </w:r>
      <w:r w:rsidR="00AC3176">
        <w:t>  </w:t>
      </w:r>
      <w:r w:rsidRPr="00EF0015">
        <w:rPr>
          <w:i/>
        </w:rPr>
        <w:t>Resolves</w:t>
      </w:r>
      <w:r w:rsidRPr="00EF0015">
        <w:t xml:space="preserve"> that the United Nations, acting through the Secretary-General,</w:t>
      </w:r>
      <w:r w:rsidRPr="00EF0015" w:rsidR="00166A43">
        <w:t xml:space="preserve"> </w:t>
      </w:r>
      <w:r w:rsidRPr="00EF0015">
        <w:t xml:space="preserve">his Special Representative, and the United Nations Assistance Mission </w:t>
      </w:r>
      <w:r w:rsidR="00177474">
        <w:t>for</w:t>
      </w:r>
      <w:r w:rsidRPr="00EF0015">
        <w:t xml:space="preserve"> Iraq,</w:t>
      </w:r>
      <w:r w:rsidRPr="00EF0015" w:rsidR="00166A43">
        <w:t xml:space="preserve"> </w:t>
      </w:r>
      <w:r w:rsidRPr="00EF0015">
        <w:t>should strengthen its vital role in Iraq, including by providing humanitarian relief,</w:t>
      </w:r>
      <w:r w:rsidRPr="00EF0015" w:rsidR="00166A43">
        <w:t xml:space="preserve"> </w:t>
      </w:r>
      <w:r w:rsidRPr="00EF0015">
        <w:t>promoting the economic reconstruction of and conditions for sustainable</w:t>
      </w:r>
      <w:r w:rsidRPr="00EF0015" w:rsidR="00166A43">
        <w:t xml:space="preserve"> </w:t>
      </w:r>
      <w:r w:rsidRPr="00EF0015">
        <w:t>development in Iraq, and advancing efforts to restore and establish national and</w:t>
      </w:r>
      <w:r w:rsidRPr="00EF0015" w:rsidR="00166A43">
        <w:t xml:space="preserve"> </w:t>
      </w:r>
      <w:r w:rsidRPr="00EF0015">
        <w:t>local institutions for representative government;</w:t>
      </w:r>
    </w:p>
    <w:p w:rsidRPr="00EF0015" w:rsidR="00166A43" w:rsidP="00166A43" w:rsidRDefault="00E07594">
      <w:pPr>
        <w:pStyle w:val="JuQuot"/>
      </w:pPr>
      <w:r>
        <w:t>...</w:t>
      </w:r>
    </w:p>
    <w:p w:rsidRPr="00EF0015" w:rsidR="006E71CF" w:rsidP="00166A43" w:rsidRDefault="006E71CF">
      <w:pPr>
        <w:pStyle w:val="JuQuot"/>
      </w:pPr>
      <w:r w:rsidRPr="00EF0015">
        <w:t>13.</w:t>
      </w:r>
      <w:r w:rsidR="00AC3176">
        <w:t>  </w:t>
      </w:r>
      <w:r w:rsidRPr="00EF0015">
        <w:rPr>
          <w:i/>
        </w:rPr>
        <w:t>Determines</w:t>
      </w:r>
      <w:r w:rsidRPr="00EF0015">
        <w:t xml:space="preserve"> that the provision of security and stability is essential to the</w:t>
      </w:r>
      <w:r w:rsidRPr="00EF0015" w:rsidR="00166A43">
        <w:t xml:space="preserve"> </w:t>
      </w:r>
      <w:r w:rsidRPr="00EF0015">
        <w:t>successful completion of the political process as outlined in paragraph 7 above and</w:t>
      </w:r>
      <w:r w:rsidRPr="00EF0015" w:rsidR="00166A43">
        <w:t xml:space="preserve"> </w:t>
      </w:r>
      <w:r w:rsidRPr="00EF0015">
        <w:t>to the ability of the United Nations to contribute effectively to that process and the</w:t>
      </w:r>
      <w:r w:rsidRPr="00EF0015" w:rsidR="00166A43">
        <w:t xml:space="preserve"> </w:t>
      </w:r>
      <w:r w:rsidRPr="00EF0015">
        <w:t xml:space="preserve">implementation of </w:t>
      </w:r>
      <w:r w:rsidR="00177474">
        <w:t>R</w:t>
      </w:r>
      <w:r w:rsidRPr="00EF0015">
        <w:t xml:space="preserve">esolution 1483 (2003), and </w:t>
      </w:r>
      <w:r w:rsidRPr="00EF0015">
        <w:rPr>
          <w:i/>
        </w:rPr>
        <w:t>authori</w:t>
      </w:r>
      <w:r w:rsidR="00177474">
        <w:rPr>
          <w:i/>
        </w:rPr>
        <w:t>s</w:t>
      </w:r>
      <w:r w:rsidRPr="00EF0015">
        <w:rPr>
          <w:i/>
        </w:rPr>
        <w:t>es</w:t>
      </w:r>
      <w:r w:rsidRPr="00EF0015">
        <w:t xml:space="preserve"> a </w:t>
      </w:r>
      <w:r w:rsidR="00177474">
        <w:t>M</w:t>
      </w:r>
      <w:r w:rsidRPr="00EF0015">
        <w:t xml:space="preserve">ultinational </w:t>
      </w:r>
      <w:r w:rsidR="00177474">
        <w:t>F</w:t>
      </w:r>
      <w:r w:rsidRPr="00EF0015">
        <w:t>orce</w:t>
      </w:r>
      <w:r w:rsidRPr="00EF0015" w:rsidR="006373BC">
        <w:t xml:space="preserve"> </w:t>
      </w:r>
      <w:r w:rsidRPr="00EF0015">
        <w:t>under unified command to take all necessary measures to contribute to the</w:t>
      </w:r>
      <w:r w:rsidRPr="00EF0015" w:rsidR="006373BC">
        <w:t xml:space="preserve"> </w:t>
      </w:r>
      <w:r w:rsidRPr="00EF0015">
        <w:t>maintenance of security and stability in Iraq, including for the purpose of ensuring</w:t>
      </w:r>
      <w:r w:rsidRPr="00EF0015" w:rsidR="006373BC">
        <w:t xml:space="preserve"> </w:t>
      </w:r>
      <w:r w:rsidRPr="00EF0015">
        <w:t>necessary conditions for the implementation of the timetable and programme as well</w:t>
      </w:r>
      <w:r w:rsidRPr="00EF0015" w:rsidR="006373BC">
        <w:t xml:space="preserve"> </w:t>
      </w:r>
      <w:r w:rsidRPr="00EF0015">
        <w:t>as to contribute to the security of the United Nations Assistance Mission for Iraq,</w:t>
      </w:r>
      <w:r w:rsidRPr="00EF0015" w:rsidR="006373BC">
        <w:t xml:space="preserve"> </w:t>
      </w:r>
      <w:r w:rsidRPr="00EF0015">
        <w:t>the Governing Council of Iraq and other institutions of the Iraqi interim</w:t>
      </w:r>
      <w:r w:rsidRPr="00EF0015" w:rsidR="006373BC">
        <w:t xml:space="preserve"> </w:t>
      </w:r>
      <w:r w:rsidRPr="00EF0015">
        <w:t>administration, and key humanitarian and economic infrastructure;</w:t>
      </w:r>
    </w:p>
    <w:p w:rsidRPr="00EF0015" w:rsidR="006E71CF" w:rsidP="00166A43" w:rsidRDefault="006E71CF">
      <w:pPr>
        <w:pStyle w:val="JuQuot"/>
      </w:pPr>
      <w:r w:rsidRPr="00EF0015">
        <w:t>14.</w:t>
      </w:r>
      <w:r w:rsidR="00AC3176">
        <w:t>  </w:t>
      </w:r>
      <w:r w:rsidRPr="00EF0015">
        <w:rPr>
          <w:i/>
        </w:rPr>
        <w:t>Urges</w:t>
      </w:r>
      <w:r w:rsidRPr="00EF0015">
        <w:t xml:space="preserve"> </w:t>
      </w:r>
      <w:r w:rsidR="00246A2E">
        <w:t>m</w:t>
      </w:r>
      <w:r w:rsidRPr="00EF0015">
        <w:t>ember States to contribute assistance under this United Nations</w:t>
      </w:r>
      <w:r w:rsidRPr="00EF0015" w:rsidR="006373BC">
        <w:t xml:space="preserve"> </w:t>
      </w:r>
      <w:r w:rsidRPr="00EF0015">
        <w:t xml:space="preserve">mandate, including military forces, to the </w:t>
      </w:r>
      <w:r w:rsidR="00246A2E">
        <w:t>M</w:t>
      </w:r>
      <w:r w:rsidRPr="00EF0015">
        <w:t xml:space="preserve">ultinational </w:t>
      </w:r>
      <w:r w:rsidR="00246A2E">
        <w:t>F</w:t>
      </w:r>
      <w:r w:rsidRPr="00EF0015">
        <w:t>orce referred to in</w:t>
      </w:r>
      <w:r w:rsidRPr="00EF0015" w:rsidR="006373BC">
        <w:t xml:space="preserve"> </w:t>
      </w:r>
      <w:r w:rsidR="00B02D33">
        <w:t>paragraph </w:t>
      </w:r>
      <w:r w:rsidRPr="00EF0015">
        <w:t>13 above;</w:t>
      </w:r>
    </w:p>
    <w:p w:rsidRPr="00EF0015" w:rsidR="006E71CF" w:rsidP="00166A43" w:rsidRDefault="006E71CF">
      <w:pPr>
        <w:pStyle w:val="JuQuot"/>
      </w:pPr>
      <w:r w:rsidRPr="00EF0015">
        <w:t>15.</w:t>
      </w:r>
      <w:r w:rsidR="00AC3176">
        <w:t>  </w:t>
      </w:r>
      <w:r w:rsidRPr="00EF0015">
        <w:rPr>
          <w:i/>
        </w:rPr>
        <w:t>Decides</w:t>
      </w:r>
      <w:r w:rsidRPr="00EF0015">
        <w:t xml:space="preserve"> that the Council shall review the requirements and mission of the</w:t>
      </w:r>
      <w:r w:rsidRPr="00EF0015" w:rsidR="006373BC">
        <w:t xml:space="preserve"> </w:t>
      </w:r>
      <w:r w:rsidR="00246A2E">
        <w:t>M</w:t>
      </w:r>
      <w:r w:rsidRPr="00EF0015">
        <w:t xml:space="preserve">ultinational </w:t>
      </w:r>
      <w:r w:rsidR="00246A2E">
        <w:t>F</w:t>
      </w:r>
      <w:r w:rsidRPr="00EF0015">
        <w:t>orce referred to in paragraph 13 above not later than one year from</w:t>
      </w:r>
      <w:r w:rsidRPr="00EF0015" w:rsidR="006373BC">
        <w:t xml:space="preserve"> </w:t>
      </w:r>
      <w:r w:rsidRPr="00EF0015">
        <w:t xml:space="preserve">the date of this </w:t>
      </w:r>
      <w:r w:rsidR="00246A2E">
        <w:t>R</w:t>
      </w:r>
      <w:r w:rsidRPr="00EF0015">
        <w:t xml:space="preserve">esolution, and that in any case the mandate of the </w:t>
      </w:r>
      <w:r w:rsidR="00246A2E">
        <w:t>F</w:t>
      </w:r>
      <w:r w:rsidRPr="00EF0015">
        <w:t>orce shall expire</w:t>
      </w:r>
      <w:r w:rsidRPr="00EF0015" w:rsidR="006373BC">
        <w:t xml:space="preserve"> </w:t>
      </w:r>
      <w:r w:rsidRPr="00EF0015">
        <w:t>upon the completion of the political process as described in paragraphs 4 through 7</w:t>
      </w:r>
      <w:r w:rsidRPr="00EF0015" w:rsidR="006373BC">
        <w:t xml:space="preserve"> </w:t>
      </w:r>
      <w:r w:rsidRPr="00EF0015">
        <w:t xml:space="preserve">and 10 above, and </w:t>
      </w:r>
      <w:r w:rsidRPr="00D8100E">
        <w:rPr>
          <w:i/>
        </w:rPr>
        <w:t>expresses</w:t>
      </w:r>
      <w:r w:rsidRPr="00EF0015">
        <w:t xml:space="preserve"> readiness to consider on that occasion any future need</w:t>
      </w:r>
      <w:r w:rsidRPr="00EF0015" w:rsidR="006373BC">
        <w:t xml:space="preserve"> </w:t>
      </w:r>
      <w:r w:rsidRPr="00EF0015">
        <w:t xml:space="preserve">for the continuation of the </w:t>
      </w:r>
      <w:r w:rsidR="00246A2E">
        <w:t>M</w:t>
      </w:r>
      <w:r w:rsidRPr="00EF0015">
        <w:t xml:space="preserve">ultinational </w:t>
      </w:r>
      <w:r w:rsidR="00246A2E">
        <w:t>F</w:t>
      </w:r>
      <w:r w:rsidRPr="00EF0015">
        <w:t>orce, taking into account the views of an</w:t>
      </w:r>
      <w:r w:rsidRPr="00EF0015" w:rsidR="006373BC">
        <w:t xml:space="preserve"> </w:t>
      </w:r>
      <w:r w:rsidRPr="00EF0015">
        <w:t>internationally recogni</w:t>
      </w:r>
      <w:r w:rsidR="00246A2E">
        <w:t>s</w:t>
      </w:r>
      <w:r w:rsidRPr="00EF0015">
        <w:t>ed, representative government of Iraq;</w:t>
      </w:r>
    </w:p>
    <w:p w:rsidRPr="00EF0015" w:rsidR="00525558" w:rsidP="00166A43" w:rsidRDefault="00E07594">
      <w:pPr>
        <w:pStyle w:val="JuQuot"/>
      </w:pPr>
      <w:r>
        <w:t>...</w:t>
      </w:r>
    </w:p>
    <w:p w:rsidRPr="00EF0015" w:rsidR="006E71CF" w:rsidP="00166A43" w:rsidRDefault="006E71CF">
      <w:pPr>
        <w:pStyle w:val="JuQuot"/>
      </w:pPr>
      <w:r w:rsidRPr="00EF0015">
        <w:t>25.</w:t>
      </w:r>
      <w:r w:rsidR="00AC3176">
        <w:t>  </w:t>
      </w:r>
      <w:r w:rsidRPr="00EF0015">
        <w:rPr>
          <w:i/>
        </w:rPr>
        <w:t>Requests</w:t>
      </w:r>
      <w:r w:rsidRPr="00EF0015">
        <w:t xml:space="preserve"> that the United States, on behalf of the </w:t>
      </w:r>
      <w:r w:rsidR="00246A2E">
        <w:t>M</w:t>
      </w:r>
      <w:r w:rsidRPr="00EF0015">
        <w:t xml:space="preserve">ultinational </w:t>
      </w:r>
      <w:r w:rsidR="00246A2E">
        <w:t>F</w:t>
      </w:r>
      <w:r w:rsidRPr="00EF0015">
        <w:t>orce as</w:t>
      </w:r>
      <w:r w:rsidRPr="00EF0015" w:rsidR="00525558">
        <w:t xml:space="preserve"> </w:t>
      </w:r>
      <w:r w:rsidRPr="00EF0015">
        <w:t>outlined in paragraph 13 above, report to the Security Council on the efforts and</w:t>
      </w:r>
      <w:r w:rsidRPr="00EF0015" w:rsidR="00525558">
        <w:t xml:space="preserve"> </w:t>
      </w:r>
      <w:r w:rsidRPr="00EF0015">
        <w:t xml:space="preserve">progress of this </w:t>
      </w:r>
      <w:r w:rsidR="00246A2E">
        <w:t>F</w:t>
      </w:r>
      <w:r w:rsidRPr="00EF0015">
        <w:t>orce as appropriate and not less than every six months;</w:t>
      </w:r>
    </w:p>
    <w:p w:rsidRPr="00EF0015" w:rsidR="006E71CF" w:rsidP="00166A43" w:rsidRDefault="006E71CF">
      <w:pPr>
        <w:pStyle w:val="JuQuot"/>
      </w:pPr>
      <w:r w:rsidRPr="00EF0015">
        <w:t>26</w:t>
      </w:r>
      <w:r w:rsidRPr="00EF0015">
        <w:rPr>
          <w:i/>
        </w:rPr>
        <w:t>.</w:t>
      </w:r>
      <w:r w:rsidR="00AC3176">
        <w:rPr>
          <w:i/>
        </w:rPr>
        <w:t>  </w:t>
      </w:r>
      <w:r w:rsidRPr="00EF0015">
        <w:rPr>
          <w:i/>
        </w:rPr>
        <w:t>Decides</w:t>
      </w:r>
      <w:r w:rsidRPr="00EF0015">
        <w:t xml:space="preserve"> to remain sei</w:t>
      </w:r>
      <w:r w:rsidR="00246A2E">
        <w:t>s</w:t>
      </w:r>
      <w:r w:rsidRPr="00EF0015">
        <w:t>ed of the matter.</w:t>
      </w:r>
      <w:r w:rsidRPr="00EF0015" w:rsidR="00525558">
        <w:t>”</w:t>
      </w:r>
    </w:p>
    <w:p w:rsidR="00517406" w:rsidP="005B61A6" w:rsidRDefault="00DE668F">
      <w:pPr>
        <w:pStyle w:val="JuPara"/>
      </w:pPr>
      <w:r w:rsidRPr="00EF0015">
        <w:fldChar w:fldCharType="begin"/>
      </w:r>
      <w:r w:rsidRPr="00EF0015">
        <w:instrText xml:space="preserve"> SEQ level0 \*arabic </w:instrText>
      </w:r>
      <w:r w:rsidRPr="00EF0015">
        <w:fldChar w:fldCharType="separate"/>
      </w:r>
      <w:r w:rsidR="00524A6D">
        <w:rPr>
          <w:noProof/>
        </w:rPr>
        <w:t>17</w:t>
      </w:r>
      <w:r w:rsidRPr="00EF0015">
        <w:fldChar w:fldCharType="end"/>
      </w:r>
      <w:r w:rsidRPr="00EF0015">
        <w:t xml:space="preserve">.  On 8 March 2004 the </w:t>
      </w:r>
      <w:r w:rsidRPr="00EF0015" w:rsidR="00A957EC">
        <w:t>Governing Council of Iraq</w:t>
      </w:r>
      <w:r w:rsidRPr="00EF0015">
        <w:t xml:space="preserve"> promulgated the Law of Administration for the State of Iraq for the Transitional Period (known as the “Transitional Administrative Law”). This provided a temporary legal framework for the administration of Iraq for the transitional period which was due to commence by 30 June 2004 with the establishment of an interim Iraqi government and the dissolution of the </w:t>
      </w:r>
      <w:r w:rsidR="00246A2E">
        <w:t>CPA.</w:t>
      </w:r>
    </w:p>
    <w:p w:rsidRPr="005B61A6" w:rsidR="007A2B22" w:rsidP="005B61A6" w:rsidRDefault="00265A0D">
      <w:pPr>
        <w:pStyle w:val="JuPara"/>
      </w:pPr>
      <w:r>
        <w:fldChar w:fldCharType="begin"/>
      </w:r>
      <w:r>
        <w:instrText xml:space="preserve"> SEQ level0 \*arabic </w:instrText>
      </w:r>
      <w:r>
        <w:fldChar w:fldCharType="separate"/>
      </w:r>
      <w:r w:rsidR="00524A6D">
        <w:rPr>
          <w:noProof/>
        </w:rPr>
        <w:t>18</w:t>
      </w:r>
      <w:r>
        <w:fldChar w:fldCharType="end"/>
      </w:r>
      <w:r>
        <w:t>.  </w:t>
      </w:r>
      <w:r w:rsidR="007A2B22">
        <w:t>Provision for the new regime was made in United Nations Security Council Resolution 1546, adopted on 8 June 2004</w:t>
      </w:r>
      <w:r w:rsidR="005B61A6">
        <w:t>, which provided</w:t>
      </w:r>
      <w:r w:rsidR="00246A2E">
        <w:t>,</w:t>
      </w:r>
      <w:r w:rsidR="005B61A6">
        <w:t xml:space="preserve"> </w:t>
      </w:r>
      <w:r w:rsidR="005B61A6">
        <w:rPr>
          <w:i/>
        </w:rPr>
        <w:t>inter alia</w:t>
      </w:r>
      <w:r w:rsidRPr="00D8100E" w:rsidR="005B61A6">
        <w:t>,</w:t>
      </w:r>
      <w:r w:rsidR="005B61A6">
        <w:rPr>
          <w:i/>
        </w:rPr>
        <w:t xml:space="preserve"> </w:t>
      </w:r>
      <w:r w:rsidR="005B61A6">
        <w:t xml:space="preserve">that the Security Council, acting under Chapter VII of the </w:t>
      </w:r>
      <w:r w:rsidR="00246A2E">
        <w:t xml:space="preserve">Charter of the </w:t>
      </w:r>
      <w:r w:rsidR="005B61A6">
        <w:t>United Nations</w:t>
      </w:r>
      <w:r w:rsidR="00246A2E">
        <w:t>:</w:t>
      </w:r>
    </w:p>
    <w:p w:rsidR="007A2B22" w:rsidP="007A2B22" w:rsidRDefault="005B61A6">
      <w:pPr>
        <w:pStyle w:val="JuQuot"/>
      </w:pPr>
      <w:r>
        <w:t>“</w:t>
      </w:r>
      <w:r w:rsidR="007A2B22">
        <w:t>1.</w:t>
      </w:r>
      <w:r w:rsidR="00AC3176">
        <w:t>  </w:t>
      </w:r>
      <w:r w:rsidRPr="005C7A84" w:rsidR="007A2B22">
        <w:rPr>
          <w:i/>
        </w:rPr>
        <w:t>Endorses</w:t>
      </w:r>
      <w:r w:rsidR="007A2B22">
        <w:t xml:space="preserve"> the formation of a sovereign </w:t>
      </w:r>
      <w:r w:rsidR="00246A2E">
        <w:t>i</w:t>
      </w:r>
      <w:r w:rsidR="007A2B22">
        <w:t xml:space="preserve">nterim </w:t>
      </w:r>
      <w:r w:rsidR="00246A2E">
        <w:t>g</w:t>
      </w:r>
      <w:r w:rsidR="007A2B22">
        <w:t>overnment of Iraq, as presented on 1 June 2004, which will assume full res</w:t>
      </w:r>
      <w:r w:rsidR="00B02D33">
        <w:t xml:space="preserve">ponsibility and authority by 30 </w:t>
      </w:r>
      <w:r w:rsidR="007A2B22">
        <w:t>June 2004 for governing Iraq while refraining from taking any actions affecting Iraq</w:t>
      </w:r>
      <w:r w:rsidR="008570E8">
        <w:t>’</w:t>
      </w:r>
      <w:r w:rsidR="007A2B22">
        <w:t xml:space="preserve">s destiny beyond the limited interim period until an elected </w:t>
      </w:r>
      <w:r w:rsidR="009C3EE0">
        <w:t>t</w:t>
      </w:r>
      <w:r w:rsidR="007A2B22">
        <w:t xml:space="preserve">ransitional </w:t>
      </w:r>
      <w:r w:rsidR="009C3EE0">
        <w:t>g</w:t>
      </w:r>
      <w:r w:rsidR="007A2B22">
        <w:t xml:space="preserve">overnment of Iraq assumes office as envisaged in paragraph </w:t>
      </w:r>
      <w:r w:rsidR="009C3EE0">
        <w:t>4</w:t>
      </w:r>
      <w:r w:rsidR="007A2B22">
        <w:t xml:space="preserve"> below;</w:t>
      </w:r>
    </w:p>
    <w:p w:rsidR="007A2B22" w:rsidP="007A2B22" w:rsidRDefault="007A2B22">
      <w:pPr>
        <w:pStyle w:val="JuQuot"/>
      </w:pPr>
      <w:r>
        <w:t>2.</w:t>
      </w:r>
      <w:r w:rsidR="00AC3176">
        <w:t>  </w:t>
      </w:r>
      <w:r w:rsidRPr="005C7A84">
        <w:rPr>
          <w:i/>
        </w:rPr>
        <w:t>Welcomes</w:t>
      </w:r>
      <w:r>
        <w:t xml:space="preserve"> that, also by 30 June 2004, the occupation will end and the Coalition Provisional Authority will cease to exist, and that Iraq will reassert its full sovereignty;</w:t>
      </w:r>
    </w:p>
    <w:p w:rsidR="005B61A6" w:rsidP="007A2B22" w:rsidRDefault="00E07594">
      <w:pPr>
        <w:pStyle w:val="JuQuot"/>
      </w:pPr>
      <w:r>
        <w:t>...</w:t>
      </w:r>
    </w:p>
    <w:p w:rsidR="007A2B22" w:rsidP="007A2B22" w:rsidRDefault="007A2B22">
      <w:pPr>
        <w:pStyle w:val="JuQuot"/>
      </w:pPr>
      <w:r>
        <w:t>8.</w:t>
      </w:r>
      <w:r w:rsidR="00AC3176">
        <w:t>  </w:t>
      </w:r>
      <w:r w:rsidRPr="005C7A84">
        <w:rPr>
          <w:i/>
        </w:rPr>
        <w:t>Welcomes</w:t>
      </w:r>
      <w:r>
        <w:rPr>
          <w:i/>
        </w:rPr>
        <w:t xml:space="preserve"> </w:t>
      </w:r>
      <w:r>
        <w:t xml:space="preserve">ongoing efforts by the incoming </w:t>
      </w:r>
      <w:r w:rsidR="00CA590A">
        <w:t>i</w:t>
      </w:r>
      <w:r>
        <w:t xml:space="preserve">nterim </w:t>
      </w:r>
      <w:r w:rsidR="00CA590A">
        <w:t>g</w:t>
      </w:r>
      <w:r>
        <w:t xml:space="preserve">overnment of Iraq to develop Iraqi security forces including the Iraqi armed forces (hereinafter referred to as </w:t>
      </w:r>
      <w:r w:rsidR="008570E8">
        <w:t>‘</w:t>
      </w:r>
      <w:r>
        <w:t>Iraqi security forces</w:t>
      </w:r>
      <w:r w:rsidR="008570E8">
        <w:t>’</w:t>
      </w:r>
      <w:r>
        <w:t xml:space="preserve">), operating under the authority of the </w:t>
      </w:r>
      <w:r w:rsidR="00CA590A">
        <w:t>i</w:t>
      </w:r>
      <w:r>
        <w:t xml:space="preserve">nterim </w:t>
      </w:r>
      <w:r w:rsidR="00CA590A">
        <w:t>g</w:t>
      </w:r>
      <w:r>
        <w:t>overnment of Iraq and its successors, which will progressively play a greater role and ultimately assume full responsibility for the maintenance of security and stability in Iraq;</w:t>
      </w:r>
    </w:p>
    <w:p w:rsidR="007A2B22" w:rsidP="007A2B22" w:rsidRDefault="007A2B22">
      <w:pPr>
        <w:pStyle w:val="JuQuot"/>
      </w:pPr>
      <w:r>
        <w:t>9.</w:t>
      </w:r>
      <w:r w:rsidR="00AC3176">
        <w:t>  </w:t>
      </w:r>
      <w:r w:rsidRPr="005C7A84">
        <w:rPr>
          <w:i/>
        </w:rPr>
        <w:t>Notes</w:t>
      </w:r>
      <w:r>
        <w:t xml:space="preserve"> that the presence of the </w:t>
      </w:r>
      <w:r w:rsidR="00CB634A">
        <w:t>M</w:t>
      </w:r>
      <w:r>
        <w:t xml:space="preserve">ultinational </w:t>
      </w:r>
      <w:r w:rsidR="00CB634A">
        <w:t>F</w:t>
      </w:r>
      <w:r>
        <w:t xml:space="preserve">orce in Iraq is at the request of the incoming </w:t>
      </w:r>
      <w:r w:rsidR="00CB634A">
        <w:t>i</w:t>
      </w:r>
      <w:r>
        <w:t xml:space="preserve">nterim </w:t>
      </w:r>
      <w:r w:rsidR="00CB634A">
        <w:t>g</w:t>
      </w:r>
      <w:r>
        <w:t xml:space="preserve">overnment of Iraq and therefore </w:t>
      </w:r>
      <w:r w:rsidRPr="005C7A84">
        <w:rPr>
          <w:i/>
        </w:rPr>
        <w:t>reaffirms</w:t>
      </w:r>
      <w:r>
        <w:t xml:space="preserve"> the authori</w:t>
      </w:r>
      <w:r w:rsidR="00CB634A">
        <w:t>s</w:t>
      </w:r>
      <w:r>
        <w:t xml:space="preserve">ation for the </w:t>
      </w:r>
      <w:r w:rsidR="00CB634A">
        <w:t>M</w:t>
      </w:r>
      <w:r>
        <w:t xml:space="preserve">ultinational </w:t>
      </w:r>
      <w:r w:rsidR="00CB634A">
        <w:t>F</w:t>
      </w:r>
      <w:r>
        <w:t xml:space="preserve">orce under unified command established under </w:t>
      </w:r>
      <w:r w:rsidR="00CB634A">
        <w:t>R</w:t>
      </w:r>
      <w:r>
        <w:t xml:space="preserve">esolution 1511 (2003), having regard to the letters annexed to this </w:t>
      </w:r>
      <w:r w:rsidR="00CB634A">
        <w:t>R</w:t>
      </w:r>
      <w:r>
        <w:t>esolution;</w:t>
      </w:r>
    </w:p>
    <w:p w:rsidR="008570E8" w:rsidP="007A2B22" w:rsidRDefault="007A2B22">
      <w:pPr>
        <w:pStyle w:val="JuQuot"/>
      </w:pPr>
      <w:r>
        <w:t>10.</w:t>
      </w:r>
      <w:r w:rsidR="00AC3176">
        <w:t>  </w:t>
      </w:r>
      <w:r w:rsidRPr="005C7A84">
        <w:rPr>
          <w:i/>
        </w:rPr>
        <w:t>Decides</w:t>
      </w:r>
      <w:r>
        <w:t xml:space="preserve"> that the </w:t>
      </w:r>
      <w:r w:rsidR="00CB634A">
        <w:t>M</w:t>
      </w:r>
      <w:r>
        <w:t xml:space="preserve">ultinational </w:t>
      </w:r>
      <w:r w:rsidR="00CB634A">
        <w:t>F</w:t>
      </w:r>
      <w:r>
        <w:t xml:space="preserve">orce shall have the authority to take all necessary measures to contribute to the maintenance of security and stability in Iraq in accordance with the letters annexed to this </w:t>
      </w:r>
      <w:r w:rsidR="00CB634A">
        <w:t>R</w:t>
      </w:r>
      <w:r>
        <w:t>esolution expressing</w:t>
      </w:r>
      <w:r w:rsidRPr="00363EAE">
        <w:t xml:space="preserve">, </w:t>
      </w:r>
      <w:r w:rsidRPr="00D8100E">
        <w:rPr>
          <w:i/>
        </w:rPr>
        <w:t>inter alia</w:t>
      </w:r>
      <w:r>
        <w:t xml:space="preserve">, the Iraqi request for the continued presence of the </w:t>
      </w:r>
      <w:r w:rsidR="00CB634A">
        <w:t>M</w:t>
      </w:r>
      <w:r>
        <w:t xml:space="preserve">ultinational </w:t>
      </w:r>
      <w:r w:rsidR="00CB634A">
        <w:t>F</w:t>
      </w:r>
      <w:r>
        <w:t xml:space="preserve">orce and setting out its tasks, including by preventing and deterring terrorism, so that, </w:t>
      </w:r>
      <w:r w:rsidRPr="00D8100E">
        <w:rPr>
          <w:i/>
        </w:rPr>
        <w:t>inter alia</w:t>
      </w:r>
      <w:r>
        <w:t xml:space="preserve">, the United Nations can fulfil its role in assisting the Iraqi people as outlined in paragraph </w:t>
      </w:r>
      <w:r w:rsidR="00CB634A">
        <w:t>7</w:t>
      </w:r>
      <w:r>
        <w:t xml:space="preserve"> above and the Iraqi people can implement freely and without intimidation the timetable and programme for the political process and benefit from reconstruction and rehabilitation activities;</w:t>
      </w:r>
    </w:p>
    <w:p w:rsidR="005B61A6" w:rsidP="007A2B22" w:rsidRDefault="00E07594">
      <w:pPr>
        <w:pStyle w:val="JuQuot"/>
      </w:pPr>
      <w:r>
        <w:t>...</w:t>
      </w:r>
      <w:r w:rsidR="005B61A6">
        <w:t>”</w:t>
      </w:r>
    </w:p>
    <w:p w:rsidRPr="00EF0015" w:rsidR="00627E94" w:rsidP="00627E94" w:rsidRDefault="00405921">
      <w:pPr>
        <w:pStyle w:val="JuH1"/>
      </w:pPr>
      <w:bookmarkStart w:name="_Toc275785569" w:id="27"/>
      <w:bookmarkStart w:name="_Toc289765856" w:id="28"/>
      <w:bookmarkStart w:name="_Toc289868945" w:id="29"/>
      <w:bookmarkStart w:name="_Toc297210641" w:id="30"/>
      <w:r>
        <w:t>6.  </w:t>
      </w:r>
      <w:r w:rsidRPr="00EF0015" w:rsidR="00627E94">
        <w:t xml:space="preserve">The </w:t>
      </w:r>
      <w:bookmarkEnd w:id="27"/>
      <w:bookmarkEnd w:id="28"/>
      <w:r w:rsidR="00D36629">
        <w:t xml:space="preserve">transfer of authority to the </w:t>
      </w:r>
      <w:r w:rsidR="00E67826">
        <w:t xml:space="preserve">Iraqi </w:t>
      </w:r>
      <w:r w:rsidR="00CB634A">
        <w:t>i</w:t>
      </w:r>
      <w:r w:rsidR="00D36629">
        <w:t xml:space="preserve">nterim </w:t>
      </w:r>
      <w:r w:rsidR="00CB634A">
        <w:t>g</w:t>
      </w:r>
      <w:r w:rsidR="00D36629">
        <w:t>overnment</w:t>
      </w:r>
      <w:bookmarkEnd w:id="29"/>
      <w:bookmarkEnd w:id="30"/>
    </w:p>
    <w:p w:rsidR="00C81668" w:rsidP="00DE668F" w:rsidRDefault="00DE668F">
      <w:pPr>
        <w:pStyle w:val="JuPara"/>
      </w:pPr>
      <w:r w:rsidRPr="00EF0015">
        <w:fldChar w:fldCharType="begin"/>
      </w:r>
      <w:r w:rsidRPr="00EF0015">
        <w:instrText xml:space="preserve"> SEQ level0 \*arabic </w:instrText>
      </w:r>
      <w:r w:rsidRPr="00EF0015">
        <w:fldChar w:fldCharType="separate"/>
      </w:r>
      <w:r w:rsidR="00524A6D">
        <w:rPr>
          <w:noProof/>
        </w:rPr>
        <w:t>19</w:t>
      </w:r>
      <w:r w:rsidRPr="00EF0015">
        <w:fldChar w:fldCharType="end"/>
      </w:r>
      <w:r w:rsidRPr="00EF0015">
        <w:t xml:space="preserve">.  On 28 June 2004 full authority was transferred from the </w:t>
      </w:r>
      <w:r w:rsidR="00CB634A">
        <w:t>CPA</w:t>
      </w:r>
      <w:r w:rsidRPr="00EF0015">
        <w:t xml:space="preserve"> to the </w:t>
      </w:r>
      <w:r w:rsidR="00E67826">
        <w:t xml:space="preserve">Iraqi </w:t>
      </w:r>
      <w:r w:rsidR="00CB634A">
        <w:t>i</w:t>
      </w:r>
      <w:r w:rsidRPr="00EF0015">
        <w:t xml:space="preserve">nterim </w:t>
      </w:r>
      <w:r w:rsidR="00CB634A">
        <w:t>g</w:t>
      </w:r>
      <w:r w:rsidRPr="00EF0015">
        <w:t xml:space="preserve">overnment and the </w:t>
      </w:r>
      <w:r w:rsidR="00CB634A">
        <w:t>CPA</w:t>
      </w:r>
      <w:r w:rsidRPr="00EF0015">
        <w:t xml:space="preserve"> ceased to exist. Subsequently</w:t>
      </w:r>
      <w:r w:rsidR="00CB634A">
        <w:t>,</w:t>
      </w:r>
      <w:r w:rsidRPr="00EF0015">
        <w:t xml:space="preserve"> the </w:t>
      </w:r>
      <w:r w:rsidRPr="00EF0015" w:rsidR="00DB5662">
        <w:t>Multi</w:t>
      </w:r>
      <w:r w:rsidR="00CB634A">
        <w:t>n</w:t>
      </w:r>
      <w:r w:rsidRPr="00EF0015" w:rsidR="00DB5662">
        <w:t>ational Force</w:t>
      </w:r>
      <w:r w:rsidRPr="00EF0015">
        <w:t xml:space="preserve">, including the British forces forming part of it, remained in Iraq pursuant to requests by the Iraqi </w:t>
      </w:r>
      <w:r w:rsidR="00CB634A">
        <w:t>g</w:t>
      </w:r>
      <w:r w:rsidRPr="00EF0015">
        <w:t xml:space="preserve">overnment and authorisations from the </w:t>
      </w:r>
      <w:r w:rsidRPr="00EF0015" w:rsidR="00F12FE2">
        <w:t>United Nations Security Council</w:t>
      </w:r>
      <w:r w:rsidRPr="00EF0015">
        <w:t>.</w:t>
      </w:r>
    </w:p>
    <w:p w:rsidRPr="00EF0015" w:rsidR="00B32557" w:rsidP="003F091B" w:rsidRDefault="00405921">
      <w:pPr>
        <w:pStyle w:val="JuHAA"/>
      </w:pPr>
      <w:bookmarkStart w:name="_Toc289868946" w:id="31"/>
      <w:bookmarkStart w:name="_Toc297210642" w:id="32"/>
      <w:r>
        <w:t>B.  </w:t>
      </w:r>
      <w:r w:rsidRPr="00EF0015" w:rsidR="00B077B1">
        <w:t xml:space="preserve">United Kingdom </w:t>
      </w:r>
      <w:r w:rsidRPr="00EF0015" w:rsidR="00DB6392">
        <w:t>armed forces</w:t>
      </w:r>
      <w:r w:rsidRPr="00EF0015" w:rsidR="00B077B1">
        <w:t xml:space="preserve"> </w:t>
      </w:r>
      <w:r w:rsidR="00D36629">
        <w:t xml:space="preserve">in Iraq </w:t>
      </w:r>
      <w:r w:rsidR="00CB634A">
        <w:t xml:space="preserve">from </w:t>
      </w:r>
      <w:r w:rsidR="00D36629">
        <w:t>May 2003</w:t>
      </w:r>
      <w:r w:rsidR="00550F6D">
        <w:t xml:space="preserve"> to </w:t>
      </w:r>
      <w:r w:rsidR="00CB634A">
        <w:t>June </w:t>
      </w:r>
      <w:r w:rsidR="00D36629">
        <w:t>2004</w:t>
      </w:r>
      <w:bookmarkEnd w:id="31"/>
      <w:bookmarkEnd w:id="32"/>
    </w:p>
    <w:p w:rsidRPr="00EF0015" w:rsidR="00E9677D" w:rsidP="00E9677D" w:rsidRDefault="00E9677D">
      <w:pPr>
        <w:pStyle w:val="JuPara"/>
      </w:pPr>
      <w:r w:rsidRPr="00EF0015">
        <w:fldChar w:fldCharType="begin"/>
      </w:r>
      <w:r w:rsidRPr="00EF0015">
        <w:instrText xml:space="preserve"> SEQ level0 \*arabic </w:instrText>
      </w:r>
      <w:r w:rsidRPr="00EF0015">
        <w:fldChar w:fldCharType="separate"/>
      </w:r>
      <w:r w:rsidR="00524A6D">
        <w:rPr>
          <w:noProof/>
        </w:rPr>
        <w:t>20</w:t>
      </w:r>
      <w:r w:rsidRPr="00EF0015">
        <w:fldChar w:fldCharType="end"/>
      </w:r>
      <w:r w:rsidRPr="00EF0015">
        <w:t xml:space="preserve">.  During </w:t>
      </w:r>
      <w:r w:rsidR="00D36629">
        <w:t>this period</w:t>
      </w:r>
      <w:r w:rsidR="00CB634A">
        <w:t>,</w:t>
      </w:r>
      <w:r w:rsidRPr="00EF0015">
        <w:t xml:space="preserve"> the Coalition Forces consisted of six divisions that were under the overall command of </w:t>
      </w:r>
      <w:r w:rsidR="00B056AD">
        <w:t>US</w:t>
      </w:r>
      <w:r w:rsidRPr="00EF0015">
        <w:t xml:space="preserve"> generals. Four were </w:t>
      </w:r>
      <w:r w:rsidR="00B056AD">
        <w:t>US</w:t>
      </w:r>
      <w:r w:rsidRPr="00EF0015">
        <w:t xml:space="preserve"> divisions and two were multinational. Each division was given responsibility for a particular geographical area </w:t>
      </w:r>
      <w:r w:rsidR="00B056AD">
        <w:t>of</w:t>
      </w:r>
      <w:r w:rsidRPr="00EF0015">
        <w:t xml:space="preserve"> Iraq. The United Kingdom was given command of the Multinational Division (South</w:t>
      </w:r>
      <w:r w:rsidR="00B056AD">
        <w:t>-</w:t>
      </w:r>
      <w:r w:rsidRPr="00EF0015">
        <w:t>East)</w:t>
      </w:r>
      <w:r w:rsidRPr="00EF0015" w:rsidR="00DB5662">
        <w:t>,</w:t>
      </w:r>
      <w:r w:rsidRPr="00EF0015">
        <w:t xml:space="preserve"> which comprised the provinces of </w:t>
      </w:r>
      <w:r w:rsidR="00C01416">
        <w:t>Basra, Maysan, Thi Qar and Al</w:t>
      </w:r>
      <w:r w:rsidR="00C01416">
        <w:noBreakHyphen/>
      </w:r>
      <w:r w:rsidRPr="00EF0015">
        <w:t xml:space="preserve">Muthanna, </w:t>
      </w:r>
      <w:r w:rsidRPr="00EF0015" w:rsidR="007B69E1">
        <w:t>an area of 96,000 square kilometres with a population of 4.6</w:t>
      </w:r>
      <w:r w:rsidR="00265A0D">
        <w:t> </w:t>
      </w:r>
      <w:r w:rsidRPr="00EF0015" w:rsidR="007B69E1">
        <w:t xml:space="preserve">million. There were 14,500 Coalition troops, including 8,150 United Kingdom troops, stationed in </w:t>
      </w:r>
      <w:r w:rsidR="00B056AD">
        <w:t xml:space="preserve">the </w:t>
      </w:r>
      <w:r w:rsidRPr="00EF0015" w:rsidR="00DB5662">
        <w:t>Multinational Division (South</w:t>
      </w:r>
      <w:r w:rsidR="00B056AD">
        <w:t>-</w:t>
      </w:r>
      <w:r w:rsidRPr="00EF0015" w:rsidR="00DB5662">
        <w:t>East)</w:t>
      </w:r>
      <w:r w:rsidRPr="00EF0015" w:rsidR="00E31E0F">
        <w:t>.</w:t>
      </w:r>
      <w:r w:rsidR="00405921">
        <w:t xml:space="preserve"> </w:t>
      </w:r>
      <w:r w:rsidRPr="00EF0015">
        <w:t xml:space="preserve">The main theatre for operations by United Kingdom forces in </w:t>
      </w:r>
      <w:r w:rsidR="002F4D43">
        <w:t xml:space="preserve">the </w:t>
      </w:r>
      <w:r w:rsidRPr="00EF0015" w:rsidR="00DB5662">
        <w:t>Multinational Division (South</w:t>
      </w:r>
      <w:r w:rsidR="00B056AD">
        <w:t>-</w:t>
      </w:r>
      <w:r w:rsidRPr="00EF0015" w:rsidR="00DB5662">
        <w:t xml:space="preserve">East) </w:t>
      </w:r>
      <w:r w:rsidRPr="00EF0015">
        <w:t xml:space="preserve">were the Basra and Maysan provinces, with a total population of about </w:t>
      </w:r>
      <w:r w:rsidRPr="00EF0015" w:rsidR="00E31E0F">
        <w:t>2.75 million people. Just over 8,000 British troops were deployed there, of whom just over 5,000 had operational responsibilities.</w:t>
      </w:r>
    </w:p>
    <w:p w:rsidRPr="00EF0015" w:rsidR="00E9677D" w:rsidP="00B077B1" w:rsidRDefault="00E9677D">
      <w:pPr>
        <w:pStyle w:val="JuPara"/>
      </w:pPr>
      <w:r w:rsidRPr="00EF0015">
        <w:fldChar w:fldCharType="begin"/>
      </w:r>
      <w:r w:rsidRPr="00EF0015">
        <w:instrText xml:space="preserve"> SEQ level0 \*arabic </w:instrText>
      </w:r>
      <w:r w:rsidRPr="00EF0015">
        <w:fldChar w:fldCharType="separate"/>
      </w:r>
      <w:r w:rsidR="00524A6D">
        <w:rPr>
          <w:noProof/>
        </w:rPr>
        <w:t>21</w:t>
      </w:r>
      <w:r w:rsidRPr="00EF0015">
        <w:fldChar w:fldCharType="end"/>
      </w:r>
      <w:r w:rsidRPr="00EF0015">
        <w:t xml:space="preserve">.  From 1 May 2003 onwards British forces in Iraq carried out two main functions. The first was to maintain security in the </w:t>
      </w:r>
      <w:r w:rsidRPr="00EF0015" w:rsidR="00DB5662">
        <w:t>Multinational Division (South</w:t>
      </w:r>
      <w:r w:rsidR="008175AD">
        <w:t>-</w:t>
      </w:r>
      <w:r w:rsidRPr="00EF0015" w:rsidR="00DB5662">
        <w:t>East)</w:t>
      </w:r>
      <w:r w:rsidRPr="00EF0015">
        <w:t xml:space="preserve"> area, in particular in </w:t>
      </w:r>
      <w:r w:rsidR="002F4D43">
        <w:t xml:space="preserve">the </w:t>
      </w:r>
      <w:r w:rsidRPr="00EF0015">
        <w:t xml:space="preserve">Basra and Maysan provinces. The principal security task was the effort to re-establish the Iraqi security forces, including the Iraqi police. Other tasks included patrols, arrests, anti-terrorist operations, policing of civil demonstrations, protection of essential utilities and infrastructure and protecting police stations. The second main function of </w:t>
      </w:r>
      <w:r w:rsidR="008175AD">
        <w:t xml:space="preserve">the </w:t>
      </w:r>
      <w:r w:rsidRPr="00EF0015">
        <w:t xml:space="preserve">British troops </w:t>
      </w:r>
      <w:r w:rsidRPr="00EF0015" w:rsidR="00DC5448">
        <w:t>was</w:t>
      </w:r>
      <w:r w:rsidRPr="00EF0015">
        <w:t xml:space="preserve"> the support of the civil administration in Iraq in a variety of ways, from liaison with the </w:t>
      </w:r>
      <w:r w:rsidR="008175AD">
        <w:t>CPA</w:t>
      </w:r>
      <w:r w:rsidRPr="00EF0015">
        <w:t xml:space="preserve"> and </w:t>
      </w:r>
      <w:r w:rsidRPr="00EF0015" w:rsidR="00A957EC">
        <w:t>Governing Council of Iraq</w:t>
      </w:r>
      <w:r w:rsidRPr="00EF0015">
        <w:t xml:space="preserve"> and local government, to assisting with the rebuilding of the infrastructure.</w:t>
      </w:r>
    </w:p>
    <w:p w:rsidRPr="00EF0015" w:rsidR="006E77DC" w:rsidP="00B077B1" w:rsidRDefault="006E77DC">
      <w:pPr>
        <w:pStyle w:val="JuPara"/>
      </w:pPr>
      <w:r w:rsidRPr="00EF0015">
        <w:fldChar w:fldCharType="begin"/>
      </w:r>
      <w:r w:rsidRPr="00EF0015">
        <w:instrText xml:space="preserve"> SEQ level0 \*arabic </w:instrText>
      </w:r>
      <w:r w:rsidRPr="00EF0015">
        <w:fldChar w:fldCharType="separate"/>
      </w:r>
      <w:r w:rsidR="00524A6D">
        <w:rPr>
          <w:noProof/>
        </w:rPr>
        <w:t>22</w:t>
      </w:r>
      <w:r w:rsidRPr="00EF0015">
        <w:fldChar w:fldCharType="end"/>
      </w:r>
      <w:r w:rsidRPr="00EF0015">
        <w:t xml:space="preserve">.  In the Aitken Report (see paragraph </w:t>
      </w:r>
      <w:r w:rsidR="00D36629">
        <w:t>69</w:t>
      </w:r>
      <w:r w:rsidRPr="00EF0015">
        <w:t xml:space="preserve"> below), prepared on behalf of the Army Chief of General Staff, the post-conflict situation in Iraq </w:t>
      </w:r>
      <w:r w:rsidRPr="00EF0015" w:rsidR="003C33D6">
        <w:t xml:space="preserve">was described </w:t>
      </w:r>
      <w:r w:rsidRPr="00EF0015">
        <w:t>as follows:</w:t>
      </w:r>
    </w:p>
    <w:p w:rsidRPr="00EF0015" w:rsidR="006E77DC" w:rsidP="00EA130A" w:rsidRDefault="006E77DC">
      <w:pPr>
        <w:pStyle w:val="JuQuot"/>
      </w:pPr>
      <w:r w:rsidRPr="00EF0015">
        <w:t xml:space="preserve">“The context in which operations have been conducted in Iraq has been exceptionally complex. It is not for this report to comment on the </w:t>
      </w:r>
      <w:r w:rsidRPr="00D8100E">
        <w:rPr>
          <w:i/>
        </w:rPr>
        <w:t>jus ad bellum</w:t>
      </w:r>
      <w:r w:rsidRPr="00EF0015">
        <w:t xml:space="preserve"> aspects of the operation, nor of the public</w:t>
      </w:r>
      <w:r w:rsidR="008570E8">
        <w:t>’</w:t>
      </w:r>
      <w:r w:rsidRPr="00EF0015">
        <w:t>s opinions of the invasion. It is, however, important to note that the Alliance</w:t>
      </w:r>
      <w:r w:rsidR="008570E8">
        <w:t>’</w:t>
      </w:r>
      <w:r w:rsidRPr="00EF0015">
        <w:t>s post-invasion plans concentrated more on the relief of a humanitarian disaster (which did not, in the event, occur on anything like the scale that had been anticipated), and less on the criminal activity and subsequent insurgency that actually took place. One consequence of that was that we had insufficient troops in theatre to deal effectively with the situation in which we found ourselves. Peace support operations require significantly larger numbers of troops to impose law and order than are required for prosecuting a war: ours were very thinly spread on the ground. In his investigation (in April 2005) of the Breadbasket incident [alleged abuse of Iraqis detained on suspicion of looting humanitarian aid stores], Brigadier Carter described conditions in Iraq thus:</w:t>
      </w:r>
    </w:p>
    <w:p w:rsidRPr="00EF0015" w:rsidR="006E77DC" w:rsidP="006E77DC" w:rsidRDefault="008570E8">
      <w:pPr>
        <w:pStyle w:val="JuQuot"/>
        <w:ind w:left="567"/>
      </w:pPr>
      <w:r>
        <w:t>‘</w:t>
      </w:r>
      <w:r w:rsidR="00E07594">
        <w:t>...</w:t>
      </w:r>
      <w:r w:rsidR="00405921">
        <w:t xml:space="preserve"> </w:t>
      </w:r>
      <w:r w:rsidRPr="00EF0015" w:rsidR="006E77DC">
        <w:t xml:space="preserve">May 2003, some </w:t>
      </w:r>
      <w:r w:rsidR="00DA6A59">
        <w:t>four</w:t>
      </w:r>
      <w:r w:rsidRPr="00EF0015" w:rsidR="006E77DC">
        <w:t xml:space="preserve"> weeks or so after British </w:t>
      </w:r>
      <w:r w:rsidR="00DA6A59">
        <w:t>f</w:t>
      </w:r>
      <w:r w:rsidRPr="00EF0015" w:rsidR="006E77DC">
        <w:t xml:space="preserve">orces had started to begin the transition from offensive operations to stabilisation. The situation was fluid. Battlegroups had been given geographic areas of responsibility based generally around their initial tactical objectives. Combat operations had officially ended, and </w:t>
      </w:r>
      <w:r w:rsidR="000855BD">
        <w:t xml:space="preserve">[the] </w:t>
      </w:r>
      <w:r w:rsidRPr="00EF0015" w:rsidR="006E77DC">
        <w:t xml:space="preserve">rules of engagement had changed to reflect this, but there was a rising trend of shooting incidents. Although these were principally between Iraqis, seeking to settle old scores or involved in criminal activity, there were early indications that the threat to British soldiers was developing </w:t>
      </w:r>
      <w:r w:rsidR="00E07594">
        <w:t>...</w:t>
      </w:r>
      <w:r w:rsidRPr="00EF0015" w:rsidR="006E77DC">
        <w:t xml:space="preserve"> The structure of the British </w:t>
      </w:r>
      <w:r w:rsidR="00DA6A59">
        <w:t>f</w:t>
      </w:r>
      <w:r w:rsidRPr="00EF0015" w:rsidR="006E77DC">
        <w:t xml:space="preserve">orces was changing. Many of the heavier capabilities that had been required for the invasion were now being sent home. Some </w:t>
      </w:r>
      <w:r w:rsidR="00524A6D">
        <w:t>f</w:t>
      </w:r>
      <w:r w:rsidRPr="00EF0015" w:rsidR="006E77DC">
        <w:t xml:space="preserve">orce elements were required for operations elsewhere, and there was pressure from the UK to downsize quickly to more sustainable numbers </w:t>
      </w:r>
      <w:r w:rsidR="00E07594">
        <w:t>...</w:t>
      </w:r>
      <w:r w:rsidRPr="00EF0015" w:rsidR="006E77DC">
        <w:t xml:space="preserve"> Local attitudes were also changing. Initially ecstatic with happiness, the formerly downtrodden Shia population in and around Basra had become suspicious, and by the middle of May people were frustrated. Aspirations and expectations were not being met. There was no Iraqi administration or governance. Fuel and potable water were in short supply, electricity was intermittent, and the hospitals were full of wounded from the combat operations phase. Bridges and key routes had been destroyed by Coalition bombing. Law and order had completely collapsed. The Iraqi </w:t>
      </w:r>
      <w:r w:rsidR="00DA6A59">
        <w:t>p</w:t>
      </w:r>
      <w:r w:rsidRPr="00EF0015" w:rsidR="006E77DC">
        <w:t xml:space="preserve">olice </w:t>
      </w:r>
      <w:r w:rsidR="00DA6A59">
        <w:t>s</w:t>
      </w:r>
      <w:r w:rsidRPr="00EF0015" w:rsidR="006E77DC">
        <w:t xml:space="preserve">ervice had melted away; the few security guards who remained were old and incapable; and the Iraqi </w:t>
      </w:r>
      <w:r w:rsidR="00DA6A59">
        <w:t>a</w:t>
      </w:r>
      <w:r w:rsidRPr="00EF0015" w:rsidR="006E77DC">
        <w:t xml:space="preserve">rmed </w:t>
      </w:r>
      <w:r w:rsidR="00DA6A59">
        <w:t>f</w:t>
      </w:r>
      <w:r w:rsidRPr="00EF0015" w:rsidR="006E77DC">
        <w:t>orces had been captured, disbanded or deserted. Criminals had been turned out onto the streets and the prisons had been stripped. The judiciary were in hiding. Every government facility had been raided and all loose items had been removed. Insecure buildings had been occupied by squatters. Crime was endemic and in parts of Basra a state of virtual anarchy prevailed. Hijackings, child kidnappings, revenge killings, car theft and burglary were rife. In a very short space of time wealth was being comprehensively redistributed.</w:t>
      </w:r>
      <w:r>
        <w:t>’</w:t>
      </w:r>
    </w:p>
    <w:p w:rsidRPr="00EF0015" w:rsidR="006E77DC" w:rsidP="00EA130A" w:rsidRDefault="006E77DC">
      <w:pPr>
        <w:pStyle w:val="JuQuot"/>
      </w:pPr>
      <w:r w:rsidRPr="00EF0015">
        <w:t xml:space="preserve">In this environment, the British </w:t>
      </w:r>
      <w:r w:rsidR="00DA6A59">
        <w:t>a</w:t>
      </w:r>
      <w:r w:rsidRPr="00EF0015">
        <w:t>rmy was the sole agent of law and order within its area of operations. When the Association of Chief Police Officers</w:t>
      </w:r>
      <w:r w:rsidR="008570E8">
        <w:t>’</w:t>
      </w:r>
      <w:r w:rsidRPr="00EF0015">
        <w:t xml:space="preserve"> </w:t>
      </w:r>
      <w:r w:rsidR="00DA6A59">
        <w:t>L</w:t>
      </w:r>
      <w:r w:rsidRPr="00EF0015">
        <w:t xml:space="preserve">ead for </w:t>
      </w:r>
      <w:r w:rsidR="00DA6A59">
        <w:t>I</w:t>
      </w:r>
      <w:r w:rsidRPr="00EF0015">
        <w:t xml:space="preserve">nternational </w:t>
      </w:r>
      <w:r w:rsidR="00DA6A59">
        <w:t>A</w:t>
      </w:r>
      <w:r w:rsidRPr="00EF0015">
        <w:t xml:space="preserve">ffairs, Mr Paul Kernaghan, visited Iraq in May 2003, he said that he would not recommend the deployment of civilian police officers to the theatre of operations due to the poor security situation. The last time the </w:t>
      </w:r>
      <w:r w:rsidR="00DA6A59">
        <w:t>a</w:t>
      </w:r>
      <w:r w:rsidRPr="00EF0015">
        <w:t xml:space="preserve">rmy had exercised the powers of an </w:t>
      </w:r>
      <w:r w:rsidR="00DA6A59">
        <w:t>a</w:t>
      </w:r>
      <w:r w:rsidRPr="00EF0015">
        <w:t xml:space="preserve">rmy of </w:t>
      </w:r>
      <w:r w:rsidR="00DA6A59">
        <w:t>o</w:t>
      </w:r>
      <w:r w:rsidRPr="00EF0015">
        <w:t>ccupation was in 1945 – and it had spent many months preparing for that role; in May 2003, the same soldiers who had just fought a hig</w:t>
      </w:r>
      <w:r w:rsidR="00C01416">
        <w:t>h</w:t>
      </w:r>
      <w:r w:rsidR="00C01416">
        <w:noBreakHyphen/>
      </w:r>
      <w:r w:rsidRPr="00EF0015">
        <w:t xml:space="preserve">intensity, conventional war were expected to convert, almost overnight, into the only people capable of providing the agencies of government and humanitarian relief for the people of </w:t>
      </w:r>
      <w:r w:rsidR="00DA6A59">
        <w:t>s</w:t>
      </w:r>
      <w:r w:rsidRPr="00EF0015">
        <w:t xml:space="preserve">outhern Iraq. Battlegroups (comprising a Lieutenant Colonel and about 500 soldiers) were allocated areas of responsibilities comprising hundreds of square miles; companies (a Major with about 100 men under command) were given whole towns to run. The British invasion plans had wisely limited damaging as much of the physical infrastructure as possible; but with only military personnel available to run that infrastructure, and very limited local staff support, the task placed huge strains on the </w:t>
      </w:r>
      <w:r w:rsidR="00DA6A59">
        <w:t>a</w:t>
      </w:r>
      <w:r w:rsidRPr="00EF0015">
        <w:t>rmy.</w:t>
      </w:r>
    </w:p>
    <w:p w:rsidRPr="00EF0015" w:rsidR="00EA130A" w:rsidP="00EA130A" w:rsidRDefault="006E77DC">
      <w:pPr>
        <w:pStyle w:val="JuQuot"/>
      </w:pPr>
      <w:r w:rsidRPr="00EF0015">
        <w:t>One of the effects of this lack of civil infrastructure was the conundrum British soldiers faced when dealing with routine crime. Our experience in Northern Ireland, and in peace support operations around the world, has inculcated the clear principle of police primacy when dealing with criminals in operational environments. Soldiers accept that they will encounter crime, and that they will occasionally be required to arrest those criminals; but (despite some experienc</w:t>
      </w:r>
      <w:r w:rsidR="00B02D33">
        <w:t>e of this syndrome in Kosovo in </w:t>
      </w:r>
      <w:r w:rsidRPr="00EF0015">
        <w:t>1999) our doctrine and practice had not prepared</w:t>
      </w:r>
      <w:r w:rsidRPr="00EF0015" w:rsidR="00EA130A">
        <w:t xml:space="preserve"> us for dealing with those criminals when there was no civil police force, no judicial system to deal with offenders, and no prisons to detain them in. Even when a nascent Iraqi pol</w:t>
      </w:r>
      <w:r w:rsidR="00B02D33">
        <w:t>ice force was re-established in </w:t>
      </w:r>
      <w:r w:rsidRPr="00EF0015" w:rsidR="00EA130A">
        <w:t>2003, troops on the ground had little confidence in its ability to deal fairly or reasonably with any criminals handed over to it. In hindsight, we now know that some soldiers acted outside the law in the way they dealt with local criminals. However diligent they were, commanders were unable to be everywhere, and so were physically unable to supervise their troops to the extent that they should; as a result, when those instances did occur, they were less likely to be spotted and prevented.</w:t>
      </w:r>
      <w:r w:rsidRPr="00EF0015" w:rsidR="00C0022C">
        <w:t>”</w:t>
      </w:r>
    </w:p>
    <w:p w:rsidR="00C81668" w:rsidP="0053226A" w:rsidRDefault="00E9677D">
      <w:pPr>
        <w:pStyle w:val="JuPara"/>
        <w:rPr>
          <w:b/>
          <w:bCs/>
        </w:rPr>
      </w:pPr>
      <w:r w:rsidRPr="00EF0015">
        <w:fldChar w:fldCharType="begin"/>
      </w:r>
      <w:r w:rsidRPr="00EF0015">
        <w:instrText xml:space="preserve"> SEQ level0 \*arabic </w:instrText>
      </w:r>
      <w:r w:rsidRPr="00EF0015">
        <w:fldChar w:fldCharType="separate"/>
      </w:r>
      <w:r w:rsidR="00524A6D">
        <w:rPr>
          <w:noProof/>
        </w:rPr>
        <w:t>23</w:t>
      </w:r>
      <w:r w:rsidRPr="00EF0015">
        <w:fldChar w:fldCharType="end"/>
      </w:r>
      <w:r w:rsidRPr="00EF0015">
        <w:t>.  United Kingdom military records show that, as at 30 June 2004, there had been approximately 178 demonstrations and 1,050 vio</w:t>
      </w:r>
      <w:r w:rsidR="004D5B1C">
        <w:t>lent attacks against Coalition F</w:t>
      </w:r>
      <w:r w:rsidRPr="00EF0015">
        <w:t xml:space="preserve">orces in </w:t>
      </w:r>
      <w:r w:rsidR="00761787">
        <w:t xml:space="preserve">the </w:t>
      </w:r>
      <w:r w:rsidRPr="00EF0015" w:rsidR="00DB5662">
        <w:t>Multinational Division (South</w:t>
      </w:r>
      <w:r w:rsidR="00725312">
        <w:t>-</w:t>
      </w:r>
      <w:r w:rsidRPr="00EF0015" w:rsidR="00DB5662">
        <w:t xml:space="preserve">East) </w:t>
      </w:r>
      <w:r w:rsidR="006D3793">
        <w:t>since 1 </w:t>
      </w:r>
      <w:r w:rsidR="00405921">
        <w:t xml:space="preserve">May </w:t>
      </w:r>
      <w:r w:rsidRPr="00EF0015">
        <w:t>2003. The violent attacks consisted of</w:t>
      </w:r>
      <w:r w:rsidR="00405921">
        <w:t xml:space="preserve"> </w:t>
      </w:r>
      <w:r w:rsidR="00725312">
        <w:t>5</w:t>
      </w:r>
      <w:r w:rsidR="00B02D33">
        <w:t xml:space="preserve"> anti-aircraft attacks, 12 </w:t>
      </w:r>
      <w:r w:rsidRPr="00EF0015">
        <w:t xml:space="preserve">grenade attacks, 101 </w:t>
      </w:r>
      <w:r w:rsidR="00265A0D">
        <w:t xml:space="preserve">attacks using </w:t>
      </w:r>
      <w:r w:rsidRPr="00EF0015">
        <w:t>improv</w:t>
      </w:r>
      <w:r w:rsidR="00B02D33">
        <w:t>ised explosive devices, 52 </w:t>
      </w:r>
      <w:r w:rsidRPr="00EF0015">
        <w:t xml:space="preserve">attempted </w:t>
      </w:r>
      <w:r w:rsidR="00265A0D">
        <w:t xml:space="preserve">attacks using </w:t>
      </w:r>
      <w:r w:rsidRPr="00EF0015" w:rsidR="00A957EC">
        <w:t>improvised explosive devices</w:t>
      </w:r>
      <w:r w:rsidRPr="00EF0015">
        <w:t>, 145 mortar attacks, 147 rocket</w:t>
      </w:r>
      <w:r w:rsidR="00725312">
        <w:t>-</w:t>
      </w:r>
      <w:r w:rsidRPr="00EF0015">
        <w:t>propelled grenade attacks</w:t>
      </w:r>
      <w:r w:rsidR="00405921">
        <w:t xml:space="preserve">, 535 shootings and 53 others. </w:t>
      </w:r>
      <w:r w:rsidRPr="00EF0015" w:rsidR="0053226A">
        <w:t>The same records show that, between May 2003 and March 2004, 49 Iraqis were known to have been killed in incidents in which British troops used force.</w:t>
      </w:r>
    </w:p>
    <w:p w:rsidRPr="00EF0015" w:rsidR="00E9677D" w:rsidP="00E9677D" w:rsidRDefault="00405921">
      <w:pPr>
        <w:pStyle w:val="JuHAA"/>
      </w:pPr>
      <w:bookmarkStart w:name="_Toc289868947" w:id="33"/>
      <w:bookmarkStart w:name="_Toc297210643" w:id="34"/>
      <w:r>
        <w:t>C.  </w:t>
      </w:r>
      <w:r w:rsidRPr="00EF0015" w:rsidR="00E9677D">
        <w:t xml:space="preserve">The </w:t>
      </w:r>
      <w:r w:rsidR="008A783B">
        <w:t>r</w:t>
      </w:r>
      <w:r w:rsidRPr="00EF0015" w:rsidR="00E9677D">
        <w:t xml:space="preserve">ules of </w:t>
      </w:r>
      <w:r w:rsidR="008A783B">
        <w:t>e</w:t>
      </w:r>
      <w:r w:rsidRPr="00EF0015" w:rsidR="00E9677D">
        <w:t>ngagement</w:t>
      </w:r>
      <w:bookmarkEnd w:id="33"/>
      <w:bookmarkEnd w:id="34"/>
    </w:p>
    <w:p w:rsidRPr="00EF0015" w:rsidR="00B32557" w:rsidP="00203783" w:rsidRDefault="002431B6">
      <w:pPr>
        <w:pStyle w:val="JuPara"/>
      </w:pPr>
      <w:r w:rsidRPr="00EF0015">
        <w:fldChar w:fldCharType="begin"/>
      </w:r>
      <w:r w:rsidRPr="00EF0015">
        <w:instrText xml:space="preserve"> SEQ level0 \*arabic </w:instrText>
      </w:r>
      <w:r w:rsidRPr="00EF0015">
        <w:fldChar w:fldCharType="separate"/>
      </w:r>
      <w:r w:rsidR="00524A6D">
        <w:rPr>
          <w:noProof/>
        </w:rPr>
        <w:t>24</w:t>
      </w:r>
      <w:r w:rsidRPr="00EF0015">
        <w:fldChar w:fldCharType="end"/>
      </w:r>
      <w:r w:rsidRPr="00EF0015">
        <w:t>.  </w:t>
      </w:r>
      <w:r w:rsidRPr="00EF0015" w:rsidR="00B32557">
        <w:t xml:space="preserve">The use of force by British troops during operations is covered by the appropriate </w:t>
      </w:r>
      <w:r w:rsidR="008A783B">
        <w:t>r</w:t>
      </w:r>
      <w:r w:rsidRPr="00EF0015" w:rsidR="00B32557">
        <w:t xml:space="preserve">ules of </w:t>
      </w:r>
      <w:r w:rsidR="008A783B">
        <w:t>e</w:t>
      </w:r>
      <w:r w:rsidRPr="00EF0015" w:rsidR="00B32557">
        <w:t>ngagement.</w:t>
      </w:r>
      <w:r w:rsidR="00C81668">
        <w:t xml:space="preserve"> </w:t>
      </w:r>
      <w:r w:rsidRPr="00EF0015" w:rsidR="00B32557">
        <w:t xml:space="preserve">The </w:t>
      </w:r>
      <w:r w:rsidR="008A783B">
        <w:t>r</w:t>
      </w:r>
      <w:r w:rsidRPr="00EF0015" w:rsidR="002606C8">
        <w:t xml:space="preserve">ules of </w:t>
      </w:r>
      <w:r w:rsidR="008A783B">
        <w:t>e</w:t>
      </w:r>
      <w:r w:rsidR="00405921">
        <w:t xml:space="preserve">ngagement </w:t>
      </w:r>
      <w:r w:rsidRPr="00EF0015" w:rsidR="00B32557">
        <w:t xml:space="preserve">governing the use of lethal force by British troops in Iraq during the relevant period </w:t>
      </w:r>
      <w:r w:rsidR="00725312">
        <w:t>were</w:t>
      </w:r>
      <w:r w:rsidRPr="00EF0015" w:rsidR="00B32557">
        <w:t xml:space="preserve"> the subject of guidance contained in a card issued to every soldier, known as </w:t>
      </w:r>
      <w:r w:rsidR="00725312">
        <w:t>“</w:t>
      </w:r>
      <w:r w:rsidRPr="00EF0015" w:rsidR="00B32557">
        <w:t>Card Alpha</w:t>
      </w:r>
      <w:r w:rsidR="00725312">
        <w:t>”</w:t>
      </w:r>
      <w:r w:rsidRPr="00EF0015" w:rsidR="00046C24">
        <w:t>.</w:t>
      </w:r>
      <w:r w:rsidRPr="00EF0015" w:rsidR="00B32557">
        <w:t xml:space="preserve"> Card Alpha </w:t>
      </w:r>
      <w:r w:rsidRPr="00EF0015" w:rsidR="00046C24">
        <w:t>set out the</w:t>
      </w:r>
      <w:r w:rsidRPr="00EF0015" w:rsidR="00B32557">
        <w:t xml:space="preserve"> </w:t>
      </w:r>
      <w:r w:rsidR="008A783B">
        <w:t>r</w:t>
      </w:r>
      <w:r w:rsidRPr="00EF0015" w:rsidR="002606C8">
        <w:t xml:space="preserve">ules of </w:t>
      </w:r>
      <w:r w:rsidR="008A783B">
        <w:t>e</w:t>
      </w:r>
      <w:r w:rsidRPr="00EF0015" w:rsidR="002606C8">
        <w:t xml:space="preserve">ngagement </w:t>
      </w:r>
      <w:r w:rsidRPr="00EF0015" w:rsidR="00B32557">
        <w:t>in the following terms:</w:t>
      </w:r>
    </w:p>
    <w:p w:rsidRPr="00EF0015" w:rsidR="00B32557" w:rsidP="005973D4" w:rsidRDefault="00B32557">
      <w:pPr>
        <w:pStyle w:val="JuQuot"/>
      </w:pPr>
      <w:r w:rsidRPr="00EF0015">
        <w:t>“CARD A – GUIDANCE FOR OPENING FIRE FOR SERVICE PERSONNEL</w:t>
      </w:r>
      <w:r w:rsidR="008A783B">
        <w:t xml:space="preserve"> </w:t>
      </w:r>
      <w:r w:rsidRPr="00EF0015">
        <w:t>AUTHORISED TO CARRY ARMS AND AMMUNITION ON DUTY</w:t>
      </w:r>
    </w:p>
    <w:p w:rsidRPr="00EF0015" w:rsidR="00B32557" w:rsidP="005973D4" w:rsidRDefault="00B32557">
      <w:pPr>
        <w:pStyle w:val="JuQuot"/>
      </w:pPr>
      <w:r w:rsidRPr="00EF0015">
        <w:t>GENERAL GUIDANCE</w:t>
      </w:r>
    </w:p>
    <w:p w:rsidRPr="00EF0015" w:rsidR="00B32557" w:rsidP="005973D4" w:rsidRDefault="00B32557">
      <w:pPr>
        <w:pStyle w:val="JuQuot"/>
      </w:pPr>
      <w:r w:rsidRPr="00EF0015">
        <w:t>1.</w:t>
      </w:r>
      <w:r w:rsidR="00AC3176">
        <w:t>  </w:t>
      </w:r>
      <w:r w:rsidRPr="00EF0015">
        <w:t>This guidance does not affect your inherent right to self-defence.</w:t>
      </w:r>
      <w:r w:rsidR="00C81668">
        <w:t xml:space="preserve"> </w:t>
      </w:r>
      <w:r w:rsidRPr="00EF0015">
        <w:t>However, in all situations you are to use no more force than absolutely necessary.</w:t>
      </w:r>
    </w:p>
    <w:p w:rsidRPr="00EF0015" w:rsidR="00B32557" w:rsidP="005973D4" w:rsidRDefault="00B32557">
      <w:pPr>
        <w:pStyle w:val="JuQuot"/>
      </w:pPr>
      <w:r w:rsidRPr="00EF0015">
        <w:t>FIREARMS MUST ONLY BE USED AS A LAST RESORT</w:t>
      </w:r>
    </w:p>
    <w:p w:rsidRPr="00EF0015" w:rsidR="00B32557" w:rsidP="005973D4" w:rsidRDefault="00B32557">
      <w:pPr>
        <w:pStyle w:val="JuQuot"/>
      </w:pPr>
      <w:r w:rsidRPr="00EF0015">
        <w:t>2.</w:t>
      </w:r>
      <w:r w:rsidR="00AC3176">
        <w:t>  </w:t>
      </w:r>
      <w:r w:rsidRPr="00EF0015">
        <w:t xml:space="preserve">When guarding property, you must not use lethal force other than for the </w:t>
      </w:r>
      <w:r w:rsidRPr="00EF0015">
        <w:rPr>
          <w:b/>
          <w:bCs/>
        </w:rPr>
        <w:t>protection of human life</w:t>
      </w:r>
      <w:r w:rsidRPr="00D8100E">
        <w:rPr>
          <w:bCs/>
        </w:rPr>
        <w:t>.</w:t>
      </w:r>
    </w:p>
    <w:p w:rsidRPr="00EF0015" w:rsidR="00B32557" w:rsidP="005973D4" w:rsidRDefault="00B32557">
      <w:pPr>
        <w:pStyle w:val="JuQuot"/>
      </w:pPr>
      <w:r w:rsidRPr="00EF0015">
        <w:t>PROTECTION OF HUMAN LIFE</w:t>
      </w:r>
    </w:p>
    <w:p w:rsidRPr="00EF0015" w:rsidR="00B32557" w:rsidP="005973D4" w:rsidRDefault="00B32557">
      <w:pPr>
        <w:pStyle w:val="JuQuot"/>
        <w:rPr>
          <w:b/>
          <w:bCs/>
        </w:rPr>
      </w:pPr>
      <w:r w:rsidRPr="00EF0015">
        <w:t>3.</w:t>
      </w:r>
      <w:r w:rsidR="00AC3176">
        <w:t>  </w:t>
      </w:r>
      <w:r w:rsidRPr="00EF0015">
        <w:t xml:space="preserve">You may only open fire against a person if he/she is committing or about to commit an act </w:t>
      </w:r>
      <w:r w:rsidRPr="00EF0015">
        <w:rPr>
          <w:b/>
          <w:bCs/>
        </w:rPr>
        <w:t>likely to endanger life and there is no other way to prevent the danger</w:t>
      </w:r>
      <w:r w:rsidRPr="00D8100E">
        <w:rPr>
          <w:bCs/>
        </w:rPr>
        <w:t>.</w:t>
      </w:r>
    </w:p>
    <w:p w:rsidRPr="00EF0015" w:rsidR="00B32557" w:rsidP="005973D4" w:rsidRDefault="00B32557">
      <w:pPr>
        <w:pStyle w:val="JuQuot"/>
      </w:pPr>
      <w:r w:rsidRPr="00EF0015">
        <w:t>CHALLENGING</w:t>
      </w:r>
    </w:p>
    <w:p w:rsidRPr="00EF0015" w:rsidR="00B32557" w:rsidP="005973D4" w:rsidRDefault="00B32557">
      <w:pPr>
        <w:pStyle w:val="JuQuot"/>
      </w:pPr>
      <w:r w:rsidRPr="00EF0015">
        <w:t>4.</w:t>
      </w:r>
      <w:r w:rsidR="00AC3176">
        <w:t>  </w:t>
      </w:r>
      <w:r w:rsidRPr="00EF0015">
        <w:t xml:space="preserve">A challenge </w:t>
      </w:r>
      <w:r w:rsidRPr="00EF0015">
        <w:rPr>
          <w:sz w:val="22"/>
          <w:szCs w:val="22"/>
        </w:rPr>
        <w:t xml:space="preserve">MUST </w:t>
      </w:r>
      <w:r w:rsidRPr="00EF0015">
        <w:t>be given before opening fire unless:</w:t>
      </w:r>
    </w:p>
    <w:p w:rsidRPr="00EF0015" w:rsidR="00B32557" w:rsidP="00C31D73" w:rsidRDefault="00C31D73">
      <w:pPr>
        <w:pStyle w:val="JuQuot"/>
      </w:pPr>
      <w:r>
        <w:t>(</w:t>
      </w:r>
      <w:r w:rsidRPr="00EF0015" w:rsidR="00B32557">
        <w:t>a</w:t>
      </w:r>
      <w:r>
        <w:t>)  </w:t>
      </w:r>
      <w:r w:rsidR="005313BE">
        <w:t>t</w:t>
      </w:r>
      <w:r w:rsidRPr="00EF0015" w:rsidR="00B32557">
        <w:t>o do this would be to increase the risk of death or grave injury to you or any other persons other than the attacker(s)</w:t>
      </w:r>
      <w:r w:rsidR="005313BE">
        <w:t>;</w:t>
      </w:r>
    </w:p>
    <w:p w:rsidRPr="00D8100E" w:rsidR="00B32557" w:rsidP="007F15B3" w:rsidRDefault="00B32557">
      <w:pPr>
        <w:pStyle w:val="JuQuot"/>
        <w:rPr>
          <w:bCs/>
          <w:sz w:val="22"/>
          <w:szCs w:val="22"/>
        </w:rPr>
      </w:pPr>
      <w:r w:rsidRPr="00D8100E">
        <w:rPr>
          <w:bCs/>
          <w:sz w:val="22"/>
          <w:szCs w:val="22"/>
        </w:rPr>
        <w:t>OR</w:t>
      </w:r>
    </w:p>
    <w:p w:rsidRPr="00EF0015" w:rsidR="00B32557" w:rsidP="00C31D73" w:rsidRDefault="00C31D73">
      <w:pPr>
        <w:pStyle w:val="JuQuot"/>
      </w:pPr>
      <w:r>
        <w:t>(</w:t>
      </w:r>
      <w:r w:rsidRPr="00EF0015" w:rsidR="00B32557">
        <w:t>b</w:t>
      </w:r>
      <w:r>
        <w:t>)  </w:t>
      </w:r>
      <w:r w:rsidR="005313BE">
        <w:t>y</w:t>
      </w:r>
      <w:r w:rsidRPr="00EF0015" w:rsidR="00B32557">
        <w:t>ou or others in the immediate vicinity are under armed attack.</w:t>
      </w:r>
    </w:p>
    <w:p w:rsidRPr="00EF0015" w:rsidR="00B32557" w:rsidP="005973D4" w:rsidRDefault="00B32557">
      <w:pPr>
        <w:pStyle w:val="JuQuot"/>
      </w:pPr>
      <w:r w:rsidRPr="00EF0015">
        <w:t>5.</w:t>
      </w:r>
      <w:r w:rsidR="00C31D73">
        <w:t>  </w:t>
      </w:r>
      <w:r w:rsidRPr="00EF0015">
        <w:t>You are to challenge by shouting:</w:t>
      </w:r>
      <w:r w:rsidR="005313BE">
        <w:t xml:space="preserve"> </w:t>
      </w:r>
      <w:r w:rsidR="008570E8">
        <w:rPr>
          <w:sz w:val="18"/>
          <w:szCs w:val="18"/>
        </w:rPr>
        <w:t>‘</w:t>
      </w:r>
      <w:r w:rsidRPr="00EF0015">
        <w:rPr>
          <w:b/>
          <w:bCs/>
        </w:rPr>
        <w:t>NAVY, ARMY, AIR FORCE,</w:t>
      </w:r>
      <w:r w:rsidRPr="00EF0015">
        <w:t xml:space="preserve"> </w:t>
      </w:r>
      <w:r w:rsidRPr="00EF0015" w:rsidR="00D110E6">
        <w:rPr>
          <w:b/>
          <w:bCs/>
          <w:sz w:val="22"/>
          <w:szCs w:val="22"/>
        </w:rPr>
        <w:t>STOP OR I FIRE</w:t>
      </w:r>
      <w:r w:rsidR="008570E8">
        <w:rPr>
          <w:bCs/>
          <w:sz w:val="22"/>
          <w:szCs w:val="22"/>
        </w:rPr>
        <w:t>’</w:t>
      </w:r>
      <w:r w:rsidR="005313BE">
        <w:rPr>
          <w:bCs/>
          <w:sz w:val="22"/>
          <w:szCs w:val="22"/>
        </w:rPr>
        <w:t xml:space="preserve"> </w:t>
      </w:r>
      <w:r w:rsidR="005A3C10">
        <w:t>o</w:t>
      </w:r>
      <w:r w:rsidRPr="00EF0015">
        <w:t>r words to that effect.</w:t>
      </w:r>
    </w:p>
    <w:p w:rsidRPr="00D8100E" w:rsidR="00B32557" w:rsidP="005973D4" w:rsidRDefault="00B32557">
      <w:pPr>
        <w:pStyle w:val="JuQuot"/>
        <w:rPr>
          <w:bCs/>
        </w:rPr>
      </w:pPr>
      <w:r w:rsidRPr="00D8100E">
        <w:rPr>
          <w:bCs/>
        </w:rPr>
        <w:t>OPENING FIRE</w:t>
      </w:r>
    </w:p>
    <w:p w:rsidRPr="00EF0015" w:rsidR="00B32557" w:rsidP="005973D4" w:rsidRDefault="00B32557">
      <w:pPr>
        <w:pStyle w:val="JuQuot"/>
      </w:pPr>
      <w:r w:rsidRPr="00EF0015">
        <w:t>6.</w:t>
      </w:r>
      <w:r w:rsidR="00C31D73">
        <w:t>  </w:t>
      </w:r>
      <w:r w:rsidRPr="00EF0015">
        <w:t>If you have to open fire you are to:</w:t>
      </w:r>
    </w:p>
    <w:p w:rsidRPr="00EF0015" w:rsidR="00B32557" w:rsidP="005973D4" w:rsidRDefault="00C31D73">
      <w:pPr>
        <w:pStyle w:val="JuQuot"/>
      </w:pPr>
      <w:r>
        <w:t>(</w:t>
      </w:r>
      <w:r w:rsidRPr="00EF0015" w:rsidR="00B32557">
        <w:t>a</w:t>
      </w:r>
      <w:r>
        <w:t>)  </w:t>
      </w:r>
      <w:r w:rsidR="005313BE">
        <w:t>f</w:t>
      </w:r>
      <w:r w:rsidRPr="00EF0015" w:rsidR="00B32557">
        <w:t>ire only aimed shots</w:t>
      </w:r>
      <w:r w:rsidR="005313BE">
        <w:t>;</w:t>
      </w:r>
    </w:p>
    <w:p w:rsidRPr="00EF0015" w:rsidR="00B32557" w:rsidP="005313BE" w:rsidRDefault="00B32557">
      <w:pPr>
        <w:pStyle w:val="JuQuot"/>
      </w:pPr>
      <w:r w:rsidRPr="00EF0015">
        <w:t>AND</w:t>
      </w:r>
    </w:p>
    <w:p w:rsidRPr="00EF0015" w:rsidR="00B32557" w:rsidP="005973D4" w:rsidRDefault="00C31D73">
      <w:pPr>
        <w:pStyle w:val="JuQuot"/>
      </w:pPr>
      <w:r>
        <w:t>(</w:t>
      </w:r>
      <w:r w:rsidRPr="00EF0015" w:rsidR="00B32557">
        <w:t>b</w:t>
      </w:r>
      <w:r>
        <w:t>)  </w:t>
      </w:r>
      <w:r w:rsidR="005313BE">
        <w:t>f</w:t>
      </w:r>
      <w:r w:rsidRPr="00EF0015" w:rsidR="00B32557">
        <w:t>ire no more rounds than are necessary</w:t>
      </w:r>
      <w:r w:rsidR="005313BE">
        <w:t>;</w:t>
      </w:r>
    </w:p>
    <w:p w:rsidRPr="00EF0015" w:rsidR="00B32557" w:rsidP="005973D4" w:rsidRDefault="00B32557">
      <w:pPr>
        <w:pStyle w:val="JuQuot"/>
      </w:pPr>
      <w:r w:rsidRPr="00EF0015">
        <w:rPr>
          <w:sz w:val="22"/>
          <w:szCs w:val="22"/>
        </w:rPr>
        <w:t>AND</w:t>
      </w:r>
    </w:p>
    <w:p w:rsidRPr="00EF0015" w:rsidR="00B32557" w:rsidP="005973D4" w:rsidRDefault="00C31D73">
      <w:pPr>
        <w:pStyle w:val="JuQuot"/>
      </w:pPr>
      <w:r>
        <w:t>(</w:t>
      </w:r>
      <w:r w:rsidRPr="00EF0015" w:rsidR="005E2D65">
        <w:t>c</w:t>
      </w:r>
      <w:r>
        <w:t>)  </w:t>
      </w:r>
      <w:r w:rsidR="005313BE">
        <w:t>t</w:t>
      </w:r>
      <w:r w:rsidRPr="00EF0015" w:rsidR="00B32557">
        <w:t>ake all reasonable precautions not to injure anyone other than your target.”</w:t>
      </w:r>
    </w:p>
    <w:p w:rsidRPr="00EF0015" w:rsidR="00B32557" w:rsidP="002431B6" w:rsidRDefault="00E15110">
      <w:pPr>
        <w:pStyle w:val="JuHAA"/>
      </w:pPr>
      <w:bookmarkStart w:name="_Toc289868948" w:id="35"/>
      <w:bookmarkStart w:name="_Toc297210644" w:id="36"/>
      <w:r w:rsidRPr="00EF0015">
        <w:t>D</w:t>
      </w:r>
      <w:r w:rsidR="00405921">
        <w:t>.  </w:t>
      </w:r>
      <w:r w:rsidRPr="00EF0015" w:rsidR="00B32557">
        <w:t xml:space="preserve">Investigations into </w:t>
      </w:r>
      <w:r w:rsidRPr="00EF0015" w:rsidR="003C68D3">
        <w:t xml:space="preserve">Iraqi </w:t>
      </w:r>
      <w:r w:rsidRPr="00EF0015" w:rsidR="00B32557">
        <w:t>civilian deaths</w:t>
      </w:r>
      <w:r w:rsidRPr="00EF0015" w:rsidR="003C68D3">
        <w:t xml:space="preserve"> involving British soldiers</w:t>
      </w:r>
      <w:bookmarkEnd w:id="35"/>
      <w:bookmarkEnd w:id="36"/>
    </w:p>
    <w:p w:rsidR="00C81668" w:rsidP="00EE439D" w:rsidRDefault="00405921">
      <w:pPr>
        <w:pStyle w:val="JuH1"/>
      </w:pPr>
      <w:bookmarkStart w:name="_Toc275785570" w:id="37"/>
      <w:bookmarkStart w:name="_Toc289765860" w:id="38"/>
      <w:bookmarkStart w:name="_Toc289868949" w:id="39"/>
      <w:bookmarkStart w:name="_Toc297210645" w:id="40"/>
      <w:r>
        <w:t>1.  </w:t>
      </w:r>
      <w:r w:rsidRPr="00EF0015" w:rsidR="00EE439D">
        <w:t>The decision to refer an incident for investigation by the Royal Military Police</w:t>
      </w:r>
      <w:bookmarkEnd w:id="37"/>
      <w:bookmarkEnd w:id="38"/>
      <w:bookmarkEnd w:id="39"/>
      <w:bookmarkEnd w:id="40"/>
    </w:p>
    <w:p w:rsidRPr="00EF0015" w:rsidR="00B32557" w:rsidP="00212C1F" w:rsidRDefault="002431B6">
      <w:pPr>
        <w:pStyle w:val="JuPara"/>
      </w:pPr>
      <w:r w:rsidRPr="00EF0015">
        <w:fldChar w:fldCharType="begin"/>
      </w:r>
      <w:r w:rsidRPr="00EF0015">
        <w:instrText xml:space="preserve"> SEQ level0 \*arabic </w:instrText>
      </w:r>
      <w:r w:rsidRPr="00EF0015">
        <w:fldChar w:fldCharType="separate"/>
      </w:r>
      <w:r w:rsidR="00524A6D">
        <w:rPr>
          <w:noProof/>
        </w:rPr>
        <w:t>25</w:t>
      </w:r>
      <w:r w:rsidRPr="00EF0015">
        <w:fldChar w:fldCharType="end"/>
      </w:r>
      <w:r w:rsidRPr="00EF0015">
        <w:t>.  </w:t>
      </w:r>
      <w:r w:rsidRPr="00EF0015" w:rsidR="00B32557">
        <w:t xml:space="preserve">On 21 June 2003 </w:t>
      </w:r>
      <w:r w:rsidRPr="00EF0015" w:rsidR="004C2C06">
        <w:t>Brigadier Moore</w:t>
      </w:r>
      <w:r w:rsidRPr="00EF0015" w:rsidR="00B32557">
        <w:t xml:space="preserve"> </w:t>
      </w:r>
      <w:r w:rsidR="00C01416">
        <w:t>(Commander of the 19 </w:t>
      </w:r>
      <w:r w:rsidRPr="00EF0015" w:rsidR="00212C1F">
        <w:t xml:space="preserve">Mechanised Brigade in Iraq from June to November 2003) </w:t>
      </w:r>
      <w:r w:rsidRPr="00EF0015" w:rsidR="00B32557">
        <w:t xml:space="preserve">issued a formal policy on the investigation of shooting incidents. This policy provided that all shooting incidents were to be reported and the </w:t>
      </w:r>
      <w:r w:rsidRPr="00EF0015" w:rsidR="004C2C06">
        <w:t>D</w:t>
      </w:r>
      <w:r w:rsidRPr="00EF0015" w:rsidR="00B32557">
        <w:t xml:space="preserve">ivisional </w:t>
      </w:r>
      <w:r w:rsidRPr="00EF0015" w:rsidR="004C2C06">
        <w:t>Provost M</w:t>
      </w:r>
      <w:r w:rsidRPr="00EF0015" w:rsidR="00B32557">
        <w:t xml:space="preserve">arshal was to be informed. Non-commissioned officers from the Royal Military Police were then to evaluate the incident and decide whether it fell within the </w:t>
      </w:r>
      <w:r w:rsidR="005313BE">
        <w:t>r</w:t>
      </w:r>
      <w:r w:rsidRPr="00EF0015" w:rsidR="002606C8">
        <w:t xml:space="preserve">ules of </w:t>
      </w:r>
      <w:r w:rsidR="005313BE">
        <w:t>e</w:t>
      </w:r>
      <w:r w:rsidRPr="00EF0015" w:rsidR="002606C8">
        <w:t>ngagement</w:t>
      </w:r>
      <w:r w:rsidRPr="00EF0015" w:rsidR="00B32557">
        <w:t xml:space="preserve">. If it was decided that the incident did come within the </w:t>
      </w:r>
      <w:r w:rsidR="005313BE">
        <w:t>r</w:t>
      </w:r>
      <w:r w:rsidRPr="00EF0015" w:rsidR="002606C8">
        <w:t xml:space="preserve">ules of </w:t>
      </w:r>
      <w:r w:rsidR="005313BE">
        <w:t>e</w:t>
      </w:r>
      <w:r w:rsidRPr="00EF0015" w:rsidR="002606C8">
        <w:t>ngagement</w:t>
      </w:r>
      <w:r w:rsidRPr="00EF0015" w:rsidR="00B32557">
        <w:t xml:space="preserve">, statements were to be recorded and a completed bulletin submitted through the chain of command. If the incident </w:t>
      </w:r>
      <w:r w:rsidRPr="00EF0015" w:rsidR="000F52EF">
        <w:t>appeared to fall</w:t>
      </w:r>
      <w:r w:rsidRPr="00EF0015" w:rsidR="00B32557">
        <w:t xml:space="preserve"> outside the </w:t>
      </w:r>
      <w:r w:rsidR="005313BE">
        <w:t>r</w:t>
      </w:r>
      <w:r w:rsidRPr="00EF0015" w:rsidR="002606C8">
        <w:t xml:space="preserve">ules of </w:t>
      </w:r>
      <w:r w:rsidR="005313BE">
        <w:t>e</w:t>
      </w:r>
      <w:r w:rsidRPr="00EF0015" w:rsidR="002606C8">
        <w:t xml:space="preserve">ngagement </w:t>
      </w:r>
      <w:r w:rsidRPr="00EF0015" w:rsidR="00B32557">
        <w:t>and involved death or serious injury, the investigation was to be handed to the Specia</w:t>
      </w:r>
      <w:r w:rsidRPr="00EF0015" w:rsidR="004C2C06">
        <w:t>l Investigation Branch</w:t>
      </w:r>
      <w:r w:rsidRPr="00EF0015" w:rsidR="00B463BD">
        <w:t xml:space="preserve"> </w:t>
      </w:r>
      <w:r w:rsidR="005313BE">
        <w:t xml:space="preserve">of the Royal Military Police </w:t>
      </w:r>
      <w:r w:rsidRPr="00EF0015" w:rsidR="00DB5662">
        <w:t>(</w:t>
      </w:r>
      <w:r w:rsidRPr="00EF0015" w:rsidR="00B463BD">
        <w:t xml:space="preserve">see paragraph </w:t>
      </w:r>
      <w:r w:rsidR="000527A5">
        <w:t>28</w:t>
      </w:r>
      <w:r w:rsidRPr="00EF0015" w:rsidR="00B463BD">
        <w:t xml:space="preserve"> below</w:t>
      </w:r>
      <w:r w:rsidRPr="00EF0015" w:rsidR="004C2C06">
        <w:t>) by the D</w:t>
      </w:r>
      <w:r w:rsidRPr="00EF0015" w:rsidR="00B32557">
        <w:t xml:space="preserve">ivisional </w:t>
      </w:r>
      <w:r w:rsidRPr="00EF0015" w:rsidR="004C2C06">
        <w:t>P</w:t>
      </w:r>
      <w:r w:rsidRPr="00EF0015" w:rsidR="00B32557">
        <w:t xml:space="preserve">rovost </w:t>
      </w:r>
      <w:r w:rsidRPr="00EF0015" w:rsidR="004C2C06">
        <w:t>M</w:t>
      </w:r>
      <w:r w:rsidRPr="00EF0015" w:rsidR="00B32557">
        <w:t>arshal at the earliest opportunity.</w:t>
      </w:r>
    </w:p>
    <w:p w:rsidRPr="00EF0015" w:rsidR="00952B5F" w:rsidP="00E80379" w:rsidRDefault="002431B6">
      <w:pPr>
        <w:pStyle w:val="JuPara"/>
      </w:pPr>
      <w:r w:rsidRPr="00EF0015">
        <w:fldChar w:fldCharType="begin"/>
      </w:r>
      <w:r w:rsidRPr="00EF0015">
        <w:instrText xml:space="preserve"> SEQ level0 \*arabic </w:instrText>
      </w:r>
      <w:r w:rsidRPr="00EF0015">
        <w:fldChar w:fldCharType="separate"/>
      </w:r>
      <w:r w:rsidR="00524A6D">
        <w:rPr>
          <w:noProof/>
        </w:rPr>
        <w:t>26</w:t>
      </w:r>
      <w:r w:rsidRPr="00EF0015">
        <w:fldChar w:fldCharType="end"/>
      </w:r>
      <w:r w:rsidRPr="00EF0015">
        <w:t>.  </w:t>
      </w:r>
      <w:r w:rsidRPr="00EF0015" w:rsidR="00B32557">
        <w:t xml:space="preserve">However, Brigadier Moore decided that </w:t>
      </w:r>
      <w:r w:rsidRPr="00EF0015" w:rsidR="000F52EF">
        <w:t xml:space="preserve">from 28 July 2003 </w:t>
      </w:r>
      <w:r w:rsidRPr="00EF0015" w:rsidR="00B32557">
        <w:t>this policy should be revised</w:t>
      </w:r>
      <w:r w:rsidRPr="00EF0015" w:rsidR="000F52EF">
        <w:t xml:space="preserve">. </w:t>
      </w:r>
      <w:r w:rsidRPr="00EF0015" w:rsidR="00B32557">
        <w:t xml:space="preserve">The </w:t>
      </w:r>
      <w:r w:rsidRPr="00EF0015" w:rsidR="000F52EF">
        <w:t xml:space="preserve">new policy </w:t>
      </w:r>
      <w:r w:rsidRPr="00EF0015" w:rsidR="00EE439D">
        <w:t>require</w:t>
      </w:r>
      <w:r w:rsidRPr="00EF0015" w:rsidR="000F52EF">
        <w:t>d</w:t>
      </w:r>
      <w:r w:rsidRPr="00EF0015" w:rsidR="00B32557">
        <w:t xml:space="preserve"> that all such incidents should be repo</w:t>
      </w:r>
      <w:r w:rsidRPr="00EF0015" w:rsidR="00E80379">
        <w:t xml:space="preserve">rted </w:t>
      </w:r>
      <w:r w:rsidRPr="00EF0015" w:rsidR="00EE439D">
        <w:t xml:space="preserve">immediately </w:t>
      </w:r>
      <w:r w:rsidRPr="00EF0015" w:rsidR="00E80379">
        <w:t xml:space="preserve">by the soldier involved to </w:t>
      </w:r>
      <w:r w:rsidR="00761787">
        <w:t xml:space="preserve">the </w:t>
      </w:r>
      <w:r w:rsidRPr="00EF0015" w:rsidR="00DB5662">
        <w:t>Multinational Division (South</w:t>
      </w:r>
      <w:r w:rsidR="00761787">
        <w:t>-</w:t>
      </w:r>
      <w:r w:rsidRPr="00EF0015" w:rsidR="00DB5662">
        <w:t>East)</w:t>
      </w:r>
      <w:r w:rsidRPr="00EF0015" w:rsidR="00E80379">
        <w:t xml:space="preserve"> by means of a </w:t>
      </w:r>
      <w:r w:rsidR="00761787">
        <w:t>“s</w:t>
      </w:r>
      <w:r w:rsidRPr="00EF0015" w:rsidR="00E80379">
        <w:t xml:space="preserve">erious </w:t>
      </w:r>
      <w:r w:rsidR="00761787">
        <w:t>i</w:t>
      </w:r>
      <w:r w:rsidRPr="00EF0015" w:rsidR="00B32557">
        <w:t xml:space="preserve">ncident </w:t>
      </w:r>
      <w:r w:rsidR="00761787">
        <w:t>r</w:t>
      </w:r>
      <w:r w:rsidRPr="00EF0015" w:rsidR="00B32557">
        <w:t>eport</w:t>
      </w:r>
      <w:r w:rsidR="00761787">
        <w:t>”</w:t>
      </w:r>
      <w:r w:rsidRPr="00EF0015" w:rsidR="00B32557">
        <w:t xml:space="preserve">. </w:t>
      </w:r>
      <w:r w:rsidRPr="00EF0015" w:rsidR="00952B5F">
        <w:t>There would then be an investigation into the incident by the Company Commander or the soldier</w:t>
      </w:r>
      <w:r w:rsidR="008570E8">
        <w:t>’</w:t>
      </w:r>
      <w:r w:rsidRPr="00EF0015" w:rsidR="00952B5F">
        <w:t>s Commanding Officer. In his evidence to the domestic courts</w:t>
      </w:r>
      <w:r w:rsidR="00761787">
        <w:t>,</w:t>
      </w:r>
      <w:r w:rsidRPr="00EF0015" w:rsidR="00952B5F">
        <w:t xml:space="preserve"> Brigadier Moore explained that:</w:t>
      </w:r>
    </w:p>
    <w:p w:rsidRPr="00EF0015" w:rsidR="00952B5F" w:rsidP="00952B5F" w:rsidRDefault="00952B5F">
      <w:pPr>
        <w:pStyle w:val="JuQuot"/>
      </w:pPr>
      <w:r w:rsidRPr="00EF0015">
        <w:t>“The form of an investigation into an incident would vary according to the security situation on the ground and the circumstances of the individual case. Generally, it would involve the Company Commander or Commanding Officer taking statements from the members of the patrol involved, and reviewing radio logs. It might also include taking photographs of the scene. Sometimes there would be further investigation through a meeting with the fami</w:t>
      </w:r>
      <w:r w:rsidR="00405921">
        <w:t xml:space="preserve">ly/tribe of the person killed. </w:t>
      </w:r>
      <w:r w:rsidRPr="00EF0015">
        <w:t>Investigations at unit</w:t>
      </w:r>
      <w:r w:rsidR="00761787">
        <w:t>-</w:t>
      </w:r>
      <w:r w:rsidRPr="00EF0015">
        <w:t>level, however, would not includ</w:t>
      </w:r>
      <w:r w:rsidR="00405921">
        <w:t xml:space="preserve">e a full forensic examination. </w:t>
      </w:r>
      <w:r w:rsidRPr="00EF0015">
        <w:t>Within the Brigade, we had no forensic capability.”</w:t>
      </w:r>
    </w:p>
    <w:p w:rsidRPr="00EF0015" w:rsidR="00B32557" w:rsidP="00E80379" w:rsidRDefault="00B32557">
      <w:pPr>
        <w:pStyle w:val="JuPara"/>
      </w:pPr>
      <w:r w:rsidRPr="00EF0015">
        <w:t xml:space="preserve">If the </w:t>
      </w:r>
      <w:r w:rsidRPr="00EF0015" w:rsidR="00EE439D">
        <w:t xml:space="preserve">Commanding Officer </w:t>
      </w:r>
      <w:r w:rsidRPr="00EF0015">
        <w:t xml:space="preserve">was satisfied, on the basis of the information available to him, that the soldier had acted lawfully and within the </w:t>
      </w:r>
      <w:r w:rsidR="00761787">
        <w:t>r</w:t>
      </w:r>
      <w:r w:rsidRPr="00EF0015" w:rsidR="002606C8">
        <w:t xml:space="preserve">ules of </w:t>
      </w:r>
      <w:r w:rsidR="00761787">
        <w:t>e</w:t>
      </w:r>
      <w:r w:rsidRPr="00EF0015" w:rsidR="002606C8">
        <w:t>ngagement</w:t>
      </w:r>
      <w:r w:rsidRPr="00EF0015">
        <w:t xml:space="preserve">, there was no requirement to initiate an investigation by the </w:t>
      </w:r>
      <w:r w:rsidRPr="00EF0015" w:rsidR="002606C8">
        <w:t>Special Investigation Branch</w:t>
      </w:r>
      <w:r w:rsidRPr="00EF0015">
        <w:t xml:space="preserve">. The </w:t>
      </w:r>
      <w:r w:rsidRPr="00EF0015" w:rsidR="00EE439D">
        <w:t xml:space="preserve">Commanding Officer </w:t>
      </w:r>
      <w:r w:rsidRPr="00EF0015">
        <w:t>would record his decision in writing to Brigad</w:t>
      </w:r>
      <w:r w:rsidRPr="00EF0015" w:rsidR="00952B5F">
        <w:t>i</w:t>
      </w:r>
      <w:r w:rsidRPr="00EF0015">
        <w:t>e</w:t>
      </w:r>
      <w:r w:rsidRPr="00EF0015" w:rsidR="00952B5F">
        <w:t xml:space="preserve">r Moore. </w:t>
      </w:r>
      <w:r w:rsidRPr="00EF0015">
        <w:t xml:space="preserve">If the </w:t>
      </w:r>
      <w:r w:rsidRPr="00EF0015" w:rsidR="00EE439D">
        <w:t xml:space="preserve">Commanding Officer </w:t>
      </w:r>
      <w:r w:rsidRPr="00EF0015">
        <w:t>was not so satisfied, or if he had insufficient information to arrive at a decision, he was required to initiate a</w:t>
      </w:r>
      <w:r w:rsidRPr="00EF0015" w:rsidR="00B463BD">
        <w:t xml:space="preserve"> </w:t>
      </w:r>
      <w:r w:rsidRPr="00EF0015" w:rsidR="002606C8">
        <w:t xml:space="preserve">Special Investigation Branch </w:t>
      </w:r>
      <w:r w:rsidRPr="00EF0015">
        <w:t>investigation.</w:t>
      </w:r>
    </w:p>
    <w:p w:rsidRPr="00EF0015" w:rsidR="00EE439D" w:rsidP="00EE439D" w:rsidRDefault="00EE439D">
      <w:pPr>
        <w:pStyle w:val="JuPara"/>
      </w:pPr>
      <w:r w:rsidRPr="00EF0015">
        <w:fldChar w:fldCharType="begin"/>
      </w:r>
      <w:r w:rsidRPr="00EF0015">
        <w:instrText xml:space="preserve"> SEQ level0 \*arabic </w:instrText>
      </w:r>
      <w:r w:rsidRPr="00EF0015">
        <w:fldChar w:fldCharType="separate"/>
      </w:r>
      <w:r w:rsidR="00524A6D">
        <w:rPr>
          <w:noProof/>
        </w:rPr>
        <w:t>27</w:t>
      </w:r>
      <w:r w:rsidRPr="00EF0015">
        <w:fldChar w:fldCharType="end"/>
      </w:r>
      <w:r w:rsidRPr="00EF0015">
        <w:t xml:space="preserve">.  Between January and April 2004 there was a further reconsideration of this policy, prompted by the fact that the environment had become less hostile and also by the considerable media and </w:t>
      </w:r>
      <w:r w:rsidR="00761787">
        <w:t>p</w:t>
      </w:r>
      <w:r w:rsidRPr="00EF0015">
        <w:t xml:space="preserve">arliamentary interest in incidents involving United Kingdom forces in which Iraqis had died. On 24 April </w:t>
      </w:r>
      <w:r w:rsidR="00365E21">
        <w:t xml:space="preserve">2004 </w:t>
      </w:r>
      <w:r w:rsidRPr="00EF0015">
        <w:t xml:space="preserve">a new policy was adopted by </w:t>
      </w:r>
      <w:r w:rsidRPr="00EF0015" w:rsidR="00DB5662">
        <w:t xml:space="preserve">the Commander of </w:t>
      </w:r>
      <w:r w:rsidR="00761787">
        <w:t xml:space="preserve">the </w:t>
      </w:r>
      <w:r w:rsidRPr="00EF0015" w:rsidR="00DB5662">
        <w:t>Multinational Division (South</w:t>
      </w:r>
      <w:r w:rsidR="00761787">
        <w:t>-</w:t>
      </w:r>
      <w:r w:rsidRPr="00EF0015" w:rsidR="00DB5662">
        <w:t>East)</w:t>
      </w:r>
      <w:r w:rsidRPr="00EF0015">
        <w:t xml:space="preserve">, requiring all shooting incidents involving United Kingdom forces which resulted in a civilian being killed or injured to be investigated by </w:t>
      </w:r>
      <w:r w:rsidRPr="00EF0015" w:rsidR="00B463BD">
        <w:t xml:space="preserve">the </w:t>
      </w:r>
      <w:r w:rsidRPr="00EF0015" w:rsidR="002606C8">
        <w:t>Special Investigation Branch</w:t>
      </w:r>
      <w:r w:rsidRPr="00EF0015">
        <w:t>. In exceptional cases</w:t>
      </w:r>
      <w:r w:rsidR="00761787">
        <w:t>,</w:t>
      </w:r>
      <w:r w:rsidRPr="00EF0015">
        <w:t xml:space="preserve"> the Brigade Commander could decide that an investigation was not necessary. Any such decision had to be notified to the</w:t>
      </w:r>
      <w:r w:rsidRPr="00EF0015" w:rsidR="000F52EF">
        <w:t xml:space="preserve"> Commander</w:t>
      </w:r>
      <w:r w:rsidRPr="00EF0015" w:rsidR="00DB5662">
        <w:t xml:space="preserve"> of </w:t>
      </w:r>
      <w:r w:rsidR="00761787">
        <w:t xml:space="preserve">the </w:t>
      </w:r>
      <w:r w:rsidRPr="00EF0015" w:rsidR="00DB5662">
        <w:t>Multinational Division (South</w:t>
      </w:r>
      <w:r w:rsidR="00761787">
        <w:t>-</w:t>
      </w:r>
      <w:r w:rsidRPr="00EF0015" w:rsidR="00DB5662">
        <w:t xml:space="preserve">East) </w:t>
      </w:r>
      <w:r w:rsidRPr="00EF0015" w:rsidR="000F52EF">
        <w:t>in writing.</w:t>
      </w:r>
    </w:p>
    <w:p w:rsidRPr="00EF0015" w:rsidR="00EE439D" w:rsidP="00034EFA" w:rsidRDefault="00405921">
      <w:pPr>
        <w:pStyle w:val="JuH1"/>
      </w:pPr>
      <w:bookmarkStart w:name="_Toc275785571" w:id="41"/>
      <w:bookmarkStart w:name="_Toc289765861" w:id="42"/>
      <w:bookmarkStart w:name="_Toc289868950" w:id="43"/>
      <w:bookmarkStart w:name="_Toc297210646" w:id="44"/>
      <w:r>
        <w:t>2.  </w:t>
      </w:r>
      <w:r w:rsidRPr="00EF0015" w:rsidR="00034EFA">
        <w:t>Investigation by the R</w:t>
      </w:r>
      <w:r w:rsidRPr="00EF0015" w:rsidR="00CA2097">
        <w:t xml:space="preserve">oyal </w:t>
      </w:r>
      <w:r w:rsidRPr="00EF0015" w:rsidR="00034EFA">
        <w:t>M</w:t>
      </w:r>
      <w:r w:rsidRPr="00EF0015" w:rsidR="00CA2097">
        <w:t xml:space="preserve">ilitary </w:t>
      </w:r>
      <w:r w:rsidRPr="00EF0015" w:rsidR="00034EFA">
        <w:t>P</w:t>
      </w:r>
      <w:r w:rsidRPr="00EF0015" w:rsidR="00CA2097">
        <w:t>olice (Special Investigation Branch)</w:t>
      </w:r>
      <w:bookmarkEnd w:id="41"/>
      <w:bookmarkEnd w:id="42"/>
      <w:bookmarkEnd w:id="43"/>
      <w:bookmarkEnd w:id="44"/>
    </w:p>
    <w:p w:rsidRPr="00EF0015" w:rsidR="00B463BD" w:rsidP="00203783" w:rsidRDefault="002431B6">
      <w:pPr>
        <w:pStyle w:val="JuPara"/>
      </w:pPr>
      <w:r w:rsidRPr="00EF0015">
        <w:fldChar w:fldCharType="begin"/>
      </w:r>
      <w:r w:rsidRPr="00EF0015">
        <w:instrText xml:space="preserve"> SEQ level0 \*arabic </w:instrText>
      </w:r>
      <w:r w:rsidRPr="00EF0015">
        <w:fldChar w:fldCharType="separate"/>
      </w:r>
      <w:r w:rsidR="00524A6D">
        <w:rPr>
          <w:noProof/>
        </w:rPr>
        <w:t>28</w:t>
      </w:r>
      <w:r w:rsidRPr="00EF0015">
        <w:fldChar w:fldCharType="end"/>
      </w:r>
      <w:r w:rsidRPr="00EF0015">
        <w:t>.  </w:t>
      </w:r>
      <w:r w:rsidRPr="00EF0015" w:rsidR="00B463BD">
        <w:t xml:space="preserve">The </w:t>
      </w:r>
      <w:r w:rsidRPr="00EF0015" w:rsidR="00DB5662">
        <w:t>Royal Military Police</w:t>
      </w:r>
      <w:r w:rsidRPr="00EF0015" w:rsidR="00B463BD">
        <w:t xml:space="preserve"> </w:t>
      </w:r>
      <w:r w:rsidRPr="00EF0015" w:rsidR="00963D61">
        <w:t xml:space="preserve">form part of the </w:t>
      </w:r>
      <w:r w:rsidR="00761787">
        <w:t>a</w:t>
      </w:r>
      <w:r w:rsidRPr="00EF0015" w:rsidR="00963D61">
        <w:t>rmy and deploy w</w:t>
      </w:r>
      <w:r w:rsidRPr="00EF0015" w:rsidR="00B463BD">
        <w:t xml:space="preserve">ith the </w:t>
      </w:r>
      <w:r w:rsidR="00761787">
        <w:t>a</w:t>
      </w:r>
      <w:r w:rsidRPr="00EF0015" w:rsidR="00B463BD">
        <w:t>rmy on operations abroad</w:t>
      </w:r>
      <w:r w:rsidRPr="00EF0015" w:rsidR="00963D61">
        <w:t>, but have a separate chain of command</w:t>
      </w:r>
      <w:r w:rsidR="00365E21">
        <w:t>. M</w:t>
      </w:r>
      <w:r w:rsidRPr="00EF0015" w:rsidR="00B463BD">
        <w:t xml:space="preserve">ilitary police officers report to the Provost Marshal, who reports to the Adjutant General. Within the </w:t>
      </w:r>
      <w:r w:rsidRPr="00EF0015" w:rsidR="00DB5662">
        <w:t>Royal Military Police</w:t>
      </w:r>
      <w:r w:rsidR="00DD351B">
        <w:t>,</w:t>
      </w:r>
      <w:r w:rsidRPr="00EF0015" w:rsidR="00DB5662">
        <w:t xml:space="preserve"> </w:t>
      </w:r>
      <w:r w:rsidRPr="00EF0015" w:rsidR="00B463BD">
        <w:t xml:space="preserve">the </w:t>
      </w:r>
      <w:r w:rsidRPr="00EF0015" w:rsidR="002606C8">
        <w:t xml:space="preserve">Special Investigation Branch </w:t>
      </w:r>
      <w:r w:rsidRPr="00EF0015" w:rsidR="00B463BD">
        <w:t xml:space="preserve">is responsible for the investigation of serious crimes committed by members of the British forces while on service, incidents involving contact between the military and civilians and any special investigations tasked to it, including incidents involving civilian deaths caused by British soldiers. To secure their practical independence on operations, the </w:t>
      </w:r>
      <w:r w:rsidRPr="00EF0015" w:rsidR="002606C8">
        <w:t xml:space="preserve">Special Investigation Branch </w:t>
      </w:r>
      <w:r w:rsidRPr="00EF0015" w:rsidR="00B463BD">
        <w:t xml:space="preserve">deploy as entirely discrete units and are subject to their own chain of command, headed by </w:t>
      </w:r>
      <w:r w:rsidR="002D19D7">
        <w:t>p</w:t>
      </w:r>
      <w:r w:rsidRPr="00EF0015" w:rsidR="00B463BD">
        <w:t xml:space="preserve">rovost </w:t>
      </w:r>
      <w:r w:rsidR="002D19D7">
        <w:t>o</w:t>
      </w:r>
      <w:r w:rsidRPr="00EF0015" w:rsidR="00B463BD">
        <w:t>fficers who are deployed on operations for this purpose.</w:t>
      </w:r>
    </w:p>
    <w:p w:rsidRPr="00EF0015" w:rsidR="00B32557" w:rsidP="00203783" w:rsidRDefault="00B463BD">
      <w:pPr>
        <w:pStyle w:val="JuPara"/>
      </w:pPr>
      <w:r w:rsidRPr="00EF0015">
        <w:fldChar w:fldCharType="begin"/>
      </w:r>
      <w:r w:rsidRPr="00EF0015">
        <w:instrText xml:space="preserve"> SEQ level0 \*arabic </w:instrText>
      </w:r>
      <w:r w:rsidRPr="00EF0015">
        <w:fldChar w:fldCharType="separate"/>
      </w:r>
      <w:r w:rsidR="00524A6D">
        <w:rPr>
          <w:noProof/>
        </w:rPr>
        <w:t>29</w:t>
      </w:r>
      <w:r w:rsidRPr="00EF0015">
        <w:fldChar w:fldCharType="end"/>
      </w:r>
      <w:r w:rsidRPr="00EF0015">
        <w:t xml:space="preserve">.  Investigations into Iraqi civilian deaths involving British soldiers </w:t>
      </w:r>
      <w:r w:rsidRPr="00EF0015" w:rsidR="00336962">
        <w:t>were</w:t>
      </w:r>
      <w:r w:rsidRPr="00EF0015" w:rsidR="00B32557">
        <w:t xml:space="preserve"> triggered either </w:t>
      </w:r>
      <w:r w:rsidRPr="00EF0015" w:rsidR="00CA2097">
        <w:t>by</w:t>
      </w:r>
      <w:r w:rsidRPr="00EF0015" w:rsidR="00B32557">
        <w:t xml:space="preserve"> </w:t>
      </w:r>
      <w:r w:rsidRPr="00EF0015">
        <w:t xml:space="preserve">the </w:t>
      </w:r>
      <w:r w:rsidRPr="00EF0015" w:rsidR="002606C8">
        <w:t xml:space="preserve">Special Investigation Branch </w:t>
      </w:r>
      <w:r w:rsidRPr="00EF0015" w:rsidR="00CA2097">
        <w:t xml:space="preserve">being </w:t>
      </w:r>
      <w:r w:rsidRPr="00EF0015" w:rsidR="00B32557">
        <w:t xml:space="preserve">asked to investigate by the </w:t>
      </w:r>
      <w:r w:rsidRPr="00EF0015" w:rsidR="00CA2097">
        <w:t>C</w:t>
      </w:r>
      <w:r w:rsidRPr="00EF0015" w:rsidR="00B32557">
        <w:t xml:space="preserve">ommanding </w:t>
      </w:r>
      <w:r w:rsidRPr="00EF0015" w:rsidR="00CA2097">
        <w:t>O</w:t>
      </w:r>
      <w:r w:rsidRPr="00EF0015" w:rsidR="00B32557">
        <w:t>f</w:t>
      </w:r>
      <w:r w:rsidRPr="00EF0015" w:rsidR="00CA2097">
        <w:t>ficer of the units concerned or by</w:t>
      </w:r>
      <w:r w:rsidRPr="00EF0015" w:rsidR="00B32557">
        <w:t xml:space="preserve"> the </w:t>
      </w:r>
      <w:r w:rsidRPr="00EF0015" w:rsidR="002606C8">
        <w:t xml:space="preserve">Special Investigation Branch </w:t>
      </w:r>
      <w:r w:rsidR="00761787">
        <w:t>of</w:t>
      </w:r>
      <w:r w:rsidRPr="00EF0015" w:rsidR="00CA2097">
        <w:t xml:space="preserve"> its own initiative, when it became aware of an incident by other means.</w:t>
      </w:r>
      <w:r w:rsidRPr="00EF0015" w:rsidR="00B32557">
        <w:t xml:space="preserve"> However, the latter type of investigation </w:t>
      </w:r>
      <w:r w:rsidRPr="00EF0015" w:rsidR="00CA2097">
        <w:t>c</w:t>
      </w:r>
      <w:r w:rsidRPr="00EF0015" w:rsidR="00B32557">
        <w:t xml:space="preserve">ould be </w:t>
      </w:r>
      <w:r w:rsidRPr="00EF0015" w:rsidR="00CA2097">
        <w:t>terminated</w:t>
      </w:r>
      <w:r w:rsidRPr="00EF0015" w:rsidR="00B32557">
        <w:t xml:space="preserve"> if the </w:t>
      </w:r>
      <w:r w:rsidRPr="00EF0015" w:rsidR="002606C8">
        <w:t xml:space="preserve">Special Investigation Branch </w:t>
      </w:r>
      <w:r w:rsidRPr="00EF0015" w:rsidR="00B32557">
        <w:t xml:space="preserve">was instructed to stop by </w:t>
      </w:r>
      <w:r w:rsidRPr="00EF0015" w:rsidR="00C32268">
        <w:t xml:space="preserve">the Provost Marshal or the </w:t>
      </w:r>
      <w:r w:rsidRPr="00EF0015" w:rsidR="00336962">
        <w:t>Commanding Officer</w:t>
      </w:r>
      <w:r w:rsidRPr="00EF0015" w:rsidR="004D0C64">
        <w:t xml:space="preserve"> of the unit involved</w:t>
      </w:r>
      <w:r w:rsidRPr="00EF0015" w:rsidR="00CA2097">
        <w:t>.</w:t>
      </w:r>
    </w:p>
    <w:p w:rsidRPr="00EF0015" w:rsidR="00B32557" w:rsidP="00203783" w:rsidRDefault="00CA2097">
      <w:pPr>
        <w:pStyle w:val="JuPara"/>
      </w:pPr>
      <w:r w:rsidRPr="00EF0015">
        <w:fldChar w:fldCharType="begin"/>
      </w:r>
      <w:r w:rsidRPr="00EF0015">
        <w:instrText xml:space="preserve"> SEQ level0 \*arabic </w:instrText>
      </w:r>
      <w:r w:rsidRPr="00EF0015">
        <w:fldChar w:fldCharType="separate"/>
      </w:r>
      <w:r w:rsidR="00524A6D">
        <w:rPr>
          <w:noProof/>
        </w:rPr>
        <w:t>30</w:t>
      </w:r>
      <w:r w:rsidRPr="00EF0015">
        <w:fldChar w:fldCharType="end"/>
      </w:r>
      <w:r w:rsidRPr="00EF0015">
        <w:t>.  </w:t>
      </w:r>
      <w:r w:rsidRPr="00EF0015" w:rsidR="002606C8">
        <w:t xml:space="preserve">Special Investigation Branch </w:t>
      </w:r>
      <w:r w:rsidRPr="00EF0015" w:rsidR="00B32557">
        <w:t>investigations in Iraq were hampered by a number of difficulties</w:t>
      </w:r>
      <w:r w:rsidR="00761787">
        <w:t>,</w:t>
      </w:r>
      <w:r w:rsidRPr="00EF0015" w:rsidR="00B32557">
        <w:t xml:space="preserve"> such as security problems, lack of interpreters, cultural </w:t>
      </w:r>
      <w:r w:rsidR="00617B4C">
        <w:t>consideration</w:t>
      </w:r>
      <w:r w:rsidRPr="00EF0015" w:rsidR="00B32557">
        <w:t>s (</w:t>
      </w:r>
      <w:r w:rsidRPr="00EF0015" w:rsidR="004D0C64">
        <w:t>for example,</w:t>
      </w:r>
      <w:r w:rsidRPr="00EF0015" w:rsidR="00B32557">
        <w:t xml:space="preserve"> the I</w:t>
      </w:r>
      <w:r w:rsidRPr="00EF0015" w:rsidR="00EA130A">
        <w:t>slamic</w:t>
      </w:r>
      <w:r w:rsidRPr="00EF0015" w:rsidR="00B32557">
        <w:t xml:space="preserve"> practice </w:t>
      </w:r>
      <w:r w:rsidRPr="00EF0015" w:rsidR="00963D61">
        <w:t xml:space="preserve">requiring </w:t>
      </w:r>
      <w:r w:rsidRPr="00EF0015" w:rsidR="00B32557">
        <w:t xml:space="preserve">a body </w:t>
      </w:r>
      <w:r w:rsidRPr="00EF0015" w:rsidR="00963D61">
        <w:t xml:space="preserve">to be buried </w:t>
      </w:r>
      <w:r w:rsidRPr="00EF0015" w:rsidR="00B32557">
        <w:t xml:space="preserve">within </w:t>
      </w:r>
      <w:r w:rsidR="00761787">
        <w:t>twenty-four</w:t>
      </w:r>
      <w:r w:rsidRPr="00EF0015" w:rsidR="00B32557">
        <w:t xml:space="preserve"> hours and le</w:t>
      </w:r>
      <w:r w:rsidRPr="00EF0015" w:rsidR="00963D61">
        <w:t xml:space="preserve">ft </w:t>
      </w:r>
      <w:r w:rsidRPr="00EF0015" w:rsidR="00B32557">
        <w:t xml:space="preserve">undisturbed for </w:t>
      </w:r>
      <w:r w:rsidR="00761787">
        <w:t>forty</w:t>
      </w:r>
      <w:r w:rsidRPr="00EF0015" w:rsidR="00B32557">
        <w:t xml:space="preserve"> days), the lack of pathologists and post-mortem facilities, the lack of records, problems with logistics</w:t>
      </w:r>
      <w:r w:rsidR="00F32D56">
        <w:t>,</w:t>
      </w:r>
      <w:r w:rsidRPr="00EF0015" w:rsidR="00B32557">
        <w:t xml:space="preserve"> the climate and general working conditions</w:t>
      </w:r>
      <w:r w:rsidRPr="00EF0015" w:rsidR="004D0C64">
        <w:t>.</w:t>
      </w:r>
      <w:r w:rsidRPr="00EF0015" w:rsidR="00EA130A">
        <w:t xml:space="preserve"> The Aitken Report (see paragraph </w:t>
      </w:r>
      <w:r w:rsidR="00617B4C">
        <w:t>69</w:t>
      </w:r>
      <w:r w:rsidRPr="00EF0015" w:rsidR="006E3F3B">
        <w:t xml:space="preserve"> below</w:t>
      </w:r>
      <w:r w:rsidRPr="00EF0015" w:rsidR="00EA130A">
        <w:t>) summarised the position as follows:</w:t>
      </w:r>
    </w:p>
    <w:p w:rsidRPr="00EF0015" w:rsidR="00EA130A" w:rsidP="00EA130A" w:rsidRDefault="00EA130A">
      <w:pPr>
        <w:pStyle w:val="JuQuot"/>
      </w:pPr>
      <w:r w:rsidRPr="00EF0015">
        <w:t xml:space="preserve">“It was not only the combat troops who were overstretched in these circumstances. The current military criminal justice system is relevant, independent, and fit for purpose; but even the most effective criminal justice system will struggle to investigate, advise on and prosecute cases where the civil infrastructure is effectively absent. And so, in the immediate aftermath of the ground war, the Service Police faced particular challenges in gathering evidence of a quality that would meet the very high standards required under English law. National records – usually an integral reference point for criminal investigations – were largely absent; a different understanding of the law between Iraqi people and British police added to an atmosphere of hostility and suspicion; and the </w:t>
      </w:r>
      <w:r w:rsidR="00477CF0">
        <w:t>a</w:t>
      </w:r>
      <w:r w:rsidRPr="00EF0015">
        <w:t>rmy was facing an increasingly dangerous operational environment – indeed, on 24 June 2003, six members of the Royal Military Police were killed in A</w:t>
      </w:r>
      <w:r w:rsidR="001F312C">
        <w:t>l</w:t>
      </w:r>
      <w:r w:rsidRPr="00EF0015">
        <w:t xml:space="preserve"> Amarah. Local customs similarly hampered the execution of British standards of justice: in the case of Nadhem Abdullah, for instance, the family of the deceased refused to hand over the body for forensic examination – significantly reducing the quality of evidence surrounding his death.</w:t>
      </w:r>
      <w:r w:rsidRPr="00EF0015" w:rsidR="00A74595">
        <w:t>”</w:t>
      </w:r>
    </w:p>
    <w:p w:rsidR="00C81668" w:rsidP="00D71439" w:rsidRDefault="00E938F4">
      <w:pPr>
        <w:pStyle w:val="JuPara"/>
      </w:pPr>
      <w:r w:rsidRPr="00EF0015">
        <w:t xml:space="preserve">The Aitken Report also referred to the problems caused to the </w:t>
      </w:r>
      <w:r w:rsidRPr="00EF0015" w:rsidR="002606C8">
        <w:t>Special Investigation Branch</w:t>
      </w:r>
      <w:r w:rsidRPr="00EF0015" w:rsidR="003F0C84">
        <w:t>,</w:t>
      </w:r>
      <w:r w:rsidRPr="00EF0015">
        <w:t xml:space="preserve"> </w:t>
      </w:r>
      <w:r w:rsidRPr="00EF0015" w:rsidR="003F0C84">
        <w:t xml:space="preserve">when </w:t>
      </w:r>
      <w:r w:rsidRPr="00EF0015">
        <w:t>attempting to investigate serious allegations of abuse</w:t>
      </w:r>
      <w:r w:rsidRPr="00EF0015" w:rsidR="003F0C84">
        <w:t>,</w:t>
      </w:r>
      <w:r w:rsidRPr="00EF0015">
        <w:t xml:space="preserve"> by </w:t>
      </w:r>
      <w:r w:rsidRPr="00EF0015" w:rsidR="005101FF">
        <w:t>the</w:t>
      </w:r>
      <w:r w:rsidRPr="00EF0015">
        <w:t xml:space="preserve"> </w:t>
      </w:r>
      <w:r w:rsidR="00F64B98">
        <w:t xml:space="preserve">sense of loyalty to fellow soldiers which could lead to a </w:t>
      </w:r>
      <w:r w:rsidRPr="00EF0015">
        <w:t xml:space="preserve">lack of cooperation from </w:t>
      </w:r>
      <w:r w:rsidR="00477CF0">
        <w:t>a</w:t>
      </w:r>
      <w:r w:rsidRPr="00EF0015">
        <w:t>rmy personnel</w:t>
      </w:r>
      <w:r w:rsidR="003E078A">
        <w:t xml:space="preserve"> and to what the </w:t>
      </w:r>
      <w:r w:rsidRPr="00EF0015" w:rsidR="003E078A">
        <w:t>judge in the court</w:t>
      </w:r>
      <w:r w:rsidR="00477CF0">
        <w:t xml:space="preserve"> </w:t>
      </w:r>
      <w:r w:rsidRPr="00EF0015" w:rsidR="003E078A">
        <w:t>martial concerning the killing of the sixth applicant</w:t>
      </w:r>
      <w:r w:rsidR="008570E8">
        <w:t>’</w:t>
      </w:r>
      <w:r w:rsidRPr="00EF0015" w:rsidR="003E078A">
        <w:t>s son</w:t>
      </w:r>
      <w:r w:rsidR="003E078A">
        <w:t xml:space="preserve"> had described as </w:t>
      </w:r>
      <w:r w:rsidRPr="00EF0015" w:rsidR="003E078A">
        <w:t xml:space="preserve">a “wall of silence” from </w:t>
      </w:r>
      <w:r w:rsidR="003E078A">
        <w:t xml:space="preserve">some of </w:t>
      </w:r>
      <w:r w:rsidRPr="00EF0015" w:rsidR="003E078A">
        <w:t>the military witnesses called to give evidence</w:t>
      </w:r>
      <w:r w:rsidR="003E078A">
        <w:t>.</w:t>
      </w:r>
    </w:p>
    <w:p w:rsidRPr="00EF0015" w:rsidR="00B32557" w:rsidP="00203783" w:rsidRDefault="002431B6">
      <w:pPr>
        <w:pStyle w:val="JuPara"/>
      </w:pPr>
      <w:r w:rsidRPr="00EF0015">
        <w:fldChar w:fldCharType="begin"/>
      </w:r>
      <w:r w:rsidRPr="00EF0015">
        <w:instrText xml:space="preserve"> SEQ level0 \*arabic </w:instrText>
      </w:r>
      <w:r w:rsidRPr="00EF0015">
        <w:fldChar w:fldCharType="separate"/>
      </w:r>
      <w:r w:rsidR="00524A6D">
        <w:rPr>
          <w:noProof/>
        </w:rPr>
        <w:t>31</w:t>
      </w:r>
      <w:r w:rsidRPr="00EF0015">
        <w:fldChar w:fldCharType="end"/>
      </w:r>
      <w:r w:rsidRPr="00EF0015">
        <w:t>.  </w:t>
      </w:r>
      <w:r w:rsidRPr="00EF0015" w:rsidR="00B32557">
        <w:t xml:space="preserve">On conclusion of a </w:t>
      </w:r>
      <w:r w:rsidRPr="00EF0015" w:rsidR="002606C8">
        <w:t xml:space="preserve">Special Investigation Branch </w:t>
      </w:r>
      <w:r w:rsidRPr="00EF0015" w:rsidR="00B32557">
        <w:t xml:space="preserve">investigation, the </w:t>
      </w:r>
      <w:r w:rsidRPr="00EF0015" w:rsidR="002606C8">
        <w:t xml:space="preserve">Special Investigation Branch </w:t>
      </w:r>
      <w:r w:rsidRPr="00EF0015" w:rsidR="00B32557">
        <w:t xml:space="preserve">officer would </w:t>
      </w:r>
      <w:r w:rsidRPr="00EF0015" w:rsidR="004D0C64">
        <w:t xml:space="preserve">report in writing </w:t>
      </w:r>
      <w:r w:rsidRPr="00EF0015" w:rsidR="00B32557">
        <w:t>to the C</w:t>
      </w:r>
      <w:r w:rsidRPr="00EF0015" w:rsidR="004D0C64">
        <w:t xml:space="preserve">ommanding </w:t>
      </w:r>
      <w:r w:rsidRPr="00EF0015" w:rsidR="00B32557">
        <w:t>O</w:t>
      </w:r>
      <w:r w:rsidRPr="00EF0015" w:rsidR="004D0C64">
        <w:t>fficer</w:t>
      </w:r>
      <w:r w:rsidRPr="00EF0015" w:rsidR="00B32557">
        <w:t xml:space="preserve"> of the unit involved. Such a report would include a covering letter and a summary of the evidence, together with </w:t>
      </w:r>
      <w:r w:rsidRPr="00EF0015" w:rsidR="004D0C64">
        <w:t>copies of any documentary</w:t>
      </w:r>
      <w:r w:rsidRPr="00EF0015" w:rsidR="00B32557">
        <w:t xml:space="preserve"> evidence </w:t>
      </w:r>
      <w:r w:rsidRPr="00EF0015" w:rsidR="004D0C64">
        <w:t>relevant</w:t>
      </w:r>
      <w:r w:rsidRPr="00EF0015" w:rsidR="00B32557">
        <w:t xml:space="preserve"> to the investigation in the form of statements from witnesses and investigators. The report would not contain any decision as to the facts or conclusions as to what </w:t>
      </w:r>
      <w:r w:rsidR="00EC3D3F">
        <w:t xml:space="preserve">had </w:t>
      </w:r>
      <w:r w:rsidRPr="00EF0015" w:rsidR="00B32557">
        <w:t xml:space="preserve">happened. </w:t>
      </w:r>
      <w:r w:rsidRPr="00EF0015" w:rsidR="004D0C64">
        <w:t>It was then for the Commanding Officer to decide whether or not to refer the ca</w:t>
      </w:r>
      <w:r w:rsidRPr="00EF0015" w:rsidR="003372FD">
        <w:t xml:space="preserve">se to the </w:t>
      </w:r>
      <w:r w:rsidR="002F5B04">
        <w:t>Army P</w:t>
      </w:r>
      <w:r w:rsidRPr="00EF0015" w:rsidR="003372FD">
        <w:t xml:space="preserve">rosecuting </w:t>
      </w:r>
      <w:r w:rsidR="002F5B04">
        <w:t>A</w:t>
      </w:r>
      <w:r w:rsidRPr="00EF0015" w:rsidR="003372FD">
        <w:t>uthority for possible trial by court</w:t>
      </w:r>
      <w:r w:rsidR="00477CF0">
        <w:t xml:space="preserve"> </w:t>
      </w:r>
      <w:r w:rsidRPr="00EF0015" w:rsidR="003372FD">
        <w:t>martial.</w:t>
      </w:r>
    </w:p>
    <w:p w:rsidRPr="00EF0015" w:rsidR="00320344" w:rsidP="00320344" w:rsidRDefault="00320344">
      <w:pPr>
        <w:pStyle w:val="JuPara"/>
      </w:pPr>
      <w:r w:rsidRPr="00EF0015">
        <w:fldChar w:fldCharType="begin"/>
      </w:r>
      <w:r w:rsidRPr="00EF0015">
        <w:instrText xml:space="preserve"> SEQ level0 \*arabic </w:instrText>
      </w:r>
      <w:r w:rsidRPr="00EF0015">
        <w:fldChar w:fldCharType="separate"/>
      </w:r>
      <w:r w:rsidR="00524A6D">
        <w:rPr>
          <w:noProof/>
        </w:rPr>
        <w:t>32</w:t>
      </w:r>
      <w:r w:rsidRPr="00EF0015">
        <w:fldChar w:fldCharType="end"/>
      </w:r>
      <w:r w:rsidRPr="00EF0015">
        <w:t>.  The Aitken Report</w:t>
      </w:r>
      <w:r w:rsidR="00477CF0">
        <w:t>,</w:t>
      </w:r>
      <w:r w:rsidRPr="00EF0015">
        <w:t xml:space="preserve"> dated 25 January 2008</w:t>
      </w:r>
      <w:r w:rsidR="00EC3D3F">
        <w:t xml:space="preserve"> </w:t>
      </w:r>
      <w:r w:rsidR="00477CF0">
        <w:t>(</w:t>
      </w:r>
      <w:r w:rsidR="00EC3D3F">
        <w:t xml:space="preserve">see paragraph </w:t>
      </w:r>
      <w:r w:rsidR="005E5D5B">
        <w:t>69</w:t>
      </w:r>
      <w:r w:rsidR="00EC3D3F">
        <w:t xml:space="preserve"> below</w:t>
      </w:r>
      <w:r w:rsidRPr="00EF0015">
        <w:t>)</w:t>
      </w:r>
      <w:r w:rsidR="00477CF0">
        <w:t>,</w:t>
      </w:r>
      <w:r w:rsidRPr="00EF0015">
        <w:t xml:space="preserve"> commented on the prosecution of armed forces personnel in connection with the death of Iraqi civilians</w:t>
      </w:r>
      <w:r w:rsidR="00EC3D3F">
        <w:t>,</w:t>
      </w:r>
      <w:r w:rsidRPr="00EF0015">
        <w:t xml:space="preserve"> as follows:</w:t>
      </w:r>
    </w:p>
    <w:p w:rsidRPr="00EF0015" w:rsidR="00320344" w:rsidP="00320344" w:rsidRDefault="00320344">
      <w:pPr>
        <w:pStyle w:val="JuQuot"/>
      </w:pPr>
      <w:r w:rsidRPr="00EF0015">
        <w:t xml:space="preserve">“Four cases involving Iraqi deaths as a result of deliberate abuse have been investigated, and subsequently referred to the Army Prosecuting Authority (APA) on the basis there was a </w:t>
      </w:r>
      <w:r w:rsidRPr="00D8100E">
        <w:t>prima facie</w:t>
      </w:r>
      <w:r w:rsidRPr="00EF0015">
        <w:t xml:space="preserve"> case that the victims had been killed unlawfully by British troops. The APA preferred charges on three of these cases on the basis that it considered there was a realistic prospect of conviction, and that trial was in the public and service interest; and yet not one conviction for murder or manslaughter has been recorded.</w:t>
      </w:r>
    </w:p>
    <w:p w:rsidRPr="00EF0015" w:rsidR="00320344" w:rsidP="00320344" w:rsidRDefault="00320344">
      <w:pPr>
        <w:pStyle w:val="JuQuot"/>
      </w:pPr>
      <w:r w:rsidRPr="00EF0015">
        <w:t xml:space="preserve">The </w:t>
      </w:r>
      <w:r w:rsidR="00477CF0">
        <w:t>a</w:t>
      </w:r>
      <w:r w:rsidRPr="00EF0015">
        <w:t>rmy</w:t>
      </w:r>
      <w:r w:rsidR="008570E8">
        <w:t>’</w:t>
      </w:r>
      <w:r w:rsidRPr="00EF0015">
        <w:t xml:space="preserve">s position is straightforward on the issue of prosecution. Legal advice is available for commanding officers and higher authorities to assist with decisions on referring appropriate cases to the APA. The Director Army Legal Services (DALS), who is responsible to the Adjutant General for the provision of legal services to the </w:t>
      </w:r>
      <w:r w:rsidR="006B5ECE">
        <w:t>a</w:t>
      </w:r>
      <w:r w:rsidRPr="00EF0015">
        <w:t xml:space="preserve">rmy, is additionally appointed by </w:t>
      </w:r>
      <w:r w:rsidR="006B5ECE">
        <w:t>t</w:t>
      </w:r>
      <w:r w:rsidRPr="00EF0015">
        <w:t>he Queen as the APA. In that capacity, he has responsibility for decisions on whether to direct trial for all cases referred by the military chain of command, and for the prosecution o</w:t>
      </w:r>
      <w:r w:rsidR="00C01416">
        <w:t>f all cases tried before courts</w:t>
      </w:r>
      <w:r w:rsidR="006B5ECE">
        <w:t xml:space="preserve"> </w:t>
      </w:r>
      <w:r w:rsidRPr="00EF0015">
        <w:t xml:space="preserve">martial, the Standing Civilian Court and the Summary Appeal Court and for appeals before the Courts-Martial Appeal Court and the House of Lords. DALS delegates these functions to ALS </w:t>
      </w:r>
      <w:r w:rsidR="006B5ECE">
        <w:t xml:space="preserve">[(Army Legal Services)] </w:t>
      </w:r>
      <w:r w:rsidRPr="00EF0015">
        <w:t>officers appointed as prosecutors in the APA, and Brigadier Prosecutions has day</w:t>
      </w:r>
      <w:r w:rsidR="006B5ECE">
        <w:t>-</w:t>
      </w:r>
      <w:r w:rsidRPr="00EF0015">
        <w:t>to</w:t>
      </w:r>
      <w:r w:rsidR="006B5ECE">
        <w:t>-</w:t>
      </w:r>
      <w:r w:rsidRPr="00EF0015">
        <w:t>day responsibility for the APA. The APA is under the general superintendence of the Attorney</w:t>
      </w:r>
      <w:r w:rsidR="001A2A93">
        <w:t xml:space="preserve"> </w:t>
      </w:r>
      <w:r w:rsidRPr="00EF0015">
        <w:t xml:space="preserve">General and is, rightly, independent of the </w:t>
      </w:r>
      <w:r w:rsidR="006B5ECE">
        <w:t>a</w:t>
      </w:r>
      <w:r w:rsidRPr="00EF0015">
        <w:t xml:space="preserve">rmy chain of command: the APA alone decides whether to direct court-martial trial and the appropriate charges, and neither the </w:t>
      </w:r>
      <w:r w:rsidR="006B5ECE">
        <w:t>a</w:t>
      </w:r>
      <w:r w:rsidRPr="00EF0015">
        <w:t xml:space="preserve">rmy chain of command, nor </w:t>
      </w:r>
      <w:r w:rsidR="006B5ECE">
        <w:t>m</w:t>
      </w:r>
      <w:r w:rsidRPr="00EF0015">
        <w:t xml:space="preserve">inisters, officials nor anyone else can make those decisions. However complex the situation in which it finds itself, the </w:t>
      </w:r>
      <w:r w:rsidR="006B5ECE">
        <w:t>a</w:t>
      </w:r>
      <w:r w:rsidRPr="00EF0015">
        <w:t xml:space="preserve">rmy must operate within the law at all times; once the APA has made its decision (based on the evidence and the law), the </w:t>
      </w:r>
      <w:r w:rsidR="006B5ECE">
        <w:t>a</w:t>
      </w:r>
      <w:r w:rsidRPr="00EF0015">
        <w:t>rmy has to accept that the consequences of prosecuting particular individuals or of particular charges may have a negative impact on its reputation.</w:t>
      </w:r>
    </w:p>
    <w:p w:rsidRPr="00EF0015" w:rsidR="00320344" w:rsidP="00320344" w:rsidRDefault="00320344">
      <w:pPr>
        <w:pStyle w:val="JuQuot"/>
      </w:pPr>
      <w:r w:rsidRPr="00EF0015">
        <w:t>The absence of a single conviction for murder or manslaughter as a result of deliberate abuse in Iraq may appear worrying, but it is explicable. Evidence has to be gathered (and, as already mentioned, this was not an easy process); that evidence has to be presented in court; and defendants are presumed innocent unless the prosecution can prove its case beyond reasonable doubt. That is a stiff test – no different to the one that applies in our civilian courts. In the broader context, the outcome from prosecutions brought to court martial by the APA is almost exactly comparable with the equivalent civilian courts: for example, as at the end of 2006, the conviction</w:t>
      </w:r>
      <w:r w:rsidR="006F4741">
        <w:t xml:space="preserve"> rates after trial in the court</w:t>
      </w:r>
      <w:r w:rsidR="00F14B8E">
        <w:t>-</w:t>
      </w:r>
      <w:r w:rsidRPr="00EF0015">
        <w:t>martial system stood at 12% as compared with 13% in the Crown Courts. It is inevitable that some prosecutions will fail; but this does not mean that they should not have been brought in the first place. It is the courts, after all, that determine guilt, not the prosecutors. Indeed, the fact that only a small number of all the 200-odd cases investigated by Service Police in Iraq resulted in prosecution could be interpreted as both a positive and a negative indicator: positive, in that the evidence and the context did not support the preferring of criminal charges; but negative, in that we know that the Service Police were hugely hampered, in some cases, in their ability to collect evidence of a high enough standard for charges to be preferred or for cases to be successfully prosecuted.</w:t>
      </w:r>
    </w:p>
    <w:p w:rsidRPr="00EF0015" w:rsidR="00320344" w:rsidP="00320344" w:rsidRDefault="00320344">
      <w:pPr>
        <w:pStyle w:val="JuQuot"/>
      </w:pPr>
      <w:r w:rsidRPr="00EF0015">
        <w:t xml:space="preserve">It is important to note that none of this implies any fundamental flaws in the effectiveness of the key elements of the </w:t>
      </w:r>
      <w:r w:rsidR="002A2350">
        <w:t>m</w:t>
      </w:r>
      <w:r w:rsidRPr="00EF0015">
        <w:t xml:space="preserve">ilitary </w:t>
      </w:r>
      <w:r w:rsidR="002A2350">
        <w:t>c</w:t>
      </w:r>
      <w:r w:rsidRPr="00EF0015">
        <w:t xml:space="preserve">riminal </w:t>
      </w:r>
      <w:r w:rsidR="002A2350">
        <w:t>j</w:t>
      </w:r>
      <w:r w:rsidRPr="00EF0015">
        <w:t xml:space="preserve">ustice </w:t>
      </w:r>
      <w:r w:rsidR="002A2350">
        <w:t>s</w:t>
      </w:r>
      <w:r w:rsidRPr="00EF0015">
        <w:t xml:space="preserve">ystem. Both the Special Investigation Branch of the Royal Military Police (RMP(SIB)) and the APA were independently inspected during 2007. The </w:t>
      </w:r>
      <w:r w:rsidR="006B5ECE">
        <w:t>p</w:t>
      </w:r>
      <w:r w:rsidRPr="00EF0015">
        <w:t>olice inspection reported that</w:t>
      </w:r>
      <w:r w:rsidR="008570E8">
        <w:t xml:space="preserve"> ‘</w:t>
      </w:r>
      <w:r w:rsidR="00E07594">
        <w:t>...</w:t>
      </w:r>
      <w:r w:rsidR="00E974A9">
        <w:t xml:space="preserve"> </w:t>
      </w:r>
      <w:r w:rsidRPr="00EF0015">
        <w:t>Her Majesty</w:t>
      </w:r>
      <w:r w:rsidR="008570E8">
        <w:t>’</w:t>
      </w:r>
      <w:r w:rsidRPr="00EF0015">
        <w:t>s Inspectorate of Constabulary assess the RMP(SIB) as having the capability and capacity to run a competent level 3 (serious c</w:t>
      </w:r>
      <w:r w:rsidRPr="00EF0015" w:rsidR="00BA407C">
        <w:t>riminal) reactive investigation</w:t>
      </w:r>
      <w:r w:rsidR="008570E8">
        <w:t>’</w:t>
      </w:r>
      <w:r w:rsidRPr="00EF0015">
        <w:t>; and the inspection of the APA in February and March 2007 by Her Majesty</w:t>
      </w:r>
      <w:r w:rsidR="008570E8">
        <w:t>’</w:t>
      </w:r>
      <w:r w:rsidRPr="00EF0015">
        <w:t>s Crown Prosecution Servic</w:t>
      </w:r>
      <w:r w:rsidRPr="00EF0015" w:rsidR="00BA407C">
        <w:t xml:space="preserve">e Inspectorate concluded that: </w:t>
      </w:r>
      <w:r w:rsidR="008570E8">
        <w:t>‘</w:t>
      </w:r>
      <w:r w:rsidR="00E07594">
        <w:t>...</w:t>
      </w:r>
      <w:r w:rsidR="00D46146">
        <w:t xml:space="preserve"> </w:t>
      </w:r>
      <w:r w:rsidRPr="00EF0015">
        <w:t>the APA undertakes its responsibilities in a thorough and professional manner, o</w:t>
      </w:r>
      <w:r w:rsidRPr="00EF0015" w:rsidR="00BA407C">
        <w:t>ften in difficult circumstances</w:t>
      </w:r>
      <w:r w:rsidR="008570E8">
        <w:t>’</w:t>
      </w:r>
      <w:r w:rsidRPr="00EF0015">
        <w:t xml:space="preserve">, adding that 95.7% of decisions to proceed to trial were correct on evidential grounds, and 100% of decisions to proceed to trial were properly based on public or </w:t>
      </w:r>
      <w:r w:rsidR="00CD0822">
        <w:t>s</w:t>
      </w:r>
      <w:r w:rsidRPr="00EF0015">
        <w:t>ervice interest grounds.</w:t>
      </w:r>
      <w:r w:rsidRPr="00EF0015" w:rsidR="00BA407C">
        <w:t>”</w:t>
      </w:r>
    </w:p>
    <w:p w:rsidRPr="00EF0015" w:rsidR="00B32557" w:rsidP="00CC23AF" w:rsidRDefault="00405921">
      <w:pPr>
        <w:pStyle w:val="JuHAA"/>
      </w:pPr>
      <w:bookmarkStart w:name="_Toc289868951" w:id="45"/>
      <w:bookmarkStart w:name="_Toc297210647" w:id="46"/>
      <w:r>
        <w:t>E.  </w:t>
      </w:r>
      <w:r w:rsidRPr="00EF0015" w:rsidR="00B32557">
        <w:t xml:space="preserve">The </w:t>
      </w:r>
      <w:r w:rsidRPr="00EF0015" w:rsidR="000702E2">
        <w:t>deaths of the applicants</w:t>
      </w:r>
      <w:r w:rsidR="008570E8">
        <w:t>’</w:t>
      </w:r>
      <w:r w:rsidRPr="00EF0015" w:rsidR="000702E2">
        <w:t xml:space="preserve"> relatives</w:t>
      </w:r>
      <w:bookmarkEnd w:id="45"/>
      <w:bookmarkEnd w:id="46"/>
    </w:p>
    <w:p w:rsidRPr="00EF0015" w:rsidR="00F947D2" w:rsidP="00F947D2" w:rsidRDefault="00F947D2">
      <w:pPr>
        <w:pStyle w:val="JuPara"/>
      </w:pPr>
      <w:r w:rsidRPr="00EF0015">
        <w:fldChar w:fldCharType="begin"/>
      </w:r>
      <w:r w:rsidRPr="00EF0015">
        <w:instrText xml:space="preserve"> SEQ level0 \*arabic </w:instrText>
      </w:r>
      <w:r w:rsidRPr="00EF0015">
        <w:fldChar w:fldCharType="separate"/>
      </w:r>
      <w:r w:rsidR="00524A6D">
        <w:rPr>
          <w:noProof/>
        </w:rPr>
        <w:t>33</w:t>
      </w:r>
      <w:r w:rsidRPr="00EF0015">
        <w:fldChar w:fldCharType="end"/>
      </w:r>
      <w:r w:rsidRPr="00EF0015">
        <w:t xml:space="preserve">.  The following accounts are based on the witness statements </w:t>
      </w:r>
      <w:r w:rsidR="005E5D5B">
        <w:t>of</w:t>
      </w:r>
      <w:r w:rsidRPr="00EF0015">
        <w:t xml:space="preserve"> the applicants and the British soldiers involved in each incident. These statements were also submitted to the domestic courts and</w:t>
      </w:r>
      <w:r w:rsidR="00BC03D1">
        <w:t>, as regards all but the fifth applicant,</w:t>
      </w:r>
      <w:r w:rsidRPr="00EF0015">
        <w:t xml:space="preserve"> summarised in their judgments (particularly the judgment of the Divisional Court).</w:t>
      </w:r>
    </w:p>
    <w:p w:rsidRPr="00EF0015" w:rsidR="002431B6" w:rsidP="00405921" w:rsidRDefault="00B32557">
      <w:pPr>
        <w:pStyle w:val="JuH1"/>
        <w:rPr>
          <w:b/>
        </w:rPr>
      </w:pPr>
      <w:bookmarkStart w:name="_Toc275785572" w:id="47"/>
      <w:bookmarkStart w:name="_Toc289765863" w:id="48"/>
      <w:bookmarkStart w:name="_Toc289868952" w:id="49"/>
      <w:bookmarkStart w:name="_Toc297210648" w:id="50"/>
      <w:r w:rsidRPr="00405921">
        <w:t>1</w:t>
      </w:r>
      <w:r w:rsidRPr="00405921" w:rsidR="00805FA6">
        <w:t>.</w:t>
      </w:r>
      <w:r w:rsidR="00405921">
        <w:t>  </w:t>
      </w:r>
      <w:r w:rsidRPr="00405921" w:rsidR="00472028">
        <w:t>The first applicant</w:t>
      </w:r>
      <w:bookmarkEnd w:id="47"/>
      <w:bookmarkEnd w:id="48"/>
      <w:bookmarkEnd w:id="49"/>
      <w:bookmarkEnd w:id="50"/>
    </w:p>
    <w:p w:rsidR="00C81668" w:rsidP="00203783" w:rsidRDefault="002431B6">
      <w:pPr>
        <w:pStyle w:val="JuPara"/>
      </w:pPr>
      <w:r w:rsidRPr="00EF0015">
        <w:fldChar w:fldCharType="begin"/>
      </w:r>
      <w:r w:rsidRPr="00EF0015">
        <w:instrText xml:space="preserve"> SEQ level0 \*arabic </w:instrText>
      </w:r>
      <w:r w:rsidRPr="00EF0015">
        <w:fldChar w:fldCharType="separate"/>
      </w:r>
      <w:r w:rsidR="00524A6D">
        <w:rPr>
          <w:noProof/>
        </w:rPr>
        <w:t>34</w:t>
      </w:r>
      <w:r w:rsidRPr="00EF0015">
        <w:fldChar w:fldCharType="end"/>
      </w:r>
      <w:r w:rsidRPr="00EF0015">
        <w:t>.  </w:t>
      </w:r>
      <w:r w:rsidRPr="00EF0015" w:rsidR="00B32557">
        <w:t xml:space="preserve">The first </w:t>
      </w:r>
      <w:r w:rsidRPr="00EF0015" w:rsidR="00472028">
        <w:t>applicant</w:t>
      </w:r>
      <w:r w:rsidRPr="00EF0015" w:rsidR="00B32557">
        <w:t xml:space="preserve"> is the brother of Hazim Jum</w:t>
      </w:r>
      <w:r w:rsidR="008570E8">
        <w:t>’</w:t>
      </w:r>
      <w:r w:rsidRPr="00EF0015" w:rsidR="00B32557">
        <w:t xml:space="preserve">aa Gatteh Al-Skeini (“Hazim Al-Skeini”), who was 23 </w:t>
      </w:r>
      <w:r w:rsidR="00B83461">
        <w:t xml:space="preserve">years old </w:t>
      </w:r>
      <w:r w:rsidRPr="00EF0015" w:rsidR="00B32557">
        <w:t>at the time of his death. Hazim Al-Skeini was one of two Iraqis from the Beini Skein tribe who were shot dead in the Al</w:t>
      </w:r>
      <w:r w:rsidRPr="00EF0015" w:rsidR="00472028">
        <w:t>-</w:t>
      </w:r>
      <w:r w:rsidRPr="00EF0015" w:rsidR="00B32557">
        <w:t xml:space="preserve">Majidiyah area of Basra just before midnight on 4 August 2003 by </w:t>
      </w:r>
      <w:r w:rsidRPr="00EF0015" w:rsidR="00F359C4">
        <w:t>Sergeant A</w:t>
      </w:r>
      <w:r w:rsidR="00B83461">
        <w:t>.</w:t>
      </w:r>
      <w:r w:rsidRPr="00EF0015" w:rsidR="00F359C4">
        <w:t xml:space="preserve">, </w:t>
      </w:r>
      <w:r w:rsidRPr="00EF0015" w:rsidR="00B32557">
        <w:t xml:space="preserve">the </w:t>
      </w:r>
      <w:r w:rsidR="00BF10AE">
        <w:t>C</w:t>
      </w:r>
      <w:r w:rsidRPr="00EF0015" w:rsidR="00B32557">
        <w:t>ommander of a British patrol</w:t>
      </w:r>
      <w:r w:rsidRPr="00EF0015" w:rsidR="00472028">
        <w:t>.</w:t>
      </w:r>
    </w:p>
    <w:p w:rsidR="00C81668" w:rsidP="00203783" w:rsidRDefault="002431B6">
      <w:pPr>
        <w:pStyle w:val="JuPara"/>
      </w:pPr>
      <w:r w:rsidRPr="00EF0015">
        <w:fldChar w:fldCharType="begin"/>
      </w:r>
      <w:r w:rsidRPr="00EF0015">
        <w:instrText xml:space="preserve"> SEQ level0 \*arabic </w:instrText>
      </w:r>
      <w:r w:rsidRPr="00EF0015">
        <w:fldChar w:fldCharType="separate"/>
      </w:r>
      <w:r w:rsidR="00524A6D">
        <w:rPr>
          <w:noProof/>
        </w:rPr>
        <w:t>35</w:t>
      </w:r>
      <w:r w:rsidRPr="00EF0015">
        <w:fldChar w:fldCharType="end"/>
      </w:r>
      <w:r w:rsidRPr="00EF0015">
        <w:t>.  </w:t>
      </w:r>
      <w:r w:rsidRPr="00EF0015" w:rsidR="00B32557">
        <w:t xml:space="preserve">In his witness statement, </w:t>
      </w:r>
      <w:r w:rsidRPr="00EF0015" w:rsidR="00472028">
        <w:t>the first applicant</w:t>
      </w:r>
      <w:r w:rsidRPr="00EF0015" w:rsidR="00B32557">
        <w:t xml:space="preserve"> explained that, during the evening in question, various members of his family had been gathering at a house in Al</w:t>
      </w:r>
      <w:r w:rsidRPr="00EF0015" w:rsidR="00472028">
        <w:t>-</w:t>
      </w:r>
      <w:r w:rsidRPr="00EF0015" w:rsidR="00B32557">
        <w:t xml:space="preserve">Majidiyah for a funeral ceremony. In Iraq it is customary for guns to be discharged at a funeral. </w:t>
      </w:r>
      <w:r w:rsidRPr="00EF0015" w:rsidR="00F359C4">
        <w:t>The first applicant</w:t>
      </w:r>
      <w:r w:rsidRPr="00EF0015" w:rsidR="00B32557">
        <w:t xml:space="preserve"> stated that he was engaged in receiving guests at the house, as they arrived for the ceremony, and saw his brother fired upon by British soldiers as he was walking along the street towards the house. According to </w:t>
      </w:r>
      <w:r w:rsidRPr="00EF0015" w:rsidR="00F359C4">
        <w:t>the first applicant</w:t>
      </w:r>
      <w:r w:rsidRPr="00EF0015" w:rsidR="00B32557">
        <w:t xml:space="preserve">, his brother was unarmed and only about ten metres away </w:t>
      </w:r>
      <w:r w:rsidR="000A171B">
        <w:t xml:space="preserve">from the soldiers </w:t>
      </w:r>
      <w:r w:rsidRPr="00EF0015" w:rsidR="00B32557">
        <w:t xml:space="preserve">when he was shot and killed. </w:t>
      </w:r>
      <w:r w:rsidRPr="00EF0015" w:rsidR="00E60BE9">
        <w:t>Another man with him was also killed.</w:t>
      </w:r>
      <w:r w:rsidRPr="00EF0015" w:rsidR="00B32557">
        <w:t xml:space="preserve"> He had no idea why the soldiers opened fire.</w:t>
      </w:r>
    </w:p>
    <w:p w:rsidR="00C81668" w:rsidP="00203783" w:rsidRDefault="002431B6">
      <w:pPr>
        <w:pStyle w:val="JuPara"/>
      </w:pPr>
      <w:r w:rsidRPr="00EF0015">
        <w:fldChar w:fldCharType="begin"/>
      </w:r>
      <w:r w:rsidRPr="00EF0015">
        <w:instrText xml:space="preserve"> SEQ level0 \*arabic </w:instrText>
      </w:r>
      <w:r w:rsidRPr="00EF0015">
        <w:fldChar w:fldCharType="separate"/>
      </w:r>
      <w:r w:rsidR="00524A6D">
        <w:rPr>
          <w:noProof/>
        </w:rPr>
        <w:t>36</w:t>
      </w:r>
      <w:r w:rsidRPr="00EF0015">
        <w:fldChar w:fldCharType="end"/>
      </w:r>
      <w:r w:rsidRPr="00EF0015">
        <w:t>.  </w:t>
      </w:r>
      <w:r w:rsidRPr="00EF0015" w:rsidR="00B32557">
        <w:t>According to the British account of the incident, the patrol</w:t>
      </w:r>
      <w:r w:rsidRPr="00EF0015" w:rsidR="00921276">
        <w:t>, approaching on foot and on a very dark night,</w:t>
      </w:r>
      <w:r w:rsidRPr="00EF0015" w:rsidR="00B32557">
        <w:t xml:space="preserve"> heard heavy gunfire from a number of different points in Al</w:t>
      </w:r>
      <w:r w:rsidRPr="00EF0015" w:rsidR="00F359C4">
        <w:t>-</w:t>
      </w:r>
      <w:r w:rsidRPr="00EF0015" w:rsidR="00B32557">
        <w:t xml:space="preserve">Majidiyah. </w:t>
      </w:r>
      <w:r w:rsidRPr="00EF0015" w:rsidR="00121D57">
        <w:t xml:space="preserve">As the patrol got deeper into the village they came upon </w:t>
      </w:r>
      <w:r w:rsidRPr="00EF0015" w:rsidR="00B32557">
        <w:t>two Iraqi men in the street</w:t>
      </w:r>
      <w:r w:rsidRPr="00EF0015" w:rsidR="00121D57">
        <w:t xml:space="preserve">. One was about five metres from </w:t>
      </w:r>
      <w:r w:rsidRPr="00EF0015" w:rsidR="00B32557">
        <w:t>Sergeant A</w:t>
      </w:r>
      <w:r w:rsidR="00BA64D6">
        <w:t>.</w:t>
      </w:r>
      <w:r w:rsidRPr="00EF0015" w:rsidR="00121D57">
        <w:t>, who was leading the patrol. Sergeant A</w:t>
      </w:r>
      <w:r w:rsidR="00BA64D6">
        <w:t>.</w:t>
      </w:r>
      <w:r w:rsidRPr="00EF0015" w:rsidR="00121D57">
        <w:t xml:space="preserve"> saw that he was armed and pointing the gun in his direction. In the dark, it was impossible to tell the position of the second man. Believing that his life and those of the other soldiers in the patrol were at immediate risk, Sergeant A</w:t>
      </w:r>
      <w:r w:rsidR="00BA64D6">
        <w:t>.</w:t>
      </w:r>
      <w:r w:rsidRPr="00EF0015" w:rsidR="00121D57">
        <w:t xml:space="preserve"> </w:t>
      </w:r>
      <w:r w:rsidRPr="00EF0015" w:rsidR="00B32557">
        <w:t xml:space="preserve">opened fire </w:t>
      </w:r>
      <w:r w:rsidRPr="00EF0015" w:rsidR="00121D57">
        <w:t>on the two men without giving any verbal warning.</w:t>
      </w:r>
    </w:p>
    <w:p w:rsidRPr="00EF0015" w:rsidR="00B32557" w:rsidP="00203783" w:rsidRDefault="002431B6">
      <w:pPr>
        <w:pStyle w:val="JuPara"/>
      </w:pPr>
      <w:r w:rsidRPr="00EF0015">
        <w:fldChar w:fldCharType="begin"/>
      </w:r>
      <w:r w:rsidRPr="00EF0015">
        <w:instrText xml:space="preserve"> SEQ level0 \*arabic </w:instrText>
      </w:r>
      <w:r w:rsidRPr="00EF0015">
        <w:fldChar w:fldCharType="separate"/>
      </w:r>
      <w:r w:rsidR="00524A6D">
        <w:rPr>
          <w:noProof/>
        </w:rPr>
        <w:t>37</w:t>
      </w:r>
      <w:r w:rsidRPr="00EF0015">
        <w:fldChar w:fldCharType="end"/>
      </w:r>
      <w:r w:rsidRPr="00EF0015">
        <w:t>.  </w:t>
      </w:r>
      <w:r w:rsidRPr="00EF0015" w:rsidR="00B32557">
        <w:t>The following day, Sergeant A</w:t>
      </w:r>
      <w:r w:rsidR="00BA64D6">
        <w:t>.</w:t>
      </w:r>
      <w:r w:rsidRPr="00EF0015" w:rsidR="00B32557">
        <w:t xml:space="preserve"> produced a written statement describing the incident.</w:t>
      </w:r>
      <w:r w:rsidR="00C81668">
        <w:t xml:space="preserve"> </w:t>
      </w:r>
      <w:r w:rsidRPr="00EF0015" w:rsidR="00B32557">
        <w:t>This was passed to the C</w:t>
      </w:r>
      <w:r w:rsidRPr="00EF0015" w:rsidR="00F359C4">
        <w:t xml:space="preserve">ommanding Officer of his battalion, </w:t>
      </w:r>
      <w:r w:rsidRPr="00EF0015" w:rsidR="00B32557">
        <w:t xml:space="preserve">Colonel </w:t>
      </w:r>
      <w:r w:rsidRPr="00EF0015" w:rsidR="00F359C4">
        <w:t>G</w:t>
      </w:r>
      <w:r w:rsidR="00BA64D6">
        <w:t>.</w:t>
      </w:r>
      <w:r w:rsidRPr="00EF0015" w:rsidR="00F359C4">
        <w:t xml:space="preserve">, </w:t>
      </w:r>
      <w:r w:rsidRPr="00EF0015" w:rsidR="00B32557">
        <w:t xml:space="preserve">who took the view that the incident fell within the </w:t>
      </w:r>
      <w:r w:rsidR="00BA64D6">
        <w:t>r</w:t>
      </w:r>
      <w:r w:rsidRPr="00EF0015" w:rsidR="002606C8">
        <w:t xml:space="preserve">ules of </w:t>
      </w:r>
      <w:r w:rsidR="00BA64D6">
        <w:t>e</w:t>
      </w:r>
      <w:r w:rsidRPr="00EF0015" w:rsidR="002606C8">
        <w:t xml:space="preserve">ngagement </w:t>
      </w:r>
      <w:r w:rsidRPr="00EF0015" w:rsidR="00B32557">
        <w:t>and duly wrote a report to that effect. Colonel G</w:t>
      </w:r>
      <w:r w:rsidR="00BA64D6">
        <w:t>.</w:t>
      </w:r>
      <w:r w:rsidRPr="00EF0015" w:rsidR="00B32557">
        <w:t xml:space="preserve"> sent the report to </w:t>
      </w:r>
      <w:r w:rsidR="00BA64D6">
        <w:t xml:space="preserve">the </w:t>
      </w:r>
      <w:r w:rsidRPr="00EF0015" w:rsidR="00B32557">
        <w:t>Brigade, where it was considered by Brigadier Moore. Brigadier Moore queried whether the other man had been pointing his gun at the patrol. Colonel G</w:t>
      </w:r>
      <w:r w:rsidR="00BA64D6">
        <w:t>.</w:t>
      </w:r>
      <w:r w:rsidRPr="00EF0015" w:rsidR="00B32557">
        <w:t xml:space="preserve"> wrote a further report that dealt with this query to Brigadier Moore</w:t>
      </w:r>
      <w:r w:rsidR="008570E8">
        <w:t>’</w:t>
      </w:r>
      <w:r w:rsidRPr="00EF0015" w:rsidR="00B32557">
        <w:t xml:space="preserve">s satisfaction. The original report was not retained in </w:t>
      </w:r>
      <w:r w:rsidR="00BA64D6">
        <w:t xml:space="preserve">the </w:t>
      </w:r>
      <w:r w:rsidRPr="00EF0015" w:rsidR="00B32557">
        <w:t>Brigade records. Having considered Colonel G</w:t>
      </w:r>
      <w:r w:rsidR="00BA64D6">
        <w:t>.</w:t>
      </w:r>
      <w:r w:rsidR="008570E8">
        <w:t>’</w:t>
      </w:r>
      <w:r w:rsidRPr="00EF0015" w:rsidR="00B32557">
        <w:t xml:space="preserve">s further report, as did his </w:t>
      </w:r>
      <w:r w:rsidR="00C5257F">
        <w:t>D</w:t>
      </w:r>
      <w:r w:rsidRPr="00EF0015" w:rsidR="00B32557">
        <w:t xml:space="preserve">eputy </w:t>
      </w:r>
      <w:r w:rsidR="00C5257F">
        <w:t>C</w:t>
      </w:r>
      <w:r w:rsidRPr="00EF0015" w:rsidR="00B32557">
        <w:t xml:space="preserve">hief of </w:t>
      </w:r>
      <w:r w:rsidR="00C5257F">
        <w:t>S</w:t>
      </w:r>
      <w:r w:rsidRPr="00EF0015" w:rsidR="00B32557">
        <w:t>taff and his legal adviser, Brigadier Moore was satisfied that the actions of Sergeant A</w:t>
      </w:r>
      <w:r w:rsidR="00BA64D6">
        <w:t>.</w:t>
      </w:r>
      <w:r w:rsidRPr="00EF0015" w:rsidR="00B32557">
        <w:t xml:space="preserve"> </w:t>
      </w:r>
      <w:r w:rsidR="000A171B">
        <w:t>fell</w:t>
      </w:r>
      <w:r w:rsidRPr="00EF0015" w:rsidR="00B32557">
        <w:t xml:space="preserve"> within the </w:t>
      </w:r>
      <w:r w:rsidR="00BA64D6">
        <w:t>r</w:t>
      </w:r>
      <w:r w:rsidRPr="00EF0015" w:rsidR="002606C8">
        <w:t xml:space="preserve">ules of </w:t>
      </w:r>
      <w:r w:rsidR="00BA64D6">
        <w:t>e</w:t>
      </w:r>
      <w:r w:rsidRPr="00EF0015" w:rsidR="002606C8">
        <w:t xml:space="preserve">ngagement </w:t>
      </w:r>
      <w:r w:rsidRPr="00EF0015" w:rsidR="00B32557">
        <w:t>and so he did not order any further investigation</w:t>
      </w:r>
      <w:r w:rsidRPr="00EF0015" w:rsidR="001F3E9E">
        <w:t>.</w:t>
      </w:r>
    </w:p>
    <w:p w:rsidRPr="00EF0015" w:rsidR="00E60BE9" w:rsidP="00203783" w:rsidRDefault="00E60BE9">
      <w:pPr>
        <w:pStyle w:val="JuPara"/>
      </w:pPr>
      <w:r w:rsidRPr="00EF0015">
        <w:fldChar w:fldCharType="begin"/>
      </w:r>
      <w:r w:rsidRPr="00EF0015">
        <w:instrText xml:space="preserve"> SEQ level0 \*arabic </w:instrText>
      </w:r>
      <w:r w:rsidRPr="00EF0015">
        <w:fldChar w:fldCharType="separate"/>
      </w:r>
      <w:r w:rsidR="00524A6D">
        <w:rPr>
          <w:noProof/>
        </w:rPr>
        <w:t>38</w:t>
      </w:r>
      <w:r w:rsidRPr="00EF0015">
        <w:fldChar w:fldCharType="end"/>
      </w:r>
      <w:r w:rsidRPr="00EF0015">
        <w:t>.  On 11, 13 and 16 August 2003 Colonel G</w:t>
      </w:r>
      <w:r w:rsidR="00BA64D6">
        <w:t>.</w:t>
      </w:r>
      <w:r w:rsidRPr="00EF0015">
        <w:t xml:space="preserve"> met with members of the dead men</w:t>
      </w:r>
      <w:r w:rsidR="008570E8">
        <w:t>’</w:t>
      </w:r>
      <w:r w:rsidRPr="00EF0015">
        <w:t>s tribe. He explained why Sergeant A</w:t>
      </w:r>
      <w:r w:rsidR="00BA64D6">
        <w:t>.</w:t>
      </w:r>
      <w:r w:rsidRPr="00EF0015">
        <w:t xml:space="preserve"> had opened fire and gave the tribe a charitable donation of 2,500 </w:t>
      </w:r>
      <w:r w:rsidR="002A0F9E">
        <w:t xml:space="preserve">United States </w:t>
      </w:r>
      <w:r w:rsidRPr="00EF0015">
        <w:t>dollars (USD)</w:t>
      </w:r>
      <w:r w:rsidRPr="00EF0015" w:rsidR="0033656C">
        <w:t xml:space="preserve"> from the British Army Goodwill Payment Committee</w:t>
      </w:r>
      <w:r w:rsidRPr="00EF0015">
        <w:t>, together with a letter explaining the circumstances of the deaths and acknowledging that the deceased had not intended to attack anyone.</w:t>
      </w:r>
    </w:p>
    <w:p w:rsidRPr="00EF0015" w:rsidR="00967459" w:rsidP="001F3E9E" w:rsidRDefault="00405921">
      <w:pPr>
        <w:pStyle w:val="JuH1"/>
      </w:pPr>
      <w:bookmarkStart w:name="_Toc275785573" w:id="51"/>
      <w:bookmarkStart w:name="_Toc289765864" w:id="52"/>
      <w:bookmarkStart w:name="_Toc289868953" w:id="53"/>
      <w:bookmarkStart w:name="_Toc297210649" w:id="54"/>
      <w:r>
        <w:rPr>
          <w:rStyle w:val="JuH1Char"/>
          <w:b w:val="0"/>
        </w:rPr>
        <w:t>2.  </w:t>
      </w:r>
      <w:r w:rsidRPr="00EF0015" w:rsidR="001F3E9E">
        <w:rPr>
          <w:rStyle w:val="JuH1Char"/>
          <w:b w:val="0"/>
        </w:rPr>
        <w:t>The second applicant</w:t>
      </w:r>
      <w:bookmarkEnd w:id="51"/>
      <w:bookmarkEnd w:id="52"/>
      <w:bookmarkEnd w:id="53"/>
      <w:bookmarkEnd w:id="54"/>
    </w:p>
    <w:p w:rsidR="00C81668" w:rsidP="00203783" w:rsidRDefault="00967459">
      <w:pPr>
        <w:pStyle w:val="JuPara"/>
      </w:pPr>
      <w:r w:rsidRPr="00EF0015">
        <w:fldChar w:fldCharType="begin"/>
      </w:r>
      <w:r w:rsidRPr="00EF0015">
        <w:instrText xml:space="preserve"> SEQ level0 \*arabic </w:instrText>
      </w:r>
      <w:r w:rsidRPr="00EF0015">
        <w:fldChar w:fldCharType="separate"/>
      </w:r>
      <w:r w:rsidR="00524A6D">
        <w:rPr>
          <w:noProof/>
        </w:rPr>
        <w:t>39</w:t>
      </w:r>
      <w:r w:rsidRPr="00EF0015">
        <w:fldChar w:fldCharType="end"/>
      </w:r>
      <w:r w:rsidRPr="00EF0015">
        <w:t>.  </w:t>
      </w:r>
      <w:r w:rsidRPr="00EF0015" w:rsidR="00B32557">
        <w:t xml:space="preserve">The second </w:t>
      </w:r>
      <w:r w:rsidRPr="00EF0015" w:rsidR="008509DA">
        <w:t>applicant</w:t>
      </w:r>
      <w:r w:rsidRPr="00EF0015" w:rsidR="00B32557">
        <w:t xml:space="preserve"> is the widow of Muhammad Salim, who was shot and fatally wounded by Sergeant </w:t>
      </w:r>
      <w:r w:rsidRPr="00EF0015" w:rsidR="001F3E9E">
        <w:t>C</w:t>
      </w:r>
      <w:r w:rsidR="00BA64D6">
        <w:t>.</w:t>
      </w:r>
      <w:r w:rsidRPr="00EF0015" w:rsidR="001F3E9E">
        <w:t xml:space="preserve"> </w:t>
      </w:r>
      <w:r w:rsidRPr="00EF0015" w:rsidR="00B32557">
        <w:t>shortly after midnight on 6</w:t>
      </w:r>
      <w:r w:rsidRPr="00EF0015" w:rsidR="001F3E9E">
        <w:t> </w:t>
      </w:r>
      <w:r w:rsidRPr="00EF0015" w:rsidR="00B32557">
        <w:t>November 2003.</w:t>
      </w:r>
    </w:p>
    <w:p w:rsidRPr="00EF0015" w:rsidR="00B32557" w:rsidP="00203783" w:rsidRDefault="00666EB1">
      <w:pPr>
        <w:pStyle w:val="JuPara"/>
      </w:pPr>
      <w:r w:rsidRPr="00EF0015">
        <w:fldChar w:fldCharType="begin"/>
      </w:r>
      <w:r w:rsidRPr="00EF0015">
        <w:instrText xml:space="preserve"> SEQ level0 \*arabic </w:instrText>
      </w:r>
      <w:r w:rsidRPr="00EF0015">
        <w:fldChar w:fldCharType="separate"/>
      </w:r>
      <w:r w:rsidR="00524A6D">
        <w:rPr>
          <w:noProof/>
        </w:rPr>
        <w:t>40</w:t>
      </w:r>
      <w:r w:rsidRPr="00EF0015">
        <w:fldChar w:fldCharType="end"/>
      </w:r>
      <w:r w:rsidRPr="00EF0015">
        <w:t>.  </w:t>
      </w:r>
      <w:r w:rsidRPr="00EF0015" w:rsidR="001917AE">
        <w:t xml:space="preserve">The second applicant </w:t>
      </w:r>
      <w:r w:rsidRPr="00EF0015" w:rsidR="00B32557">
        <w:t>was not present when her husband was shot</w:t>
      </w:r>
      <w:r w:rsidRPr="00EF0015" w:rsidR="001917AE">
        <w:t xml:space="preserve"> and her evidence was</w:t>
      </w:r>
      <w:r w:rsidRPr="00EF0015" w:rsidR="00B32557">
        <w:t xml:space="preserve"> based on what she was told by those who were present. </w:t>
      </w:r>
      <w:r w:rsidRPr="00EF0015" w:rsidR="001917AE">
        <w:t>She</w:t>
      </w:r>
      <w:r w:rsidRPr="00EF0015" w:rsidR="00B32557">
        <w:t xml:space="preserve"> stated that on 5</w:t>
      </w:r>
      <w:r w:rsidR="00405921">
        <w:t xml:space="preserve"> </w:t>
      </w:r>
      <w:r w:rsidRPr="00EF0015" w:rsidR="00B32557">
        <w:t xml:space="preserve">November 2003, during Ramadan, Muhammad Salim went to visit his brother-in-law at </w:t>
      </w:r>
      <w:r w:rsidRPr="00EF0015" w:rsidR="001917AE">
        <w:t>his</w:t>
      </w:r>
      <w:r w:rsidRPr="00EF0015" w:rsidR="00B32557">
        <w:t xml:space="preserve"> home in Basra</w:t>
      </w:r>
      <w:r w:rsidR="00BA64D6">
        <w:t>.</w:t>
      </w:r>
      <w:r w:rsidRPr="00EF0015" w:rsidR="00B32557">
        <w:t xml:space="preserve"> At about 11</w:t>
      </w:r>
      <w:r w:rsidRPr="00EF0015" w:rsidR="001917AE">
        <w:t>.</w:t>
      </w:r>
      <w:r w:rsidRPr="00EF0015" w:rsidR="00B32557">
        <w:t>30</w:t>
      </w:r>
      <w:r w:rsidR="002337E7">
        <w:t> </w:t>
      </w:r>
      <w:r w:rsidRPr="00EF0015" w:rsidR="00B32557">
        <w:t>p</w:t>
      </w:r>
      <w:r w:rsidRPr="00EF0015" w:rsidR="001917AE">
        <w:t>.</w:t>
      </w:r>
      <w:r w:rsidRPr="00EF0015" w:rsidR="00B32557">
        <w:t>m</w:t>
      </w:r>
      <w:r w:rsidRPr="00EF0015" w:rsidR="001917AE">
        <w:t>.</w:t>
      </w:r>
      <w:r w:rsidRPr="00EF0015" w:rsidR="00B32557">
        <w:t xml:space="preserve"> British soldiers raided the house. They broke down the front door. One of the British soldiers came face</w:t>
      </w:r>
      <w:r w:rsidRPr="00EF0015" w:rsidR="001703CB">
        <w:t>-</w:t>
      </w:r>
      <w:r w:rsidRPr="00EF0015" w:rsidR="00B32557">
        <w:t>to</w:t>
      </w:r>
      <w:r w:rsidRPr="00EF0015" w:rsidR="001703CB">
        <w:t>-</w:t>
      </w:r>
      <w:r w:rsidRPr="00EF0015" w:rsidR="00B32557">
        <w:t xml:space="preserve">face with </w:t>
      </w:r>
      <w:r w:rsidRPr="00EF0015" w:rsidR="001917AE">
        <w:t>the second applicant</w:t>
      </w:r>
      <w:r w:rsidR="008570E8">
        <w:t>’</w:t>
      </w:r>
      <w:r w:rsidRPr="00EF0015" w:rsidR="001917AE">
        <w:t>s</w:t>
      </w:r>
      <w:r w:rsidRPr="00EF0015" w:rsidR="00B32557">
        <w:t xml:space="preserve"> husband in the hall of the house and fired a shot at him, hitting him in the stomach. The British soldiers took him to the Czech military hospital, where he died on 7 November</w:t>
      </w:r>
      <w:r w:rsidR="002337E7">
        <w:t xml:space="preserve"> 2003</w:t>
      </w:r>
      <w:r w:rsidRPr="00EF0015" w:rsidR="00B32557">
        <w:t>.</w:t>
      </w:r>
    </w:p>
    <w:p w:rsidR="00C81668" w:rsidP="00203783" w:rsidRDefault="00967459">
      <w:pPr>
        <w:pStyle w:val="JuPara"/>
      </w:pPr>
      <w:r w:rsidRPr="00EF0015">
        <w:fldChar w:fldCharType="begin"/>
      </w:r>
      <w:r w:rsidRPr="00EF0015">
        <w:instrText xml:space="preserve"> SEQ level0 \*arabic </w:instrText>
      </w:r>
      <w:r w:rsidRPr="00EF0015">
        <w:fldChar w:fldCharType="separate"/>
      </w:r>
      <w:r w:rsidR="00524A6D">
        <w:rPr>
          <w:noProof/>
        </w:rPr>
        <w:t>41</w:t>
      </w:r>
      <w:r w:rsidRPr="00EF0015">
        <w:fldChar w:fldCharType="end"/>
      </w:r>
      <w:r w:rsidRPr="00EF0015">
        <w:t>.  </w:t>
      </w:r>
      <w:r w:rsidRPr="00EF0015" w:rsidR="00B32557">
        <w:t xml:space="preserve">According to the British account of the incident, the patrol had received information </w:t>
      </w:r>
      <w:r w:rsidRPr="00EF0015" w:rsidR="001703CB">
        <w:t xml:space="preserve">from an acquaintance of one of their interpreters </w:t>
      </w:r>
      <w:r w:rsidRPr="00EF0015" w:rsidR="00B32557">
        <w:t>that a group of men armed with long</w:t>
      </w:r>
      <w:r w:rsidR="00EC6D32">
        <w:t>-</w:t>
      </w:r>
      <w:r w:rsidRPr="00EF0015" w:rsidR="00B32557">
        <w:t>barrelled weapons, grenades and rocket</w:t>
      </w:r>
      <w:r w:rsidR="00EC6D32">
        <w:t>-</w:t>
      </w:r>
      <w:r w:rsidRPr="00EF0015" w:rsidR="00B32557">
        <w:t xml:space="preserve"> propelled grenades had been seen entering </w:t>
      </w:r>
      <w:r w:rsidRPr="00EF0015" w:rsidR="001703CB">
        <w:t>the</w:t>
      </w:r>
      <w:r w:rsidRPr="00EF0015" w:rsidR="00B32557">
        <w:t xml:space="preserve"> house</w:t>
      </w:r>
      <w:r w:rsidRPr="00EF0015" w:rsidR="001703CB">
        <w:t>. The order was given for a quick search</w:t>
      </w:r>
      <w:r w:rsidR="00EC6D32">
        <w:t>-</w:t>
      </w:r>
      <w:r w:rsidRPr="00EF0015" w:rsidR="001703CB">
        <w:t>and</w:t>
      </w:r>
      <w:r w:rsidR="00EC6D32">
        <w:t>-</w:t>
      </w:r>
      <w:r w:rsidRPr="00EF0015" w:rsidR="001703CB">
        <w:t xml:space="preserve">arrest operation. </w:t>
      </w:r>
      <w:r w:rsidRPr="00EF0015" w:rsidR="00B32557">
        <w:t>After the patrol failed to gain entry by knocking, the door was broken down. Sergeant C</w:t>
      </w:r>
      <w:r w:rsidR="00920A6E">
        <w:t>.</w:t>
      </w:r>
      <w:r w:rsidRPr="00EF0015" w:rsidR="00B32557">
        <w:t xml:space="preserve"> entered the house through the front door with two </w:t>
      </w:r>
      <w:r w:rsidRPr="00EF0015" w:rsidR="001917AE">
        <w:t>other soldiers</w:t>
      </w:r>
      <w:r w:rsidRPr="00EF0015" w:rsidR="00B32557">
        <w:t xml:space="preserve"> and cleared the first room. As he entered the second room</w:t>
      </w:r>
      <w:r w:rsidR="00920A6E">
        <w:t>,</w:t>
      </w:r>
      <w:r w:rsidRPr="00EF0015" w:rsidR="00B32557">
        <w:t xml:space="preserve"> he heard automatic gunfire from within the house. When Sergeant C</w:t>
      </w:r>
      <w:r w:rsidR="00920A6E">
        <w:t>.</w:t>
      </w:r>
      <w:r w:rsidRPr="00EF0015" w:rsidR="00B32557">
        <w:t xml:space="preserve"> moved forward into the next room by the bottom of the stairs, two men armed with long</w:t>
      </w:r>
      <w:r w:rsidR="00920A6E">
        <w:t>-</w:t>
      </w:r>
      <w:r w:rsidRPr="00EF0015" w:rsidR="00B32557">
        <w:t>barrelled weapons rushed down the stairs towards him. There was no time to give a verbal warning. Sergeant C</w:t>
      </w:r>
      <w:r w:rsidR="00920A6E">
        <w:t>.</w:t>
      </w:r>
      <w:r w:rsidRPr="00EF0015" w:rsidR="00B32557">
        <w:t xml:space="preserve"> believed that his life was in immediate danger. He fired one shot at the leading man</w:t>
      </w:r>
      <w:r w:rsidRPr="00EF0015" w:rsidR="001917AE">
        <w:t>, the second applicant</w:t>
      </w:r>
      <w:r w:rsidR="008570E8">
        <w:t>’</w:t>
      </w:r>
      <w:r w:rsidRPr="00EF0015" w:rsidR="001917AE">
        <w:t>s husband,</w:t>
      </w:r>
      <w:r w:rsidR="00405921">
        <w:t xml:space="preserve"> and hit him in the stomach. </w:t>
      </w:r>
      <w:r w:rsidRPr="00EF0015" w:rsidR="00B32557">
        <w:t xml:space="preserve">He then trained his weapon on the second man who dropped his gun. </w:t>
      </w:r>
      <w:r w:rsidRPr="00EF0015" w:rsidR="001703CB">
        <w:t>The applicant</w:t>
      </w:r>
      <w:r w:rsidR="008570E8">
        <w:t>’</w:t>
      </w:r>
      <w:r w:rsidRPr="00EF0015" w:rsidR="001703CB">
        <w:t xml:space="preserve">s family subsequently informed the patrol that they were lawyers and were in dispute with another family of lawyers over the ownership of office premises, which had led to their being subjected to </w:t>
      </w:r>
      <w:r w:rsidRPr="00EF0015" w:rsidR="00EA7235">
        <w:t>two</w:t>
      </w:r>
      <w:r w:rsidRPr="00EF0015" w:rsidR="001703CB">
        <w:t xml:space="preserve"> armed attacks</w:t>
      </w:r>
      <w:r w:rsidRPr="00EF0015" w:rsidR="00EA7235">
        <w:t xml:space="preserve"> which they had reported to the police</w:t>
      </w:r>
      <w:r w:rsidRPr="00EF0015" w:rsidR="001703CB">
        <w:t xml:space="preserve">, one three days before and one </w:t>
      </w:r>
      <w:r w:rsidR="00EC6D32">
        <w:t xml:space="preserve">only </w:t>
      </w:r>
      <w:r w:rsidRPr="00EF0015" w:rsidR="001703CB">
        <w:t>thirty minutes before the patrol</w:t>
      </w:r>
      <w:r w:rsidR="008570E8">
        <w:t>’</w:t>
      </w:r>
      <w:r w:rsidRPr="00EF0015" w:rsidR="001703CB">
        <w:t>s forced entry.</w:t>
      </w:r>
    </w:p>
    <w:p w:rsidRPr="00EF0015" w:rsidR="00B32557" w:rsidP="00203783" w:rsidRDefault="00967459">
      <w:pPr>
        <w:pStyle w:val="JuPara"/>
      </w:pPr>
      <w:r w:rsidRPr="00EF0015">
        <w:fldChar w:fldCharType="begin"/>
      </w:r>
      <w:r w:rsidRPr="00EF0015">
        <w:instrText xml:space="preserve"> SEQ level0 \*arabic </w:instrText>
      </w:r>
      <w:r w:rsidRPr="00EF0015">
        <w:fldChar w:fldCharType="separate"/>
      </w:r>
      <w:r w:rsidR="00524A6D">
        <w:rPr>
          <w:noProof/>
        </w:rPr>
        <w:t>42</w:t>
      </w:r>
      <w:r w:rsidRPr="00EF0015">
        <w:fldChar w:fldCharType="end"/>
      </w:r>
      <w:r w:rsidRPr="00EF0015">
        <w:t>.  </w:t>
      </w:r>
      <w:r w:rsidRPr="00EF0015" w:rsidR="001917AE">
        <w:t>On 6 November 2003</w:t>
      </w:r>
      <w:r w:rsidRPr="00EF0015" w:rsidR="00B32557">
        <w:t xml:space="preserve"> the </w:t>
      </w:r>
      <w:r w:rsidRPr="00EF0015" w:rsidR="001917AE">
        <w:t xml:space="preserve">Company Commander </w:t>
      </w:r>
      <w:r w:rsidRPr="00EF0015" w:rsidR="00B32557">
        <w:t xml:space="preserve">produced a report of the incident. </w:t>
      </w:r>
      <w:r w:rsidR="00101CD1">
        <w:t xml:space="preserve">He concluded that the patrol had deliberately been provided with false intelligence by the other </w:t>
      </w:r>
      <w:r w:rsidR="008A44C0">
        <w:t>side in</w:t>
      </w:r>
      <w:r w:rsidR="00101CD1">
        <w:t xml:space="preserve"> the feud. </w:t>
      </w:r>
      <w:r w:rsidRPr="00EF0015" w:rsidR="00B32557">
        <w:t xml:space="preserve">Having considered the report and spoken to the </w:t>
      </w:r>
      <w:r w:rsidRPr="00EF0015" w:rsidR="001917AE">
        <w:t>Company Commander</w:t>
      </w:r>
      <w:r w:rsidRPr="00EF0015" w:rsidR="00B32557">
        <w:t>, Colonel G</w:t>
      </w:r>
      <w:r w:rsidR="00920A6E">
        <w:t>.</w:t>
      </w:r>
      <w:r w:rsidRPr="00EF0015" w:rsidR="00B32557">
        <w:t xml:space="preserve"> came to the conclusion that the incident fell within the </w:t>
      </w:r>
      <w:r w:rsidR="00920A6E">
        <w:t>r</w:t>
      </w:r>
      <w:r w:rsidRPr="00EF0015" w:rsidR="002606C8">
        <w:t xml:space="preserve">ules of </w:t>
      </w:r>
      <w:r w:rsidR="00920A6E">
        <w:t>e</w:t>
      </w:r>
      <w:r w:rsidRPr="00EF0015" w:rsidR="002606C8">
        <w:t xml:space="preserve">ngagement </w:t>
      </w:r>
      <w:r w:rsidRPr="00EF0015" w:rsidR="00B32557">
        <w:t xml:space="preserve">and did not require any further </w:t>
      </w:r>
      <w:r w:rsidRPr="00EF0015" w:rsidR="002606C8">
        <w:t xml:space="preserve">Special Investigation Branch </w:t>
      </w:r>
      <w:r w:rsidRPr="00EF0015" w:rsidR="00B32557">
        <w:t xml:space="preserve">investigation. He therefore produced a report to that effect the same day and forwarded it to </w:t>
      </w:r>
      <w:r w:rsidR="00920A6E">
        <w:t xml:space="preserve">the </w:t>
      </w:r>
      <w:r w:rsidRPr="00EF0015" w:rsidR="00B32557">
        <w:t xml:space="preserve">Brigade, where it was considered by Brigadier </w:t>
      </w:r>
      <w:r w:rsidR="003A1ED8">
        <w:t>General</w:t>
      </w:r>
      <w:r w:rsidRPr="00EF0015" w:rsidR="00B32557">
        <w:t xml:space="preserve"> Jones. Brigadier Jones discussed the matter with his </w:t>
      </w:r>
      <w:r w:rsidR="00C5257F">
        <w:t>D</w:t>
      </w:r>
      <w:r w:rsidRPr="00EF0015" w:rsidR="00B32557">
        <w:t xml:space="preserve">eputy </w:t>
      </w:r>
      <w:r w:rsidR="00C5257F">
        <w:t>C</w:t>
      </w:r>
      <w:r w:rsidRPr="00EF0015" w:rsidR="00B32557">
        <w:t xml:space="preserve">hief of </w:t>
      </w:r>
      <w:r w:rsidR="00C5257F">
        <w:t>S</w:t>
      </w:r>
      <w:r w:rsidRPr="00EF0015" w:rsidR="00B32557">
        <w:t xml:space="preserve">taff and his legal adviser. He also discussed the case with his political adviser. As a result, Brigadier Jones also concluded that it was a straightforward case that fell within the </w:t>
      </w:r>
      <w:r w:rsidR="00920A6E">
        <w:t>r</w:t>
      </w:r>
      <w:r w:rsidRPr="00EF0015" w:rsidR="002606C8">
        <w:t xml:space="preserve">ules of </w:t>
      </w:r>
      <w:r w:rsidR="00920A6E">
        <w:t>e</w:t>
      </w:r>
      <w:r w:rsidRPr="00EF0015" w:rsidR="002606C8">
        <w:t xml:space="preserve">ngagement </w:t>
      </w:r>
      <w:r w:rsidRPr="00EF0015" w:rsidR="00B32557">
        <w:t>and duly issued a report to that effect.</w:t>
      </w:r>
      <w:r w:rsidRPr="00EF0015" w:rsidR="00966E81">
        <w:t xml:space="preserve"> The applicant, who had three young children and an elderly mother-in-law to support, </w:t>
      </w:r>
      <w:r w:rsidRPr="00EF0015" w:rsidR="00F20AD6">
        <w:t xml:space="preserve">received </w:t>
      </w:r>
      <w:r w:rsidR="00C976AF">
        <w:t xml:space="preserve">USD </w:t>
      </w:r>
      <w:r w:rsidRPr="00EF0015" w:rsidR="00BF697D">
        <w:t>2,0</w:t>
      </w:r>
      <w:r w:rsidRPr="00EF0015" w:rsidR="00966E81">
        <w:t xml:space="preserve">00 </w:t>
      </w:r>
      <w:r w:rsidRPr="00EF0015" w:rsidR="00F20AD6">
        <w:t>from</w:t>
      </w:r>
      <w:r w:rsidRPr="00EF0015" w:rsidR="00966E81">
        <w:t xml:space="preserve"> the British Army</w:t>
      </w:r>
      <w:r w:rsidRPr="00EF0015" w:rsidR="00F20AD6">
        <w:t xml:space="preserve"> Goodwill Payment Committee</w:t>
      </w:r>
      <w:r w:rsidRPr="00EF0015" w:rsidR="00BF697D">
        <w:t>, together with a letter setting out the circumstances of the killing</w:t>
      </w:r>
      <w:r w:rsidRPr="00EF0015" w:rsidR="00966E81">
        <w:t>.</w:t>
      </w:r>
    </w:p>
    <w:p w:rsidRPr="00EF0015" w:rsidR="00967459" w:rsidP="00405921" w:rsidRDefault="001917AE">
      <w:pPr>
        <w:pStyle w:val="JuH1"/>
      </w:pPr>
      <w:bookmarkStart w:name="_Toc275785574" w:id="55"/>
      <w:bookmarkStart w:name="_Toc289765865" w:id="56"/>
      <w:bookmarkStart w:name="_Toc289868954" w:id="57"/>
      <w:bookmarkStart w:name="_Toc297210650" w:id="58"/>
      <w:r w:rsidRPr="00405921">
        <w:t>3.</w:t>
      </w:r>
      <w:r w:rsidRPr="00405921" w:rsidR="00405921">
        <w:t>  </w:t>
      </w:r>
      <w:r w:rsidRPr="00405921">
        <w:t>The third applicant</w:t>
      </w:r>
      <w:bookmarkEnd w:id="55"/>
      <w:bookmarkEnd w:id="56"/>
      <w:bookmarkEnd w:id="57"/>
      <w:bookmarkEnd w:id="58"/>
    </w:p>
    <w:p w:rsidR="00C81668" w:rsidP="00203783" w:rsidRDefault="00967459">
      <w:pPr>
        <w:pStyle w:val="JuPara"/>
      </w:pPr>
      <w:r w:rsidRPr="00EF0015">
        <w:fldChar w:fldCharType="begin"/>
      </w:r>
      <w:r w:rsidRPr="00EF0015">
        <w:instrText xml:space="preserve"> SEQ level0 \*arabic </w:instrText>
      </w:r>
      <w:r w:rsidRPr="00EF0015">
        <w:fldChar w:fldCharType="separate"/>
      </w:r>
      <w:r w:rsidR="00524A6D">
        <w:rPr>
          <w:noProof/>
        </w:rPr>
        <w:t>43</w:t>
      </w:r>
      <w:r w:rsidRPr="00EF0015">
        <w:fldChar w:fldCharType="end"/>
      </w:r>
      <w:r w:rsidRPr="00EF0015">
        <w:t>.  </w:t>
      </w:r>
      <w:r w:rsidRPr="00EF0015" w:rsidR="001917AE">
        <w:t>The third applicant</w:t>
      </w:r>
      <w:r w:rsidRPr="00EF0015" w:rsidR="00B32557">
        <w:t xml:space="preserve"> is the widower of Hannan Mahaibas Sadde Shmailawi, who was shot and fatally wounded on 10 November 2003 at the Institute of Education in the Al</w:t>
      </w:r>
      <w:r w:rsidRPr="00EF0015" w:rsidR="00AD35AF">
        <w:t>-</w:t>
      </w:r>
      <w:r w:rsidRPr="00EF0015" w:rsidR="00B32557">
        <w:t>Maq</w:t>
      </w:r>
      <w:r w:rsidR="00CD7817">
        <w:t>a</w:t>
      </w:r>
      <w:r w:rsidRPr="00EF0015" w:rsidR="00B32557">
        <w:t>al area of Basra</w:t>
      </w:r>
      <w:r w:rsidR="00920A6E">
        <w:t>,</w:t>
      </w:r>
      <w:r w:rsidRPr="00EF0015" w:rsidR="00B32557">
        <w:t xml:space="preserve"> where </w:t>
      </w:r>
      <w:r w:rsidRPr="00EF0015" w:rsidR="00AD35AF">
        <w:t xml:space="preserve">the third applicant </w:t>
      </w:r>
      <w:r w:rsidRPr="00EF0015" w:rsidR="00B32557">
        <w:t>worked as a night porter and lived with his wife and family.</w:t>
      </w:r>
    </w:p>
    <w:p w:rsidR="00C81668" w:rsidP="00203783" w:rsidRDefault="00967459">
      <w:pPr>
        <w:pStyle w:val="JuPara"/>
      </w:pPr>
      <w:r w:rsidRPr="00EF0015">
        <w:fldChar w:fldCharType="begin"/>
      </w:r>
      <w:r w:rsidRPr="00EF0015">
        <w:instrText xml:space="preserve"> SEQ level0 \*arabic </w:instrText>
      </w:r>
      <w:r w:rsidRPr="00EF0015">
        <w:fldChar w:fldCharType="separate"/>
      </w:r>
      <w:r w:rsidR="00524A6D">
        <w:rPr>
          <w:noProof/>
        </w:rPr>
        <w:t>44</w:t>
      </w:r>
      <w:r w:rsidRPr="00EF0015">
        <w:fldChar w:fldCharType="end"/>
      </w:r>
      <w:r w:rsidRPr="00EF0015">
        <w:t>. </w:t>
      </w:r>
      <w:r w:rsidR="00405921">
        <w:t> </w:t>
      </w:r>
      <w:r w:rsidRPr="00EF0015" w:rsidR="00B32557">
        <w:t xml:space="preserve">According to </w:t>
      </w:r>
      <w:r w:rsidRPr="00EF0015" w:rsidR="00AD35AF">
        <w:t>the third applicant</w:t>
      </w:r>
      <w:r w:rsidR="008570E8">
        <w:t>’</w:t>
      </w:r>
      <w:r w:rsidRPr="00EF0015" w:rsidR="00AD35AF">
        <w:t>s</w:t>
      </w:r>
      <w:r w:rsidRPr="00EF0015" w:rsidR="00B32557">
        <w:t xml:space="preserve"> witness statement, at about 8 p</w:t>
      </w:r>
      <w:r w:rsidRPr="00EF0015" w:rsidR="00AD35AF">
        <w:t>.</w:t>
      </w:r>
      <w:r w:rsidRPr="00EF0015" w:rsidR="00B32557">
        <w:t>m</w:t>
      </w:r>
      <w:r w:rsidRPr="00EF0015" w:rsidR="00AD35AF">
        <w:t>.</w:t>
      </w:r>
      <w:r w:rsidRPr="00EF0015" w:rsidR="00B32557">
        <w:t xml:space="preserve"> on the evening in question, he and his family were sitting round the dinner table when there was a sudden burst of machine</w:t>
      </w:r>
      <w:r w:rsidR="00EC6D32">
        <w:t>-</w:t>
      </w:r>
      <w:r w:rsidRPr="00EF0015" w:rsidR="00B32557">
        <w:t>gunfire from outside the building</w:t>
      </w:r>
      <w:r w:rsidRPr="00EF0015" w:rsidR="009E4B0B">
        <w:t xml:space="preserve">. </w:t>
      </w:r>
      <w:r w:rsidRPr="00EF0015" w:rsidR="00B32557">
        <w:t>Bullets struck his wife in the head and ankles</w:t>
      </w:r>
      <w:r w:rsidRPr="00EF0015" w:rsidR="009E4B0B">
        <w:t xml:space="preserve"> and one of his children</w:t>
      </w:r>
      <w:r w:rsidR="00EC6D32">
        <w:t xml:space="preserve"> on the arm</w:t>
      </w:r>
      <w:r w:rsidRPr="00EF0015" w:rsidR="009E4B0B">
        <w:t>.</w:t>
      </w:r>
      <w:r w:rsidRPr="00EF0015" w:rsidR="00B32557">
        <w:t xml:space="preserve"> </w:t>
      </w:r>
      <w:r w:rsidRPr="00EF0015" w:rsidR="009E4B0B">
        <w:t>The applicant</w:t>
      </w:r>
      <w:r w:rsidR="008570E8">
        <w:t>’</w:t>
      </w:r>
      <w:r w:rsidRPr="00EF0015" w:rsidR="009E4B0B">
        <w:t>s wife a</w:t>
      </w:r>
      <w:r w:rsidRPr="00EF0015" w:rsidR="00B32557">
        <w:t xml:space="preserve">nd child were taken to hospital, </w:t>
      </w:r>
      <w:r w:rsidRPr="00EF0015" w:rsidR="009E4B0B">
        <w:t xml:space="preserve">where </w:t>
      </w:r>
      <w:r w:rsidR="00EC6D32">
        <w:t>his</w:t>
      </w:r>
      <w:r w:rsidRPr="00EF0015" w:rsidR="009E4B0B">
        <w:t xml:space="preserve"> child recovered but his wife</w:t>
      </w:r>
      <w:r w:rsidRPr="00EF0015" w:rsidR="00B32557">
        <w:t xml:space="preserve"> died.</w:t>
      </w:r>
    </w:p>
    <w:p w:rsidR="00C81668" w:rsidP="00203783" w:rsidRDefault="00967459">
      <w:pPr>
        <w:pStyle w:val="JuPara"/>
      </w:pPr>
      <w:r w:rsidRPr="00EF0015">
        <w:fldChar w:fldCharType="begin"/>
      </w:r>
      <w:r w:rsidRPr="00EF0015">
        <w:instrText xml:space="preserve"> SEQ level0 \*arabic </w:instrText>
      </w:r>
      <w:r w:rsidRPr="00EF0015">
        <w:fldChar w:fldCharType="separate"/>
      </w:r>
      <w:r w:rsidR="00524A6D">
        <w:rPr>
          <w:noProof/>
        </w:rPr>
        <w:t>45</w:t>
      </w:r>
      <w:r w:rsidRPr="00EF0015">
        <w:fldChar w:fldCharType="end"/>
      </w:r>
      <w:r w:rsidRPr="00EF0015">
        <w:t>.  </w:t>
      </w:r>
      <w:r w:rsidRPr="00EF0015" w:rsidR="00B32557">
        <w:t xml:space="preserve">According to the British account of the incident, </w:t>
      </w:r>
      <w:r w:rsidRPr="00EF0015" w:rsidR="009E4B0B">
        <w:t>the third applicant</w:t>
      </w:r>
      <w:r w:rsidR="008570E8">
        <w:t>’</w:t>
      </w:r>
      <w:r w:rsidRPr="00EF0015" w:rsidR="009E4B0B">
        <w:t>s wife</w:t>
      </w:r>
      <w:r w:rsidRPr="00EF0015" w:rsidR="00B32557">
        <w:t xml:space="preserve"> was shot during a firefight between a </w:t>
      </w:r>
      <w:r w:rsidRPr="00EF0015" w:rsidR="00B40A3B">
        <w:t xml:space="preserve">British </w:t>
      </w:r>
      <w:r w:rsidRPr="00EF0015" w:rsidR="00B32557">
        <w:t>patrol and a number of unknown gunmen.</w:t>
      </w:r>
      <w:r w:rsidRPr="00EF0015" w:rsidR="00B40A3B">
        <w:t xml:space="preserve"> </w:t>
      </w:r>
      <w:r w:rsidRPr="00EF0015" w:rsidR="00B32557">
        <w:t xml:space="preserve">When the area was illuminated by parachute flares, at least </w:t>
      </w:r>
      <w:r w:rsidRPr="00EF0015" w:rsidR="00B40A3B">
        <w:t>three</w:t>
      </w:r>
      <w:r w:rsidRPr="00EF0015" w:rsidR="00B32557">
        <w:t xml:space="preserve"> men with long</w:t>
      </w:r>
      <w:r w:rsidRPr="00EF0015" w:rsidR="00B40A3B">
        <w:t>-</w:t>
      </w:r>
      <w:r w:rsidRPr="00EF0015" w:rsidR="00B32557">
        <w:t xml:space="preserve">barrelled weapons were seen in open ground, two of whom were firing directly at the British soldiers. One of the gunmen was shot dead during this exchange of fire with the patrol. After about </w:t>
      </w:r>
      <w:r w:rsidRPr="00EF0015" w:rsidR="00B40A3B">
        <w:t>seven</w:t>
      </w:r>
      <w:r w:rsidRPr="00EF0015" w:rsidR="00B32557">
        <w:t xml:space="preserve"> to </w:t>
      </w:r>
      <w:r w:rsidRPr="00EF0015" w:rsidR="00B40A3B">
        <w:t>ten</w:t>
      </w:r>
      <w:r w:rsidRPr="00EF0015" w:rsidR="00B32557">
        <w:t xml:space="preserve"> minutes</w:t>
      </w:r>
      <w:r w:rsidR="00920A6E">
        <w:t>,</w:t>
      </w:r>
      <w:r w:rsidRPr="00EF0015" w:rsidR="00B32557">
        <w:t xml:space="preserve"> the firing ceased and armed p</w:t>
      </w:r>
      <w:r w:rsidR="00405921">
        <w:t xml:space="preserve">eople were seen running away. A </w:t>
      </w:r>
      <w:r w:rsidRPr="00EF0015" w:rsidR="00B32557">
        <w:t xml:space="preserve">woman (the </w:t>
      </w:r>
      <w:r w:rsidRPr="00EF0015" w:rsidR="000466BC">
        <w:t>third applicant</w:t>
      </w:r>
      <w:r w:rsidR="008570E8">
        <w:t>’</w:t>
      </w:r>
      <w:r w:rsidRPr="00EF0015" w:rsidR="000466BC">
        <w:t>s wife</w:t>
      </w:r>
      <w:r w:rsidRPr="00EF0015" w:rsidR="00B32557">
        <w:t>) with a head injury and a child with an arm injury were found when the buildings were searched. Both were taken to hospital.</w:t>
      </w:r>
    </w:p>
    <w:p w:rsidR="00C81668" w:rsidP="00203783" w:rsidRDefault="00967459">
      <w:pPr>
        <w:pStyle w:val="JuPara"/>
      </w:pPr>
      <w:r w:rsidRPr="00EF0015">
        <w:fldChar w:fldCharType="begin"/>
      </w:r>
      <w:r w:rsidRPr="00EF0015">
        <w:instrText xml:space="preserve"> SEQ level0 \*arabic </w:instrText>
      </w:r>
      <w:r w:rsidRPr="00EF0015">
        <w:fldChar w:fldCharType="separate"/>
      </w:r>
      <w:r w:rsidR="00524A6D">
        <w:rPr>
          <w:noProof/>
        </w:rPr>
        <w:t>46</w:t>
      </w:r>
      <w:r w:rsidRPr="00EF0015">
        <w:fldChar w:fldCharType="end"/>
      </w:r>
      <w:r w:rsidRPr="00EF0015">
        <w:t>.  </w:t>
      </w:r>
      <w:r w:rsidRPr="00EF0015" w:rsidR="00B32557">
        <w:t xml:space="preserve">The following morning, the </w:t>
      </w:r>
      <w:r w:rsidRPr="00EF0015" w:rsidR="000466BC">
        <w:t>C</w:t>
      </w:r>
      <w:r w:rsidRPr="00EF0015" w:rsidR="00B32557">
        <w:t xml:space="preserve">ompany </w:t>
      </w:r>
      <w:r w:rsidRPr="00EF0015" w:rsidR="000466BC">
        <w:t>C</w:t>
      </w:r>
      <w:r w:rsidRPr="00EF0015" w:rsidR="00B32557">
        <w:t>ommander produced a report concerning the incident, together with statements from the soldiers involved. After he had considered the report and statements, Colonel</w:t>
      </w:r>
      <w:r w:rsidR="009C4910">
        <w:t xml:space="preserve"> </w:t>
      </w:r>
      <w:r w:rsidRPr="00EF0015" w:rsidR="00B32557">
        <w:t>G</w:t>
      </w:r>
      <w:r w:rsidR="00920A6E">
        <w:t>.</w:t>
      </w:r>
      <w:r w:rsidRPr="00EF0015" w:rsidR="00B32557">
        <w:t xml:space="preserve"> came to the conclusion that the incident fell within the </w:t>
      </w:r>
      <w:r w:rsidR="00920A6E">
        <w:t>r</w:t>
      </w:r>
      <w:r w:rsidRPr="00EF0015" w:rsidR="002606C8">
        <w:t xml:space="preserve">ules of </w:t>
      </w:r>
      <w:r w:rsidR="00920A6E">
        <w:t>e</w:t>
      </w:r>
      <w:r w:rsidRPr="00EF0015" w:rsidR="002606C8">
        <w:t xml:space="preserve">ngagement </w:t>
      </w:r>
      <w:r w:rsidRPr="00EF0015" w:rsidR="00B32557">
        <w:t xml:space="preserve">and did not require any further </w:t>
      </w:r>
      <w:r w:rsidRPr="00EF0015" w:rsidR="002606C8">
        <w:t xml:space="preserve">Special Investigation Branch </w:t>
      </w:r>
      <w:r w:rsidRPr="00EF0015" w:rsidR="00B32557">
        <w:t xml:space="preserve">investigation. He duly produced a report to that effect, which he then forwarded to </w:t>
      </w:r>
      <w:r w:rsidR="00920A6E">
        <w:t xml:space="preserve">the </w:t>
      </w:r>
      <w:r w:rsidRPr="00EF0015" w:rsidR="00B32557">
        <w:t xml:space="preserve">Brigade. The report was considered by Brigadier Jones, who also discussed the matter with his </w:t>
      </w:r>
      <w:r w:rsidR="00C5257F">
        <w:t>D</w:t>
      </w:r>
      <w:r w:rsidRPr="00EF0015" w:rsidR="00B32557">
        <w:t xml:space="preserve">eputy </w:t>
      </w:r>
      <w:r w:rsidR="00C5257F">
        <w:t>C</w:t>
      </w:r>
      <w:r w:rsidRPr="00EF0015" w:rsidR="00B32557">
        <w:t xml:space="preserve">hief of </w:t>
      </w:r>
      <w:r w:rsidR="00C5257F">
        <w:t>S</w:t>
      </w:r>
      <w:r w:rsidRPr="00EF0015" w:rsidR="00B32557">
        <w:t xml:space="preserve">taff, his legal adviser and Colonel G. As a result, Brigadier Jones came to the conclusion that the incident fell within the </w:t>
      </w:r>
      <w:r w:rsidR="00920A6E">
        <w:t>r</w:t>
      </w:r>
      <w:r w:rsidRPr="00EF0015" w:rsidR="002606C8">
        <w:t xml:space="preserve">ules of </w:t>
      </w:r>
      <w:r w:rsidR="00920A6E">
        <w:t>e</w:t>
      </w:r>
      <w:r w:rsidRPr="00EF0015" w:rsidR="002606C8">
        <w:t xml:space="preserve">ngagement </w:t>
      </w:r>
      <w:r w:rsidRPr="00EF0015" w:rsidR="00B32557">
        <w:t>and required no further investigation.</w:t>
      </w:r>
    </w:p>
    <w:p w:rsidRPr="00EF0015" w:rsidR="00967459" w:rsidP="00405921" w:rsidRDefault="00B32557">
      <w:pPr>
        <w:pStyle w:val="JuH1"/>
        <w:rPr>
          <w:b/>
        </w:rPr>
      </w:pPr>
      <w:bookmarkStart w:name="_Toc275785575" w:id="59"/>
      <w:bookmarkStart w:name="_Toc289765866" w:id="60"/>
      <w:bookmarkStart w:name="_Toc289868955" w:id="61"/>
      <w:bookmarkStart w:name="_Toc297210651" w:id="62"/>
      <w:r w:rsidRPr="00405921">
        <w:t>4</w:t>
      </w:r>
      <w:r w:rsidRPr="00405921" w:rsidR="00405921">
        <w:t>.  </w:t>
      </w:r>
      <w:r w:rsidRPr="00405921" w:rsidR="000466BC">
        <w:t>The fourth applicant</w:t>
      </w:r>
      <w:bookmarkEnd w:id="59"/>
      <w:bookmarkEnd w:id="60"/>
      <w:bookmarkEnd w:id="61"/>
      <w:bookmarkEnd w:id="62"/>
    </w:p>
    <w:p w:rsidRPr="00EF0015" w:rsidR="00B32557" w:rsidP="00203783" w:rsidRDefault="00967459">
      <w:pPr>
        <w:pStyle w:val="JuPara"/>
      </w:pPr>
      <w:r w:rsidRPr="00EF0015">
        <w:fldChar w:fldCharType="begin"/>
      </w:r>
      <w:r w:rsidRPr="00EF0015">
        <w:instrText xml:space="preserve"> SEQ level0 \*arabic </w:instrText>
      </w:r>
      <w:r w:rsidRPr="00EF0015">
        <w:fldChar w:fldCharType="separate"/>
      </w:r>
      <w:r w:rsidR="00524A6D">
        <w:rPr>
          <w:noProof/>
        </w:rPr>
        <w:t>47</w:t>
      </w:r>
      <w:r w:rsidRPr="00EF0015">
        <w:fldChar w:fldCharType="end"/>
      </w:r>
      <w:r w:rsidRPr="00EF0015">
        <w:t>.  </w:t>
      </w:r>
      <w:r w:rsidRPr="00EF0015" w:rsidR="00666EB1">
        <w:t>The fourth applicant</w:t>
      </w:r>
      <w:r w:rsidRPr="00EF0015" w:rsidR="00B32557">
        <w:t xml:space="preserve"> is the brother of Waleed </w:t>
      </w:r>
      <w:r w:rsidR="00D8100E">
        <w:t>F</w:t>
      </w:r>
      <w:r w:rsidRPr="00EF0015" w:rsidR="00B32557">
        <w:t>ayay Muzban, aged</w:t>
      </w:r>
      <w:r w:rsidRPr="00EF0015" w:rsidR="003F1C44">
        <w:t> </w:t>
      </w:r>
      <w:r w:rsidRPr="00EF0015" w:rsidR="00B32557">
        <w:t xml:space="preserve">43, who was shot and fatally injured on the night of 24 August 2003 </w:t>
      </w:r>
      <w:r w:rsidRPr="00EF0015" w:rsidR="00A9431B">
        <w:t>by Lance Corporal S</w:t>
      </w:r>
      <w:r w:rsidR="00CD7817">
        <w:t>.</w:t>
      </w:r>
      <w:r w:rsidRPr="00EF0015" w:rsidR="00A9431B">
        <w:t xml:space="preserve"> </w:t>
      </w:r>
      <w:r w:rsidRPr="00EF0015" w:rsidR="00B32557">
        <w:t>in the Al</w:t>
      </w:r>
      <w:r w:rsidRPr="00EF0015" w:rsidR="00666EB1">
        <w:t>-</w:t>
      </w:r>
      <w:r w:rsidRPr="00EF0015" w:rsidR="00B32557">
        <w:t>Maqaal area of Basra</w:t>
      </w:r>
      <w:r w:rsidR="00CD7817">
        <w:t>.</w:t>
      </w:r>
    </w:p>
    <w:p w:rsidRPr="00EF0015" w:rsidR="00B32557" w:rsidP="00203783" w:rsidRDefault="00967459">
      <w:pPr>
        <w:pStyle w:val="JuPara"/>
      </w:pPr>
      <w:r w:rsidRPr="00EF0015">
        <w:fldChar w:fldCharType="begin"/>
      </w:r>
      <w:r w:rsidRPr="00EF0015">
        <w:instrText xml:space="preserve"> SEQ level0 \*arabic </w:instrText>
      </w:r>
      <w:r w:rsidRPr="00EF0015">
        <w:fldChar w:fldCharType="separate"/>
      </w:r>
      <w:r w:rsidR="00524A6D">
        <w:rPr>
          <w:noProof/>
        </w:rPr>
        <w:t>48</w:t>
      </w:r>
      <w:r w:rsidRPr="00EF0015">
        <w:fldChar w:fldCharType="end"/>
      </w:r>
      <w:r w:rsidRPr="00EF0015">
        <w:t>.  </w:t>
      </w:r>
      <w:r w:rsidRPr="00EF0015" w:rsidR="00666EB1">
        <w:t>The fourth applicant</w:t>
      </w:r>
      <w:r w:rsidRPr="00EF0015" w:rsidR="00B32557">
        <w:t xml:space="preserve"> was not present when his brother was shot</w:t>
      </w:r>
      <w:r w:rsidRPr="00EF0015" w:rsidR="00CB7D55">
        <w:t>, but he claims that the incident was witnessed by his neighbours</w:t>
      </w:r>
      <w:r w:rsidRPr="00EF0015" w:rsidR="00B32557">
        <w:t xml:space="preserve">. </w:t>
      </w:r>
      <w:r w:rsidRPr="00EF0015" w:rsidR="00CB7D55">
        <w:t>In</w:t>
      </w:r>
      <w:r w:rsidRPr="00EF0015" w:rsidR="00666EB1">
        <w:t xml:space="preserve"> his </w:t>
      </w:r>
      <w:r w:rsidRPr="00EF0015" w:rsidR="008509DA">
        <w:t>witness statement</w:t>
      </w:r>
      <w:r w:rsidRPr="00EF0015" w:rsidR="00666EB1">
        <w:t xml:space="preserve"> he stated that his understanding was that </w:t>
      </w:r>
      <w:r w:rsidRPr="00EF0015" w:rsidR="00B32557">
        <w:t>his brother was returning home from work at about 8.30 p</w:t>
      </w:r>
      <w:r w:rsidR="00EC6D32">
        <w:t>.</w:t>
      </w:r>
      <w:r w:rsidRPr="00EF0015" w:rsidR="00B32557">
        <w:t>m</w:t>
      </w:r>
      <w:r w:rsidR="00EC6D32">
        <w:t>.</w:t>
      </w:r>
      <w:r w:rsidRPr="00EF0015" w:rsidR="00B32557">
        <w:t xml:space="preserve"> on the evening in question. He was driving </w:t>
      </w:r>
      <w:r w:rsidRPr="00EF0015" w:rsidR="000F5F48">
        <w:t xml:space="preserve">a </w:t>
      </w:r>
      <w:r w:rsidRPr="00EF0015" w:rsidR="00B32557">
        <w:t>minibus along a street called Souq Hitteen</w:t>
      </w:r>
      <w:r w:rsidRPr="00EF0015" w:rsidR="00CB7D55">
        <w:t>, near where he and the fourth applicant lived</w:t>
      </w:r>
      <w:r w:rsidRPr="00EF0015" w:rsidR="00B32557">
        <w:t xml:space="preserve">. For no apparent reason, </w:t>
      </w:r>
      <w:r w:rsidRPr="00EF0015" w:rsidR="000F5F48">
        <w:t>according to the applicant</w:t>
      </w:r>
      <w:r w:rsidR="008570E8">
        <w:t>’</w:t>
      </w:r>
      <w:r w:rsidRPr="00EF0015" w:rsidR="000F5F48">
        <w:t xml:space="preserve">s statement, </w:t>
      </w:r>
      <w:r w:rsidRPr="00EF0015" w:rsidR="00B32557">
        <w:t xml:space="preserve">the </w:t>
      </w:r>
      <w:r w:rsidRPr="00EF0015" w:rsidR="00666EB1">
        <w:t>minibus</w:t>
      </w:r>
      <w:r w:rsidRPr="00EF0015" w:rsidR="00B32557">
        <w:t xml:space="preserve"> “came under a barrage of bullets”, as a result of which Waleed was mortally wounded in the chest and stomach.</w:t>
      </w:r>
    </w:p>
    <w:p w:rsidRPr="00EF0015" w:rsidR="00B32557" w:rsidP="00203783" w:rsidRDefault="00967459">
      <w:pPr>
        <w:pStyle w:val="JuPara"/>
      </w:pPr>
      <w:r w:rsidRPr="00EF0015">
        <w:fldChar w:fldCharType="begin"/>
      </w:r>
      <w:r w:rsidRPr="00EF0015">
        <w:instrText xml:space="preserve"> SEQ level0 \*arabic </w:instrText>
      </w:r>
      <w:r w:rsidRPr="00EF0015">
        <w:fldChar w:fldCharType="separate"/>
      </w:r>
      <w:r w:rsidR="00524A6D">
        <w:rPr>
          <w:noProof/>
        </w:rPr>
        <w:t>49</w:t>
      </w:r>
      <w:r w:rsidRPr="00EF0015">
        <w:fldChar w:fldCharType="end"/>
      </w:r>
      <w:r w:rsidRPr="00EF0015">
        <w:t>.  </w:t>
      </w:r>
      <w:r w:rsidRPr="00EF0015" w:rsidR="00B32557">
        <w:t>Lance Corporal S</w:t>
      </w:r>
      <w:r w:rsidR="00CD7817">
        <w:t>.</w:t>
      </w:r>
      <w:r w:rsidRPr="00EF0015" w:rsidR="00B32557">
        <w:t xml:space="preserve"> was a member of a </w:t>
      </w:r>
      <w:r w:rsidRPr="00EF0015" w:rsidR="00203A3E">
        <w:t xml:space="preserve">patrol </w:t>
      </w:r>
      <w:r w:rsidRPr="00EF0015" w:rsidR="00B32557">
        <w:t xml:space="preserve">carrying out a </w:t>
      </w:r>
      <w:r w:rsidRPr="00EF0015" w:rsidR="007E0AD0">
        <w:t xml:space="preserve">check around the </w:t>
      </w:r>
      <w:r w:rsidRPr="00EF0015" w:rsidR="00B32557">
        <w:t xml:space="preserve">perimeter </w:t>
      </w:r>
      <w:r w:rsidRPr="00EF0015" w:rsidR="007E0AD0">
        <w:t xml:space="preserve">of a Coalition military base (Fort Apache), where three </w:t>
      </w:r>
      <w:r w:rsidRPr="00EF0015" w:rsidR="00DB5662">
        <w:t>Royal Military Police</w:t>
      </w:r>
      <w:r w:rsidRPr="00EF0015" w:rsidR="007E0AD0">
        <w:t xml:space="preserve"> officers had been killed by gun</w:t>
      </w:r>
      <w:r w:rsidR="00EC6D32">
        <w:t>fire</w:t>
      </w:r>
      <w:r w:rsidRPr="00EF0015" w:rsidR="007E0AD0">
        <w:t xml:space="preserve"> from a vehicle the previous day. </w:t>
      </w:r>
      <w:r w:rsidRPr="00EF0015" w:rsidR="00B32557">
        <w:t xml:space="preserve">According to the British </w:t>
      </w:r>
      <w:r w:rsidR="00EC6D32">
        <w:t>soldier</w:t>
      </w:r>
      <w:r w:rsidR="008570E8">
        <w:t>’</w:t>
      </w:r>
      <w:r w:rsidR="00EC6D32">
        <w:t xml:space="preserve">s </w:t>
      </w:r>
      <w:r w:rsidRPr="00EF0015" w:rsidR="00B32557">
        <w:t xml:space="preserve">account of the incident, </w:t>
      </w:r>
      <w:r w:rsidRPr="00EF0015" w:rsidR="00203A3E">
        <w:t>Lance Corporal S</w:t>
      </w:r>
      <w:r w:rsidR="00CD7817">
        <w:t>.</w:t>
      </w:r>
      <w:r w:rsidRPr="00EF0015" w:rsidR="00203A3E">
        <w:t xml:space="preserve"> </w:t>
      </w:r>
      <w:r w:rsidRPr="00EF0015" w:rsidR="00B32557">
        <w:t xml:space="preserve">became suspicious of a minibus, with curtains over its windows, that was being driven towards the patrol at </w:t>
      </w:r>
      <w:r w:rsidR="00EC6D32">
        <w:t xml:space="preserve">a </w:t>
      </w:r>
      <w:r w:rsidRPr="00EF0015" w:rsidR="00B32557">
        <w:t xml:space="preserve">slow speed with its headlights dipped. When the vehicle was signalled to stop, it appeared to be trying to evade the soldiers so </w:t>
      </w:r>
      <w:r w:rsidRPr="00EF0015" w:rsidR="00FF3456">
        <w:t>Lance Corporal S</w:t>
      </w:r>
      <w:r w:rsidR="00CD7817">
        <w:t>.</w:t>
      </w:r>
      <w:r w:rsidRPr="00EF0015" w:rsidR="00B32557">
        <w:t xml:space="preserve"> pointed his weapon at the d</w:t>
      </w:r>
      <w:r w:rsidRPr="00EF0015" w:rsidR="00FF3456">
        <w:t xml:space="preserve">river and ordered him to stop. </w:t>
      </w:r>
      <w:r w:rsidRPr="00EF0015" w:rsidR="00B32557">
        <w:t xml:space="preserve">The vehicle then stopped and </w:t>
      </w:r>
      <w:r w:rsidRPr="00EF0015" w:rsidR="00FF3456">
        <w:t>Lance Corporal S</w:t>
      </w:r>
      <w:r w:rsidR="00CD7817">
        <w:t>.</w:t>
      </w:r>
      <w:r w:rsidRPr="00EF0015" w:rsidR="00FF3456">
        <w:t xml:space="preserve"> </w:t>
      </w:r>
      <w:r w:rsidRPr="00EF0015" w:rsidR="00B32557">
        <w:t>approached the driver</w:t>
      </w:r>
      <w:r w:rsidR="008570E8">
        <w:t>’</w:t>
      </w:r>
      <w:r w:rsidRPr="00EF0015" w:rsidR="00B32557">
        <w:t xml:space="preserve">s door and greeted the driver (the </w:t>
      </w:r>
      <w:r w:rsidRPr="00EF0015" w:rsidR="00FF3456">
        <w:t>fourth applicant</w:t>
      </w:r>
      <w:r w:rsidR="008570E8">
        <w:t>’</w:t>
      </w:r>
      <w:r w:rsidRPr="00EF0015" w:rsidR="00FF3456">
        <w:t>s brother</w:t>
      </w:r>
      <w:r w:rsidRPr="00EF0015" w:rsidR="00B32557">
        <w:t xml:space="preserve">). The driver reacted in an aggressive manner and appeared to be shouting over his shoulder to people in the curtained-off area in the back of the vehicle. When </w:t>
      </w:r>
      <w:r w:rsidRPr="00EF0015" w:rsidR="00FF3456">
        <w:t>Lance Corporal S</w:t>
      </w:r>
      <w:r w:rsidR="00CD7817">
        <w:t>.</w:t>
      </w:r>
      <w:r w:rsidRPr="00EF0015" w:rsidR="00B32557">
        <w:t xml:space="preserve"> tried to look into the back of the vehicle, the driver pushed him away by punching him in the chest. The driver then shouted into the back of the vehicle and made a grab for </w:t>
      </w:r>
      <w:r w:rsidRPr="00EF0015" w:rsidR="00FF3456">
        <w:t>Lance Corporal S</w:t>
      </w:r>
      <w:r w:rsidR="00CD7817">
        <w:t>.</w:t>
      </w:r>
      <w:r w:rsidR="008570E8">
        <w:t>’</w:t>
      </w:r>
      <w:r w:rsidRPr="00EF0015" w:rsidR="00FF3456">
        <w:t xml:space="preserve">s </w:t>
      </w:r>
      <w:r w:rsidRPr="00EF0015" w:rsidR="00B32557">
        <w:t xml:space="preserve">weapon. </w:t>
      </w:r>
      <w:r w:rsidRPr="00EF0015" w:rsidR="00FF3456">
        <w:t>Lance Corporal S</w:t>
      </w:r>
      <w:r w:rsidR="00CD7817">
        <w:t>.</w:t>
      </w:r>
      <w:r w:rsidRPr="00EF0015" w:rsidR="00FF3456">
        <w:t xml:space="preserve"> </w:t>
      </w:r>
      <w:r w:rsidRPr="00EF0015" w:rsidR="00B32557">
        <w:t>had to u</w:t>
      </w:r>
      <w:r w:rsidRPr="00EF0015" w:rsidR="00FF3456">
        <w:t xml:space="preserve">se force to pull himself free. </w:t>
      </w:r>
      <w:r w:rsidRPr="00EF0015" w:rsidR="00B32557">
        <w:t xml:space="preserve">The driver then accelerated away, swerving in the direction of various other members of the patrol as he did so. </w:t>
      </w:r>
      <w:r w:rsidRPr="00EF0015" w:rsidR="00FF3456">
        <w:t>Lance Corporal S</w:t>
      </w:r>
      <w:r w:rsidR="00CD7817">
        <w:t>.</w:t>
      </w:r>
      <w:r w:rsidRPr="00EF0015" w:rsidR="00FF3456">
        <w:t xml:space="preserve"> </w:t>
      </w:r>
      <w:r w:rsidRPr="00EF0015" w:rsidR="00B32557">
        <w:t>fired at the vehicle</w:t>
      </w:r>
      <w:r w:rsidR="008570E8">
        <w:t>’</w:t>
      </w:r>
      <w:r w:rsidRPr="00EF0015" w:rsidR="00B32557">
        <w:t xml:space="preserve">s tyres and it came to a halt about 100 metres from the patrol. The driver turned and again shouted into the rear of the vehicle. He appeared to be reaching for a weapon. </w:t>
      </w:r>
      <w:r w:rsidRPr="00EF0015" w:rsidR="00FF3456">
        <w:t>Lance Corporal S</w:t>
      </w:r>
      <w:r w:rsidR="00CD7817">
        <w:t>.</w:t>
      </w:r>
      <w:r w:rsidRPr="00EF0015" w:rsidR="00B32557">
        <w:t xml:space="preserve"> believed that his team was about to be fired on by the driver and others in the vehicle. He therefore fired about </w:t>
      </w:r>
      <w:r w:rsidRPr="00EF0015" w:rsidR="00FF3456">
        <w:t>five</w:t>
      </w:r>
      <w:r w:rsidRPr="00EF0015" w:rsidR="00B32557">
        <w:t xml:space="preserve"> aimed shots. As the vehicle sped off, </w:t>
      </w:r>
      <w:r w:rsidRPr="00EF0015" w:rsidR="00FF3456">
        <w:t>Lance Corporal S</w:t>
      </w:r>
      <w:r w:rsidR="00CD7817">
        <w:t>.</w:t>
      </w:r>
      <w:r w:rsidRPr="00EF0015" w:rsidR="00FF3456">
        <w:t xml:space="preserve"> </w:t>
      </w:r>
      <w:r w:rsidRPr="00EF0015" w:rsidR="00B32557">
        <w:t xml:space="preserve">fired another </w:t>
      </w:r>
      <w:r w:rsidRPr="00EF0015" w:rsidR="002F6433">
        <w:t>two</w:t>
      </w:r>
      <w:r w:rsidRPr="00EF0015" w:rsidR="00B32557">
        <w:t xml:space="preserve"> shots at the rear of the </w:t>
      </w:r>
      <w:r w:rsidR="00EC6D32">
        <w:t>vehicle.</w:t>
      </w:r>
      <w:r w:rsidRPr="00EF0015">
        <w:t> </w:t>
      </w:r>
      <w:r w:rsidRPr="00EF0015" w:rsidR="00B32557">
        <w:t>After a short interval, the vehicle screeched to a halt. The driver got out and shouted at the British soldiers. He was ordered to lie on the ground. The patrol then approached the vehicle to check for other armed men. The vehicle proved to be empty. The driver was found to have three bullet wounds in his back and hip. He was given first aid and then taken to the Czech military hospital where he died later that day or the following day.</w:t>
      </w:r>
    </w:p>
    <w:p w:rsidRPr="00EF0015" w:rsidR="00B611E2" w:rsidP="00203783" w:rsidRDefault="00B611E2">
      <w:pPr>
        <w:pStyle w:val="JuPara"/>
      </w:pPr>
      <w:r w:rsidRPr="00EF0015">
        <w:fldChar w:fldCharType="begin"/>
      </w:r>
      <w:r w:rsidRPr="00EF0015">
        <w:instrText xml:space="preserve"> SEQ level0 \*arabic </w:instrText>
      </w:r>
      <w:r w:rsidRPr="00EF0015">
        <w:fldChar w:fldCharType="separate"/>
      </w:r>
      <w:r w:rsidR="00524A6D">
        <w:rPr>
          <w:noProof/>
        </w:rPr>
        <w:t>50</w:t>
      </w:r>
      <w:r w:rsidRPr="00EF0015">
        <w:fldChar w:fldCharType="end"/>
      </w:r>
      <w:r w:rsidRPr="00EF0015">
        <w:t xml:space="preserve">.  The </w:t>
      </w:r>
      <w:r w:rsidRPr="00EF0015" w:rsidR="002606C8">
        <w:t xml:space="preserve">Special Investigation Branch </w:t>
      </w:r>
      <w:r w:rsidRPr="00EF0015">
        <w:t>commenced an investigation on 29</w:t>
      </w:r>
      <w:r w:rsidR="00EC6D32">
        <w:t> </w:t>
      </w:r>
      <w:r w:rsidRPr="00EF0015">
        <w:t>August 2003. The investigators recovered fragments of bullet</w:t>
      </w:r>
      <w:r w:rsidR="00EC6D32">
        <w:t>s</w:t>
      </w:r>
      <w:r w:rsidRPr="00EF0015">
        <w:t>, empty bullet cases</w:t>
      </w:r>
      <w:r w:rsidRPr="00EF0015" w:rsidR="00CB7D55">
        <w:t xml:space="preserve"> and</w:t>
      </w:r>
      <w:r w:rsidRPr="00EF0015">
        <w:t xml:space="preserve"> </w:t>
      </w:r>
      <w:r w:rsidRPr="00EF0015" w:rsidR="00CB7D55">
        <w:t xml:space="preserve">took </w:t>
      </w:r>
      <w:r w:rsidRPr="00EF0015">
        <w:t xml:space="preserve">digital photographs of the scene. </w:t>
      </w:r>
      <w:r w:rsidRPr="00EF0015" w:rsidR="00CB7D55">
        <w:t>The vehicle was recovered and transported to the United Kingdom. The deceased</w:t>
      </w:r>
      <w:r w:rsidR="008570E8">
        <w:t>’</w:t>
      </w:r>
      <w:r w:rsidRPr="00EF0015" w:rsidR="00CB7D55">
        <w:t xml:space="preserve">s body had been returned to the family for burial and no post mortem had been carried out, so the </w:t>
      </w:r>
      <w:r w:rsidRPr="00EF0015" w:rsidR="002606C8">
        <w:t xml:space="preserve">Special Investigation Branch </w:t>
      </w:r>
      <w:r w:rsidRPr="00EF0015" w:rsidR="00CB7D55">
        <w:t xml:space="preserve">took statements from the two Iraqi surgeons who had operated on him. A meeting was arranged with the family to seek their consent for an exhumation and post mortem, but this was delayed. </w:t>
      </w:r>
      <w:r w:rsidRPr="00EF0015">
        <w:t xml:space="preserve">Nine military witnesses involved in the incident were interviewed and had statements taken and a further four individuals were interviewed but </w:t>
      </w:r>
      <w:r w:rsidRPr="00EF0015" w:rsidR="00CB7D55">
        <w:t xml:space="preserve">found to have </w:t>
      </w:r>
      <w:r w:rsidRPr="00EF0015">
        <w:t>no evidence to offer.</w:t>
      </w:r>
      <w:r w:rsidRPr="00EF0015" w:rsidR="00CB7D55">
        <w:t xml:space="preserve"> Lance Corporal S</w:t>
      </w:r>
      <w:r w:rsidR="002A0F9E">
        <w:t>.</w:t>
      </w:r>
      <w:r w:rsidRPr="00EF0015" w:rsidR="00CB7D55">
        <w:t xml:space="preserve"> was not, however, questioned. Since he was suspected by the </w:t>
      </w:r>
      <w:r w:rsidRPr="00EF0015" w:rsidR="002606C8">
        <w:t xml:space="preserve">Special Investigation Branch </w:t>
      </w:r>
      <w:r w:rsidRPr="00EF0015" w:rsidR="00CB7D55">
        <w:t xml:space="preserve">of having acted contrary to the </w:t>
      </w:r>
      <w:r w:rsidR="002A0F9E">
        <w:t>r</w:t>
      </w:r>
      <w:r w:rsidRPr="00EF0015" w:rsidR="002606C8">
        <w:t xml:space="preserve">ules of </w:t>
      </w:r>
      <w:r w:rsidR="002A0F9E">
        <w:t>e</w:t>
      </w:r>
      <w:r w:rsidRPr="00EF0015" w:rsidR="002606C8">
        <w:t>ngagement</w:t>
      </w:r>
      <w:r w:rsidRPr="00EF0015" w:rsidR="00CB7D55">
        <w:t xml:space="preserve">, it was </w:t>
      </w:r>
      <w:r w:rsidRPr="00EF0015" w:rsidR="002606C8">
        <w:t xml:space="preserve">Special Investigation Branch </w:t>
      </w:r>
      <w:r w:rsidRPr="00EF0015" w:rsidR="00CB7D55">
        <w:t>practice not to interview him until there was enough evidence to charge him. A forensic examination was carried out at the scene on 6 September</w:t>
      </w:r>
      <w:r w:rsidR="00EC6D32">
        <w:t xml:space="preserve"> 2003</w:t>
      </w:r>
      <w:r w:rsidRPr="00EF0015" w:rsidR="00CB7D55">
        <w:t>.</w:t>
      </w:r>
    </w:p>
    <w:p w:rsidR="00C81668" w:rsidP="00203783" w:rsidRDefault="00CB7D55">
      <w:pPr>
        <w:pStyle w:val="JuPara"/>
      </w:pPr>
      <w:r w:rsidRPr="00EF0015">
        <w:fldChar w:fldCharType="begin"/>
      </w:r>
      <w:r w:rsidRPr="00EF0015">
        <w:instrText xml:space="preserve"> SEQ level0 \*arabic </w:instrText>
      </w:r>
      <w:r w:rsidRPr="00EF0015">
        <w:fldChar w:fldCharType="separate"/>
      </w:r>
      <w:r w:rsidR="00524A6D">
        <w:rPr>
          <w:noProof/>
        </w:rPr>
        <w:t>51</w:t>
      </w:r>
      <w:r w:rsidRPr="00EF0015">
        <w:fldChar w:fldCharType="end"/>
      </w:r>
      <w:r w:rsidRPr="00EF0015">
        <w:t>.  On 29 August 2003 Colonel G</w:t>
      </w:r>
      <w:r w:rsidR="002A0F9E">
        <w:t>.</w:t>
      </w:r>
      <w:r w:rsidRPr="00EF0015">
        <w:t xml:space="preserve"> sent his initial report concerning the incident to Brigad</w:t>
      </w:r>
      <w:r w:rsidR="00997D1F">
        <w:t>i</w:t>
      </w:r>
      <w:r w:rsidRPr="00EF0015">
        <w:t>e</w:t>
      </w:r>
      <w:r w:rsidR="00997D1F">
        <w:t>r Moore</w:t>
      </w:r>
      <w:r w:rsidRPr="00EF0015">
        <w:t>. In it he stated that he was satisfied that Lance Corporal S</w:t>
      </w:r>
      <w:r w:rsidR="002A0F9E">
        <w:t>.</w:t>
      </w:r>
      <w:r w:rsidRPr="00EF0015">
        <w:t xml:space="preserve"> believed that he was acting lawfully within the </w:t>
      </w:r>
      <w:r w:rsidR="002A0F9E">
        <w:t>r</w:t>
      </w:r>
      <w:r w:rsidRPr="00EF0015" w:rsidR="002606C8">
        <w:t xml:space="preserve">ules of </w:t>
      </w:r>
      <w:r w:rsidR="002A0F9E">
        <w:t>e</w:t>
      </w:r>
      <w:r w:rsidRPr="00EF0015" w:rsidR="002606C8">
        <w:t>ngagement</w:t>
      </w:r>
      <w:r w:rsidRPr="00EF0015">
        <w:t>.</w:t>
      </w:r>
      <w:r w:rsidR="00C81668">
        <w:t xml:space="preserve"> </w:t>
      </w:r>
      <w:r w:rsidRPr="00EF0015">
        <w:t>However, Colonel G</w:t>
      </w:r>
      <w:r w:rsidR="002A0F9E">
        <w:t>.</w:t>
      </w:r>
      <w:r w:rsidRPr="00EF0015">
        <w:t xml:space="preserve"> went on to express the view that it was a complex</w:t>
      </w:r>
      <w:r w:rsidRPr="00EF0015" w:rsidR="002606C8">
        <w:t xml:space="preserve"> case that would benefit from a</w:t>
      </w:r>
      <w:r w:rsidRPr="00EF0015">
        <w:t xml:space="preserve"> </w:t>
      </w:r>
      <w:r w:rsidRPr="00EF0015" w:rsidR="002606C8">
        <w:t xml:space="preserve">Special Investigation Branch </w:t>
      </w:r>
      <w:r w:rsidRPr="00EF0015">
        <w:t>investigation. A</w:t>
      </w:r>
      <w:r w:rsidRPr="00EF0015" w:rsidR="00B32557">
        <w:t>fter Brigadier Moore had considered Colonel G</w:t>
      </w:r>
      <w:r w:rsidR="002A0F9E">
        <w:t>.</w:t>
      </w:r>
      <w:r w:rsidR="008570E8">
        <w:t>’</w:t>
      </w:r>
      <w:r w:rsidRPr="00EF0015" w:rsidR="00B32557">
        <w:t xml:space="preserve">s report, discussed the matter with his </w:t>
      </w:r>
      <w:r w:rsidR="00F26590">
        <w:t>D</w:t>
      </w:r>
      <w:r w:rsidRPr="00EF0015" w:rsidR="00B32557">
        <w:t xml:space="preserve">eputy </w:t>
      </w:r>
      <w:r w:rsidR="00F26590">
        <w:t>Chief of S</w:t>
      </w:r>
      <w:r w:rsidRPr="00EF0015" w:rsidR="00B32557">
        <w:t>taff and taken legal advice, it was decided that the matter could be resolved with a unit</w:t>
      </w:r>
      <w:r w:rsidR="00997D1F">
        <w:t>-</w:t>
      </w:r>
      <w:r w:rsidRPr="00EF0015" w:rsidR="00B32557">
        <w:t>level investigation, subject to a number of queries being satisfactorily answered. As a result, Colonel G</w:t>
      </w:r>
      <w:r w:rsidR="002A0F9E">
        <w:t>.</w:t>
      </w:r>
      <w:r w:rsidRPr="00EF0015" w:rsidR="00B32557">
        <w:t xml:space="preserve"> produced a further report dated 12</w:t>
      </w:r>
      <w:r w:rsidR="00C976AF">
        <w:t xml:space="preserve"> </w:t>
      </w:r>
      <w:r w:rsidRPr="00EF0015" w:rsidR="00B32557">
        <w:t xml:space="preserve">September 2003, in which he dealt with the various queries and concluded that a </w:t>
      </w:r>
      <w:r w:rsidRPr="00EF0015" w:rsidR="002606C8">
        <w:t xml:space="preserve">Special Investigation Branch </w:t>
      </w:r>
      <w:r w:rsidRPr="00EF0015" w:rsidR="00B32557">
        <w:t>investigation was no longer required. After discus</w:t>
      </w:r>
      <w:r w:rsidR="00997D1F">
        <w:t>sing the matter again with his D</w:t>
      </w:r>
      <w:r w:rsidRPr="00EF0015" w:rsidR="00B32557">
        <w:t xml:space="preserve">eputy </w:t>
      </w:r>
      <w:r w:rsidR="00997D1F">
        <w:t>C</w:t>
      </w:r>
      <w:r w:rsidRPr="00EF0015" w:rsidR="00B32557">
        <w:t xml:space="preserve">hief of </w:t>
      </w:r>
      <w:r w:rsidR="00997D1F">
        <w:t>S</w:t>
      </w:r>
      <w:r w:rsidRPr="00EF0015" w:rsidR="00B32557">
        <w:t xml:space="preserve">taff and having taken further legal advice, Brigadier Moore concluded that the case </w:t>
      </w:r>
      <w:r w:rsidR="00997D1F">
        <w:t>fell</w:t>
      </w:r>
      <w:r w:rsidRPr="00EF0015" w:rsidR="00B32557">
        <w:t xml:space="preserve"> within the </w:t>
      </w:r>
      <w:r w:rsidR="002A0F9E">
        <w:t>r</w:t>
      </w:r>
      <w:r w:rsidRPr="00EF0015" w:rsidR="002606C8">
        <w:t xml:space="preserve">ules of </w:t>
      </w:r>
      <w:r w:rsidR="002A0F9E">
        <w:t>e</w:t>
      </w:r>
      <w:r w:rsidRPr="00EF0015" w:rsidR="002606C8">
        <w:t>ngagement</w:t>
      </w:r>
      <w:r w:rsidRPr="00EF0015" w:rsidR="00B32557">
        <w:t>.</w:t>
      </w:r>
    </w:p>
    <w:p w:rsidRPr="00EF0015" w:rsidR="00B611E2" w:rsidP="00203783" w:rsidRDefault="00B611E2">
      <w:pPr>
        <w:pStyle w:val="JuPara"/>
      </w:pPr>
      <w:r w:rsidRPr="00EF0015">
        <w:fldChar w:fldCharType="begin"/>
      </w:r>
      <w:r w:rsidRPr="00EF0015">
        <w:instrText xml:space="preserve"> SEQ level0 \*arabic </w:instrText>
      </w:r>
      <w:r w:rsidRPr="00EF0015">
        <w:fldChar w:fldCharType="separate"/>
      </w:r>
      <w:r w:rsidR="00524A6D">
        <w:rPr>
          <w:noProof/>
        </w:rPr>
        <w:t>52</w:t>
      </w:r>
      <w:r w:rsidRPr="00EF0015">
        <w:fldChar w:fldCharType="end"/>
      </w:r>
      <w:r w:rsidRPr="00EF0015">
        <w:t>.  </w:t>
      </w:r>
      <w:r w:rsidRPr="00EF0015" w:rsidR="00B32557">
        <w:t xml:space="preserve">By this stage, Brigadier Moore had been informed that </w:t>
      </w:r>
      <w:r w:rsidRPr="00EF0015">
        <w:t xml:space="preserve">the </w:t>
      </w:r>
      <w:r w:rsidRPr="00EF0015" w:rsidR="002606C8">
        <w:t xml:space="preserve">Special Investigation Branch </w:t>
      </w:r>
      <w:r w:rsidRPr="00EF0015" w:rsidR="00B32557">
        <w:t xml:space="preserve">had commenced an investigation into the incident. </w:t>
      </w:r>
      <w:r w:rsidR="00C976AF">
        <w:t>On 17 </w:t>
      </w:r>
      <w:r w:rsidRPr="00EF0015" w:rsidR="0027760B">
        <w:t>September 2003 Colonel G</w:t>
      </w:r>
      <w:r w:rsidR="002A0F9E">
        <w:t>.</w:t>
      </w:r>
      <w:r w:rsidRPr="00EF0015" w:rsidR="0027760B">
        <w:t xml:space="preserve"> wrote to the </w:t>
      </w:r>
      <w:r w:rsidRPr="00EF0015" w:rsidR="002606C8">
        <w:t xml:space="preserve">Special Investigation Branch </w:t>
      </w:r>
      <w:r w:rsidRPr="00EF0015" w:rsidR="0027760B">
        <w:t>asking them to terminate the investigation. The same request was made by Brigadier Moore through his Chief of Staff during a m</w:t>
      </w:r>
      <w:r w:rsidRPr="00EF0015" w:rsidR="00B32557">
        <w:t xml:space="preserve">eeting with the </w:t>
      </w:r>
      <w:r w:rsidR="00F26590">
        <w:t>Senior I</w:t>
      </w:r>
      <w:r w:rsidRPr="00EF0015">
        <w:t xml:space="preserve">nvestigating </w:t>
      </w:r>
      <w:r w:rsidR="00F26590">
        <w:t>O</w:t>
      </w:r>
      <w:r w:rsidRPr="00EF0015">
        <w:t xml:space="preserve">fficer from </w:t>
      </w:r>
      <w:r w:rsidRPr="00EF0015" w:rsidR="002606C8">
        <w:t>the Special Investigation Branch</w:t>
      </w:r>
      <w:r w:rsidRPr="00EF0015" w:rsidR="00FF3456">
        <w:t>.</w:t>
      </w:r>
      <w:r w:rsidRPr="00EF0015" w:rsidR="00B32557">
        <w:t xml:space="preserve"> The </w:t>
      </w:r>
      <w:r w:rsidRPr="00EF0015" w:rsidR="00F26590">
        <w:t xml:space="preserve">Special Investigation Branch </w:t>
      </w:r>
      <w:r w:rsidRPr="00EF0015" w:rsidR="0027760B">
        <w:t>investigation was terminated on 23 September 2003.</w:t>
      </w:r>
      <w:r w:rsidR="00C81668">
        <w:t xml:space="preserve"> </w:t>
      </w:r>
      <w:r w:rsidRPr="00EF0015" w:rsidR="000F0C50">
        <w:t>The deceased</w:t>
      </w:r>
      <w:r w:rsidR="008570E8">
        <w:t>’</w:t>
      </w:r>
      <w:r w:rsidRPr="00EF0015" w:rsidR="000F0C50">
        <w:t>s family recei</w:t>
      </w:r>
      <w:r w:rsidRPr="00EF0015" w:rsidR="00F20AD6">
        <w:t>ved</w:t>
      </w:r>
      <w:r w:rsidRPr="00EF0015" w:rsidR="000F0C50">
        <w:t xml:space="preserve"> USD 1,400 </w:t>
      </w:r>
      <w:r w:rsidRPr="00EF0015" w:rsidR="00F20AD6">
        <w:t>from the British Army Goodwill Payment Committee</w:t>
      </w:r>
      <w:r w:rsidRPr="00EF0015" w:rsidR="005A4580">
        <w:t xml:space="preserve"> and a further USD 3,000 in compensation for the minibus</w:t>
      </w:r>
      <w:r w:rsidRPr="00EF0015" w:rsidR="0027760B">
        <w:t>.</w:t>
      </w:r>
    </w:p>
    <w:p w:rsidR="00C81668" w:rsidP="00203783" w:rsidRDefault="00B71F1E">
      <w:pPr>
        <w:pStyle w:val="JuPara"/>
      </w:pPr>
      <w:r w:rsidRPr="00EF0015">
        <w:fldChar w:fldCharType="begin"/>
      </w:r>
      <w:r w:rsidRPr="00EF0015">
        <w:instrText xml:space="preserve"> SEQ level0 \*arabic </w:instrText>
      </w:r>
      <w:r w:rsidRPr="00EF0015">
        <w:fldChar w:fldCharType="separate"/>
      </w:r>
      <w:r w:rsidR="00524A6D">
        <w:rPr>
          <w:noProof/>
        </w:rPr>
        <w:t>53</w:t>
      </w:r>
      <w:r w:rsidRPr="00EF0015">
        <w:fldChar w:fldCharType="end"/>
      </w:r>
      <w:r w:rsidRPr="00EF0015">
        <w:t>.  Following the fourth applicant</w:t>
      </w:r>
      <w:r w:rsidR="008570E8">
        <w:t>’</w:t>
      </w:r>
      <w:r w:rsidRPr="00EF0015">
        <w:t>s appli</w:t>
      </w:r>
      <w:r w:rsidR="00C976AF">
        <w:t xml:space="preserve">cation for judicial review (see </w:t>
      </w:r>
      <w:r w:rsidRPr="00EF0015">
        <w:t xml:space="preserve">paragraph </w:t>
      </w:r>
      <w:r w:rsidR="0050491E">
        <w:t>73</w:t>
      </w:r>
      <w:r w:rsidRPr="00EF0015">
        <w:t xml:space="preserve"> below), the case was reviewed by senior investigation officers in the </w:t>
      </w:r>
      <w:r w:rsidRPr="00EF0015" w:rsidR="002606C8">
        <w:t xml:space="preserve">Special Investigation Branch </w:t>
      </w:r>
      <w:r w:rsidRPr="00EF0015">
        <w:t>and the decision was taken to reopen the investigation. The inve</w:t>
      </w:r>
      <w:r w:rsidR="00C976AF">
        <w:t>stigation was re</w:t>
      </w:r>
      <w:r w:rsidR="00885D7F">
        <w:t>opened</w:t>
      </w:r>
      <w:r w:rsidR="00C976AF">
        <w:t xml:space="preserve"> on 7 </w:t>
      </w:r>
      <w:r w:rsidRPr="00EF0015" w:rsidR="0003662D">
        <w:t>J</w:t>
      </w:r>
      <w:r w:rsidR="00C976AF">
        <w:t xml:space="preserve">une </w:t>
      </w:r>
      <w:r w:rsidRPr="00EF0015">
        <w:t>2004 and completed on 3</w:t>
      </w:r>
      <w:r w:rsidR="00C976AF">
        <w:t xml:space="preserve"> </w:t>
      </w:r>
      <w:r w:rsidRPr="00EF0015">
        <w:t xml:space="preserve">December 2004, despite difficulties </w:t>
      </w:r>
      <w:r w:rsidRPr="00EF0015" w:rsidR="0003662D">
        <w:t>caused by the very dangerous conditions in Iraq at that time.</w:t>
      </w:r>
    </w:p>
    <w:p w:rsidRPr="00EF0015" w:rsidR="007003A3" w:rsidP="00203783" w:rsidRDefault="007003A3">
      <w:pPr>
        <w:pStyle w:val="JuPara"/>
      </w:pPr>
      <w:r w:rsidRPr="00EF0015">
        <w:fldChar w:fldCharType="begin"/>
      </w:r>
      <w:r w:rsidRPr="00EF0015">
        <w:instrText xml:space="preserve"> SEQ level0 \*arabic </w:instrText>
      </w:r>
      <w:r w:rsidRPr="00EF0015">
        <w:fldChar w:fldCharType="separate"/>
      </w:r>
      <w:r w:rsidR="00524A6D">
        <w:rPr>
          <w:noProof/>
        </w:rPr>
        <w:t>54</w:t>
      </w:r>
      <w:r w:rsidRPr="00EF0015">
        <w:fldChar w:fldCharType="end"/>
      </w:r>
      <w:r w:rsidRPr="00EF0015">
        <w:t>.  On completing the investigation</w:t>
      </w:r>
      <w:r w:rsidR="00CF320D">
        <w:t>,</w:t>
      </w:r>
      <w:r w:rsidRPr="00EF0015">
        <w:t xml:space="preserve"> the </w:t>
      </w:r>
      <w:r w:rsidRPr="00EF0015" w:rsidR="002606C8">
        <w:t xml:space="preserve">Special Investigation Branch </w:t>
      </w:r>
      <w:r w:rsidRPr="00EF0015">
        <w:t>reported to the soldier</w:t>
      </w:r>
      <w:r w:rsidR="008570E8">
        <w:t>’</w:t>
      </w:r>
      <w:r w:rsidRPr="00EF0015">
        <w:t xml:space="preserve">s Commanding Officer, who referred the case to the Army Prosecuting Authority in February 2005. The </w:t>
      </w:r>
      <w:r w:rsidRPr="00EF0015" w:rsidR="002E7CE5">
        <w:t xml:space="preserve">Army Prosecuting Authority </w:t>
      </w:r>
      <w:r w:rsidRPr="00EF0015">
        <w:t>decided that a formal preliminary examination</w:t>
      </w:r>
      <w:r w:rsidRPr="00EF0015" w:rsidR="00002940">
        <w:t xml:space="preserve"> of the witnesses</w:t>
      </w:r>
      <w:r w:rsidRPr="00EF0015">
        <w:t xml:space="preserve"> should be held, </w:t>
      </w:r>
      <w:r w:rsidRPr="00EF0015" w:rsidR="00002940">
        <w:t xml:space="preserve">in order to clarify any uncertainties and ambiguities in the evidence. Depositions were taken by the </w:t>
      </w:r>
      <w:r w:rsidRPr="00EF0015" w:rsidR="002E7CE5">
        <w:t xml:space="preserve">Army Prosecuting Authority </w:t>
      </w:r>
      <w:r w:rsidRPr="00EF0015" w:rsidR="00002940">
        <w:t xml:space="preserve">from the soldiers who </w:t>
      </w:r>
      <w:r w:rsidR="00F26590">
        <w:t xml:space="preserve">had </w:t>
      </w:r>
      <w:r w:rsidRPr="00EF0015" w:rsidR="00002940">
        <w:t>witnessed the shooting</w:t>
      </w:r>
      <w:r w:rsidRPr="00EF0015" w:rsidR="00623B22">
        <w:t xml:space="preserve">, and who were the only </w:t>
      </w:r>
      <w:r w:rsidR="00D66362">
        <w:t xml:space="preserve">known </w:t>
      </w:r>
      <w:r w:rsidRPr="00EF0015" w:rsidR="00623B22">
        <w:t>witnesses. Advice was obtained from an independent senior counsel, who advised that there was no realistic prospect of conviction, since there was no realistic prospect of establishing that Lance C</w:t>
      </w:r>
      <w:r w:rsidR="008D39A8">
        <w:t>orporal S</w:t>
      </w:r>
      <w:r w:rsidR="00CF320D">
        <w:t>.</w:t>
      </w:r>
      <w:r w:rsidR="008D39A8">
        <w:t xml:space="preserve"> had not fired in self</w:t>
      </w:r>
      <w:r w:rsidR="008D39A8">
        <w:noBreakHyphen/>
      </w:r>
      <w:r w:rsidRPr="00EF0015" w:rsidR="00623B22">
        <w:t xml:space="preserve">defence. The file was sent to the Attorney General, who decided not to exercise his jurisdiction to order a </w:t>
      </w:r>
      <w:r w:rsidR="003A1ED8">
        <w:t>criminal</w:t>
      </w:r>
      <w:r w:rsidRPr="00EF0015" w:rsidR="00623B22">
        <w:t xml:space="preserve"> prosecution.</w:t>
      </w:r>
    </w:p>
    <w:p w:rsidR="00C81668" w:rsidP="00967459" w:rsidRDefault="00B32557">
      <w:pPr>
        <w:pStyle w:val="JuH1"/>
      </w:pPr>
      <w:bookmarkStart w:name="_Toc275785576" w:id="63"/>
      <w:bookmarkStart w:name="_Toc289765867" w:id="64"/>
      <w:bookmarkStart w:name="_Toc289868956" w:id="65"/>
      <w:bookmarkStart w:name="_Toc297210652" w:id="66"/>
      <w:r w:rsidRPr="00EF0015">
        <w:t>5</w:t>
      </w:r>
      <w:r w:rsidR="00405921">
        <w:t>.  </w:t>
      </w:r>
      <w:r w:rsidRPr="00EF0015" w:rsidR="000777E1">
        <w:t>The fifth applicant</w:t>
      </w:r>
      <w:bookmarkEnd w:id="63"/>
      <w:bookmarkEnd w:id="64"/>
      <w:bookmarkEnd w:id="65"/>
      <w:bookmarkEnd w:id="66"/>
    </w:p>
    <w:p w:rsidR="00C81668" w:rsidP="0090027B" w:rsidRDefault="00777440">
      <w:pPr>
        <w:pStyle w:val="JuPara"/>
      </w:pPr>
      <w:r w:rsidRPr="00EF0015">
        <w:fldChar w:fldCharType="begin"/>
      </w:r>
      <w:r w:rsidRPr="00EF0015">
        <w:instrText xml:space="preserve"> SEQ level0 \*arabic </w:instrText>
      </w:r>
      <w:r w:rsidRPr="00EF0015">
        <w:fldChar w:fldCharType="separate"/>
      </w:r>
      <w:r w:rsidR="00524A6D">
        <w:rPr>
          <w:noProof/>
        </w:rPr>
        <w:t>55</w:t>
      </w:r>
      <w:r w:rsidRPr="00EF0015">
        <w:fldChar w:fldCharType="end"/>
      </w:r>
      <w:r w:rsidRPr="00EF0015">
        <w:t>.  </w:t>
      </w:r>
      <w:r w:rsidRPr="00EF0015" w:rsidR="0090027B">
        <w:t>The fifth applicant is the father of Ahmed Jabbar Kareem Ali</w:t>
      </w:r>
      <w:r w:rsidRPr="00EF0015">
        <w:t>, who</w:t>
      </w:r>
      <w:r w:rsidRPr="00EF0015" w:rsidR="0090027B">
        <w:t xml:space="preserve"> died on 8 May 2003</w:t>
      </w:r>
      <w:r w:rsidRPr="00EF0015">
        <w:t>, aged 1</w:t>
      </w:r>
      <w:r w:rsidRPr="00EF0015" w:rsidR="005B30E5">
        <w:t>5</w:t>
      </w:r>
      <w:r w:rsidRPr="00EF0015" w:rsidR="0090027B">
        <w:t>.</w:t>
      </w:r>
    </w:p>
    <w:p w:rsidRPr="00EF0015" w:rsidR="00C202D9" w:rsidP="0090027B" w:rsidRDefault="00777440">
      <w:pPr>
        <w:pStyle w:val="JuPara"/>
      </w:pPr>
      <w:r w:rsidRPr="00EF0015">
        <w:fldChar w:fldCharType="begin"/>
      </w:r>
      <w:r w:rsidRPr="00EF0015">
        <w:instrText xml:space="preserve"> SEQ level0 \*arabic </w:instrText>
      </w:r>
      <w:r w:rsidRPr="00EF0015">
        <w:fldChar w:fldCharType="separate"/>
      </w:r>
      <w:r w:rsidR="00524A6D">
        <w:rPr>
          <w:noProof/>
        </w:rPr>
        <w:t>56</w:t>
      </w:r>
      <w:r w:rsidRPr="00EF0015">
        <w:fldChar w:fldCharType="end"/>
      </w:r>
      <w:r w:rsidRPr="00EF0015">
        <w:t xml:space="preserve">.  According to the </w:t>
      </w:r>
      <w:r w:rsidRPr="00EF0015" w:rsidR="008509DA">
        <w:t xml:space="preserve">statements made by the fifth applicant for the purpose of United Kingdom court proceedings, </w:t>
      </w:r>
      <w:r w:rsidRPr="00EF0015" w:rsidR="00B42BE8">
        <w:t xml:space="preserve">on 8 May 2003 </w:t>
      </w:r>
      <w:r w:rsidRPr="00EF0015">
        <w:t xml:space="preserve">his </w:t>
      </w:r>
      <w:r w:rsidRPr="00EF0015" w:rsidR="00B42BE8">
        <w:t xml:space="preserve">son </w:t>
      </w:r>
      <w:r w:rsidRPr="00EF0015" w:rsidR="00CB00CD">
        <w:t>di</w:t>
      </w:r>
      <w:r w:rsidRPr="00EF0015" w:rsidR="00B42BE8">
        <w:t>d not return home at 1.30 p.m. as expected. The fifth applicant went to look for him at Al-Saad Square, where he was told that British soldiers had arrested some Iraqi youths earlier in the day. The applicant continued to search for his son and was contacted the following morning by A</w:t>
      </w:r>
      <w:r w:rsidR="00CF320D">
        <w:t>.</w:t>
      </w:r>
      <w:r w:rsidRPr="00EF0015" w:rsidR="00B42BE8">
        <w:t xml:space="preserve">, another young Iraqi, who told </w:t>
      </w:r>
      <w:r w:rsidR="00790E04">
        <w:t>the</w:t>
      </w:r>
      <w:r w:rsidRPr="00EF0015" w:rsidR="00B42BE8">
        <w:t xml:space="preserve"> applicant that he, the applicant</w:t>
      </w:r>
      <w:r w:rsidR="008570E8">
        <w:t>’</w:t>
      </w:r>
      <w:r w:rsidRPr="00EF0015" w:rsidR="00B42BE8">
        <w:t xml:space="preserve">s son and </w:t>
      </w:r>
      <w:r w:rsidRPr="00EF0015" w:rsidR="00DD491C">
        <w:t>two</w:t>
      </w:r>
      <w:r w:rsidRPr="00EF0015" w:rsidR="00B42BE8">
        <w:t xml:space="preserve"> others had been arrested by British soldiers the previous day, beaten up and forced into the </w:t>
      </w:r>
      <w:r w:rsidR="00413D6B">
        <w:t xml:space="preserve">waters of the </w:t>
      </w:r>
      <w:r w:rsidRPr="00EF0015" w:rsidR="00BA407C">
        <w:t>Shatt Al-Arab</w:t>
      </w:r>
      <w:r w:rsidRPr="00EF0015" w:rsidR="00B42BE8">
        <w:t xml:space="preserve">. </w:t>
      </w:r>
      <w:r w:rsidRPr="00EF0015" w:rsidR="00C202D9">
        <w:t>Later</w:t>
      </w:r>
      <w:r w:rsidR="00CF320D">
        <w:t>,</w:t>
      </w:r>
      <w:r w:rsidRPr="00EF0015" w:rsidR="00C202D9">
        <w:t xml:space="preserve"> on 9 May 2003</w:t>
      </w:r>
      <w:r w:rsidR="00CF320D">
        <w:t>,</w:t>
      </w:r>
      <w:r w:rsidRPr="00EF0015" w:rsidR="00C202D9">
        <w:t xml:space="preserve"> the applicant</w:t>
      </w:r>
      <w:r w:rsidR="008570E8">
        <w:t>’</w:t>
      </w:r>
      <w:r w:rsidRPr="00EF0015" w:rsidR="00C202D9">
        <w:t xml:space="preserve">s brother informed </w:t>
      </w:r>
      <w:r w:rsidR="00093A6C">
        <w:t>“</w:t>
      </w:r>
      <w:r w:rsidRPr="00EF0015" w:rsidR="00C202D9">
        <w:t>the British police</w:t>
      </w:r>
      <w:r w:rsidR="00093A6C">
        <w:t>”</w:t>
      </w:r>
      <w:r w:rsidRPr="00EF0015" w:rsidR="00C202D9">
        <w:t xml:space="preserve"> about the incident and was requested to surrender Ahmed</w:t>
      </w:r>
      <w:r w:rsidR="008570E8">
        <w:t>’</w:t>
      </w:r>
      <w:r w:rsidRPr="00EF0015" w:rsidR="00C202D9">
        <w:t xml:space="preserve">s identity card. </w:t>
      </w:r>
      <w:r w:rsidRPr="00EF0015" w:rsidR="00DF0D33">
        <w:t>Having spent several days waiting and searching, t</w:t>
      </w:r>
      <w:r w:rsidRPr="00EF0015" w:rsidR="00B42BE8">
        <w:t>he applicant</w:t>
      </w:r>
      <w:r w:rsidRPr="00EF0015" w:rsidR="00DF0D33">
        <w:t xml:space="preserve"> found his</w:t>
      </w:r>
      <w:r w:rsidRPr="00EF0015" w:rsidR="00B42BE8">
        <w:t xml:space="preserve"> son</w:t>
      </w:r>
      <w:r w:rsidR="008570E8">
        <w:t>’</w:t>
      </w:r>
      <w:r w:rsidRPr="00EF0015" w:rsidR="00B42BE8">
        <w:t xml:space="preserve">s body in the </w:t>
      </w:r>
      <w:r w:rsidRPr="00EF0015" w:rsidR="00BA407C">
        <w:t>water</w:t>
      </w:r>
      <w:r w:rsidRPr="00EF0015" w:rsidR="00B42BE8">
        <w:t xml:space="preserve"> on 10</w:t>
      </w:r>
      <w:r w:rsidRPr="00EF0015" w:rsidR="00BE1D46">
        <w:t> </w:t>
      </w:r>
      <w:r w:rsidRPr="00EF0015" w:rsidR="00B42BE8">
        <w:t>May 2003</w:t>
      </w:r>
      <w:r w:rsidRPr="00EF0015" w:rsidR="00DD491C">
        <w:t>.</w:t>
      </w:r>
    </w:p>
    <w:p w:rsidR="00C81668" w:rsidP="0090027B" w:rsidRDefault="00C202D9">
      <w:pPr>
        <w:pStyle w:val="JuPara"/>
      </w:pPr>
      <w:r w:rsidRPr="00EF0015">
        <w:fldChar w:fldCharType="begin"/>
      </w:r>
      <w:r w:rsidRPr="00EF0015">
        <w:instrText xml:space="preserve"> SEQ level0 \*arabic </w:instrText>
      </w:r>
      <w:r w:rsidRPr="00EF0015">
        <w:fldChar w:fldCharType="separate"/>
      </w:r>
      <w:r w:rsidR="00524A6D">
        <w:rPr>
          <w:noProof/>
        </w:rPr>
        <w:t>57</w:t>
      </w:r>
      <w:r w:rsidRPr="00EF0015">
        <w:fldChar w:fldCharType="end"/>
      </w:r>
      <w:r w:rsidRPr="00EF0015">
        <w:t>.  The applicant immediately took his son</w:t>
      </w:r>
      <w:r w:rsidR="008570E8">
        <w:t>’</w:t>
      </w:r>
      <w:r w:rsidRPr="00EF0015">
        <w:t xml:space="preserve">s body to </w:t>
      </w:r>
      <w:r w:rsidR="00093A6C">
        <w:t>“</w:t>
      </w:r>
      <w:r w:rsidRPr="00EF0015">
        <w:t>the British police station</w:t>
      </w:r>
      <w:r w:rsidR="00093A6C">
        <w:t>”</w:t>
      </w:r>
      <w:r w:rsidRPr="00EF0015">
        <w:t xml:space="preserve">, where he was told to take the body to the local hospital. The Iraqi doctor on duty told the applicant that he was not qualified to carry out a post mortem and that there were no pathologists available. The applicant decided to bury his son, since in accordance with Islamic practice burial should take place within </w:t>
      </w:r>
      <w:r w:rsidR="00CF320D">
        <w:t>twenty-four</w:t>
      </w:r>
      <w:r w:rsidRPr="00EF0015">
        <w:t xml:space="preserve"> hours of death.</w:t>
      </w:r>
    </w:p>
    <w:p w:rsidR="00C81668" w:rsidP="0090027B" w:rsidRDefault="00DD491C">
      <w:pPr>
        <w:pStyle w:val="JuPara"/>
      </w:pPr>
      <w:r w:rsidRPr="00EF0015">
        <w:fldChar w:fldCharType="begin"/>
      </w:r>
      <w:r w:rsidRPr="00EF0015">
        <w:instrText xml:space="preserve"> SEQ level0 \*arabic </w:instrText>
      </w:r>
      <w:r w:rsidRPr="00EF0015">
        <w:fldChar w:fldCharType="separate"/>
      </w:r>
      <w:r w:rsidR="00524A6D">
        <w:rPr>
          <w:noProof/>
        </w:rPr>
        <w:t>58</w:t>
      </w:r>
      <w:r w:rsidRPr="00EF0015">
        <w:fldChar w:fldCharType="end"/>
      </w:r>
      <w:r w:rsidRPr="00EF0015">
        <w:t>.  </w:t>
      </w:r>
      <w:r w:rsidRPr="00EF0015" w:rsidR="00C202D9">
        <w:t xml:space="preserve">About </w:t>
      </w:r>
      <w:r w:rsidR="00CF320D">
        <w:t>ten</w:t>
      </w:r>
      <w:r w:rsidRPr="00EF0015" w:rsidR="00C202D9">
        <w:t xml:space="preserve"> to </w:t>
      </w:r>
      <w:r w:rsidR="00CF320D">
        <w:t>fifteen</w:t>
      </w:r>
      <w:r w:rsidRPr="00EF0015" w:rsidR="00C202D9">
        <w:t xml:space="preserve"> days after his son</w:t>
      </w:r>
      <w:r w:rsidR="008570E8">
        <w:t>’</w:t>
      </w:r>
      <w:r w:rsidRPr="00EF0015" w:rsidR="00C202D9">
        <w:t xml:space="preserve">s funeral, the applicant returned to </w:t>
      </w:r>
      <w:r w:rsidR="00093A6C">
        <w:t>“</w:t>
      </w:r>
      <w:r w:rsidRPr="00EF0015" w:rsidR="00C202D9">
        <w:t>the British police station</w:t>
      </w:r>
      <w:r w:rsidR="00093A6C">
        <w:t>”</w:t>
      </w:r>
      <w:r w:rsidRPr="00EF0015" w:rsidR="00C202D9">
        <w:t xml:space="preserve"> to ask for an investigation, but he was informed that it was not the business </w:t>
      </w:r>
      <w:r w:rsidR="00093A6C">
        <w:t xml:space="preserve">of “the British police” </w:t>
      </w:r>
      <w:r w:rsidRPr="00EF0015" w:rsidR="00C202D9">
        <w:t>to deal with s</w:t>
      </w:r>
      <w:r w:rsidRPr="00EF0015" w:rsidR="004C7B32">
        <w:t xml:space="preserve">uch matters. He returned to the </w:t>
      </w:r>
      <w:r w:rsidR="00093A6C">
        <w:t>“</w:t>
      </w:r>
      <w:r w:rsidRPr="00EF0015" w:rsidR="004C7B32">
        <w:t>police station</w:t>
      </w:r>
      <w:r w:rsidR="00093A6C">
        <w:t>”</w:t>
      </w:r>
      <w:r w:rsidRPr="00EF0015" w:rsidR="004C7B32">
        <w:t xml:space="preserve"> some days later, and was informed that the </w:t>
      </w:r>
      <w:r w:rsidRPr="00EF0015" w:rsidR="00DB5662">
        <w:t>Royal Military Police</w:t>
      </w:r>
      <w:r w:rsidRPr="00EF0015" w:rsidR="004C7B32">
        <w:t xml:space="preserve"> wished to contact him and that he should go to the </w:t>
      </w:r>
      <w:r w:rsidR="00CF320D">
        <w:t>p</w:t>
      </w:r>
      <w:r w:rsidRPr="00EF0015" w:rsidR="004C7B32">
        <w:t xml:space="preserve">residential </w:t>
      </w:r>
      <w:r w:rsidR="00CF320D">
        <w:t>p</w:t>
      </w:r>
      <w:r w:rsidRPr="00EF0015" w:rsidR="004C7B32">
        <w:t>alace. The following day</w:t>
      </w:r>
      <w:r w:rsidR="00CF320D">
        <w:t>,</w:t>
      </w:r>
      <w:r w:rsidRPr="00EF0015" w:rsidR="004C7B32">
        <w:t xml:space="preserve"> the applicant met with </w:t>
      </w:r>
      <w:r w:rsidRPr="00EF0015" w:rsidR="00DB5662">
        <w:t xml:space="preserve">Special Investigation Branch </w:t>
      </w:r>
      <w:r w:rsidRPr="00EF0015" w:rsidR="004C7B32">
        <w:t xml:space="preserve">officers at the </w:t>
      </w:r>
      <w:r w:rsidR="00CF320D">
        <w:t>p</w:t>
      </w:r>
      <w:r w:rsidRPr="00EF0015" w:rsidR="004C7B32">
        <w:t xml:space="preserve">residential </w:t>
      </w:r>
      <w:r w:rsidR="00CF320D">
        <w:t>p</w:t>
      </w:r>
      <w:r w:rsidRPr="00EF0015" w:rsidR="004C7B32">
        <w:t>alace and was informed that an investigation would be commenced.</w:t>
      </w:r>
    </w:p>
    <w:p w:rsidRPr="00EF0015" w:rsidR="00BE1D46" w:rsidP="0090027B" w:rsidRDefault="004C7B32">
      <w:pPr>
        <w:pStyle w:val="JuPara"/>
      </w:pPr>
      <w:r w:rsidRPr="00EF0015">
        <w:fldChar w:fldCharType="begin"/>
      </w:r>
      <w:r w:rsidRPr="00EF0015">
        <w:instrText xml:space="preserve"> SEQ level0 \*arabic </w:instrText>
      </w:r>
      <w:r w:rsidRPr="00EF0015">
        <w:fldChar w:fldCharType="separate"/>
      </w:r>
      <w:r w:rsidR="00524A6D">
        <w:rPr>
          <w:noProof/>
        </w:rPr>
        <w:t>59</w:t>
      </w:r>
      <w:r w:rsidRPr="00EF0015">
        <w:fldChar w:fldCharType="end"/>
      </w:r>
      <w:r w:rsidRPr="00EF0015">
        <w:t xml:space="preserve">.  The </w:t>
      </w:r>
      <w:r w:rsidRPr="00EF0015" w:rsidR="002606C8">
        <w:t xml:space="preserve">Special Investigation Branch </w:t>
      </w:r>
      <w:r w:rsidRPr="00EF0015">
        <w:t>interviewed A</w:t>
      </w:r>
      <w:r w:rsidR="00CF320D">
        <w:t>.</w:t>
      </w:r>
      <w:r w:rsidRPr="00EF0015">
        <w:t xml:space="preserve"> and took a statement from him. They took statements from the applicant and other family members. At least a month after the incident, the investigators went to Al-Saad Square and retrieved c</w:t>
      </w:r>
      <w:r w:rsidRPr="00EF0015" w:rsidR="00337498">
        <w:t>lothing belonging to the applicant</w:t>
      </w:r>
      <w:r w:rsidR="008570E8">
        <w:t>’</w:t>
      </w:r>
      <w:r w:rsidRPr="00EF0015" w:rsidR="00337498">
        <w:t>s son</w:t>
      </w:r>
      <w:r w:rsidRPr="00EF0015">
        <w:t xml:space="preserve"> and to the other young men who had been arrested at the same time.</w:t>
      </w:r>
      <w:r w:rsidRPr="00EF0015" w:rsidR="00337498">
        <w:t xml:space="preserve"> At the end of the </w:t>
      </w:r>
      <w:r w:rsidR="00CF320D">
        <w:t>forty</w:t>
      </w:r>
      <w:r w:rsidRPr="00EF0015" w:rsidR="00337498">
        <w:t>-day mourning period, the applicant consented to his son</w:t>
      </w:r>
      <w:r w:rsidR="008570E8">
        <w:t>’</w:t>
      </w:r>
      <w:r w:rsidRPr="00EF0015" w:rsidR="00337498">
        <w:t>s body being exhumed for post</w:t>
      </w:r>
      <w:r w:rsidR="00CF320D">
        <w:t>-</w:t>
      </w:r>
      <w:r w:rsidRPr="00EF0015" w:rsidR="00337498">
        <w:t xml:space="preserve">mortem examination, but it was not possible at that point to establish </w:t>
      </w:r>
      <w:r w:rsidR="00093A6C">
        <w:t xml:space="preserve">either </w:t>
      </w:r>
      <w:r w:rsidRPr="00EF0015" w:rsidR="00E74AAB">
        <w:t xml:space="preserve">whether Ahmed had been beaten prior to death or what had been </w:t>
      </w:r>
      <w:r w:rsidRPr="00EF0015" w:rsidR="00337498">
        <w:t>the cause of death.</w:t>
      </w:r>
      <w:r w:rsidRPr="00EF0015" w:rsidR="00E74AAB">
        <w:t xml:space="preserve"> The applicant contends that he was never given an explanation as to the post</w:t>
      </w:r>
      <w:r w:rsidR="00CF320D">
        <w:t>-</w:t>
      </w:r>
      <w:r w:rsidRPr="00EF0015" w:rsidR="00E74AAB">
        <w:t>mortem findings and that he was not kept fully informed of the progress of the investigation in general, since many of the documents he was given were in English or had been badly translated into Arabic.</w:t>
      </w:r>
    </w:p>
    <w:p w:rsidRPr="00EF0015" w:rsidR="00B42BE8" w:rsidP="0090027B" w:rsidRDefault="00BE1D46">
      <w:pPr>
        <w:pStyle w:val="JuPara"/>
      </w:pPr>
      <w:r w:rsidRPr="00EF0015">
        <w:fldChar w:fldCharType="begin"/>
      </w:r>
      <w:r w:rsidRPr="00EF0015">
        <w:instrText xml:space="preserve"> SEQ level0 \*arabic </w:instrText>
      </w:r>
      <w:r w:rsidRPr="00EF0015">
        <w:fldChar w:fldCharType="separate"/>
      </w:r>
      <w:r w:rsidR="00524A6D">
        <w:rPr>
          <w:noProof/>
        </w:rPr>
        <w:t>60</w:t>
      </w:r>
      <w:r w:rsidRPr="00EF0015">
        <w:fldChar w:fldCharType="end"/>
      </w:r>
      <w:r w:rsidRPr="00EF0015">
        <w:t>.  </w:t>
      </w:r>
      <w:r w:rsidR="00093A6C">
        <w:t>The applicant claims that e</w:t>
      </w:r>
      <w:r w:rsidRPr="00EF0015" w:rsidR="00E74AAB">
        <w:t>ighteen months elapsed after the exhumation of his son</w:t>
      </w:r>
      <w:r w:rsidR="008570E8">
        <w:t>’</w:t>
      </w:r>
      <w:r w:rsidRPr="00EF0015" w:rsidR="00E74AAB">
        <w:t xml:space="preserve">s body during which time </w:t>
      </w:r>
      <w:r w:rsidR="00093A6C">
        <w:t>he</w:t>
      </w:r>
      <w:r w:rsidRPr="00EF0015" w:rsidR="00E74AAB">
        <w:t xml:space="preserve"> had no contact with the investigators. In </w:t>
      </w:r>
      <w:r w:rsidRPr="00EF0015" w:rsidR="00551D65">
        <w:t>August</w:t>
      </w:r>
      <w:r w:rsidRPr="00EF0015" w:rsidR="00E74AAB">
        <w:t xml:space="preserve"> 2005 he was informed that four soldiers had been charged with manslaughter and that a trial would take place in England. </w:t>
      </w:r>
      <w:r w:rsidRPr="00EF0015" w:rsidR="004857D2">
        <w:t xml:space="preserve">The court martial was held between September 2005 and May 2006. By that time, three of the seven soldiers who had been accused of his homicide had left the </w:t>
      </w:r>
      <w:r w:rsidR="004849D1">
        <w:t>a</w:t>
      </w:r>
      <w:r w:rsidRPr="00EF0015" w:rsidR="004857D2">
        <w:t xml:space="preserve">rmy, and a further two were absent without leave. </w:t>
      </w:r>
      <w:r w:rsidRPr="00EF0015" w:rsidR="00DD491C">
        <w:t xml:space="preserve">It was the prosecution case that the soldiers had assisted Iraqi police officers to arrest the four youths on suspicion of looting and that they had driven them to the </w:t>
      </w:r>
      <w:r w:rsidR="00093A6C">
        <w:t>river</w:t>
      </w:r>
      <w:r w:rsidRPr="00EF0015" w:rsidR="00DD491C">
        <w:t xml:space="preserve"> and forced them in at gunpoint “to teach them a lesson”. </w:t>
      </w:r>
      <w:r w:rsidRPr="00EF0015" w:rsidR="00126085">
        <w:t>The applicant and A</w:t>
      </w:r>
      <w:r w:rsidR="004849D1">
        <w:t>.</w:t>
      </w:r>
      <w:r w:rsidRPr="00EF0015" w:rsidR="00126085">
        <w:t xml:space="preserve"> gave evidence to the court</w:t>
      </w:r>
      <w:r w:rsidR="004849D1">
        <w:t xml:space="preserve"> </w:t>
      </w:r>
      <w:r w:rsidRPr="00EF0015" w:rsidR="00126085">
        <w:t xml:space="preserve">martial in April 2006. The applicant found the trial process confusing and intimidating and he was left with the impression that the court was biased in favour of the accused. </w:t>
      </w:r>
      <w:r w:rsidRPr="00EF0015">
        <w:t>A</w:t>
      </w:r>
      <w:r w:rsidR="004849D1">
        <w:t>.</w:t>
      </w:r>
      <w:r w:rsidRPr="00EF0015" w:rsidR="00126085">
        <w:t xml:space="preserve"> gave evidence that </w:t>
      </w:r>
      <w:r w:rsidRPr="00EF0015">
        <w:t>t</w:t>
      </w:r>
      <w:r w:rsidRPr="00EF0015" w:rsidR="00126085">
        <w:t>he applicant</w:t>
      </w:r>
      <w:r w:rsidR="008570E8">
        <w:t>’</w:t>
      </w:r>
      <w:r w:rsidRPr="00EF0015" w:rsidR="00126085">
        <w:t xml:space="preserve">s son </w:t>
      </w:r>
      <w:r w:rsidRPr="00EF0015" w:rsidR="00DD491C">
        <w:t>had appeared to be in distress</w:t>
      </w:r>
      <w:r w:rsidRPr="00EF0015" w:rsidR="00126085">
        <w:t xml:space="preserve"> in the water</w:t>
      </w:r>
      <w:r w:rsidRPr="00EF0015" w:rsidR="00DD491C">
        <w:t xml:space="preserve">, but </w:t>
      </w:r>
      <w:r w:rsidR="00093A6C">
        <w:t xml:space="preserve">that </w:t>
      </w:r>
      <w:r w:rsidRPr="00EF0015" w:rsidR="00DD491C">
        <w:t xml:space="preserve">the soldiers had driven away without helping him. </w:t>
      </w:r>
      <w:r w:rsidRPr="00EF0015" w:rsidR="00126085">
        <w:t xml:space="preserve">However, he was not able to identify the defendants as the soldiers involved. </w:t>
      </w:r>
      <w:r w:rsidRPr="00EF0015">
        <w:t xml:space="preserve">The </w:t>
      </w:r>
      <w:r w:rsidRPr="00EF0015" w:rsidR="00126085">
        <w:t>defendants</w:t>
      </w:r>
      <w:r w:rsidRPr="00EF0015">
        <w:t xml:space="preserve"> denied any responsibility for the death and were acquitted because A</w:t>
      </w:r>
      <w:r w:rsidR="004849D1">
        <w:t>.</w:t>
      </w:r>
      <w:r w:rsidR="008570E8">
        <w:t>’</w:t>
      </w:r>
      <w:r w:rsidRPr="00EF0015">
        <w:t>s evidence was found to be inconsistent and unreliable.</w:t>
      </w:r>
    </w:p>
    <w:p w:rsidRPr="00EF0015" w:rsidR="00BA407C" w:rsidP="0090027B" w:rsidRDefault="00BA407C">
      <w:pPr>
        <w:pStyle w:val="JuPara"/>
      </w:pPr>
      <w:r w:rsidRPr="00EF0015">
        <w:fldChar w:fldCharType="begin"/>
      </w:r>
      <w:r w:rsidRPr="00EF0015">
        <w:instrText xml:space="preserve"> SEQ level0 \*arabic </w:instrText>
      </w:r>
      <w:r w:rsidRPr="00EF0015">
        <w:fldChar w:fldCharType="separate"/>
      </w:r>
      <w:r w:rsidR="00524A6D">
        <w:rPr>
          <w:noProof/>
        </w:rPr>
        <w:t>61</w:t>
      </w:r>
      <w:r w:rsidRPr="00EF0015">
        <w:fldChar w:fldCharType="end"/>
      </w:r>
      <w:r w:rsidRPr="00EF0015">
        <w:t>.  The applicant</w:t>
      </w:r>
      <w:r w:rsidR="008570E8">
        <w:t>’</w:t>
      </w:r>
      <w:r w:rsidRPr="00EF0015">
        <w:t>s son</w:t>
      </w:r>
      <w:r w:rsidR="008570E8">
        <w:t>’</w:t>
      </w:r>
      <w:r w:rsidRPr="00EF0015">
        <w:t xml:space="preserve">s case was one of the six cases investigated in the Aitken Report (see </w:t>
      </w:r>
      <w:r w:rsidR="00093A6C">
        <w:t xml:space="preserve">paragraph </w:t>
      </w:r>
      <w:r w:rsidR="0050491E">
        <w:t>69</w:t>
      </w:r>
      <w:r w:rsidR="00093A6C">
        <w:t xml:space="preserve"> </w:t>
      </w:r>
      <w:r w:rsidRPr="00EF0015">
        <w:t xml:space="preserve">below). Under the heading “Learning </w:t>
      </w:r>
      <w:r w:rsidR="004849D1">
        <w:t>l</w:t>
      </w:r>
      <w:r w:rsidRPr="00EF0015">
        <w:t>ess</w:t>
      </w:r>
      <w:r w:rsidR="00093A6C">
        <w:t xml:space="preserve">ons from </w:t>
      </w:r>
      <w:r w:rsidR="004849D1">
        <w:t>d</w:t>
      </w:r>
      <w:r w:rsidR="00093A6C">
        <w:t xml:space="preserve">iscipline </w:t>
      </w:r>
      <w:r w:rsidR="004849D1">
        <w:t>c</w:t>
      </w:r>
      <w:r w:rsidR="00093A6C">
        <w:t xml:space="preserve">ases” the </w:t>
      </w:r>
      <w:r w:rsidR="004849D1">
        <w:t>r</w:t>
      </w:r>
      <w:r w:rsidRPr="00EF0015">
        <w:t>eport stated:</w:t>
      </w:r>
    </w:p>
    <w:p w:rsidRPr="00EF0015" w:rsidR="00BA407C" w:rsidP="00BA407C" w:rsidRDefault="00403BBE">
      <w:pPr>
        <w:pStyle w:val="JuQuot"/>
      </w:pPr>
      <w:r w:rsidRPr="00EF0015">
        <w:t>“</w:t>
      </w:r>
      <w:r w:rsidR="00E07594">
        <w:t>...</w:t>
      </w:r>
      <w:r w:rsidRPr="00EF0015">
        <w:t xml:space="preserve"> w</w:t>
      </w:r>
      <w:r w:rsidRPr="00EF0015" w:rsidR="00BA407C">
        <w:t xml:space="preserve">e know that two </w:t>
      </w:r>
      <w:r w:rsidR="004849D1">
        <w:t>i</w:t>
      </w:r>
      <w:r w:rsidRPr="00EF0015" w:rsidR="00BA407C">
        <w:t xml:space="preserve">nitial </w:t>
      </w:r>
      <w:r w:rsidR="004849D1">
        <w:t>p</w:t>
      </w:r>
      <w:r w:rsidRPr="00EF0015" w:rsidR="00BA407C">
        <w:t xml:space="preserve">olice </w:t>
      </w:r>
      <w:r w:rsidR="004849D1">
        <w:t>r</w:t>
      </w:r>
      <w:r w:rsidRPr="00EF0015" w:rsidR="00BA407C">
        <w:t>eports were produced in May 2003 relating to allegations that, on two separate occasions but within the space of just over a fortnight, Iraqis had drowned in the Shat</w:t>
      </w:r>
      <w:r w:rsidR="008570E8">
        <w:t>’</w:t>
      </w:r>
      <w:r w:rsidRPr="00EF0015" w:rsidR="00BA407C">
        <w:t xml:space="preserve"> al-Arab at the hands of British soldiers. That one of those cases did not subsequently proceed to trial is irrelevant: at the time, an ostensibly unusual event was alleged to have occurred twice in a short space of time. With all their other duties, the commanders on the ground cannot reasonably be blamed for failing to identify what may or may not have been a trend; but a more immediate, effective system for referring that sort of information to others with the capacity to analyse it might have identified such a trend. In fact, the evidence suggests that these were two isolated incidents; but had they been a symptom of a more fundamental failing, they might have been overlooked. By comparison, if there had been two reports of a new weapon being used by insurgents to attack British armoured vehicles within a fortnight, it is certain that the </w:t>
      </w:r>
      <w:r w:rsidR="004849D1">
        <w:t>l</w:t>
      </w:r>
      <w:r w:rsidRPr="00EF0015" w:rsidR="00BA407C">
        <w:t xml:space="preserve">essons </w:t>
      </w:r>
      <w:r w:rsidR="004849D1">
        <w:t>l</w:t>
      </w:r>
      <w:r w:rsidRPr="00EF0015" w:rsidR="00BA407C">
        <w:t>earned process would have identified its significance, determined the counter-measures needed to combat it, and quickly disseminated new procedures to mitigate the risk. The fact that this process does not apply to disciplinary matters is only partly explained by the need for confidentiality and the preservation of evidence; but it is a failure in the process that could be fairly easily rectified without compromising the fundamental principle of innocence until proven guilty.</w:t>
      </w:r>
      <w:r w:rsidRPr="00EF0015" w:rsidR="0015077F">
        <w:t>”</w:t>
      </w:r>
    </w:p>
    <w:p w:rsidRPr="00EF0015" w:rsidR="004B518A" w:rsidP="004B518A" w:rsidRDefault="004B518A">
      <w:pPr>
        <w:pStyle w:val="JuPara"/>
      </w:pPr>
      <w:r w:rsidRPr="00EF0015">
        <w:t xml:space="preserve">The </w:t>
      </w:r>
      <w:r w:rsidR="004849D1">
        <w:t>r</w:t>
      </w:r>
      <w:r w:rsidRPr="00EF0015">
        <w:t>eport continued, under the heading “Delay”</w:t>
      </w:r>
      <w:r w:rsidR="000A253F">
        <w:t>:</w:t>
      </w:r>
    </w:p>
    <w:p w:rsidRPr="00EF0015" w:rsidR="004B518A" w:rsidP="004B518A" w:rsidRDefault="004B518A">
      <w:pPr>
        <w:pStyle w:val="JuQuot"/>
      </w:pPr>
      <w:r w:rsidRPr="00EF0015">
        <w:t xml:space="preserve">“The amount of time taken to resolve some of the cases with which this report is concerned has been unacceptable. </w:t>
      </w:r>
      <w:r w:rsidR="00E07594">
        <w:t>...</w:t>
      </w:r>
      <w:r w:rsidRPr="00EF0015">
        <w:t xml:space="preserve"> The court martial in connection with the death of Ahmed Jabb</w:t>
      </w:r>
      <w:r w:rsidR="00BC601F">
        <w:t>a</w:t>
      </w:r>
      <w:r w:rsidRPr="00EF0015">
        <w:t xml:space="preserve">r Kareem did not convene until September 2005, </w:t>
      </w:r>
      <w:r w:rsidR="004849D1">
        <w:t>twenty-eight</w:t>
      </w:r>
      <w:r w:rsidRPr="00EF0015">
        <w:t xml:space="preserve"> months after he died; by that time, three of the seven soldiers who had been accused of his murder had left the </w:t>
      </w:r>
      <w:r w:rsidR="004849D1">
        <w:t>a</w:t>
      </w:r>
      <w:r w:rsidRPr="00EF0015">
        <w:t>rmy, and a further two were absent without leave.</w:t>
      </w:r>
    </w:p>
    <w:p w:rsidRPr="00EF0015" w:rsidR="004B518A" w:rsidP="004B518A" w:rsidRDefault="004B518A">
      <w:pPr>
        <w:pStyle w:val="JuQuot"/>
      </w:pPr>
      <w:r w:rsidRPr="00EF0015">
        <w:t xml:space="preserve">In most cases, it is inappropriate for the </w:t>
      </w:r>
      <w:r w:rsidR="00086754">
        <w:t>a</w:t>
      </w:r>
      <w:r w:rsidRPr="00EF0015">
        <w:t>rmy to take administrative action against any officer or soldier until the disciplinary process has been completed, because of the risk of prejudicing the trial. When that disciplinary process takes as long as it has taken in most of these cases, then the impact of any subsequent administrative sanctions is significantly reduced – indeed, such sanctions are likely to be counterproductive. Moreover, the longer the disciplinary process takes, the less likely it is that the chain of command will take proactive measures to rectify the matters that contributed to the commission of the crimes in the first place.”</w:t>
      </w:r>
    </w:p>
    <w:p w:rsidRPr="00EF0015" w:rsidR="00BE1D46" w:rsidP="0090027B" w:rsidRDefault="00BE1D46">
      <w:pPr>
        <w:pStyle w:val="JuPara"/>
      </w:pPr>
      <w:r w:rsidRPr="00EF0015">
        <w:fldChar w:fldCharType="begin"/>
      </w:r>
      <w:r w:rsidRPr="00EF0015">
        <w:instrText xml:space="preserve"> SEQ level0 \*arabic </w:instrText>
      </w:r>
      <w:r w:rsidRPr="00EF0015">
        <w:fldChar w:fldCharType="separate"/>
      </w:r>
      <w:r w:rsidR="00524A6D">
        <w:rPr>
          <w:noProof/>
        </w:rPr>
        <w:t>62</w:t>
      </w:r>
      <w:r w:rsidRPr="00EF0015">
        <w:fldChar w:fldCharType="end"/>
      </w:r>
      <w:r w:rsidRPr="00EF0015">
        <w:t xml:space="preserve">.  The fifth applicant brought civil proceedings </w:t>
      </w:r>
      <w:r w:rsidRPr="00EF0015" w:rsidR="00843462">
        <w:t>against the Ministry of Defence for damages in respect of his son</w:t>
      </w:r>
      <w:r w:rsidR="008570E8">
        <w:t>’</w:t>
      </w:r>
      <w:r w:rsidRPr="00EF0015" w:rsidR="00843462">
        <w:t>s death. The claim was settled without going to hearing, by the payment of 115,000</w:t>
      </w:r>
      <w:r w:rsidR="003E1F71">
        <w:t xml:space="preserve"> pounds sterling (GBP)</w:t>
      </w:r>
      <w:r w:rsidRPr="00EF0015" w:rsidR="00843462">
        <w:t xml:space="preserve"> on 15 December 2008. In addition, on 20 February 2009 Major General Cubbitt wrote to the fifth applicant and formally apologised on behalf of the British </w:t>
      </w:r>
      <w:r w:rsidR="00E008A3">
        <w:t>a</w:t>
      </w:r>
      <w:r w:rsidRPr="00EF0015" w:rsidR="00843462">
        <w:t>rmy for its role in his son</w:t>
      </w:r>
      <w:r w:rsidR="008570E8">
        <w:t>’</w:t>
      </w:r>
      <w:r w:rsidRPr="00EF0015" w:rsidR="00843462">
        <w:t>s death.</w:t>
      </w:r>
    </w:p>
    <w:p w:rsidRPr="00EF0015" w:rsidR="00967459" w:rsidP="00967459" w:rsidRDefault="00405921">
      <w:pPr>
        <w:pStyle w:val="JuH1"/>
      </w:pPr>
      <w:bookmarkStart w:name="_Toc275785577" w:id="67"/>
      <w:bookmarkStart w:name="_Toc289765868" w:id="68"/>
      <w:bookmarkStart w:name="_Toc289868957" w:id="69"/>
      <w:bookmarkStart w:name="_Toc297210653" w:id="70"/>
      <w:r>
        <w:t>6.  </w:t>
      </w:r>
      <w:r w:rsidRPr="00EF0015" w:rsidR="009830F8">
        <w:t>The sixth applicant</w:t>
      </w:r>
      <w:bookmarkEnd w:id="67"/>
      <w:bookmarkEnd w:id="68"/>
      <w:bookmarkEnd w:id="69"/>
      <w:bookmarkEnd w:id="70"/>
    </w:p>
    <w:p w:rsidRPr="00EF0015" w:rsidR="00B32557" w:rsidP="00203783" w:rsidRDefault="00967459">
      <w:pPr>
        <w:pStyle w:val="JuPara"/>
      </w:pPr>
      <w:r w:rsidRPr="00EF0015">
        <w:fldChar w:fldCharType="begin"/>
      </w:r>
      <w:r w:rsidRPr="00EF0015">
        <w:instrText xml:space="preserve"> SEQ level0 \*arabic </w:instrText>
      </w:r>
      <w:r w:rsidRPr="00EF0015">
        <w:fldChar w:fldCharType="separate"/>
      </w:r>
      <w:r w:rsidR="00524A6D">
        <w:rPr>
          <w:noProof/>
        </w:rPr>
        <w:t>63</w:t>
      </w:r>
      <w:r w:rsidRPr="00EF0015">
        <w:fldChar w:fldCharType="end"/>
      </w:r>
      <w:r w:rsidRPr="00EF0015">
        <w:t>.  </w:t>
      </w:r>
      <w:r w:rsidRPr="00EF0015" w:rsidR="009830F8">
        <w:t xml:space="preserve">The sixth applicant </w:t>
      </w:r>
      <w:r w:rsidRPr="00EF0015" w:rsidR="00C80F04">
        <w:t>is</w:t>
      </w:r>
      <w:r w:rsidRPr="00EF0015" w:rsidR="009830F8">
        <w:t xml:space="preserve"> a</w:t>
      </w:r>
      <w:r w:rsidRPr="00EF0015" w:rsidR="00B32557">
        <w:t xml:space="preserve"> </w:t>
      </w:r>
      <w:r w:rsidRPr="00EF0015" w:rsidR="00403BBE">
        <w:t>C</w:t>
      </w:r>
      <w:r w:rsidRPr="00EF0015" w:rsidR="00B32557">
        <w:t>olonel in the Basra police force. H</w:t>
      </w:r>
      <w:r w:rsidRPr="00EF0015" w:rsidR="009830F8">
        <w:t xml:space="preserve">is son, </w:t>
      </w:r>
      <w:r w:rsidRPr="00EF0015" w:rsidR="00B32557">
        <w:t>Baha Mousa, was aged 26 when he died whil</w:t>
      </w:r>
      <w:r w:rsidR="003F401F">
        <w:t>e</w:t>
      </w:r>
      <w:r w:rsidRPr="00EF0015" w:rsidR="00B32557">
        <w:t xml:space="preserve"> in the custody of the British </w:t>
      </w:r>
      <w:r w:rsidR="003F401F">
        <w:t>a</w:t>
      </w:r>
      <w:r w:rsidRPr="00EF0015" w:rsidR="00B32557">
        <w:t xml:space="preserve">rmy, three days after having </w:t>
      </w:r>
      <w:r w:rsidR="00C976AF">
        <w:t>been arrested by soldiers on 14</w:t>
      </w:r>
      <w:r w:rsidR="004B665B">
        <w:t xml:space="preserve"> </w:t>
      </w:r>
      <w:r w:rsidRPr="00EF0015" w:rsidR="00B32557">
        <w:t>September 2003.</w:t>
      </w:r>
    </w:p>
    <w:p w:rsidRPr="00EF0015" w:rsidR="00CA6F92" w:rsidP="00203783" w:rsidRDefault="00967459">
      <w:pPr>
        <w:pStyle w:val="JuPara"/>
      </w:pPr>
      <w:r w:rsidRPr="00EF0015">
        <w:fldChar w:fldCharType="begin"/>
      </w:r>
      <w:r w:rsidRPr="00EF0015">
        <w:instrText xml:space="preserve"> SEQ level0 \*arabic </w:instrText>
      </w:r>
      <w:r w:rsidRPr="00EF0015">
        <w:fldChar w:fldCharType="separate"/>
      </w:r>
      <w:r w:rsidR="00524A6D">
        <w:rPr>
          <w:noProof/>
        </w:rPr>
        <w:t>64</w:t>
      </w:r>
      <w:r w:rsidRPr="00EF0015">
        <w:fldChar w:fldCharType="end"/>
      </w:r>
      <w:r w:rsidRPr="00EF0015">
        <w:t>.  </w:t>
      </w:r>
      <w:r w:rsidRPr="00EF0015" w:rsidR="00B32557">
        <w:t xml:space="preserve">According to </w:t>
      </w:r>
      <w:r w:rsidRPr="00EF0015" w:rsidR="009830F8">
        <w:t>the sixth applicant</w:t>
      </w:r>
      <w:r w:rsidR="00C976AF">
        <w:t>, on the night of 13</w:t>
      </w:r>
      <w:r w:rsidR="009052ED">
        <w:t xml:space="preserve"> to </w:t>
      </w:r>
      <w:r w:rsidR="004B665B">
        <w:t xml:space="preserve">14 </w:t>
      </w:r>
      <w:r w:rsidRPr="00EF0015" w:rsidR="00B32557">
        <w:t>Se</w:t>
      </w:r>
      <w:r w:rsidR="00405921">
        <w:t xml:space="preserve">ptember </w:t>
      </w:r>
      <w:r w:rsidRPr="00EF0015" w:rsidR="00B32557">
        <w:t>2003 his son had been worki</w:t>
      </w:r>
      <w:r w:rsidR="00405921">
        <w:t xml:space="preserve">ng as a receptionist at the Ibn </w:t>
      </w:r>
      <w:r w:rsidRPr="00EF0015" w:rsidR="00B32557">
        <w:t>Al</w:t>
      </w:r>
      <w:r w:rsidRPr="00EF0015" w:rsidR="009C7812">
        <w:t>-</w:t>
      </w:r>
      <w:r w:rsidRPr="00EF0015" w:rsidR="00B32557">
        <w:t>Haitham Hotel in Basra</w:t>
      </w:r>
      <w:r w:rsidR="003F401F">
        <w:t>.</w:t>
      </w:r>
      <w:r w:rsidRPr="00EF0015" w:rsidR="00B32557">
        <w:t xml:space="preserve"> Early in the morning of 14 September, </w:t>
      </w:r>
      <w:r w:rsidRPr="00EF0015" w:rsidR="009C7812">
        <w:t>the applicant</w:t>
      </w:r>
      <w:r w:rsidRPr="00EF0015" w:rsidR="00B32557">
        <w:t xml:space="preserve"> went to the hotel to pick his son </w:t>
      </w:r>
      <w:r w:rsidR="00093A6C">
        <w:t xml:space="preserve">up </w:t>
      </w:r>
      <w:r w:rsidRPr="00EF0015" w:rsidR="00B32557">
        <w:t xml:space="preserve">from work. On his arrival he noticed that a British unit had surrounded the hotel. </w:t>
      </w:r>
      <w:r w:rsidRPr="00EF0015" w:rsidR="009C7812">
        <w:t>The applicant</w:t>
      </w:r>
      <w:r w:rsidR="008570E8">
        <w:t>’</w:t>
      </w:r>
      <w:r w:rsidRPr="00EF0015" w:rsidR="009C7812">
        <w:t>s</w:t>
      </w:r>
      <w:r w:rsidRPr="00EF0015" w:rsidR="00B32557">
        <w:t xml:space="preserve"> son and six other hotel employees were lying on the floor of the hotel lobby with their hands behind their heads. </w:t>
      </w:r>
      <w:r w:rsidRPr="00EF0015" w:rsidR="009C7812">
        <w:t>The applicant</w:t>
      </w:r>
      <w:r w:rsidRPr="00EF0015" w:rsidR="00B32557">
        <w:t xml:space="preserve"> expressed his concern to </w:t>
      </w:r>
      <w:r w:rsidRPr="00EF0015" w:rsidR="009C7812">
        <w:t>the l</w:t>
      </w:r>
      <w:r w:rsidRPr="00EF0015" w:rsidR="00B32557">
        <w:t xml:space="preserve">ieutenant </w:t>
      </w:r>
      <w:r w:rsidRPr="00EF0015" w:rsidR="009C7812">
        <w:t>in charge of the operation</w:t>
      </w:r>
      <w:r w:rsidRPr="00EF0015" w:rsidR="00B32557">
        <w:t>, who reassured him that it was a routine investigation that would be over in a couple of hours.</w:t>
      </w:r>
      <w:r w:rsidR="00405921">
        <w:t xml:space="preserve"> </w:t>
      </w:r>
      <w:r w:rsidRPr="00EF0015" w:rsidR="00B32557">
        <w:t xml:space="preserve">On the third day after his son had been detained, </w:t>
      </w:r>
      <w:r w:rsidRPr="00EF0015" w:rsidR="00CA6F92">
        <w:t>the sixth applicant</w:t>
      </w:r>
      <w:r w:rsidRPr="00EF0015" w:rsidR="00B32557">
        <w:t xml:space="preserve"> was visited by a </w:t>
      </w:r>
      <w:r w:rsidR="00FB0791">
        <w:t>Royal M</w:t>
      </w:r>
      <w:r w:rsidRPr="00EF0015" w:rsidR="00B32557">
        <w:t xml:space="preserve">ilitary </w:t>
      </w:r>
      <w:r w:rsidR="00FB0791">
        <w:t>P</w:t>
      </w:r>
      <w:r w:rsidRPr="00EF0015" w:rsidR="00B32557">
        <w:t xml:space="preserve">olice unit. He was told that his son had been killed in custody </w:t>
      </w:r>
      <w:r w:rsidRPr="00EF0015" w:rsidR="00B97EBE">
        <w:t>at a British military base in Basra</w:t>
      </w:r>
      <w:r w:rsidR="003F401F">
        <w:t>.</w:t>
      </w:r>
      <w:r w:rsidRPr="00EF0015" w:rsidR="00B97EBE">
        <w:t xml:space="preserve"> He w</w:t>
      </w:r>
      <w:r w:rsidRPr="00EF0015" w:rsidR="00B32557">
        <w:t xml:space="preserve">as asked to identify the corpse. </w:t>
      </w:r>
      <w:r w:rsidRPr="00EF0015" w:rsidR="00CA6F92">
        <w:t>The applicant</w:t>
      </w:r>
      <w:r w:rsidR="008570E8">
        <w:t>’</w:t>
      </w:r>
      <w:r w:rsidRPr="00EF0015" w:rsidR="00CA6F92">
        <w:t>s son</w:t>
      </w:r>
      <w:r w:rsidR="008570E8">
        <w:t>’</w:t>
      </w:r>
      <w:r w:rsidRPr="00EF0015" w:rsidR="00CA6F92">
        <w:t>s body and face were covered in blood and bruises; his nose was broken and part of the skin of his face had been torn away.</w:t>
      </w:r>
    </w:p>
    <w:p w:rsidR="00517406" w:rsidP="00203783" w:rsidRDefault="00967459">
      <w:pPr>
        <w:pStyle w:val="JuPara"/>
      </w:pPr>
      <w:r w:rsidRPr="00EF0015">
        <w:fldChar w:fldCharType="begin"/>
      </w:r>
      <w:r w:rsidRPr="00EF0015">
        <w:instrText xml:space="preserve"> SEQ level0 \*arabic </w:instrText>
      </w:r>
      <w:r w:rsidRPr="00EF0015">
        <w:fldChar w:fldCharType="separate"/>
      </w:r>
      <w:r w:rsidR="00524A6D">
        <w:rPr>
          <w:noProof/>
        </w:rPr>
        <w:t>65</w:t>
      </w:r>
      <w:r w:rsidRPr="00EF0015">
        <w:fldChar w:fldCharType="end"/>
      </w:r>
      <w:r w:rsidRPr="00EF0015">
        <w:t>.  </w:t>
      </w:r>
      <w:r w:rsidRPr="00EF0015" w:rsidR="00B32557">
        <w:t xml:space="preserve">One of the other hotel employees who </w:t>
      </w:r>
      <w:r w:rsidR="003F401F">
        <w:t>was</w:t>
      </w:r>
      <w:r w:rsidRPr="00EF0015" w:rsidR="00B32557">
        <w:t xml:space="preserve"> arrested on 14</w:t>
      </w:r>
      <w:r w:rsidR="004B665B">
        <w:t xml:space="preserve"> </w:t>
      </w:r>
      <w:r w:rsidRPr="00EF0015" w:rsidR="00B32557">
        <w:t xml:space="preserve">September 2003 </w:t>
      </w:r>
      <w:r w:rsidRPr="00EF0015" w:rsidR="00CA6F92">
        <w:t>stated in a witness statement</w:t>
      </w:r>
      <w:r w:rsidR="00C81668">
        <w:t xml:space="preserve"> </w:t>
      </w:r>
      <w:r w:rsidRPr="00EF0015" w:rsidR="00CE1EEB">
        <w:t xml:space="preserve">prepared for the United Kingdom domestic </w:t>
      </w:r>
      <w:r w:rsidR="00FB0791">
        <w:t xml:space="preserve">court </w:t>
      </w:r>
      <w:r w:rsidRPr="00EF0015" w:rsidR="00CE1EEB">
        <w:t xml:space="preserve">proceedings </w:t>
      </w:r>
      <w:r w:rsidRPr="00EF0015" w:rsidR="00B97EBE">
        <w:t xml:space="preserve">that, </w:t>
      </w:r>
      <w:r w:rsidRPr="00EF0015" w:rsidR="00B32557">
        <w:t xml:space="preserve">once the prisoners had arrived at the base, the </w:t>
      </w:r>
      <w:r w:rsidRPr="00EF0015" w:rsidR="00683CBC">
        <w:t>Iraqi detainee</w:t>
      </w:r>
      <w:r w:rsidR="00FB0791">
        <w:t>s</w:t>
      </w:r>
      <w:r w:rsidRPr="00EF0015" w:rsidR="00683CBC">
        <w:t xml:space="preserve"> were hooded, forced to maintain stress positions, denied food and water and kicked and beaten. </w:t>
      </w:r>
      <w:r w:rsidRPr="00EF0015" w:rsidR="00B32557">
        <w:t>During the detention, Baha Mousa was taken into another room</w:t>
      </w:r>
      <w:r w:rsidRPr="00EF0015" w:rsidR="00683CBC">
        <w:t>,</w:t>
      </w:r>
      <w:r w:rsidRPr="00EF0015" w:rsidR="00B32557">
        <w:t xml:space="preserve"> where he </w:t>
      </w:r>
      <w:r w:rsidRPr="00EF0015" w:rsidR="00683CBC">
        <w:t>could be heard screaming and moaning.</w:t>
      </w:r>
    </w:p>
    <w:p w:rsidRPr="00EF0015" w:rsidR="00B32557" w:rsidP="00203783" w:rsidRDefault="00967459">
      <w:pPr>
        <w:pStyle w:val="JuPara"/>
      </w:pPr>
      <w:r w:rsidRPr="00EF0015">
        <w:fldChar w:fldCharType="begin"/>
      </w:r>
      <w:r w:rsidRPr="00EF0015">
        <w:instrText xml:space="preserve"> SEQ level0 \*arabic </w:instrText>
      </w:r>
      <w:r w:rsidRPr="00EF0015">
        <w:fldChar w:fldCharType="separate"/>
      </w:r>
      <w:r w:rsidR="00524A6D">
        <w:rPr>
          <w:noProof/>
        </w:rPr>
        <w:t>66</w:t>
      </w:r>
      <w:r w:rsidRPr="00EF0015">
        <w:fldChar w:fldCharType="end"/>
      </w:r>
      <w:r w:rsidRPr="00EF0015">
        <w:t>.  </w:t>
      </w:r>
      <w:r w:rsidRPr="00EF0015" w:rsidR="00B97EBE">
        <w:t xml:space="preserve">Late on 15 </w:t>
      </w:r>
      <w:r w:rsidR="003A1ED8">
        <w:t>September</w:t>
      </w:r>
      <w:r w:rsidRPr="00EF0015" w:rsidR="00B97EBE">
        <w:t xml:space="preserve"> 2003 </w:t>
      </w:r>
      <w:r w:rsidRPr="00EF0015" w:rsidR="00B32557">
        <w:t>Brigadier Moore</w:t>
      </w:r>
      <w:r w:rsidRPr="00EF0015" w:rsidR="00B97EBE">
        <w:t>, who</w:t>
      </w:r>
      <w:r w:rsidRPr="00EF0015" w:rsidR="00B32557">
        <w:t xml:space="preserve"> had taken part in the operation in which </w:t>
      </w:r>
      <w:r w:rsidRPr="00EF0015" w:rsidR="00B97EBE">
        <w:t xml:space="preserve">the hotel employees had been </w:t>
      </w:r>
      <w:r w:rsidRPr="00EF0015" w:rsidR="00B32557">
        <w:t>arrested</w:t>
      </w:r>
      <w:r w:rsidRPr="00EF0015" w:rsidR="00B97EBE">
        <w:t xml:space="preserve">, was informed that Baha Mousa was dead and that other detainees had been </w:t>
      </w:r>
      <w:r w:rsidRPr="00EF0015" w:rsidR="00683CBC">
        <w:t>ill-treated</w:t>
      </w:r>
      <w:r w:rsidRPr="00EF0015" w:rsidR="00B97EBE">
        <w:t xml:space="preserve">. </w:t>
      </w:r>
      <w:r w:rsidRPr="00EF0015" w:rsidR="00067E0D">
        <w:t xml:space="preserve">The </w:t>
      </w:r>
      <w:r w:rsidRPr="00EF0015" w:rsidR="002606C8">
        <w:t xml:space="preserve">Special Investigation Branch </w:t>
      </w:r>
      <w:r w:rsidR="00FB0791">
        <w:t>was</w:t>
      </w:r>
      <w:r w:rsidRPr="00EF0015" w:rsidR="00067E0D">
        <w:t xml:space="preserve"> immediately called in to investigate the death. </w:t>
      </w:r>
      <w:r w:rsidRPr="00EF0015" w:rsidR="009554B5">
        <w:t xml:space="preserve">Since local hospitals were on strike, a pathologist was flown in from the United Kingdom. </w:t>
      </w:r>
      <w:r w:rsidRPr="00EF0015" w:rsidR="00862405">
        <w:t xml:space="preserve">Baha Mousa was found to have </w:t>
      </w:r>
      <w:r w:rsidR="003F401F">
        <w:t>ninety-three</w:t>
      </w:r>
      <w:r w:rsidRPr="00EF0015" w:rsidR="00862405">
        <w:t xml:space="preserve"> identifiable injuries on his body and to have died of asphyxiation. </w:t>
      </w:r>
      <w:r w:rsidRPr="00EF0015" w:rsidR="00427F63">
        <w:t>Eight other Iraqis had a</w:t>
      </w:r>
      <w:r w:rsidR="00FB0791">
        <w:t xml:space="preserve">lso been </w:t>
      </w:r>
      <w:r w:rsidRPr="00EF0015" w:rsidR="00427F63">
        <w:t xml:space="preserve">inhumanely treated, with two requiring hospital treatment. </w:t>
      </w:r>
      <w:r w:rsidRPr="00EF0015" w:rsidR="00067E0D">
        <w:t xml:space="preserve">The investigation was concluded in </w:t>
      </w:r>
      <w:r w:rsidRPr="00EF0015" w:rsidR="00B32557">
        <w:t>early April 2004 and the report distributed to the unit</w:t>
      </w:r>
      <w:r w:rsidR="008570E8">
        <w:t>’</w:t>
      </w:r>
      <w:r w:rsidRPr="00EF0015" w:rsidR="00B32557">
        <w:t>s chain of command.</w:t>
      </w:r>
    </w:p>
    <w:p w:rsidRPr="00EF0015" w:rsidR="009554B5" w:rsidP="00203783" w:rsidRDefault="009554B5">
      <w:pPr>
        <w:pStyle w:val="JuPara"/>
      </w:pPr>
      <w:r w:rsidRPr="00EF0015">
        <w:fldChar w:fldCharType="begin"/>
      </w:r>
      <w:r w:rsidRPr="00EF0015">
        <w:instrText xml:space="preserve"> SEQ level0 \*arabic </w:instrText>
      </w:r>
      <w:r w:rsidRPr="00EF0015">
        <w:fldChar w:fldCharType="separate"/>
      </w:r>
      <w:r w:rsidR="00524A6D">
        <w:rPr>
          <w:noProof/>
        </w:rPr>
        <w:t>67</w:t>
      </w:r>
      <w:r w:rsidRPr="00EF0015">
        <w:fldChar w:fldCharType="end"/>
      </w:r>
      <w:r w:rsidRPr="00EF0015">
        <w:t>.  </w:t>
      </w:r>
      <w:r w:rsidRPr="00EF0015" w:rsidR="006D3EA6">
        <w:t>On 14 December 2004 the Divisional Court held that the inquiry into the applicant</w:t>
      </w:r>
      <w:r w:rsidR="008570E8">
        <w:t>’</w:t>
      </w:r>
      <w:r w:rsidRPr="00EF0015" w:rsidR="006D3EA6">
        <w:t>s son</w:t>
      </w:r>
      <w:r w:rsidR="008570E8">
        <w:t>’</w:t>
      </w:r>
      <w:r w:rsidRPr="00EF0015" w:rsidR="006D3EA6">
        <w:t xml:space="preserve">s death had not been effective (see paragraph </w:t>
      </w:r>
      <w:r w:rsidR="0050491E">
        <w:t>77</w:t>
      </w:r>
      <w:r w:rsidRPr="00EF0015" w:rsidR="006D3EA6">
        <w:t xml:space="preserve"> below).</w:t>
      </w:r>
      <w:r w:rsidRPr="00EF0015" w:rsidR="00C60EA0">
        <w:t xml:space="preserve"> </w:t>
      </w:r>
      <w:r w:rsidRPr="00EF0015" w:rsidR="00775563">
        <w:t>O</w:t>
      </w:r>
      <w:r w:rsidRPr="00EF0015" w:rsidR="00C60EA0">
        <w:t xml:space="preserve">n 21 December 2005 </w:t>
      </w:r>
      <w:r w:rsidRPr="00EF0015" w:rsidR="00775563">
        <w:t xml:space="preserve">the Court of Appeal decided to remit the question to the Divisional Court </w:t>
      </w:r>
      <w:r w:rsidR="00FB0791">
        <w:t xml:space="preserve">since there had been further developments </w:t>
      </w:r>
      <w:r w:rsidR="00405921">
        <w:t xml:space="preserve">(see </w:t>
      </w:r>
      <w:r w:rsidR="004B665B">
        <w:t xml:space="preserve">paragraph </w:t>
      </w:r>
      <w:r w:rsidR="0050491E">
        <w:t>81</w:t>
      </w:r>
      <w:r w:rsidRPr="00EF0015" w:rsidR="00C60EA0">
        <w:t xml:space="preserve"> below).</w:t>
      </w:r>
    </w:p>
    <w:p w:rsidRPr="00EF0015" w:rsidR="00C60EA0" w:rsidP="00203783" w:rsidRDefault="00C60EA0">
      <w:pPr>
        <w:pStyle w:val="JuPara"/>
      </w:pPr>
      <w:r w:rsidRPr="00EF0015">
        <w:fldChar w:fldCharType="begin"/>
      </w:r>
      <w:r w:rsidRPr="00EF0015">
        <w:instrText xml:space="preserve"> SEQ level0 \*arabic </w:instrText>
      </w:r>
      <w:r w:rsidRPr="00EF0015">
        <w:fldChar w:fldCharType="separate"/>
      </w:r>
      <w:r w:rsidR="00524A6D">
        <w:rPr>
          <w:noProof/>
        </w:rPr>
        <w:t>68</w:t>
      </w:r>
      <w:r w:rsidRPr="00EF0015">
        <w:fldChar w:fldCharType="end"/>
      </w:r>
      <w:r w:rsidRPr="00EF0015">
        <w:t>.  On 19 July 2005 seven British soldiers were charged with criminal offences in connection with Baha Mousa</w:t>
      </w:r>
      <w:r w:rsidR="008570E8">
        <w:t>’</w:t>
      </w:r>
      <w:r w:rsidRPr="00EF0015">
        <w:t>s death. On 19 September 2006</w:t>
      </w:r>
      <w:r w:rsidRPr="00EF0015" w:rsidR="009C403D">
        <w:t>, at the start of the court</w:t>
      </w:r>
      <w:r w:rsidR="003F401F">
        <w:t xml:space="preserve"> </w:t>
      </w:r>
      <w:r w:rsidRPr="00EF0015" w:rsidR="009C403D">
        <w:t>martial,</w:t>
      </w:r>
      <w:r w:rsidRPr="00EF0015">
        <w:t xml:space="preserve"> one of the soldiers pleaded guilty to the war crime of inhumane treatment</w:t>
      </w:r>
      <w:r w:rsidRPr="00EF0015" w:rsidR="009C403D">
        <w:t xml:space="preserve"> but not guilty to manslaughter.</w:t>
      </w:r>
      <w:r w:rsidR="00405921">
        <w:t xml:space="preserve"> On </w:t>
      </w:r>
      <w:r w:rsidRPr="00EF0015" w:rsidR="0017015A">
        <w:t>14</w:t>
      </w:r>
      <w:r w:rsidR="00FB0791">
        <w:t> </w:t>
      </w:r>
      <w:r w:rsidRPr="00EF0015" w:rsidR="0017015A">
        <w:t>February 2007 charges were dropped against four of the seven soldiers and on 13 March 2007 the other two</w:t>
      </w:r>
      <w:r w:rsidR="004B665B">
        <w:t xml:space="preserve"> soldiers were acquitted. On 30 </w:t>
      </w:r>
      <w:r w:rsidRPr="00EF0015" w:rsidR="0017015A">
        <w:t>April 2007 the soldier convicted o</w:t>
      </w:r>
      <w:r w:rsidR="00FB0791">
        <w:t>f</w:t>
      </w:r>
      <w:r w:rsidRPr="00EF0015" w:rsidR="0017015A">
        <w:t xml:space="preserve"> inhumane treatment was sentenced to </w:t>
      </w:r>
      <w:r w:rsidR="00357D72">
        <w:t>one</w:t>
      </w:r>
      <w:r w:rsidRPr="00EF0015" w:rsidR="0017015A">
        <w:t xml:space="preserve"> year</w:t>
      </w:r>
      <w:r w:rsidR="008570E8">
        <w:t>’</w:t>
      </w:r>
      <w:r w:rsidRPr="00EF0015" w:rsidR="0017015A">
        <w:t>s imprisonment and dism</w:t>
      </w:r>
      <w:r w:rsidR="00FB0791">
        <w:t xml:space="preserve">issal from the </w:t>
      </w:r>
      <w:r w:rsidR="0006212A">
        <w:t>a</w:t>
      </w:r>
      <w:r w:rsidRPr="00EF0015" w:rsidR="0017015A">
        <w:t>rmy.</w:t>
      </w:r>
    </w:p>
    <w:p w:rsidR="00C81668" w:rsidP="00FE18B6" w:rsidRDefault="00B36441">
      <w:pPr>
        <w:pStyle w:val="JuPara"/>
      </w:pPr>
      <w:r w:rsidRPr="00EF0015">
        <w:fldChar w:fldCharType="begin"/>
      </w:r>
      <w:r w:rsidRPr="00EF0015">
        <w:instrText xml:space="preserve"> SEQ level0 \*arabic </w:instrText>
      </w:r>
      <w:r w:rsidRPr="00EF0015">
        <w:fldChar w:fldCharType="separate"/>
      </w:r>
      <w:r w:rsidR="00524A6D">
        <w:rPr>
          <w:noProof/>
        </w:rPr>
        <w:t>69</w:t>
      </w:r>
      <w:r w:rsidRPr="00EF0015">
        <w:fldChar w:fldCharType="end"/>
      </w:r>
      <w:r w:rsidRPr="00EF0015">
        <w:t xml:space="preserve">.  On 25 January 2008 the </w:t>
      </w:r>
      <w:r w:rsidRPr="00EF0015" w:rsidR="00721DCC">
        <w:t xml:space="preserve">Ministry of Defence published a report written by Brigadier Robert Aitken concerning </w:t>
      </w:r>
      <w:r w:rsidRPr="00EF0015" w:rsidR="007D0F05">
        <w:t xml:space="preserve">six cases of alleged </w:t>
      </w:r>
      <w:r w:rsidRPr="00EF0015" w:rsidR="00721DCC">
        <w:t xml:space="preserve">deliberate </w:t>
      </w:r>
      <w:r w:rsidRPr="00EF0015" w:rsidR="00F73A78">
        <w:t>abuse and killing of Iraqi civilians</w:t>
      </w:r>
      <w:r w:rsidRPr="00EF0015" w:rsidR="007D0F05">
        <w:t>, including the deaths of the fifth and sixth applicants</w:t>
      </w:r>
      <w:r w:rsidR="008570E8">
        <w:t>’</w:t>
      </w:r>
      <w:r w:rsidR="00FB0791">
        <w:t xml:space="preserve"> sons</w:t>
      </w:r>
      <w:r w:rsidRPr="00EF0015" w:rsidR="00F73A78">
        <w:t xml:space="preserve"> (“the Aitken Report”</w:t>
      </w:r>
      <w:r w:rsidRPr="00EF0015" w:rsidR="006E3F3B">
        <w:t>).</w:t>
      </w:r>
    </w:p>
    <w:p w:rsidR="00C81668" w:rsidP="00B36441" w:rsidRDefault="0035668D">
      <w:pPr>
        <w:pStyle w:val="JuPara"/>
      </w:pPr>
      <w:r w:rsidRPr="00EF0015">
        <w:fldChar w:fldCharType="begin"/>
      </w:r>
      <w:r w:rsidRPr="00EF0015">
        <w:instrText xml:space="preserve"> SEQ level0 \*arabic </w:instrText>
      </w:r>
      <w:r w:rsidRPr="00EF0015">
        <w:fldChar w:fldCharType="separate"/>
      </w:r>
      <w:r w:rsidR="00524A6D">
        <w:rPr>
          <w:noProof/>
        </w:rPr>
        <w:t>70</w:t>
      </w:r>
      <w:r w:rsidRPr="00EF0015">
        <w:fldChar w:fldCharType="end"/>
      </w:r>
      <w:r w:rsidRPr="00EF0015">
        <w:t>.  The applicant brought civil proceedings against the Ministry of Defence, which concluded in July 2008 by the formal and public acknowledgement of liability and the payment of GBP 575,000 in compensation.</w:t>
      </w:r>
    </w:p>
    <w:p w:rsidR="00C81668" w:rsidP="00B36441" w:rsidRDefault="00B36441">
      <w:pPr>
        <w:pStyle w:val="JuPara"/>
      </w:pPr>
      <w:r w:rsidRPr="00EF0015">
        <w:fldChar w:fldCharType="begin"/>
      </w:r>
      <w:r w:rsidRPr="00EF0015">
        <w:instrText xml:space="preserve"> SEQ level0 \*arabic </w:instrText>
      </w:r>
      <w:r w:rsidRPr="00EF0015">
        <w:fldChar w:fldCharType="separate"/>
      </w:r>
      <w:r w:rsidR="00524A6D">
        <w:rPr>
          <w:noProof/>
        </w:rPr>
        <w:t>71</w:t>
      </w:r>
      <w:r w:rsidRPr="00EF0015">
        <w:fldChar w:fldCharType="end"/>
      </w:r>
      <w:r w:rsidRPr="00EF0015">
        <w:t>.  In a written statement given in Parliament on 14 May 2008</w:t>
      </w:r>
      <w:r w:rsidR="00892347">
        <w:t>,</w:t>
      </w:r>
      <w:r w:rsidRPr="00EF0015">
        <w:t xml:space="preserve"> the Secretary of State for Defence announced that there would be a public inquiry into the death of Baha Mousa. The </w:t>
      </w:r>
      <w:r w:rsidR="00892347">
        <w:t>i</w:t>
      </w:r>
      <w:r w:rsidRPr="00EF0015">
        <w:t>nquiry is chaired by a retired Court of Appeal judge, with the following terms of reference:</w:t>
      </w:r>
    </w:p>
    <w:p w:rsidR="00C81668" w:rsidP="00B36441" w:rsidRDefault="00B36441">
      <w:pPr>
        <w:pStyle w:val="JuQuot"/>
      </w:pPr>
      <w:r w:rsidRPr="00EF0015">
        <w:t>“To investigate and report on the circumstances surrounding the death of Baha Mousa and the treatment of those detained with him, taking account of the investigations which have already taken place, in particular where responsibility lay for approving the practice of conditioning deta</w:t>
      </w:r>
      <w:r w:rsidR="00370C2D">
        <w:t xml:space="preserve">inees by any members of the </w:t>
      </w:r>
      <w:r w:rsidRPr="00C976AF" w:rsidR="00370C2D">
        <w:t>1st</w:t>
      </w:r>
      <w:r w:rsidR="00370C2D">
        <w:t> </w:t>
      </w:r>
      <w:r w:rsidRPr="00EF0015">
        <w:t>Battalion, The Queen</w:t>
      </w:r>
      <w:r w:rsidR="008570E8">
        <w:t>’</w:t>
      </w:r>
      <w:r w:rsidRPr="00EF0015">
        <w:t>s Lancashire Regiment in Iraq in 2003, and to make recommendations.”</w:t>
      </w:r>
    </w:p>
    <w:p w:rsidRPr="00EF0015" w:rsidR="00150924" w:rsidP="00150924" w:rsidRDefault="00150924">
      <w:pPr>
        <w:pStyle w:val="JuPara"/>
      </w:pPr>
      <w:r>
        <w:t xml:space="preserve">At the time of adoption of the present judgment, the </w:t>
      </w:r>
      <w:r w:rsidR="00892347">
        <w:t>i</w:t>
      </w:r>
      <w:r>
        <w:t>nquiry had concluded the oral hearings but had not yet delivered its report.</w:t>
      </w:r>
    </w:p>
    <w:p w:rsidRPr="00EF0015" w:rsidR="00967459" w:rsidP="00403BBE" w:rsidRDefault="00405921">
      <w:pPr>
        <w:pStyle w:val="JuHAA"/>
      </w:pPr>
      <w:bookmarkStart w:name="_Toc289868958" w:id="71"/>
      <w:bookmarkStart w:name="_Toc297210654" w:id="72"/>
      <w:r>
        <w:t>F.  </w:t>
      </w:r>
      <w:r w:rsidRPr="00EF0015" w:rsidR="00967459">
        <w:t>The domestic proceedings</w:t>
      </w:r>
      <w:r w:rsidR="00E3413D">
        <w:t xml:space="preserve"> under the Human Rights Act</w:t>
      </w:r>
      <w:bookmarkEnd w:id="71"/>
      <w:bookmarkEnd w:id="72"/>
    </w:p>
    <w:p w:rsidRPr="00EF0015" w:rsidR="009E33C4" w:rsidP="009E33C4" w:rsidRDefault="00405921">
      <w:pPr>
        <w:pStyle w:val="JuH1"/>
      </w:pPr>
      <w:bookmarkStart w:name="_Toc275785578" w:id="73"/>
      <w:bookmarkStart w:name="_Toc289765870" w:id="74"/>
      <w:bookmarkStart w:name="_Toc289868959" w:id="75"/>
      <w:bookmarkStart w:name="_Toc297210655" w:id="76"/>
      <w:r>
        <w:t>1.  </w:t>
      </w:r>
      <w:r w:rsidRPr="00EF0015" w:rsidR="009E33C4">
        <w:t>The Divisional Court</w:t>
      </w:r>
      <w:bookmarkEnd w:id="73"/>
      <w:bookmarkEnd w:id="74"/>
      <w:bookmarkEnd w:id="75"/>
      <w:bookmarkEnd w:id="76"/>
    </w:p>
    <w:p w:rsidR="00C81668" w:rsidP="004278FB" w:rsidRDefault="009E33C4">
      <w:pPr>
        <w:pStyle w:val="JuPara"/>
      </w:pPr>
      <w:r w:rsidRPr="00EF0015">
        <w:fldChar w:fldCharType="begin"/>
      </w:r>
      <w:r w:rsidRPr="00EF0015">
        <w:instrText xml:space="preserve"> SEQ level0 \*arabic </w:instrText>
      </w:r>
      <w:r w:rsidRPr="00EF0015">
        <w:fldChar w:fldCharType="separate"/>
      </w:r>
      <w:r w:rsidR="00524A6D">
        <w:rPr>
          <w:noProof/>
        </w:rPr>
        <w:t>72</w:t>
      </w:r>
      <w:r w:rsidRPr="00EF0015">
        <w:fldChar w:fldCharType="end"/>
      </w:r>
      <w:r w:rsidRPr="00EF0015">
        <w:t>.  </w:t>
      </w:r>
      <w:r w:rsidRPr="00EF0015" w:rsidR="004278FB">
        <w:t xml:space="preserve">On 26 March 2004 the Secretary of State for </w:t>
      </w:r>
      <w:r w:rsidR="00E3413D">
        <w:t>D</w:t>
      </w:r>
      <w:r w:rsidRPr="00EF0015" w:rsidR="004278FB">
        <w:t xml:space="preserve">efence decided, in connection with the deaths of </w:t>
      </w:r>
      <w:r w:rsidR="00911BA8">
        <w:t>thirteen</w:t>
      </w:r>
      <w:r w:rsidRPr="00EF0015" w:rsidR="004278FB">
        <w:t xml:space="preserve"> Iraqi civilians including the </w:t>
      </w:r>
      <w:r w:rsidRPr="00EF0015" w:rsidR="00434670">
        <w:t>relatives of the six applicants,</w:t>
      </w:r>
      <w:r w:rsidRPr="00EF0015" w:rsidR="004278FB">
        <w:t xml:space="preserve"> (1) not to conduct independent</w:t>
      </w:r>
      <w:r w:rsidR="00C976AF">
        <w:t xml:space="preserve"> inquiries into the deaths; </w:t>
      </w:r>
      <w:r w:rsidR="00911BA8">
        <w:t xml:space="preserve">(2) </w:t>
      </w:r>
      <w:r w:rsidRPr="00EF0015" w:rsidR="004278FB">
        <w:t xml:space="preserve">not to accept liability for the deaths; </w:t>
      </w:r>
      <w:r w:rsidR="001D3360">
        <w:t xml:space="preserve">and </w:t>
      </w:r>
      <w:r w:rsidRPr="00EF0015" w:rsidR="004278FB">
        <w:t>(3) not to pay just satisfaction.</w:t>
      </w:r>
    </w:p>
    <w:p w:rsidRPr="00EF0015" w:rsidR="004278FB" w:rsidP="004278FB" w:rsidRDefault="003A26B9">
      <w:pPr>
        <w:pStyle w:val="JuPara"/>
      </w:pPr>
      <w:r w:rsidRPr="00EF0015">
        <w:fldChar w:fldCharType="begin"/>
      </w:r>
      <w:r w:rsidRPr="00EF0015">
        <w:instrText xml:space="preserve"> SEQ level0 \*arabic </w:instrText>
      </w:r>
      <w:r w:rsidRPr="00EF0015">
        <w:fldChar w:fldCharType="separate"/>
      </w:r>
      <w:r w:rsidR="00524A6D">
        <w:rPr>
          <w:noProof/>
        </w:rPr>
        <w:t>73</w:t>
      </w:r>
      <w:r w:rsidRPr="00EF0015">
        <w:fldChar w:fldCharType="end"/>
      </w:r>
      <w:r w:rsidRPr="00EF0015">
        <w:t>.  </w:t>
      </w:r>
      <w:r w:rsidRPr="00EF0015" w:rsidR="004278FB">
        <w:t xml:space="preserve">The </w:t>
      </w:r>
      <w:r w:rsidR="00911BA8">
        <w:t>thirteen</w:t>
      </w:r>
      <w:r w:rsidRPr="00EF0015" w:rsidR="00031BAC">
        <w:t xml:space="preserve"> claimants</w:t>
      </w:r>
      <w:r w:rsidRPr="00EF0015" w:rsidR="004278FB">
        <w:t xml:space="preserve"> applied for judicial review of these decisions, seeking declarations that both the procedural and the substantive obligations of Article 2 (and, in the case of the sixth applicant</w:t>
      </w:r>
      <w:r w:rsidR="00643211">
        <w:t>,</w:t>
      </w:r>
      <w:r w:rsidRPr="00EF0015" w:rsidR="004278FB">
        <w:t xml:space="preserve"> Article 3</w:t>
      </w:r>
      <w:r w:rsidR="00643211">
        <w:t>)</w:t>
      </w:r>
      <w:r w:rsidRPr="00EF0015" w:rsidR="004278FB">
        <w:t xml:space="preserve"> of the Convention had been violated as a result of the deaths and the Secretary of State</w:t>
      </w:r>
      <w:r w:rsidR="008570E8">
        <w:t>’</w:t>
      </w:r>
      <w:r w:rsidRPr="00EF0015" w:rsidR="004278FB">
        <w:t>s refusal to order any investigation.</w:t>
      </w:r>
      <w:r w:rsidRPr="00EF0015" w:rsidR="00031BAC">
        <w:t xml:space="preserve"> On 11 May 2004 a judge of the </w:t>
      </w:r>
      <w:r w:rsidRPr="00EF0015" w:rsidR="006D3EA6">
        <w:t>D</w:t>
      </w:r>
      <w:r w:rsidRPr="00EF0015" w:rsidR="00031BAC">
        <w:t xml:space="preserve">ivisional Court directed that six test cases would proceed to hearing (including the cases of the first, second, third, fourth and sixth applicants) and that the other seven cases </w:t>
      </w:r>
      <w:r w:rsidRPr="00EF0015" w:rsidR="00434670">
        <w:t xml:space="preserve">(including that of the fifth applicant) </w:t>
      </w:r>
      <w:r w:rsidRPr="00EF0015" w:rsidR="00031BAC">
        <w:t>would be stayed pending the resolution of the preliminary issues.</w:t>
      </w:r>
    </w:p>
    <w:p w:rsidRPr="00EF0015" w:rsidR="00FC35DE" w:rsidP="004278FB" w:rsidRDefault="003A26B9">
      <w:pPr>
        <w:pStyle w:val="JuPara"/>
      </w:pPr>
      <w:r w:rsidRPr="00EF0015">
        <w:fldChar w:fldCharType="begin"/>
      </w:r>
      <w:r w:rsidRPr="00EF0015">
        <w:instrText xml:space="preserve"> SEQ level0 \*arabic </w:instrText>
      </w:r>
      <w:r w:rsidRPr="00EF0015">
        <w:fldChar w:fldCharType="separate"/>
      </w:r>
      <w:r w:rsidR="00524A6D">
        <w:rPr>
          <w:noProof/>
        </w:rPr>
        <w:t>74</w:t>
      </w:r>
      <w:r w:rsidRPr="00EF0015">
        <w:fldChar w:fldCharType="end"/>
      </w:r>
      <w:r w:rsidRPr="00EF0015">
        <w:t>.  </w:t>
      </w:r>
      <w:r w:rsidRPr="00EF0015" w:rsidR="004278FB">
        <w:t xml:space="preserve">On </w:t>
      </w:r>
      <w:r w:rsidRPr="00EF0015" w:rsidR="006D3EA6">
        <w:t xml:space="preserve">14 </w:t>
      </w:r>
      <w:r w:rsidRPr="00EF0015" w:rsidR="004278FB">
        <w:t xml:space="preserve">December 2004 the Divisional Court rejected the claims of the first </w:t>
      </w:r>
      <w:r w:rsidR="003E1F71">
        <w:t>four</w:t>
      </w:r>
      <w:r w:rsidRPr="00EF0015" w:rsidR="004278FB">
        <w:t xml:space="preserve"> applicants but accepted the claim</w:t>
      </w:r>
      <w:r w:rsidR="00C976AF">
        <w:t xml:space="preserve"> of the sixth applicant ([2004] </w:t>
      </w:r>
      <w:r w:rsidRPr="00EF0015" w:rsidR="004278FB">
        <w:t xml:space="preserve">EWHC 2911 (Admin)). </w:t>
      </w:r>
      <w:r w:rsidRPr="00EF0015" w:rsidR="00396FCD">
        <w:t xml:space="preserve">Having reviewed </w:t>
      </w:r>
      <w:r w:rsidRPr="00EF0015" w:rsidR="00F947D2">
        <w:t>this</w:t>
      </w:r>
      <w:r w:rsidRPr="00EF0015" w:rsidR="00396FCD">
        <w:t xml:space="preserve"> Court</w:t>
      </w:r>
      <w:r w:rsidR="008570E8">
        <w:t>’</w:t>
      </w:r>
      <w:r w:rsidRPr="00EF0015" w:rsidR="00396FCD">
        <w:t xml:space="preserve">s case-law, </w:t>
      </w:r>
      <w:r w:rsidR="00DE504F">
        <w:t xml:space="preserve">in particular </w:t>
      </w:r>
      <w:r w:rsidR="00DE504F">
        <w:rPr>
          <w:i/>
        </w:rPr>
        <w:t xml:space="preserve">Banković and Others v. Belgium and Others </w:t>
      </w:r>
      <w:r w:rsidR="00911BA8">
        <w:t>(</w:t>
      </w:r>
      <w:r w:rsidR="00C66D63">
        <w:t>(dec.)</w:t>
      </w:r>
      <w:r w:rsidR="00CF4AF1">
        <w:t xml:space="preserve"> [GC]</w:t>
      </w:r>
      <w:r w:rsidR="00C66D63">
        <w:t>, no. </w:t>
      </w:r>
      <w:r w:rsidRPr="00DE504F" w:rsidR="00DE504F">
        <w:t>52207/99</w:t>
      </w:r>
      <w:r w:rsidR="00DE504F">
        <w:t xml:space="preserve">, ECHR </w:t>
      </w:r>
      <w:r w:rsidRPr="00DE504F" w:rsidR="00DE504F">
        <w:t>2001-XII</w:t>
      </w:r>
      <w:r w:rsidR="00911BA8">
        <w:t>)</w:t>
      </w:r>
      <w:r w:rsidR="00DE504F">
        <w:t xml:space="preserve">, </w:t>
      </w:r>
      <w:r w:rsidRPr="00EF0015" w:rsidR="00396FCD">
        <w:t>i</w:t>
      </w:r>
      <w:r w:rsidRPr="00EF0015" w:rsidR="004278FB">
        <w:t>t held that</w:t>
      </w:r>
      <w:r w:rsidR="000907BE">
        <w:t>,</w:t>
      </w:r>
      <w:r w:rsidRPr="00EF0015" w:rsidR="004278FB">
        <w:t xml:space="preserve"> essential</w:t>
      </w:r>
      <w:r w:rsidR="0050491E">
        <w:t>ly</w:t>
      </w:r>
      <w:r w:rsidR="000907BE">
        <w:t>,</w:t>
      </w:r>
      <w:r w:rsidRPr="00EF0015" w:rsidR="004278FB">
        <w:t xml:space="preserve"> jurisdiction under Article 1 of the Convention was territorial, </w:t>
      </w:r>
      <w:r w:rsidRPr="00EF0015" w:rsidR="007B337B">
        <w:t xml:space="preserve">although </w:t>
      </w:r>
      <w:r w:rsidRPr="00EF0015" w:rsidR="004278FB">
        <w:t>there were exceptions</w:t>
      </w:r>
      <w:r w:rsidRPr="00EF0015" w:rsidR="00396FCD">
        <w:t>.</w:t>
      </w:r>
      <w:r w:rsidRPr="00EF0015" w:rsidR="004278FB">
        <w:t xml:space="preserve"> </w:t>
      </w:r>
      <w:r w:rsidRPr="00EF0015" w:rsidR="00396FCD">
        <w:t>One</w:t>
      </w:r>
      <w:r w:rsidR="00405921">
        <w:t xml:space="preserve"> </w:t>
      </w:r>
      <w:r w:rsidRPr="00EF0015" w:rsidR="004278FB">
        <w:t xml:space="preserve">exception applied where a </w:t>
      </w:r>
      <w:r w:rsidRPr="00EF0015" w:rsidR="00396FCD">
        <w:t>State P</w:t>
      </w:r>
      <w:r w:rsidRPr="00EF0015" w:rsidR="004278FB">
        <w:t xml:space="preserve">arty had effective control of an area </w:t>
      </w:r>
      <w:r w:rsidRPr="00EF0015" w:rsidR="00396FCD">
        <w:t xml:space="preserve">outside its own territory. This basis of jurisdiction applied </w:t>
      </w:r>
      <w:r w:rsidRPr="00EF0015" w:rsidR="007B337B">
        <w:t xml:space="preserve">only </w:t>
      </w:r>
      <w:r w:rsidRPr="00EF0015" w:rsidR="00396FCD">
        <w:t xml:space="preserve">where the territory of one Contracting State was controlled by another Contracting State, since the Convention </w:t>
      </w:r>
      <w:r w:rsidRPr="00EF0015" w:rsidR="007B337B">
        <w:t>operated</w:t>
      </w:r>
      <w:r w:rsidRPr="00EF0015" w:rsidR="00396FCD">
        <w:t xml:space="preserve"> essentially within its own regional sphere and permitted no vacuum within that space. </w:t>
      </w:r>
      <w:r w:rsidRPr="00EF0015" w:rsidR="00FC35DE">
        <w:t>This basis of jurisdiction could not, therefore, apply in Iraq.</w:t>
      </w:r>
    </w:p>
    <w:p w:rsidR="00C81668" w:rsidP="004278FB" w:rsidRDefault="00FC35DE">
      <w:pPr>
        <w:pStyle w:val="JuPara"/>
      </w:pPr>
      <w:r w:rsidRPr="00EF0015">
        <w:fldChar w:fldCharType="begin"/>
      </w:r>
      <w:r w:rsidRPr="00EF0015">
        <w:instrText xml:space="preserve"> SEQ level0 \*arabic </w:instrText>
      </w:r>
      <w:r w:rsidRPr="00EF0015">
        <w:fldChar w:fldCharType="separate"/>
      </w:r>
      <w:r w:rsidR="00524A6D">
        <w:rPr>
          <w:noProof/>
        </w:rPr>
        <w:t>75</w:t>
      </w:r>
      <w:r w:rsidRPr="00EF0015">
        <w:fldChar w:fldCharType="end"/>
      </w:r>
      <w:r w:rsidRPr="00EF0015">
        <w:t>.  </w:t>
      </w:r>
      <w:r w:rsidRPr="00EF0015" w:rsidR="004278FB">
        <w:t>There was an additional exception, which arose from the exercise of authority by a Contracting State</w:t>
      </w:r>
      <w:r w:rsidR="008570E8">
        <w:t>’</w:t>
      </w:r>
      <w:r w:rsidRPr="00EF0015" w:rsidR="004278FB">
        <w:t>s agents anywhere in the world, but this was limited to specific cases recognised by international law</w:t>
      </w:r>
      <w:r w:rsidRPr="00EF0015" w:rsidR="00B752E1">
        <w:t xml:space="preserve"> and identified piecemeal in the </w:t>
      </w:r>
      <w:r w:rsidRPr="00EF0015" w:rsidR="007B337B">
        <w:t>Court</w:t>
      </w:r>
      <w:r w:rsidR="008570E8">
        <w:t>’</w:t>
      </w:r>
      <w:r w:rsidRPr="00EF0015" w:rsidR="007B337B">
        <w:t>s case-law</w:t>
      </w:r>
      <w:r w:rsidRPr="00EF0015" w:rsidR="00B752E1">
        <w:t xml:space="preserve">. </w:t>
      </w:r>
      <w:r w:rsidRPr="00EF0015" w:rsidR="00FA5780">
        <w:t xml:space="preserve">No general rationale in respect of this group of exceptions was discernable from the </w:t>
      </w:r>
      <w:r w:rsidR="00E3413D">
        <w:t>Court</w:t>
      </w:r>
      <w:r w:rsidR="008570E8">
        <w:t>’</w:t>
      </w:r>
      <w:r w:rsidR="00E3413D">
        <w:t xml:space="preserve">s </w:t>
      </w:r>
      <w:r w:rsidRPr="00EF0015" w:rsidR="00FA5780">
        <w:t>case-law</w:t>
      </w:r>
      <w:r w:rsidRPr="00EF0015" w:rsidR="00E52A5D">
        <w:t>. However,</w:t>
      </w:r>
      <w:r w:rsidRPr="00EF0015" w:rsidR="00FA5780">
        <w:t xml:space="preserve"> the instances recognised so far arose out of the exercise of State authority in or from a location which had a discrete quasi-territorial quality, or where the State </w:t>
      </w:r>
      <w:r w:rsidRPr="00EF0015" w:rsidR="00E52A5D">
        <w:t>agent</w:t>
      </w:r>
      <w:r w:rsidR="008570E8">
        <w:t>’</w:t>
      </w:r>
      <w:r w:rsidRPr="00EF0015" w:rsidR="00E52A5D">
        <w:t xml:space="preserve">s presence in the foreign State was consented to by that State and protected by international law, such as </w:t>
      </w:r>
      <w:r w:rsidRPr="00EF0015" w:rsidR="004278FB">
        <w:t>embassies, consulates, vessels and aircraft</w:t>
      </w:r>
      <w:r w:rsidRPr="00EF0015" w:rsidR="00E52A5D">
        <w:t xml:space="preserve"> registered in the respondent State</w:t>
      </w:r>
      <w:r w:rsidRPr="00EF0015" w:rsidR="004278FB">
        <w:t xml:space="preserve">. </w:t>
      </w:r>
      <w:r w:rsidRPr="00EF0015" w:rsidR="008A2ABC">
        <w:t>A British military prison, operating in Iraq with the consent of the Iraqi sovereign authorities and containing arrested suspects, could be covered by this narrow exception. It</w:t>
      </w:r>
      <w:r w:rsidR="00405921">
        <w:t xml:space="preserve"> </w:t>
      </w:r>
      <w:r w:rsidRPr="00EF0015" w:rsidR="008A2ABC">
        <w:t>was arguable that</w:t>
      </w:r>
      <w:r w:rsidRPr="00EF0015" w:rsidR="008A2ABC">
        <w:rPr>
          <w:i/>
          <w:lang w:eastAsia="en-US"/>
        </w:rPr>
        <w:t xml:space="preserve"> Öcalan v. Turkey </w:t>
      </w:r>
      <w:r w:rsidR="00911BA8">
        <w:rPr>
          <w:lang w:eastAsia="en-US"/>
        </w:rPr>
        <w:t>(</w:t>
      </w:r>
      <w:r w:rsidRPr="00EF0015" w:rsidR="008A2ABC">
        <w:rPr>
          <w:lang w:eastAsia="en-US"/>
        </w:rPr>
        <w:t>no. 46221/99, 12 March 2003</w:t>
      </w:r>
      <w:r w:rsidR="00911BA8">
        <w:rPr>
          <w:lang w:eastAsia="en-US"/>
        </w:rPr>
        <w:t>)</w:t>
      </w:r>
      <w:r w:rsidRPr="00EF0015" w:rsidR="008A2ABC">
        <w:rPr>
          <w:lang w:eastAsia="en-US"/>
        </w:rPr>
        <w:t>, also</w:t>
      </w:r>
      <w:r w:rsidRPr="00EF0015" w:rsidR="008A2ABC">
        <w:t xml:space="preserve"> fell into this category, since the applicant was arrested in a Turkish aircraft and taken immediately to Turkey. However, the Divisional Court did not consider that the Chamber judgment in </w:t>
      </w:r>
      <w:r w:rsidRPr="00EF0015" w:rsidR="008A2ABC">
        <w:rPr>
          <w:i/>
        </w:rPr>
        <w:t>Öcalan</w:t>
      </w:r>
      <w:r w:rsidRPr="00EF0015" w:rsidR="008A2ABC">
        <w:t xml:space="preserve"> should be treated as “illuminating”, since </w:t>
      </w:r>
      <w:r w:rsidRPr="00EF0015" w:rsidR="001F47EF">
        <w:t>T</w:t>
      </w:r>
      <w:r w:rsidRPr="00EF0015" w:rsidR="008A2ABC">
        <w:t>urkey had not raised any objection based on lack of jurisdiction at the admissibility stage.</w:t>
      </w:r>
    </w:p>
    <w:p w:rsidR="00C81668" w:rsidP="004278FB" w:rsidRDefault="000700DF">
      <w:pPr>
        <w:pStyle w:val="JuPara"/>
      </w:pPr>
      <w:r w:rsidRPr="00EF0015">
        <w:fldChar w:fldCharType="begin"/>
      </w:r>
      <w:r w:rsidRPr="00EF0015">
        <w:instrText xml:space="preserve"> SEQ level0 \*arabic </w:instrText>
      </w:r>
      <w:r w:rsidRPr="00EF0015">
        <w:fldChar w:fldCharType="separate"/>
      </w:r>
      <w:r w:rsidR="00524A6D">
        <w:rPr>
          <w:noProof/>
        </w:rPr>
        <w:t>76</w:t>
      </w:r>
      <w:r w:rsidRPr="00EF0015">
        <w:fldChar w:fldCharType="end"/>
      </w:r>
      <w:r w:rsidRPr="00EF0015">
        <w:t>.  It followed that the d</w:t>
      </w:r>
      <w:r w:rsidRPr="00EF0015" w:rsidR="004278FB">
        <w:t xml:space="preserve">eaths as a result of military operations in the field, such as those complained of by the first </w:t>
      </w:r>
      <w:r w:rsidR="003E1F71">
        <w:t>four</w:t>
      </w:r>
      <w:r w:rsidRPr="00EF0015" w:rsidR="004278FB">
        <w:t xml:space="preserve"> applicants, did not fall within </w:t>
      </w:r>
      <w:r w:rsidRPr="00EF0015">
        <w:t>the United Kingdom</w:t>
      </w:r>
      <w:r w:rsidR="008570E8">
        <w:t>’</w:t>
      </w:r>
      <w:r w:rsidRPr="00EF0015">
        <w:t>s jurisdiction under Article 1 of the Convention, but that the death of the six</w:t>
      </w:r>
      <w:r w:rsidR="00584DA3">
        <w:t>th</w:t>
      </w:r>
      <w:r w:rsidRPr="00EF0015">
        <w:t xml:space="preserve"> applicant</w:t>
      </w:r>
      <w:r w:rsidR="008570E8">
        <w:t>’</w:t>
      </w:r>
      <w:r w:rsidRPr="00EF0015">
        <w:t>s son</w:t>
      </w:r>
      <w:r w:rsidRPr="00EF0015" w:rsidR="00585819">
        <w:t>, in a British military prison,</w:t>
      </w:r>
      <w:r w:rsidRPr="00EF0015">
        <w:t xml:space="preserve"> did</w:t>
      </w:r>
      <w:r w:rsidR="00405921">
        <w:t xml:space="preserve">. The </w:t>
      </w:r>
      <w:r w:rsidRPr="00EF0015" w:rsidR="004278FB">
        <w:t>Divisional Court further held that the scope of the Human Rights Act 1998 was identical to that of the Convention for these purposes</w:t>
      </w:r>
      <w:r w:rsidRPr="00EF0015">
        <w:t>.</w:t>
      </w:r>
    </w:p>
    <w:p w:rsidRPr="00EF0015" w:rsidR="00FC4F99" w:rsidP="004278FB" w:rsidRDefault="00841193">
      <w:pPr>
        <w:pStyle w:val="JuPara"/>
      </w:pPr>
      <w:r w:rsidRPr="00EF0015">
        <w:fldChar w:fldCharType="begin"/>
      </w:r>
      <w:r w:rsidRPr="00EF0015">
        <w:instrText xml:space="preserve"> SEQ level0 \*arabic </w:instrText>
      </w:r>
      <w:r w:rsidRPr="00EF0015">
        <w:fldChar w:fldCharType="separate"/>
      </w:r>
      <w:r w:rsidR="00524A6D">
        <w:rPr>
          <w:noProof/>
        </w:rPr>
        <w:t>77</w:t>
      </w:r>
      <w:r w:rsidRPr="00EF0015">
        <w:fldChar w:fldCharType="end"/>
      </w:r>
      <w:r w:rsidRPr="00EF0015">
        <w:t>.  </w:t>
      </w:r>
      <w:r w:rsidRPr="00EF0015" w:rsidR="00143213">
        <w:t xml:space="preserve">The </w:t>
      </w:r>
      <w:r w:rsidR="0046530F">
        <w:t>Divisional C</w:t>
      </w:r>
      <w:r w:rsidRPr="00EF0015" w:rsidR="00143213">
        <w:t xml:space="preserve">ourt </w:t>
      </w:r>
      <w:r w:rsidRPr="00EF0015" w:rsidR="00A6464F">
        <w:t>found that there had been a breach of the investigative duty under Articles 2 and 3 of the Convention in respect of the sixth applicant</w:t>
      </w:r>
      <w:r w:rsidR="008570E8">
        <w:t>’</w:t>
      </w:r>
      <w:r w:rsidRPr="00EF0015" w:rsidR="00A6464F">
        <w:t xml:space="preserve">s son since, by July 2004, some </w:t>
      </w:r>
      <w:r w:rsidR="0046530F">
        <w:t>ten</w:t>
      </w:r>
      <w:r w:rsidRPr="00EF0015" w:rsidR="00A6464F">
        <w:t xml:space="preserve"> months after the killing, the results of the investigation were unknown</w:t>
      </w:r>
      <w:r w:rsidRPr="00EF0015" w:rsidR="00FC4F99">
        <w:t xml:space="preserve"> and inconclusive. The judge commented that:</w:t>
      </w:r>
    </w:p>
    <w:p w:rsidRPr="00EF0015" w:rsidR="00FC4F99" w:rsidP="005C6321" w:rsidRDefault="00FC4F99">
      <w:pPr>
        <w:pStyle w:val="JuQuot"/>
      </w:pPr>
      <w:r w:rsidRPr="00EF0015">
        <w:t>“</w:t>
      </w:r>
      <w:r w:rsidRPr="00EF0015" w:rsidR="00841193">
        <w:t>329.</w:t>
      </w:r>
      <w:r w:rsidR="00C31D73">
        <w:t>  </w:t>
      </w:r>
      <w:r w:rsidR="00E07594">
        <w:t>...</w:t>
      </w:r>
      <w:r w:rsidRPr="00EF0015" w:rsidR="00841193">
        <w:t xml:space="preserve"> Although there has been evidence of a rather general nature about the difficulties of conducting investigations in Iraq at that time – about basic security problems involved in going to Iraqi homes to interview people, about lack of interpreters, cultural differences, logistic problems, lack of records, and so forth – without any further understanding of the outcome of the </w:t>
      </w:r>
      <w:r w:rsidRPr="00EF0015" w:rsidR="00E506FC">
        <w:t>[Special Investigation Branch</w:t>
      </w:r>
      <w:r w:rsidR="008570E8">
        <w:t>’</w:t>
      </w:r>
      <w:r w:rsidRPr="00EF0015" w:rsidR="00841193">
        <w:t>s</w:t>
      </w:r>
      <w:r w:rsidRPr="00EF0015" w:rsidR="00E506FC">
        <w:t>]</w:t>
      </w:r>
      <w:r w:rsidRPr="00EF0015" w:rsidR="00841193">
        <w:t xml:space="preserve"> report, it is impossible to understand what, if any, relevance any of this has to a death which occurred not in the highways or byways of Iraq, but in a military prison under the control of British forces. </w:t>
      </w:r>
      <w:r w:rsidR="00E07594">
        <w:t>...</w:t>
      </w:r>
    </w:p>
    <w:p w:rsidR="00C81668" w:rsidP="005C6321" w:rsidRDefault="00841193">
      <w:pPr>
        <w:pStyle w:val="JuQuot"/>
      </w:pPr>
      <w:r w:rsidRPr="00EF0015">
        <w:t>330.</w:t>
      </w:r>
      <w:r w:rsidR="00C31D73">
        <w:t>  </w:t>
      </w:r>
      <w:r w:rsidRPr="00EF0015">
        <w:t xml:space="preserve">Although Captain Logan says that identity parades were logistically very difficult, detainees were moved to a different location, and some military witnesses had returned to the UK, she also says that these problems only delayed the process but did not prevent it taking place </w:t>
      </w:r>
      <w:r w:rsidR="008570E8">
        <w:t>‘</w:t>
      </w:r>
      <w:r w:rsidRPr="00EF0015" w:rsidR="00143213">
        <w:t>satisfactorily</w:t>
      </w:r>
      <w:r w:rsidR="008570E8">
        <w:t>’</w:t>
      </w:r>
      <w:r w:rsidRPr="00EF0015">
        <w:t xml:space="preserve"> </w:t>
      </w:r>
      <w:r w:rsidR="00E07594">
        <w:t>..</w:t>
      </w:r>
      <w:r w:rsidRPr="00EF0015">
        <w:t xml:space="preserve">. There is nothing else before us to explain the dilatoriness of the investigative process: which might possibly be compared with the progress, and open public scrutiny, which we have noted seems to have been achieved with other investigations arising out of possible offences in prisons under the control of US forces. As for the </w:t>
      </w:r>
      <w:r w:rsidRPr="00EF0015" w:rsidR="00E506FC">
        <w:t>[Special Investigation Branch</w:t>
      </w:r>
      <w:r w:rsidR="008570E8">
        <w:t>’</w:t>
      </w:r>
      <w:r w:rsidRPr="00EF0015" w:rsidR="00E506FC">
        <w:t xml:space="preserve">s] </w:t>
      </w:r>
      <w:r w:rsidRPr="00EF0015">
        <w:t>report itself, on the evidence before us</w:t>
      </w:r>
      <w:r w:rsidR="0050491E">
        <w:t xml:space="preserve"> </w:t>
      </w:r>
      <w:r w:rsidR="00E07594">
        <w:t>...</w:t>
      </w:r>
      <w:r w:rsidRPr="00EF0015">
        <w:t xml:space="preserve"> that would not contain any decision as to the facts or any conclusions as to what has or might have happened.</w:t>
      </w:r>
    </w:p>
    <w:p w:rsidR="00C81668" w:rsidP="005C6321" w:rsidRDefault="00841193">
      <w:pPr>
        <w:pStyle w:val="JuQuot"/>
      </w:pPr>
      <w:r w:rsidRPr="00EF0015">
        <w:t>331.</w:t>
      </w:r>
      <w:r w:rsidR="00C31D73">
        <w:t>  </w:t>
      </w:r>
      <w:r w:rsidRPr="00EF0015">
        <w:t xml:space="preserve">In these circumstances we cannot accept </w:t>
      </w:r>
      <w:r w:rsidRPr="00EF0015" w:rsidR="00FC4F99">
        <w:t>[counsel for the Government</w:t>
      </w:r>
      <w:r w:rsidR="008570E8">
        <w:t>’</w:t>
      </w:r>
      <w:r w:rsidRPr="00EF0015" w:rsidR="00FC4F99">
        <w:t>s]</w:t>
      </w:r>
      <w:r w:rsidR="00C81668">
        <w:t xml:space="preserve"> </w:t>
      </w:r>
      <w:r w:rsidRPr="00EF0015">
        <w:t xml:space="preserve">submission that the investigation has been adequate in terms of the procedural obligation arising out of </w:t>
      </w:r>
      <w:r w:rsidR="0046530F">
        <w:t>A</w:t>
      </w:r>
      <w:r w:rsidRPr="00EF0015">
        <w:t xml:space="preserve">rticle 2 of the Convention. Even if an investigation solely in the hands of the </w:t>
      </w:r>
      <w:r w:rsidRPr="00EF0015" w:rsidR="00E506FC">
        <w:t xml:space="preserve">[Special Investigation Branch] </w:t>
      </w:r>
      <w:r w:rsidRPr="00EF0015">
        <w:t xml:space="preserve">might be said to be independent, on the grounds that the </w:t>
      </w:r>
      <w:r w:rsidRPr="00EF0015" w:rsidR="00E506FC">
        <w:t xml:space="preserve">[Special Investigation Branch] </w:t>
      </w:r>
      <w:r w:rsidRPr="00EF0015">
        <w:t xml:space="preserve">are hierarchically and practically independent of the military units under investigation, as to which we have doubts in part because the report of the </w:t>
      </w:r>
      <w:r w:rsidRPr="00EF0015" w:rsidR="00E506FC">
        <w:t xml:space="preserve">[Special Investigation Branch] </w:t>
      </w:r>
      <w:r w:rsidRPr="00EF0015">
        <w:t>is to the unit chain of command itself, it is difficult to say that the investigation which has occurred has been timely, open or effective.</w:t>
      </w:r>
      <w:r w:rsidRPr="00EF0015" w:rsidR="00FC4F99">
        <w:t>”</w:t>
      </w:r>
    </w:p>
    <w:p w:rsidR="00C81668" w:rsidP="00FC4F99" w:rsidRDefault="00FC4F99">
      <w:pPr>
        <w:pStyle w:val="JuPara"/>
      </w:pPr>
      <w:r w:rsidRPr="00EF0015">
        <w:t>In respect of the other five deaths, the judge considered that, if he were wrong on the jurisdiction issue and the claims did fall within the scope of the Convention, the investigative duty under Article 2 had not been met, for the following reasons:</w:t>
      </w:r>
    </w:p>
    <w:p w:rsidRPr="00EF0015" w:rsidR="00841193" w:rsidP="005C6321" w:rsidRDefault="00FC4F99">
      <w:pPr>
        <w:pStyle w:val="JuQuot"/>
      </w:pPr>
      <w:r w:rsidRPr="00EF0015">
        <w:t>“</w:t>
      </w:r>
      <w:r w:rsidRPr="00EF0015" w:rsidR="00E0506E">
        <w:t>337.</w:t>
      </w:r>
      <w:r w:rsidR="00C31D73">
        <w:t>  </w:t>
      </w:r>
      <w:r w:rsidR="00E07594">
        <w:t>...</w:t>
      </w:r>
      <w:r w:rsidRPr="00EF0015">
        <w:t xml:space="preserve"> </w:t>
      </w:r>
      <w:r w:rsidRPr="00EF0015" w:rsidR="00841193">
        <w:t>in all these cases, as in the case of Mr Mousa, the United Kingdom authorities were proceeding on the basis that the Convention did not apply.</w:t>
      </w:r>
      <w:r w:rsidRPr="00EF0015" w:rsidR="00143213">
        <w:t xml:space="preserve"> </w:t>
      </w:r>
      <w:r w:rsidRPr="00EF0015" w:rsidR="00841193">
        <w:t xml:space="preserve">Thus the immediate investigations were in each case conducted, as a matter of policy, by the unit involved: only in case 4, that concerning Mr Waleed Muzban, was there any involvement of the </w:t>
      </w:r>
      <w:r w:rsidRPr="00EF0015" w:rsidR="00E506FC">
        <w:t>[Special Investigation Branch]</w:t>
      </w:r>
      <w:r w:rsidRPr="00EF0015" w:rsidR="00841193">
        <w:t>, and that was stood down, at any rate before being reopened (at some uncertain time) upon a review of the file back in the UK. The investigations were therefore not independent. Nor were they effective, for they essentially consisted only in a comparatively superficial exercise, based on the evidence of the soldiers involved themselves, and even then on a paucity of interviews or witness statements, an exercise which was one-sided and omitted the assistance of forensic evidence such as might have become available from ballistic or medical expertise.</w:t>
      </w:r>
    </w:p>
    <w:p w:rsidRPr="00EF0015" w:rsidR="00F25F41" w:rsidP="005C6321" w:rsidRDefault="00E07594">
      <w:pPr>
        <w:pStyle w:val="JuQuot"/>
      </w:pPr>
      <w:r>
        <w:t>...</w:t>
      </w:r>
    </w:p>
    <w:p w:rsidR="00C81668" w:rsidP="005C6321" w:rsidRDefault="00841193">
      <w:pPr>
        <w:pStyle w:val="JuQuot"/>
      </w:pPr>
      <w:r w:rsidRPr="00EF0015">
        <w:t>339.</w:t>
      </w:r>
      <w:r w:rsidR="00C31D73">
        <w:t>  </w:t>
      </w:r>
      <w:r w:rsidRPr="00EF0015">
        <w:t xml:space="preserve">In connection with these cases, </w:t>
      </w:r>
      <w:r w:rsidRPr="00EF0015" w:rsidR="00F25F41">
        <w:t>[counsel for the Government</w:t>
      </w:r>
      <w:r w:rsidR="008570E8">
        <w:t>’</w:t>
      </w:r>
      <w:r w:rsidRPr="00EF0015" w:rsidR="00F25F41">
        <w:t>s]</w:t>
      </w:r>
      <w:r w:rsidRPr="00EF0015">
        <w:t xml:space="preserve"> main submission was that, in extremely difficult situations, both in operational terms in the field and in terms of post</w:t>
      </w:r>
      <w:r w:rsidR="0046530F">
        <w:t>-</w:t>
      </w:r>
      <w:r w:rsidRPr="00EF0015">
        <w:t>event investigations, the army and the authorities had done their best. He particularly emphasised the following aspects of the evidence. There was no rule of law in Iraq; at the start of the occupation there was no police force at all, and at best the force was totally inadequate, as well as being under constant attack; although the Iraqi courts were functioning, they were subject to intimidation; there was no local civil inquest system or capability; the local communications systems were not functioning; there were no mortuaries, no post</w:t>
      </w:r>
      <w:r w:rsidR="0046530F">
        <w:t>-</w:t>
      </w:r>
      <w:r w:rsidRPr="00EF0015">
        <w:t>mortem system, no reliable pathologists; the security situation was the worst ever experienced by seasoned soldiers; there was daily fighting between tribal and criminal gangs; the number of troops available were small; and cultural differences exacerbated all these difficulties.</w:t>
      </w:r>
    </w:p>
    <w:p w:rsidR="00C81668" w:rsidP="005C6321" w:rsidRDefault="00841193">
      <w:pPr>
        <w:pStyle w:val="JuQuot"/>
      </w:pPr>
      <w:r w:rsidRPr="00EF0015">
        <w:t>340.</w:t>
      </w:r>
      <w:r w:rsidR="00C31D73">
        <w:t>  </w:t>
      </w:r>
      <w:r w:rsidRPr="00EF0015">
        <w:t>We would not discount these difficulties, which cumulatively must have amounted to grave impediments for anyone concerned to conduct investigations as they might have liked to have carried them out.</w:t>
      </w:r>
      <w:r w:rsidR="00C81668">
        <w:t xml:space="preserve"> </w:t>
      </w:r>
      <w:r w:rsidRPr="00EF0015">
        <w:t xml:space="preserve">However, irrespective of </w:t>
      </w:r>
      <w:r w:rsidRPr="00EF0015" w:rsidR="00F25F41">
        <w:t>[counsel for the applicants</w:t>
      </w:r>
      <w:r w:rsidR="008570E8">
        <w:t>’</w:t>
      </w:r>
      <w:r w:rsidRPr="00EF0015" w:rsidR="00F25F41">
        <w:t>]</w:t>
      </w:r>
      <w:r w:rsidRPr="00EF0015">
        <w:t xml:space="preserve"> submission, in reliance on the Turkish cases, that security problems provide no excuse for a failure in the </w:t>
      </w:r>
      <w:r w:rsidR="0046530F">
        <w:t>A</w:t>
      </w:r>
      <w:r w:rsidRPr="00EF0015">
        <w:t xml:space="preserve">rticle 2 investigative duty, we would conclude that, on the hypothesis stated, the investigations would still not pass muster. They were not independent; they were one-sided; and the commanders concerned were not trying to do their best according to the dictates of </w:t>
      </w:r>
      <w:r w:rsidR="0046530F">
        <w:t>A</w:t>
      </w:r>
      <w:r w:rsidRPr="00EF0015">
        <w:t>rticle 2.</w:t>
      </w:r>
    </w:p>
    <w:p w:rsidR="0050491E" w:rsidP="005C6321" w:rsidRDefault="00841193">
      <w:pPr>
        <w:pStyle w:val="JuQuot"/>
      </w:pPr>
      <w:r w:rsidRPr="00EF0015">
        <w:t>341.</w:t>
      </w:r>
      <w:r w:rsidR="00C31D73">
        <w:t>  </w:t>
      </w:r>
      <w:r w:rsidRPr="00EF0015">
        <w:t xml:space="preserve">That is not to say, however, that, in other circumstances, we would ignore the strategic difficulties of the situation. The Turkish cases are all concerned with deaths within the </w:t>
      </w:r>
      <w:r w:rsidR="0046530F">
        <w:t>S</w:t>
      </w:r>
      <w:r w:rsidRPr="00EF0015">
        <w:t xml:space="preserve">tate </w:t>
      </w:r>
      <w:r w:rsidR="0046530F">
        <w:t>P</w:t>
      </w:r>
      <w:r w:rsidRPr="00EF0015">
        <w:t>arty</w:t>
      </w:r>
      <w:r w:rsidR="008570E8">
        <w:t>’</w:t>
      </w:r>
      <w:r w:rsidRPr="00EF0015">
        <w:t>s own territory.</w:t>
      </w:r>
      <w:r w:rsidR="00C81668">
        <w:t xml:space="preserve"> </w:t>
      </w:r>
      <w:r w:rsidRPr="00EF0015">
        <w:t xml:space="preserve">In that context, the Court was entitled to be highly sceptical about the </w:t>
      </w:r>
      <w:r w:rsidR="0046530F">
        <w:t>S</w:t>
      </w:r>
      <w:r w:rsidRPr="00EF0015">
        <w:t>tate</w:t>
      </w:r>
      <w:r w:rsidR="008570E8">
        <w:t>’</w:t>
      </w:r>
      <w:r w:rsidRPr="00EF0015">
        <w:t xml:space="preserve">s own professions of difficulties in an investigative path which it in any event may hardly have chosen to follow. It seems to us that this scepticism cannot be so easily transplanted in the extraterritorial setting. </w:t>
      </w:r>
      <w:r w:rsidR="00E07594">
        <w:t>...</w:t>
      </w:r>
      <w:r w:rsidR="0050491E">
        <w:t>”</w:t>
      </w:r>
    </w:p>
    <w:p w:rsidRPr="00EF0015" w:rsidR="00706CFD" w:rsidP="00706CFD" w:rsidRDefault="00405921">
      <w:pPr>
        <w:pStyle w:val="JuH1"/>
      </w:pPr>
      <w:bookmarkStart w:name="_Toc275785579" w:id="77"/>
      <w:bookmarkStart w:name="_Toc289765871" w:id="78"/>
      <w:bookmarkStart w:name="_Toc289868960" w:id="79"/>
      <w:bookmarkStart w:name="_Toc297210656" w:id="80"/>
      <w:r>
        <w:t>2.  </w:t>
      </w:r>
      <w:r w:rsidRPr="00EF0015" w:rsidR="00706CFD">
        <w:t>The Court of Appeal</w:t>
      </w:r>
      <w:bookmarkEnd w:id="77"/>
      <w:bookmarkEnd w:id="78"/>
      <w:bookmarkEnd w:id="79"/>
      <w:bookmarkEnd w:id="80"/>
    </w:p>
    <w:p w:rsidR="00C81668" w:rsidP="004278FB" w:rsidRDefault="00706CFD">
      <w:pPr>
        <w:pStyle w:val="JuPara"/>
      </w:pPr>
      <w:r w:rsidRPr="00EF0015">
        <w:fldChar w:fldCharType="begin"/>
      </w:r>
      <w:r w:rsidRPr="00EF0015">
        <w:instrText xml:space="preserve"> SEQ level0 \*arabic </w:instrText>
      </w:r>
      <w:r w:rsidRPr="00EF0015">
        <w:fldChar w:fldCharType="separate"/>
      </w:r>
      <w:r w:rsidR="00524A6D">
        <w:rPr>
          <w:noProof/>
        </w:rPr>
        <w:t>78</w:t>
      </w:r>
      <w:r w:rsidRPr="00EF0015">
        <w:fldChar w:fldCharType="end"/>
      </w:r>
      <w:r w:rsidRPr="00EF0015">
        <w:t>.  </w:t>
      </w:r>
      <w:r w:rsidRPr="00EF0015" w:rsidR="004278FB">
        <w:t xml:space="preserve">The first </w:t>
      </w:r>
      <w:r w:rsidR="003E1F71">
        <w:t>four</w:t>
      </w:r>
      <w:r w:rsidRPr="00EF0015" w:rsidR="004278FB">
        <w:t xml:space="preserve"> applicants appealed </w:t>
      </w:r>
      <w:r w:rsidRPr="00EF0015" w:rsidR="00C735B7">
        <w:t>against the Divisional Court</w:t>
      </w:r>
      <w:r w:rsidR="008570E8">
        <w:t>’</w:t>
      </w:r>
      <w:r w:rsidRPr="00EF0015" w:rsidR="00C735B7">
        <w:t xml:space="preserve">s </w:t>
      </w:r>
      <w:r w:rsidRPr="00EF0015" w:rsidR="00AB3727">
        <w:t>finding</w:t>
      </w:r>
      <w:r w:rsidRPr="00EF0015" w:rsidR="00C735B7">
        <w:t xml:space="preserve"> that the</w:t>
      </w:r>
      <w:r w:rsidR="00643211">
        <w:t>ir relatives</w:t>
      </w:r>
      <w:r w:rsidRPr="00EF0015" w:rsidR="00C735B7">
        <w:t xml:space="preserve"> did not fall within the United Kingdom</w:t>
      </w:r>
      <w:r w:rsidR="008570E8">
        <w:t>’</w:t>
      </w:r>
      <w:r w:rsidRPr="00EF0015" w:rsidR="00C735B7">
        <w:t>s jurisdiction. T</w:t>
      </w:r>
      <w:r w:rsidRPr="00EF0015" w:rsidR="004278FB">
        <w:t xml:space="preserve">he Secretary of State </w:t>
      </w:r>
      <w:r w:rsidRPr="00EF0015" w:rsidR="00C735B7">
        <w:t xml:space="preserve">also </w:t>
      </w:r>
      <w:r w:rsidRPr="00EF0015" w:rsidR="004278FB">
        <w:t>cross</w:t>
      </w:r>
      <w:r w:rsidRPr="00EF0015" w:rsidR="004278FB">
        <w:noBreakHyphen/>
        <w:t>appealed</w:t>
      </w:r>
      <w:r w:rsidR="00E3413D">
        <w:t xml:space="preserve"> against the finding in relation to the sixth applicant</w:t>
      </w:r>
      <w:r w:rsidR="008570E8">
        <w:t>’</w:t>
      </w:r>
      <w:r w:rsidR="00E3413D">
        <w:t>s son</w:t>
      </w:r>
      <w:r w:rsidRPr="00EF0015" w:rsidR="00C735B7">
        <w:t>; although he accepted before the Court of Appeal that an Iraqi in the actual custody of British soldiers in a military detention centre in Iraq was within the United Kingdom</w:t>
      </w:r>
      <w:r w:rsidR="008570E8">
        <w:t>’</w:t>
      </w:r>
      <w:r w:rsidRPr="00EF0015" w:rsidR="00C735B7">
        <w:t>s jurisdiction under Article 1 of the Convention, he contended that the Human Rights Act had no extraterritorial effect and that the sixth applicant</w:t>
      </w:r>
      <w:r w:rsidR="008570E8">
        <w:t>’</w:t>
      </w:r>
      <w:r w:rsidRPr="00EF0015" w:rsidR="00C735B7">
        <w:t>s claim was not, therefore, enforceable in the national courts</w:t>
      </w:r>
      <w:r w:rsidRPr="00EF0015" w:rsidR="004278FB">
        <w:t>.</w:t>
      </w:r>
    </w:p>
    <w:p w:rsidRPr="00643211" w:rsidR="00914CD7" w:rsidP="004278FB" w:rsidRDefault="00C735B7">
      <w:pPr>
        <w:pStyle w:val="JuPara"/>
        <w:rPr>
          <w:szCs w:val="24"/>
        </w:rPr>
      </w:pPr>
      <w:r w:rsidRPr="00643211">
        <w:rPr>
          <w:szCs w:val="24"/>
        </w:rPr>
        <w:fldChar w:fldCharType="begin"/>
      </w:r>
      <w:r w:rsidRPr="00643211">
        <w:rPr>
          <w:szCs w:val="24"/>
        </w:rPr>
        <w:instrText xml:space="preserve"> SEQ level0 \*arabic </w:instrText>
      </w:r>
      <w:r w:rsidRPr="00643211">
        <w:rPr>
          <w:szCs w:val="24"/>
        </w:rPr>
        <w:fldChar w:fldCharType="separate"/>
      </w:r>
      <w:r w:rsidR="00524A6D">
        <w:rPr>
          <w:noProof/>
          <w:szCs w:val="24"/>
        </w:rPr>
        <w:t>79</w:t>
      </w:r>
      <w:r w:rsidRPr="00643211">
        <w:rPr>
          <w:szCs w:val="24"/>
        </w:rPr>
        <w:fldChar w:fldCharType="end"/>
      </w:r>
      <w:r w:rsidRPr="00643211">
        <w:rPr>
          <w:szCs w:val="24"/>
        </w:rPr>
        <w:t>.  </w:t>
      </w:r>
      <w:r w:rsidRPr="00643211" w:rsidR="004278FB">
        <w:rPr>
          <w:szCs w:val="24"/>
        </w:rPr>
        <w:t xml:space="preserve">On 21 December 2005 the Court of Appeal dismissed the appeals and the cross-appeal ([2005] EWCA Civ 1609). </w:t>
      </w:r>
      <w:r w:rsidRPr="00643211" w:rsidR="007C008C">
        <w:rPr>
          <w:szCs w:val="24"/>
        </w:rPr>
        <w:t>Having reviewed the Court</w:t>
      </w:r>
      <w:r w:rsidR="008570E8">
        <w:rPr>
          <w:szCs w:val="24"/>
        </w:rPr>
        <w:t>’</w:t>
      </w:r>
      <w:r w:rsidRPr="00643211" w:rsidR="007C008C">
        <w:rPr>
          <w:szCs w:val="24"/>
        </w:rPr>
        <w:t>s case-law on jurisdiction under Arti</w:t>
      </w:r>
      <w:r w:rsidR="00B87BF9">
        <w:rPr>
          <w:szCs w:val="24"/>
        </w:rPr>
        <w:t>cle 1 of the Convention, Brooke </w:t>
      </w:r>
      <w:r w:rsidRPr="00643211" w:rsidR="007C008C">
        <w:rPr>
          <w:szCs w:val="24"/>
        </w:rPr>
        <w:t>LJ, who gave the leading judgment, held th</w:t>
      </w:r>
      <w:r w:rsidR="00C01416">
        <w:rPr>
          <w:szCs w:val="24"/>
        </w:rPr>
        <w:t>at a State could exercise extra</w:t>
      </w:r>
      <w:r w:rsidRPr="00643211" w:rsidR="007C008C">
        <w:rPr>
          <w:szCs w:val="24"/>
        </w:rPr>
        <w:t>territorial jurisdiction when it applied control and authority over a complain</w:t>
      </w:r>
      <w:r w:rsidR="00643211">
        <w:rPr>
          <w:szCs w:val="24"/>
        </w:rPr>
        <w:t>an</w:t>
      </w:r>
      <w:r w:rsidRPr="00643211" w:rsidR="007C008C">
        <w:rPr>
          <w:szCs w:val="24"/>
        </w:rPr>
        <w:t>t (which he termed “State agent authority”, abbreviated to “SAA”) and when it held effective control of an area outside its borders (“effective control of an area” or “ECA”)</w:t>
      </w:r>
      <w:r w:rsidRPr="00643211" w:rsidR="00914CD7">
        <w:rPr>
          <w:szCs w:val="24"/>
        </w:rPr>
        <w:t xml:space="preserve">, observing </w:t>
      </w:r>
      <w:r w:rsidR="009938F9">
        <w:rPr>
          <w:szCs w:val="24"/>
        </w:rPr>
        <w:t>as follows:</w:t>
      </w:r>
    </w:p>
    <w:p w:rsidRPr="00EF0015" w:rsidR="00914CD7" w:rsidP="00914CD7" w:rsidRDefault="00914CD7">
      <w:pPr>
        <w:pStyle w:val="JuQuot"/>
      </w:pPr>
      <w:r w:rsidRPr="00EF0015">
        <w:t>“80.</w:t>
      </w:r>
      <w:r w:rsidR="00C31D73">
        <w:t>  </w:t>
      </w:r>
      <w:r w:rsidRPr="00EF0015">
        <w:t xml:space="preserve">I would therefore be more cautious than the Divisional Court in my approach to the </w:t>
      </w:r>
      <w:r w:rsidRPr="00EF0015">
        <w:rPr>
          <w:i/>
        </w:rPr>
        <w:t>Bankovi</w:t>
      </w:r>
      <w:r w:rsidR="00761FC1">
        <w:rPr>
          <w:i/>
        </w:rPr>
        <w:t>ć</w:t>
      </w:r>
      <w:r w:rsidR="00035A69">
        <w:t xml:space="preserve"> [</w:t>
      </w:r>
      <w:r w:rsidRPr="00D8100E" w:rsidR="00035A69">
        <w:rPr>
          <w:i/>
        </w:rPr>
        <w:t>and Others</w:t>
      </w:r>
      <w:r w:rsidR="00035A69">
        <w:t>]</w:t>
      </w:r>
      <w:r w:rsidRPr="00EF0015">
        <w:t xml:space="preserve"> judgment. It seems to me that it left open both the ECA and SAA approaches to extraterritorial jurisdiction, while a</w:t>
      </w:r>
      <w:r w:rsidR="00C976AF">
        <w:t>t the same time emphasi</w:t>
      </w:r>
      <w:r w:rsidR="009938F9">
        <w:t>s</w:t>
      </w:r>
      <w:r w:rsidR="00C976AF">
        <w:t xml:space="preserve">ing (in </w:t>
      </w:r>
      <w:r w:rsidRPr="00EF0015">
        <w:t>para</w:t>
      </w:r>
      <w:r w:rsidR="009938F9">
        <w:t>graph</w:t>
      </w:r>
      <w:r w:rsidRPr="00EF0015">
        <w:t xml:space="preserve"> 60) that because a</w:t>
      </w:r>
      <w:r w:rsidR="009938F9">
        <w:t>n</w:t>
      </w:r>
      <w:r w:rsidRPr="00EF0015">
        <w:t xml:space="preserve"> SAA approach might constitute a violation of another </w:t>
      </w:r>
      <w:r w:rsidR="009938F9">
        <w:t>S</w:t>
      </w:r>
      <w:r w:rsidRPr="00EF0015">
        <w:t>tate</w:t>
      </w:r>
      <w:r w:rsidR="008570E8">
        <w:t>’</w:t>
      </w:r>
      <w:r w:rsidRPr="00EF0015">
        <w:t xml:space="preserve">s sovereignty (for example, when someone is kidnapped by the agents of a </w:t>
      </w:r>
      <w:r w:rsidR="009938F9">
        <w:t>S</w:t>
      </w:r>
      <w:r w:rsidRPr="00EF0015">
        <w:t>tate on the territory of a</w:t>
      </w:r>
      <w:r w:rsidRPr="00EF0015" w:rsidR="00501FE9">
        <w:t xml:space="preserve">nother </w:t>
      </w:r>
      <w:r w:rsidR="009938F9">
        <w:t>S</w:t>
      </w:r>
      <w:r w:rsidRPr="00EF0015" w:rsidR="00501FE9">
        <w:t xml:space="preserve">tate without that </w:t>
      </w:r>
      <w:r w:rsidR="009938F9">
        <w:t>S</w:t>
      </w:r>
      <w:r w:rsidRPr="00EF0015" w:rsidR="00501FE9">
        <w:t>tate</w:t>
      </w:r>
      <w:r w:rsidR="008570E8">
        <w:t>’</w:t>
      </w:r>
      <w:r w:rsidRPr="00EF0015">
        <w:t>s invitation or consent), this route to any recognition that extraterritorial jurisdiction has been exercised within the meaning of an international treaty should be approached with caution.”</w:t>
      </w:r>
    </w:p>
    <w:p w:rsidRPr="00EF0015" w:rsidR="00141A91" w:rsidP="00141A91" w:rsidRDefault="00914CD7">
      <w:pPr>
        <w:pStyle w:val="JuPara"/>
      </w:pPr>
      <w:r w:rsidRPr="00EF0015">
        <w:t>He considered</w:t>
      </w:r>
      <w:r w:rsidR="00584DA3">
        <w:t xml:space="preserve">, </w:t>
      </w:r>
      <w:r w:rsidRPr="00EF0015" w:rsidR="00584DA3">
        <w:rPr>
          <w:i/>
        </w:rPr>
        <w:t>inter alia</w:t>
      </w:r>
      <w:r w:rsidRPr="00D8100E" w:rsidR="00584DA3">
        <w:t>,</w:t>
      </w:r>
      <w:r w:rsidRPr="00EF0015" w:rsidR="00584DA3">
        <w:rPr>
          <w:i/>
        </w:rPr>
        <w:t xml:space="preserve"> </w:t>
      </w:r>
      <w:r w:rsidRPr="00EF0015">
        <w:t xml:space="preserve">the cases of </w:t>
      </w:r>
      <w:r w:rsidRPr="00EF0015">
        <w:rPr>
          <w:i/>
        </w:rPr>
        <w:t>Öcalan v. Turkey</w:t>
      </w:r>
      <w:r w:rsidR="00C01416">
        <w:t xml:space="preserve"> </w:t>
      </w:r>
      <w:r w:rsidR="009938F9">
        <w:t>(</w:t>
      </w:r>
      <w:r w:rsidR="00C01416">
        <w:t>[GC], no. </w:t>
      </w:r>
      <w:r w:rsidRPr="00EF0015">
        <w:t>46221/99, ECHR 2005-IV</w:t>
      </w:r>
      <w:r w:rsidR="009938F9">
        <w:t>)</w:t>
      </w:r>
      <w:r w:rsidRPr="00EF0015">
        <w:t xml:space="preserve">; </w:t>
      </w:r>
      <w:r w:rsidRPr="00EF0015">
        <w:rPr>
          <w:i/>
        </w:rPr>
        <w:t>Freda v. Italy</w:t>
      </w:r>
      <w:r w:rsidRPr="00EF0015">
        <w:t xml:space="preserve"> </w:t>
      </w:r>
      <w:r w:rsidR="009938F9">
        <w:t>(</w:t>
      </w:r>
      <w:r w:rsidRPr="00EF0015">
        <w:t>(dec.), no. 8916/80, Commission decision of 7</w:t>
      </w:r>
      <w:r w:rsidR="004B665B">
        <w:t xml:space="preserve"> </w:t>
      </w:r>
      <w:r w:rsidRPr="00EF0015">
        <w:t>October 1980, De</w:t>
      </w:r>
      <w:r w:rsidR="00C976AF">
        <w:t>cisions an</w:t>
      </w:r>
      <w:r w:rsidR="004B665B">
        <w:t xml:space="preserve">d Reports (DR) </w:t>
      </w:r>
      <w:r w:rsidR="00C01416">
        <w:t>21, p. </w:t>
      </w:r>
      <w:r w:rsidRPr="00EF0015">
        <w:t>250</w:t>
      </w:r>
      <w:r w:rsidR="009938F9">
        <w:t>)</w:t>
      </w:r>
      <w:r w:rsidRPr="00EF0015">
        <w:t xml:space="preserve">; and </w:t>
      </w:r>
      <w:r w:rsidRPr="00EF0015">
        <w:rPr>
          <w:i/>
        </w:rPr>
        <w:t>Sánchez Ramirez v. France</w:t>
      </w:r>
      <w:r w:rsidRPr="00EF0015">
        <w:t xml:space="preserve"> </w:t>
      </w:r>
      <w:r w:rsidR="009938F9">
        <w:t>(</w:t>
      </w:r>
      <w:r w:rsidRPr="00EF0015">
        <w:t>(dec.), no. 28780/95, Commission decision of 24 June 1996, DR 86-A, p. 155</w:t>
      </w:r>
      <w:r w:rsidR="009938F9">
        <w:t>)</w:t>
      </w:r>
      <w:r w:rsidRPr="00EF0015">
        <w:t xml:space="preserve">; and </w:t>
      </w:r>
      <w:r w:rsidRPr="00EF0015" w:rsidR="00141A91">
        <w:t xml:space="preserve">observed that these cases had </w:t>
      </w:r>
      <w:r w:rsidRPr="00EF0015">
        <w:t xml:space="preserve">nothing to do with the principle of public international law relating to activities within </w:t>
      </w:r>
      <w:r w:rsidRPr="00EF0015" w:rsidR="00141A91">
        <w:t>aircraft registered with a S</w:t>
      </w:r>
      <w:r w:rsidRPr="00EF0015">
        <w:t>tate</w:t>
      </w:r>
      <w:r w:rsidR="003E1F71">
        <w:t xml:space="preserve"> flying over the territory of another State</w:t>
      </w:r>
      <w:r w:rsidRPr="00EF0015" w:rsidR="00141A91">
        <w:t xml:space="preserve">. Instead, the findings of jurisdiction in these cases were examples of the </w:t>
      </w:r>
      <w:r w:rsidRPr="00EF0015" w:rsidR="00F201B0">
        <w:t>“</w:t>
      </w:r>
      <w:r w:rsidRPr="00EF0015">
        <w:t>S</w:t>
      </w:r>
      <w:r w:rsidRPr="00EF0015" w:rsidR="00F201B0">
        <w:t>tate agent authority”</w:t>
      </w:r>
      <w:r w:rsidRPr="00EF0015">
        <w:t xml:space="preserve"> doctrine applying when someone </w:t>
      </w:r>
      <w:r w:rsidRPr="00EF0015" w:rsidR="00141A91">
        <w:t>was</w:t>
      </w:r>
      <w:r w:rsidRPr="00EF0015">
        <w:t xml:space="preserve"> within the control and authority of agents of a </w:t>
      </w:r>
      <w:r w:rsidRPr="00EF0015" w:rsidR="00141A91">
        <w:t>C</w:t>
      </w:r>
      <w:r w:rsidRPr="00EF0015">
        <w:t xml:space="preserve">ontracting </w:t>
      </w:r>
      <w:r w:rsidRPr="00EF0015" w:rsidR="00141A91">
        <w:t>S</w:t>
      </w:r>
      <w:r w:rsidRPr="00EF0015">
        <w:t xml:space="preserve">tate, </w:t>
      </w:r>
      <w:r w:rsidRPr="00EF0015" w:rsidR="00141A91">
        <w:t xml:space="preserve">even outside </w:t>
      </w:r>
      <w:r w:rsidRPr="00EF0015">
        <w:t xml:space="preserve">the </w:t>
      </w:r>
      <w:r w:rsidRPr="00EF0015">
        <w:rPr>
          <w:i/>
        </w:rPr>
        <w:t>espace juridique</w:t>
      </w:r>
      <w:r w:rsidRPr="00EF0015">
        <w:t xml:space="preserve"> of the Council of Europe, and </w:t>
      </w:r>
      <w:r w:rsidRPr="00EF0015" w:rsidR="00141A91">
        <w:t>whether or not the host S</w:t>
      </w:r>
      <w:r w:rsidRPr="00EF0015">
        <w:t xml:space="preserve">tate </w:t>
      </w:r>
      <w:r w:rsidRPr="00EF0015" w:rsidR="00141A91">
        <w:t>consented to the</w:t>
      </w:r>
      <w:r w:rsidRPr="00EF0015">
        <w:t xml:space="preserve"> exercise of con</w:t>
      </w:r>
      <w:r w:rsidRPr="00EF0015" w:rsidR="00141A91">
        <w:t>trol and authority on its soil.</w:t>
      </w:r>
      <w:r w:rsidR="00405921">
        <w:t xml:space="preserve"> </w:t>
      </w:r>
      <w:r w:rsidRPr="00EF0015">
        <w:t>Applying the relevant principles to the facts of the case</w:t>
      </w:r>
      <w:r w:rsidR="009B21AF">
        <w:t>,</w:t>
      </w:r>
      <w:r w:rsidRPr="00EF0015">
        <w:t xml:space="preserve"> he concluded</w:t>
      </w:r>
      <w:r w:rsidRPr="00EF0015" w:rsidR="00141A91">
        <w:t xml:space="preserve"> that the sixth applicant</w:t>
      </w:r>
      <w:r w:rsidR="008570E8">
        <w:t>’</w:t>
      </w:r>
      <w:r w:rsidRPr="00EF0015" w:rsidR="00141A91">
        <w:t xml:space="preserve">s son </w:t>
      </w:r>
      <w:r w:rsidRPr="00EF0015">
        <w:t xml:space="preserve">came within the control and authority of the </w:t>
      </w:r>
      <w:r w:rsidRPr="00EF0015" w:rsidR="00141A91">
        <w:t xml:space="preserve">United Kingdom, and therefore its jurisdiction, </w:t>
      </w:r>
      <w:r w:rsidRPr="00EF0015">
        <w:t>from the time he was arrested at the hotel</w:t>
      </w:r>
      <w:r w:rsidRPr="00EF0015" w:rsidR="00141A91">
        <w:t>. The relatives of the other claimants</w:t>
      </w:r>
      <w:r w:rsidR="00C81668">
        <w:t xml:space="preserve"> </w:t>
      </w:r>
      <w:r w:rsidRPr="00EF0015" w:rsidR="00141A91">
        <w:t>had not been under</w:t>
      </w:r>
      <w:r w:rsidRPr="00EF0015">
        <w:t xml:space="preserve"> the control and authority of British troops at the time when they were killed</w:t>
      </w:r>
      <w:r w:rsidRPr="00EF0015" w:rsidR="00141A91">
        <w:t>, and were not therefore within the United Kingdom</w:t>
      </w:r>
      <w:r w:rsidR="008570E8">
        <w:t>’</w:t>
      </w:r>
      <w:r w:rsidRPr="00EF0015" w:rsidR="00141A91">
        <w:t>s jurisdiction</w:t>
      </w:r>
      <w:r w:rsidRPr="00EF0015">
        <w:t xml:space="preserve">. </w:t>
      </w:r>
      <w:r w:rsidRPr="00EF0015" w:rsidR="00141A91">
        <w:t>He concluded in this connection that:</w:t>
      </w:r>
    </w:p>
    <w:p w:rsidR="00C81668" w:rsidP="00D812DF" w:rsidRDefault="00141A91">
      <w:pPr>
        <w:pStyle w:val="JuQuot"/>
      </w:pPr>
      <w:r w:rsidRPr="00EF0015">
        <w:t>“110.</w:t>
      </w:r>
      <w:r w:rsidR="00C31D73">
        <w:t>  </w:t>
      </w:r>
      <w:r w:rsidR="00E07594">
        <w:t>...</w:t>
      </w:r>
      <w:r w:rsidRPr="00EF0015">
        <w:t xml:space="preserve"> </w:t>
      </w:r>
      <w:r w:rsidRPr="00EF0015" w:rsidR="00914CD7">
        <w:t>It is essential, in my judgment, to set rules which are readily intelligible. If troops deliberately a</w:t>
      </w:r>
      <w:r w:rsidRPr="00EF0015" w:rsidR="00D812DF">
        <w:t>nd effectively restrict someone</w:t>
      </w:r>
      <w:r w:rsidR="008570E8">
        <w:t>’</w:t>
      </w:r>
      <w:r w:rsidRPr="00EF0015" w:rsidR="00914CD7">
        <w:t>s liberty he is under their control. This did not happen in any of these five cases.</w:t>
      </w:r>
      <w:r w:rsidRPr="00EF0015" w:rsidR="00D812DF">
        <w:t>”</w:t>
      </w:r>
    </w:p>
    <w:p w:rsidRPr="00EF0015" w:rsidR="00914CD7" w:rsidP="00914CD7" w:rsidRDefault="00E81A70">
      <w:pPr>
        <w:pStyle w:val="JuPara"/>
      </w:pPr>
      <w:r w:rsidRPr="00EF0015">
        <w:fldChar w:fldCharType="begin"/>
      </w:r>
      <w:r w:rsidRPr="00EF0015">
        <w:instrText xml:space="preserve"> SEQ level0 \*arabic </w:instrText>
      </w:r>
      <w:r w:rsidRPr="00EF0015">
        <w:fldChar w:fldCharType="separate"/>
      </w:r>
      <w:r w:rsidR="00524A6D">
        <w:rPr>
          <w:noProof/>
        </w:rPr>
        <w:t>80</w:t>
      </w:r>
      <w:r w:rsidRPr="00EF0015">
        <w:fldChar w:fldCharType="end"/>
      </w:r>
      <w:r w:rsidRPr="00EF0015">
        <w:t>.  </w:t>
      </w:r>
      <w:r w:rsidRPr="00EF0015" w:rsidR="00864262">
        <w:t>He then examined whether, on the facts, it could be said that British troops were in effective control of Basra City during the period in question, such as to fix the United Kingdom with juri</w:t>
      </w:r>
      <w:r w:rsidRPr="00EF0015" w:rsidR="00065BC4">
        <w:t xml:space="preserve">sdiction under the </w:t>
      </w:r>
      <w:r w:rsidRPr="00EF0015" w:rsidR="00F201B0">
        <w:t>“effective control of an area” d</w:t>
      </w:r>
      <w:r w:rsidRPr="00EF0015" w:rsidR="00065BC4">
        <w:t>octrine. On this point, Brooke LJ concluded as follows:</w:t>
      </w:r>
    </w:p>
    <w:p w:rsidR="00C81668" w:rsidP="007266BC" w:rsidRDefault="007266BC">
      <w:pPr>
        <w:pStyle w:val="JuQuot"/>
      </w:pPr>
      <w:r w:rsidRPr="00EF0015">
        <w:t>“119.</w:t>
      </w:r>
      <w:r w:rsidR="00C31D73">
        <w:t>  </w:t>
      </w:r>
      <w:r w:rsidRPr="00EF0015" w:rsidR="00C11B2B">
        <w:t xml:space="preserve">Basra City was in the </w:t>
      </w:r>
      <w:r w:rsidRPr="00EF0015" w:rsidR="004F05F5">
        <w:t>[Coalition Provisional Authority]</w:t>
      </w:r>
      <w:r w:rsidRPr="00EF0015" w:rsidR="00C11B2B">
        <w:t xml:space="preserve"> regional area called </w:t>
      </w:r>
      <w:r w:rsidR="008570E8">
        <w:t>‘</w:t>
      </w:r>
      <w:r w:rsidRPr="00EF0015">
        <w:t>CPA South</w:t>
      </w:r>
      <w:r w:rsidR="008570E8">
        <w:t>’</w:t>
      </w:r>
      <w:r w:rsidRPr="00EF0015" w:rsidR="00C11B2B">
        <w:t>. During the period of military occupation there was a significant degree of British responsibility and authority in CPA South, although its staff were drawn from five different countries and until the end of July 2003 the regional coordinator was a Dane. Indeed, only one of the four governorate teams in CPA South was headed by a British coordinator. However, although the chain of command for the British military presence in Iraq led ultimately to a US general, the Al</w:t>
      </w:r>
      <w:r w:rsidR="003474D8">
        <w:t>-</w:t>
      </w:r>
      <w:r w:rsidRPr="00EF0015" w:rsidR="00C11B2B">
        <w:t>Basra and Maysan provinces were an area of direct British military responsibility. As I have already said</w:t>
      </w:r>
      <w:r w:rsidRPr="00EF0015">
        <w:t xml:space="preserve"> </w:t>
      </w:r>
      <w:r w:rsidR="00E07594">
        <w:t>...</w:t>
      </w:r>
      <w:r w:rsidRPr="00EF0015" w:rsidR="00C11B2B">
        <w:t xml:space="preserve">, the Secretary of State accepts that the UK was an </w:t>
      </w:r>
      <w:r w:rsidR="003474D8">
        <w:t>O</w:t>
      </w:r>
      <w:r w:rsidRPr="00EF0015" w:rsidR="00C11B2B">
        <w:t xml:space="preserve">ccupying </w:t>
      </w:r>
      <w:r w:rsidR="003474D8">
        <w:t>P</w:t>
      </w:r>
      <w:r w:rsidRPr="00EF0015" w:rsidR="00C11B2B">
        <w:t xml:space="preserve">ower within the meaning of Article 42 of the Hague Regulations </w:t>
      </w:r>
      <w:r w:rsidR="00E07594">
        <w:t>...</w:t>
      </w:r>
      <w:r w:rsidRPr="00EF0015" w:rsidR="00C11B2B">
        <w:t>, at least in those areas of southern Iraq, and particularly Basra City, where British troops exercised sufficient authority for this purpose.</w:t>
      </w:r>
    </w:p>
    <w:p w:rsidR="00C81668" w:rsidP="007266BC" w:rsidRDefault="007266BC">
      <w:pPr>
        <w:pStyle w:val="JuQuot"/>
      </w:pPr>
      <w:r w:rsidRPr="00EF0015">
        <w:t>120.</w:t>
      </w:r>
      <w:r w:rsidR="00C31D73">
        <w:t>  </w:t>
      </w:r>
      <w:r w:rsidRPr="00EF0015" w:rsidR="00C11B2B">
        <w:t xml:space="preserve">But whatever may have been the position under the Hague Regulations, the question this court has to address is whether British troops were in effective control of Basra City for ECA purposes. The situation in August </w:t>
      </w:r>
      <w:r w:rsidR="003474D8">
        <w:t>to</w:t>
      </w:r>
      <w:r w:rsidRPr="00EF0015" w:rsidR="00C11B2B">
        <w:t xml:space="preserve"> November 2003 contrasts starkly with the situations in northern Cyprus and in the Russian-occupied part of Moldova which feature in Strasbourg case-law. In each of those cases part of the territory of a </w:t>
      </w:r>
      <w:r w:rsidR="003474D8">
        <w:t>C</w:t>
      </w:r>
      <w:r w:rsidRPr="00EF0015" w:rsidR="00C11B2B">
        <w:t xml:space="preserve">ontracting </w:t>
      </w:r>
      <w:r w:rsidR="003474D8">
        <w:t>S</w:t>
      </w:r>
      <w:r w:rsidRPr="00EF0015" w:rsidR="00C11B2B">
        <w:t xml:space="preserve">tate was occupied by another </w:t>
      </w:r>
      <w:r w:rsidR="003474D8">
        <w:t>C</w:t>
      </w:r>
      <w:r w:rsidRPr="00EF0015" w:rsidR="00C11B2B">
        <w:t xml:space="preserve">ontracting </w:t>
      </w:r>
      <w:r w:rsidR="003474D8">
        <w:t>S</w:t>
      </w:r>
      <w:r w:rsidRPr="00EF0015" w:rsidR="00C11B2B">
        <w:t>tate which had every intention of exercising its control on a long</w:t>
      </w:r>
      <w:r w:rsidR="003474D8">
        <w:t>-</w:t>
      </w:r>
      <w:r w:rsidRPr="00EF0015" w:rsidR="00C11B2B">
        <w:t xml:space="preserve">term basis. The civilian administration of those territories was under the control of the </w:t>
      </w:r>
      <w:r w:rsidR="003474D8">
        <w:t>O</w:t>
      </w:r>
      <w:r w:rsidRPr="00EF0015" w:rsidR="00C11B2B">
        <w:t xml:space="preserve">ccupying </w:t>
      </w:r>
      <w:r w:rsidR="003474D8">
        <w:t>S</w:t>
      </w:r>
      <w:r w:rsidRPr="00EF0015" w:rsidR="00C11B2B">
        <w:t>tate, and it deployed sufficient troops to ensure that its control of the area was effective.</w:t>
      </w:r>
    </w:p>
    <w:p w:rsidR="00C81668" w:rsidP="007266BC" w:rsidRDefault="007266BC">
      <w:pPr>
        <w:pStyle w:val="JuQuot"/>
      </w:pPr>
      <w:r w:rsidRPr="00EF0015">
        <w:t>121.</w:t>
      </w:r>
      <w:r w:rsidR="00C31D73">
        <w:t>  </w:t>
      </w:r>
      <w:r w:rsidRPr="00EF0015">
        <w:t xml:space="preserve">[The statement of </w:t>
      </w:r>
      <w:r w:rsidRPr="00EF0015" w:rsidR="00C11B2B">
        <w:t>Brig</w:t>
      </w:r>
      <w:r w:rsidRPr="00EF0015">
        <w:t>adier</w:t>
      </w:r>
      <w:r w:rsidRPr="00EF0015" w:rsidR="00C11B2B">
        <w:t xml:space="preserve"> Moore</w:t>
      </w:r>
      <w:r w:rsidRPr="00EF0015">
        <w:t>, whose command included the British forces in the Basra area between May and November 2003]</w:t>
      </w:r>
      <w:r w:rsidRPr="00EF0015" w:rsidR="00C11B2B">
        <w:t xml:space="preserve"> tells a very different story. He was not provided with nearly enough troops and other resources to enable his brigade to exercise effective control of Basra City. </w:t>
      </w:r>
      <w:r w:rsidR="00E07594">
        <w:t>...</w:t>
      </w:r>
      <w:r w:rsidRPr="00EF0015" w:rsidR="00C11B2B">
        <w:t xml:space="preserve"> </w:t>
      </w:r>
      <w:r w:rsidRPr="00EF0015">
        <w:t>[H]</w:t>
      </w:r>
      <w:r w:rsidRPr="00EF0015" w:rsidR="00C11B2B">
        <w:t>e described how the local police would not uphold the law. If British troops arrested somebody and gave them to the Iraqi police, the police would hand them over to the judiciary, who were themselves intimidated by the local tribes, and the suspected criminals were back on the streets within a day or two. This state of affairs gave the British no confidence in the local criminal justice system. It also diluted their credibility with local people. Although British troops arranged local protection for the judges, this made little difference. The prisons, for their part, were barely functioning.</w:t>
      </w:r>
    </w:p>
    <w:p w:rsidR="00C81668" w:rsidP="007266BC" w:rsidRDefault="007266BC">
      <w:pPr>
        <w:pStyle w:val="JuQuot"/>
      </w:pPr>
      <w:r w:rsidRPr="00EF0015">
        <w:t>122.</w:t>
      </w:r>
      <w:r w:rsidR="00C31D73">
        <w:t>  </w:t>
      </w:r>
      <w:r w:rsidRPr="00EF0015" w:rsidR="00C11B2B">
        <w:t>After describing other aspects of the highly volatile situation in which a relatively small number of British military personnel were trying to police a large city as best they could, Brig</w:t>
      </w:r>
      <w:r w:rsidR="00117C54">
        <w:t>[adier]</w:t>
      </w:r>
      <w:r w:rsidRPr="00EF0015" w:rsidR="00C11B2B">
        <w:t xml:space="preserve"> Moore said </w:t>
      </w:r>
      <w:r w:rsidR="00E07594">
        <w:t>...</w:t>
      </w:r>
      <w:r w:rsidRPr="00EF0015" w:rsidR="00C11B2B">
        <w:t>:</w:t>
      </w:r>
    </w:p>
    <w:p w:rsidRPr="00EF0015" w:rsidR="00C11B2B" w:rsidP="007266BC" w:rsidRDefault="008570E8">
      <w:pPr>
        <w:pStyle w:val="JuQuot"/>
        <w:ind w:left="567"/>
      </w:pPr>
      <w:r>
        <w:t>‘</w:t>
      </w:r>
      <w:r w:rsidRPr="00EF0015" w:rsidR="00C11B2B">
        <w:t>The combination of terrorist activity, the volatile situation and the ineffectiveness of Iraqi security forces meant that the security situation remained on a knife-edge for much of our tour. Despite our high work rate and best efforts, I felt that at the end of August 2003 we were standing on the edge of an abyss. It was only when subsequent reinforcements arrived</w:t>
      </w:r>
      <w:r w:rsidR="000F348B">
        <w:t xml:space="preserve"> </w:t>
      </w:r>
      <w:r w:rsidRPr="00EF0015" w:rsidR="00C11B2B">
        <w:t>... and we started to receive intelligence from some of the Islamic parties that I st</w:t>
      </w:r>
      <w:r w:rsidRPr="00EF0015" w:rsidR="007266BC">
        <w:t>arted to regain the initiative.</w:t>
      </w:r>
      <w:r>
        <w:t>’</w:t>
      </w:r>
    </w:p>
    <w:p w:rsidRPr="00EF0015" w:rsidR="007266BC" w:rsidP="007266BC" w:rsidRDefault="007266BC">
      <w:pPr>
        <w:pStyle w:val="JuQuot"/>
      </w:pPr>
      <w:r w:rsidRPr="00EF0015">
        <w:t>123.</w:t>
      </w:r>
      <w:r w:rsidR="00C31D73">
        <w:t>  </w:t>
      </w:r>
      <w:r w:rsidRPr="00EF0015" w:rsidR="00C11B2B">
        <w:t xml:space="preserve">Unlike the Turkish army in northern Cyprus, the British military forces had no control over the civil administration of Iraq. </w:t>
      </w:r>
      <w:r w:rsidR="00E07594">
        <w:t>...</w:t>
      </w:r>
    </w:p>
    <w:p w:rsidRPr="00EF0015" w:rsidR="007266BC" w:rsidP="007266BC" w:rsidRDefault="007266BC">
      <w:pPr>
        <w:pStyle w:val="JuQuot"/>
      </w:pPr>
      <w:r w:rsidRPr="00EF0015">
        <w:t>124.</w:t>
      </w:r>
      <w:r w:rsidR="00C31D73">
        <w:t>  </w:t>
      </w:r>
      <w:r w:rsidRPr="00EF0015">
        <w:t xml:space="preserve">In my judgment it is quite impossible to hold that the UK, although an </w:t>
      </w:r>
      <w:r w:rsidR="003474D8">
        <w:t>O</w:t>
      </w:r>
      <w:r w:rsidRPr="00EF0015">
        <w:t xml:space="preserve">ccupying </w:t>
      </w:r>
      <w:r w:rsidR="003474D8">
        <w:t>P</w:t>
      </w:r>
      <w:r w:rsidRPr="00EF0015">
        <w:t xml:space="preserve">ower for the purposes of the Hague Regulations and </w:t>
      </w:r>
      <w:r w:rsidR="003474D8">
        <w:t xml:space="preserve">[the] </w:t>
      </w:r>
      <w:r w:rsidRPr="00EF0015">
        <w:t>Geneva IV</w:t>
      </w:r>
      <w:r w:rsidR="003474D8">
        <w:t xml:space="preserve"> [Convention]</w:t>
      </w:r>
      <w:r w:rsidRPr="00EF0015">
        <w:t xml:space="preserve">, was in effective control of Basra City for the purposes of </w:t>
      </w:r>
      <w:r w:rsidR="005A7CA8">
        <w:t>[</w:t>
      </w:r>
      <w:r w:rsidR="008C6F21">
        <w:t>the European Court</w:t>
      </w:r>
      <w:r w:rsidR="008570E8">
        <w:t>’</w:t>
      </w:r>
      <w:r w:rsidR="008C6F21">
        <w:t>s</w:t>
      </w:r>
      <w:r w:rsidR="005A7CA8">
        <w:t>]</w:t>
      </w:r>
      <w:r w:rsidR="008C6F21">
        <w:t xml:space="preserve"> </w:t>
      </w:r>
      <w:r w:rsidRPr="00EF0015">
        <w:t xml:space="preserve">jurisprudence at the material time. If it had been, it would have been obliged, pursuant to the </w:t>
      </w:r>
      <w:r w:rsidRPr="00EF0015">
        <w:rPr>
          <w:i/>
        </w:rPr>
        <w:t>Bankovi</w:t>
      </w:r>
      <w:r w:rsidR="008C6F21">
        <w:rPr>
          <w:i/>
        </w:rPr>
        <w:t>ć</w:t>
      </w:r>
      <w:r w:rsidRPr="00EF0015">
        <w:t xml:space="preserve"> </w:t>
      </w:r>
      <w:r w:rsidR="00035A69">
        <w:t>[</w:t>
      </w:r>
      <w:r w:rsidRPr="00D8100E" w:rsidR="00035A69">
        <w:rPr>
          <w:i/>
        </w:rPr>
        <w:t>and Others</w:t>
      </w:r>
      <w:r w:rsidR="00035A69">
        <w:t xml:space="preserve">] </w:t>
      </w:r>
      <w:r w:rsidRPr="00EF0015">
        <w:t xml:space="preserve">judgment, to secure to everyone in Basra City the rights and freedoms guaranteed by the </w:t>
      </w:r>
      <w:r w:rsidR="005A7CA8">
        <w:t>[</w:t>
      </w:r>
      <w:r w:rsidR="008C6F21">
        <w:t>Convention</w:t>
      </w:r>
      <w:r w:rsidR="005A7CA8">
        <w:t>]</w:t>
      </w:r>
      <w:r w:rsidRPr="00EF0015">
        <w:t xml:space="preserve">. One only has to state that proposition to see how utterly unreal it is. The UK possessed no executive, legislative or judicial authority in Basra City, other than the limited authority given to its military forces, and as an </w:t>
      </w:r>
      <w:r w:rsidR="008C6F21">
        <w:t>O</w:t>
      </w:r>
      <w:r w:rsidRPr="00EF0015">
        <w:t xml:space="preserve">ccupying </w:t>
      </w:r>
      <w:r w:rsidR="008C6F21">
        <w:t>P</w:t>
      </w:r>
      <w:r w:rsidRPr="00EF0015">
        <w:t>ower it was bound to respect the laws in force in Iraq unless ab</w:t>
      </w:r>
      <w:r w:rsidR="004B665B">
        <w:t xml:space="preserve">solutely prevented (see Article </w:t>
      </w:r>
      <w:r w:rsidRPr="00EF0015">
        <w:t xml:space="preserve">43 of the Hague Regulations </w:t>
      </w:r>
      <w:r w:rsidR="00E07594">
        <w:t>...</w:t>
      </w:r>
      <w:r w:rsidRPr="00EF0015">
        <w:t xml:space="preserve">). It could not be equated with a civil power: it was simply there to maintain security, and to support the civil administration in Iraq in a number of different ways </w:t>
      </w:r>
      <w:r w:rsidR="00E07594">
        <w:t>...</w:t>
      </w:r>
      <w:r w:rsidRPr="00EF0015">
        <w:t>”</w:t>
      </w:r>
    </w:p>
    <w:p w:rsidRPr="00EF0015" w:rsidR="003A56AB" w:rsidP="004278FB" w:rsidRDefault="003A56AB">
      <w:pPr>
        <w:pStyle w:val="JuPara"/>
      </w:pPr>
      <w:r w:rsidRPr="00EF0015">
        <w:t>Sedley LJ observed</w:t>
      </w:r>
      <w:r w:rsidRPr="00EF0015" w:rsidR="003F5139">
        <w:t>, in connection with this issue</w:t>
      </w:r>
      <w:r w:rsidRPr="00EF0015">
        <w:t>:</w:t>
      </w:r>
    </w:p>
    <w:p w:rsidRPr="00EF0015" w:rsidR="003A56AB" w:rsidP="003A56AB" w:rsidRDefault="003A56AB">
      <w:pPr>
        <w:pStyle w:val="JuQuot"/>
      </w:pPr>
      <w:r w:rsidRPr="00EF0015">
        <w:t xml:space="preserve"> “194.</w:t>
      </w:r>
      <w:r w:rsidR="00C31D73">
        <w:t>  </w:t>
      </w:r>
      <w:r w:rsidRPr="00EF0015">
        <w:t xml:space="preserve">On the one hand, it sits ill in the mouth of a </w:t>
      </w:r>
      <w:r w:rsidR="008C6F21">
        <w:t>S</w:t>
      </w:r>
      <w:r w:rsidRPr="00EF0015">
        <w:t>tate which has helped to displace and dismantle by force another nation</w:t>
      </w:r>
      <w:r w:rsidR="008570E8">
        <w:t>’</w:t>
      </w:r>
      <w:r w:rsidRPr="00EF0015">
        <w:t xml:space="preserve">s civil authority to plead that, as an </w:t>
      </w:r>
      <w:r w:rsidR="008C6F21">
        <w:t>O</w:t>
      </w:r>
      <w:r w:rsidRPr="00EF0015">
        <w:t xml:space="preserve">ccupying </w:t>
      </w:r>
      <w:r w:rsidR="008C6F21">
        <w:t>P</w:t>
      </w:r>
      <w:r w:rsidRPr="00EF0015">
        <w:t>ower, it has so little control that it cannot be responsible for securing the population</w:t>
      </w:r>
      <w:r w:rsidR="008570E8">
        <w:t>’</w:t>
      </w:r>
      <w:r w:rsidRPr="00EF0015">
        <w:t xml:space="preserve">s basic rights. </w:t>
      </w:r>
      <w:r w:rsidR="00E07594">
        <w:t>...</w:t>
      </w:r>
      <w:r w:rsidRPr="00EF0015">
        <w:t xml:space="preserve"> [However</w:t>
      </w:r>
      <w:r w:rsidR="008C6F21">
        <w:t>,</w:t>
      </w:r>
      <w:r w:rsidRPr="00EF0015">
        <w:t>] the fact is that it cannot: the invasion brought in its wake a vacuum of civil authority which British forces were and still are unable to fill. On the evidence before the Court they were, at least between mid-2003 and mid-2004, holding a fragile line against anarchy.”</w:t>
      </w:r>
    </w:p>
    <w:p w:rsidRPr="00EF0015" w:rsidR="004278FB" w:rsidP="004278FB" w:rsidRDefault="005B0569">
      <w:pPr>
        <w:pStyle w:val="JuPara"/>
      </w:pPr>
      <w:r w:rsidRPr="00EF0015">
        <w:fldChar w:fldCharType="begin"/>
      </w:r>
      <w:r w:rsidRPr="00EF0015">
        <w:instrText xml:space="preserve"> SEQ level0 \*arabic </w:instrText>
      </w:r>
      <w:r w:rsidRPr="00EF0015">
        <w:fldChar w:fldCharType="separate"/>
      </w:r>
      <w:r w:rsidR="00524A6D">
        <w:rPr>
          <w:noProof/>
        </w:rPr>
        <w:t>81</w:t>
      </w:r>
      <w:r w:rsidRPr="00EF0015">
        <w:fldChar w:fldCharType="end"/>
      </w:r>
      <w:r w:rsidRPr="00EF0015">
        <w:t>.  The Court of Appeal unanimously concluded that, s</w:t>
      </w:r>
      <w:r w:rsidRPr="00EF0015" w:rsidR="00D1699A">
        <w:t>ave</w:t>
      </w:r>
      <w:r w:rsidRPr="00EF0015" w:rsidR="004278FB">
        <w:t xml:space="preserve"> for the </w:t>
      </w:r>
      <w:r w:rsidR="00E3413D">
        <w:t xml:space="preserve">death of the </w:t>
      </w:r>
      <w:r w:rsidRPr="00EF0015" w:rsidR="004278FB">
        <w:t>sixth applicant</w:t>
      </w:r>
      <w:r w:rsidR="008570E8">
        <w:t>’</w:t>
      </w:r>
      <w:r w:rsidRPr="00EF0015" w:rsidR="004278FB">
        <w:t xml:space="preserve">s son, </w:t>
      </w:r>
      <w:r w:rsidRPr="00EF0015">
        <w:t>which</w:t>
      </w:r>
      <w:r w:rsidRPr="00EF0015" w:rsidR="004278FB">
        <w:t xml:space="preserve"> fell within the </w:t>
      </w:r>
      <w:r w:rsidRPr="00EF0015" w:rsidR="00F201B0">
        <w:t>“</w:t>
      </w:r>
      <w:r w:rsidRPr="00EF0015" w:rsidR="00F5628C">
        <w:t>S</w:t>
      </w:r>
      <w:r w:rsidRPr="00EF0015" w:rsidR="00F201B0">
        <w:t>tate agent authority”</w:t>
      </w:r>
      <w:r w:rsidRPr="00EF0015" w:rsidR="004278FB">
        <w:t xml:space="preserve"> exception, the United Kingdom did not have jurisdiction under Article</w:t>
      </w:r>
      <w:r w:rsidR="00C976AF">
        <w:t xml:space="preserve"> </w:t>
      </w:r>
      <w:r w:rsidRPr="00EF0015" w:rsidR="004278FB">
        <w:t xml:space="preserve">1 of the Convention. </w:t>
      </w:r>
      <w:r w:rsidR="008C6F21">
        <w:t>It</w:t>
      </w:r>
      <w:r w:rsidRPr="00EF0015">
        <w:t xml:space="preserve"> decided </w:t>
      </w:r>
      <w:r w:rsidRPr="00EF0015" w:rsidR="004278FB">
        <w:t>that the sixth applicant</w:t>
      </w:r>
      <w:r w:rsidR="008570E8">
        <w:t>’</w:t>
      </w:r>
      <w:r w:rsidRPr="00EF0015" w:rsidR="004278FB">
        <w:t xml:space="preserve">s claim </w:t>
      </w:r>
      <w:r w:rsidRPr="00EF0015">
        <w:t xml:space="preserve">also </w:t>
      </w:r>
      <w:r w:rsidRPr="00EF0015" w:rsidR="004278FB">
        <w:t>fell within the scope of the Human Rights Act 1998. Since the Divisional Court</w:t>
      </w:r>
      <w:r w:rsidR="008570E8">
        <w:t>’</w:t>
      </w:r>
      <w:r w:rsidRPr="00EF0015" w:rsidR="004278FB">
        <w:t>s examination of the case</w:t>
      </w:r>
      <w:r w:rsidR="008C6F21">
        <w:t>,</w:t>
      </w:r>
      <w:r w:rsidRPr="00EF0015" w:rsidR="004278FB">
        <w:t xml:space="preserve"> </w:t>
      </w:r>
      <w:r w:rsidR="008C6F21">
        <w:t>additional</w:t>
      </w:r>
      <w:r w:rsidRPr="00EF0015" w:rsidR="004278FB">
        <w:t xml:space="preserve"> information had emerged about the investigation into the death of the sixth applicant</w:t>
      </w:r>
      <w:r w:rsidR="008570E8">
        <w:t>’</w:t>
      </w:r>
      <w:r w:rsidRPr="00EF0015" w:rsidR="004278FB">
        <w:t>s son, including that court</w:t>
      </w:r>
      <w:r w:rsidR="008D39A8">
        <w:noBreakHyphen/>
      </w:r>
      <w:r w:rsidRPr="00EF0015" w:rsidR="004278FB">
        <w:t xml:space="preserve">martial proceedings were pending against a number of </w:t>
      </w:r>
      <w:r w:rsidR="00E3413D">
        <w:t>soldiers.</w:t>
      </w:r>
      <w:r w:rsidRPr="00EF0015" w:rsidR="004278FB">
        <w:t xml:space="preserve"> The Court of Appeal therefore remitted </w:t>
      </w:r>
      <w:r w:rsidRPr="00EF0015" w:rsidR="00E3413D">
        <w:t xml:space="preserve">the question whether there had been an adequate investigation </w:t>
      </w:r>
      <w:r w:rsidRPr="00EF0015" w:rsidR="004278FB">
        <w:t>to the Divisional Court for reconsideration following the completion of the court</w:t>
      </w:r>
      <w:r w:rsidR="000701A8">
        <w:t>-</w:t>
      </w:r>
      <w:r w:rsidRPr="00EF0015" w:rsidR="004278FB">
        <w:t>martial proceedings.</w:t>
      </w:r>
    </w:p>
    <w:p w:rsidRPr="00EF0015" w:rsidR="00C342FD" w:rsidP="004278FB" w:rsidRDefault="00C342FD">
      <w:pPr>
        <w:pStyle w:val="JuPara"/>
      </w:pPr>
      <w:r w:rsidRPr="00EF0015">
        <w:fldChar w:fldCharType="begin"/>
      </w:r>
      <w:r w:rsidRPr="00EF0015">
        <w:instrText xml:space="preserve"> SEQ level0 \*arabic </w:instrText>
      </w:r>
      <w:r w:rsidRPr="00EF0015">
        <w:fldChar w:fldCharType="separate"/>
      </w:r>
      <w:r w:rsidR="00524A6D">
        <w:rPr>
          <w:noProof/>
        </w:rPr>
        <w:t>82</w:t>
      </w:r>
      <w:r w:rsidRPr="00EF0015">
        <w:fldChar w:fldCharType="end"/>
      </w:r>
      <w:r w:rsidRPr="00EF0015">
        <w:t>.  Despite his conclusion on jurisdiction, Brooke LJ, at the express invitation of the Government, commented on the adequacy of the investigations carried out into the deaths, as follows:</w:t>
      </w:r>
    </w:p>
    <w:p w:rsidRPr="00EF0015" w:rsidR="00C342FD" w:rsidP="00C342FD" w:rsidRDefault="00C342FD">
      <w:pPr>
        <w:pStyle w:val="JuQuot"/>
      </w:pPr>
      <w:r w:rsidRPr="00EF0015">
        <w:t>“139.</w:t>
      </w:r>
      <w:r w:rsidR="00C31D73">
        <w:t>  </w:t>
      </w:r>
      <w:r w:rsidRPr="00EF0015">
        <w:t xml:space="preserve">After all, the first two Articles of the </w:t>
      </w:r>
      <w:r w:rsidRPr="00EF0015" w:rsidR="00F201B0">
        <w:t>[Convention]</w:t>
      </w:r>
      <w:r w:rsidRPr="00EF0015">
        <w:t xml:space="preserve"> merely articulate the contemporary concern of the entire European community about the importance that must always be attached to every human life. </w:t>
      </w:r>
      <w:r w:rsidR="00E07594">
        <w:t>...</w:t>
      </w:r>
      <w:r w:rsidRPr="00EF0015">
        <w:t xml:space="preserve"> Needless to say, the obligation to comply with these well-established international human rights standards would require, among other things, a far greater investment in the resources available to the Royal Military Police than was available to them in Iraq, and a complete severance of their investigations from the military chain of command.</w:t>
      </w:r>
    </w:p>
    <w:p w:rsidRPr="00EF0015" w:rsidR="00C342FD" w:rsidP="00C342FD" w:rsidRDefault="00C342FD">
      <w:pPr>
        <w:pStyle w:val="JuQuot"/>
      </w:pPr>
      <w:r w:rsidRPr="00EF0015">
        <w:t>140.</w:t>
      </w:r>
      <w:r w:rsidR="00C31D73">
        <w:t>  </w:t>
      </w:r>
      <w:r w:rsidRPr="00EF0015">
        <w:t xml:space="preserve">In other words, if international standards are to be observed, the task of investigating incidents in which a human life is taken by British forces must be completely taken away from the military chain of command and vested in the </w:t>
      </w:r>
      <w:r w:rsidRPr="00EF0015" w:rsidR="00DB5662">
        <w:t>[Royal Military Police]</w:t>
      </w:r>
      <w:r w:rsidRPr="00EF0015">
        <w:t>.</w:t>
      </w:r>
      <w:r w:rsidR="00C81668">
        <w:t xml:space="preserve"> </w:t>
      </w:r>
      <w:r w:rsidRPr="00EF0015">
        <w:t xml:space="preserve">It contains the requisite independence so long as it is free to decide for itself when to start and when to cease an investigation, and so long as it reports in the first instance to the </w:t>
      </w:r>
      <w:r w:rsidRPr="00EF0015" w:rsidR="00F201B0">
        <w:t>[</w:t>
      </w:r>
      <w:r w:rsidRPr="00EF0015">
        <w:t>A</w:t>
      </w:r>
      <w:r w:rsidRPr="00EF0015" w:rsidR="00F201B0">
        <w:t xml:space="preserve">rmy </w:t>
      </w:r>
      <w:r w:rsidRPr="00EF0015">
        <w:t>P</w:t>
      </w:r>
      <w:r w:rsidRPr="00EF0015" w:rsidR="00F201B0">
        <w:t xml:space="preserve">rosecuting </w:t>
      </w:r>
      <w:r w:rsidRPr="00EF0015">
        <w:t>A</w:t>
      </w:r>
      <w:r w:rsidRPr="00EF0015" w:rsidR="00F201B0">
        <w:t xml:space="preserve">uthority] </w:t>
      </w:r>
      <w:r w:rsidRPr="00EF0015">
        <w:t xml:space="preserve">and not to the military chain of command. It must then conduct an effective investigation, and it will be helped in this regard by the passages from </w:t>
      </w:r>
      <w:r w:rsidR="005A7CA8">
        <w:t>[the European Court</w:t>
      </w:r>
      <w:r w:rsidR="008570E8">
        <w:t>’</w:t>
      </w:r>
      <w:r w:rsidR="005A7CA8">
        <w:t>s]</w:t>
      </w:r>
      <w:r w:rsidRPr="00EF0015">
        <w:t xml:space="preserve"> case-law I have quoted. Many of the deficiencies highlighted by the evidence in this case will be remedied if the </w:t>
      </w:r>
      <w:r w:rsidRPr="00EF0015" w:rsidR="00DB5662">
        <w:t xml:space="preserve">[Royal Military Police] </w:t>
      </w:r>
      <w:r w:rsidRPr="00EF0015">
        <w:t>perform this role, and if they are also properly trained and properly resourced to conduct their investigations with the requisite degree of thoroughness.</w:t>
      </w:r>
      <w:r w:rsidRPr="00EF0015" w:rsidR="00DF22D8">
        <w:t>”</w:t>
      </w:r>
    </w:p>
    <w:p w:rsidRPr="00EF0015" w:rsidR="007266BC" w:rsidP="007266BC" w:rsidRDefault="00405921">
      <w:pPr>
        <w:pStyle w:val="JuH1"/>
      </w:pPr>
      <w:bookmarkStart w:name="_Toc275785580" w:id="81"/>
      <w:bookmarkStart w:name="_Toc289765872" w:id="82"/>
      <w:bookmarkStart w:name="_Toc289868961" w:id="83"/>
      <w:bookmarkStart w:name="_Toc297210657" w:id="84"/>
      <w:r>
        <w:t>3.  </w:t>
      </w:r>
      <w:r w:rsidRPr="00EF0015" w:rsidR="007266BC">
        <w:t>The House of Lords</w:t>
      </w:r>
      <w:bookmarkEnd w:id="81"/>
      <w:bookmarkEnd w:id="82"/>
      <w:bookmarkEnd w:id="83"/>
      <w:bookmarkEnd w:id="84"/>
    </w:p>
    <w:p w:rsidRPr="00EF0015" w:rsidR="00A57B16" w:rsidP="004278FB" w:rsidRDefault="00D1699A">
      <w:pPr>
        <w:pStyle w:val="JuPara"/>
      </w:pPr>
      <w:r w:rsidRPr="00EF0015">
        <w:fldChar w:fldCharType="begin"/>
      </w:r>
      <w:r w:rsidRPr="00EF0015">
        <w:instrText xml:space="preserve"> SEQ level0 \*arabic </w:instrText>
      </w:r>
      <w:r w:rsidRPr="00EF0015">
        <w:fldChar w:fldCharType="separate"/>
      </w:r>
      <w:r w:rsidR="00524A6D">
        <w:rPr>
          <w:noProof/>
        </w:rPr>
        <w:t>83</w:t>
      </w:r>
      <w:r w:rsidRPr="00EF0015">
        <w:fldChar w:fldCharType="end"/>
      </w:r>
      <w:r w:rsidRPr="00EF0015">
        <w:t>.  </w:t>
      </w:r>
      <w:r w:rsidRPr="00EF0015" w:rsidR="004278FB">
        <w:t xml:space="preserve">The </w:t>
      </w:r>
      <w:r w:rsidR="000E02DF">
        <w:t>first four applicants</w:t>
      </w:r>
      <w:r w:rsidRPr="00EF0015" w:rsidR="004278FB">
        <w:t xml:space="preserve"> appealed a</w:t>
      </w:r>
      <w:r w:rsidR="00C01416">
        <w:t>nd the Secretary of State cross</w:t>
      </w:r>
      <w:r w:rsidR="00C01416">
        <w:noBreakHyphen/>
      </w:r>
      <w:r w:rsidRPr="00EF0015" w:rsidR="004278FB">
        <w:t>appealed to the House of Lords,</w:t>
      </w:r>
      <w:r w:rsidR="00405921">
        <w:t xml:space="preserve"> which gave judgment on 13 June </w:t>
      </w:r>
      <w:r w:rsidRPr="00EF0015" w:rsidR="004278FB">
        <w:t>2007 ([2007] UKHL 26). The major</w:t>
      </w:r>
      <w:r w:rsidR="00405921">
        <w:t xml:space="preserve">ity of the House of Lords (Lord </w:t>
      </w:r>
      <w:r w:rsidRPr="00EF0015" w:rsidR="004278FB">
        <w:t>Rodger</w:t>
      </w:r>
      <w:r w:rsidRPr="00EF0015" w:rsidR="00B81DA8">
        <w:t xml:space="preserve"> of Earlsferry</w:t>
      </w:r>
      <w:r w:rsidRPr="00EF0015" w:rsidR="004278FB">
        <w:t>, Baroness Hale</w:t>
      </w:r>
      <w:r w:rsidRPr="00EF0015" w:rsidR="00B81DA8">
        <w:t xml:space="preserve"> of Richmond</w:t>
      </w:r>
      <w:r w:rsidR="004B665B">
        <w:t xml:space="preserve">, Lord </w:t>
      </w:r>
      <w:r w:rsidRPr="00EF0015" w:rsidR="004278FB">
        <w:t>Carswell and Lord Brown</w:t>
      </w:r>
      <w:r w:rsidRPr="00EF0015" w:rsidR="00B81DA8">
        <w:t xml:space="preserve"> of Eaton-under-Heywood</w:t>
      </w:r>
      <w:r w:rsidRPr="00EF0015" w:rsidR="004278FB">
        <w:t xml:space="preserve">) held that the general purpose of the Human Rights Act 1998 was to provide a remedial structure in domestic law for the rights guaranteed by the Convention, and that the 1998 Act should therefore be interpreted as applying wherever the United Kingdom had jurisdiction under Article 1 of the Convention. </w:t>
      </w:r>
      <w:r w:rsidRPr="00EF0015" w:rsidR="00B752E8">
        <w:t>Lord Bingham of Cornhill, dissenting, held that the Human Rights Act had no extraterritorial application.</w:t>
      </w:r>
    </w:p>
    <w:p w:rsidRPr="00EF0015" w:rsidR="00575C99" w:rsidP="00575C99" w:rsidRDefault="00566E55">
      <w:pPr>
        <w:pStyle w:val="JuPara"/>
      </w:pPr>
      <w:r w:rsidRPr="00EF0015">
        <w:fldChar w:fldCharType="begin"/>
      </w:r>
      <w:r w:rsidRPr="00EF0015">
        <w:instrText xml:space="preserve"> SEQ level0 \*arabic </w:instrText>
      </w:r>
      <w:r w:rsidRPr="00EF0015">
        <w:fldChar w:fldCharType="separate"/>
      </w:r>
      <w:r w:rsidR="00524A6D">
        <w:rPr>
          <w:noProof/>
        </w:rPr>
        <w:t>84</w:t>
      </w:r>
      <w:r w:rsidRPr="00EF0015">
        <w:fldChar w:fldCharType="end"/>
      </w:r>
      <w:r w:rsidRPr="00EF0015">
        <w:t>.  </w:t>
      </w:r>
      <w:r w:rsidRPr="00EF0015" w:rsidR="00D83EB0">
        <w:t xml:space="preserve">In relation to </w:t>
      </w:r>
      <w:r w:rsidRPr="00EF0015" w:rsidR="004278FB">
        <w:t xml:space="preserve">the first </w:t>
      </w:r>
      <w:r w:rsidR="00F54C96">
        <w:t xml:space="preserve">four </w:t>
      </w:r>
      <w:r w:rsidRPr="00EF0015" w:rsidR="004278FB">
        <w:t>applicants</w:t>
      </w:r>
      <w:r w:rsidR="008570E8">
        <w:t>’</w:t>
      </w:r>
      <w:r w:rsidRPr="00EF0015" w:rsidR="004278FB">
        <w:t xml:space="preserve"> complaints, the </w:t>
      </w:r>
      <w:r w:rsidRPr="00EF0015" w:rsidR="003725FF">
        <w:t xml:space="preserve">majority of the </w:t>
      </w:r>
      <w:r w:rsidRPr="00EF0015" w:rsidR="004278FB">
        <w:t>House of Lords</w:t>
      </w:r>
      <w:r w:rsidRPr="00EF0015" w:rsidR="00575C99">
        <w:t xml:space="preserve"> </w:t>
      </w:r>
      <w:r w:rsidRPr="00EF0015" w:rsidR="004278FB">
        <w:t>found that the United Kingdom did not have jurisdiction over the deaths</w:t>
      </w:r>
      <w:r w:rsidRPr="00EF0015" w:rsidR="00575C99">
        <w:t xml:space="preserve">. Because of his opinion that the Human Rights Act had no extraterritorial application, Lord Bingham did not consider it useful to express a view as </w:t>
      </w:r>
      <w:r w:rsidR="005A7CA8">
        <w:t xml:space="preserve">to </w:t>
      </w:r>
      <w:r w:rsidRPr="00EF0015" w:rsidR="00575C99">
        <w:t>whether the United Kingdom exercised jurisdiction within the meaning of Article 1 of the Convention.</w:t>
      </w:r>
    </w:p>
    <w:p w:rsidRPr="00EF0015" w:rsidR="00575C99" w:rsidP="00BD6BBB" w:rsidRDefault="00B06ABD">
      <w:pPr>
        <w:pStyle w:val="JuPara"/>
      </w:pPr>
      <w:r w:rsidRPr="00EF0015">
        <w:fldChar w:fldCharType="begin"/>
      </w:r>
      <w:r w:rsidRPr="00EF0015">
        <w:instrText xml:space="preserve"> SEQ level0 \*arabic </w:instrText>
      </w:r>
      <w:r w:rsidRPr="00EF0015">
        <w:fldChar w:fldCharType="separate"/>
      </w:r>
      <w:r w:rsidR="00524A6D">
        <w:rPr>
          <w:noProof/>
        </w:rPr>
        <w:t>85</w:t>
      </w:r>
      <w:r w:rsidRPr="00EF0015">
        <w:fldChar w:fldCharType="end"/>
      </w:r>
      <w:r w:rsidRPr="00EF0015">
        <w:t>.  </w:t>
      </w:r>
      <w:r w:rsidRPr="00EF0015" w:rsidR="00575C99">
        <w:t xml:space="preserve">Lord Brown, with whom the </w:t>
      </w:r>
      <w:r w:rsidRPr="00EF0015" w:rsidR="00D83EB0">
        <w:t>majority</w:t>
      </w:r>
      <w:r w:rsidRPr="00EF0015" w:rsidR="00575C99">
        <w:t xml:space="preserve"> agreed, </w:t>
      </w:r>
      <w:r w:rsidRPr="00EF0015" w:rsidR="00BD6BBB">
        <w:t>began by observing that ultimately the decision about how Article 1 of the Convention should be interpreted and applied was for th</w:t>
      </w:r>
      <w:r w:rsidR="00F54C96">
        <w:t xml:space="preserve">e European </w:t>
      </w:r>
      <w:r w:rsidRPr="00EF0015" w:rsidR="00BD6BBB">
        <w:t>Court</w:t>
      </w:r>
      <w:r w:rsidR="00F54C96">
        <w:t xml:space="preserve"> of Human Rights</w:t>
      </w:r>
      <w:r w:rsidRPr="00EF0015" w:rsidR="00BD6BBB">
        <w:t>, since the duty of the national court was only to keep pace with the Court</w:t>
      </w:r>
      <w:r w:rsidR="008570E8">
        <w:t>’</w:t>
      </w:r>
      <w:r w:rsidRPr="00EF0015" w:rsidR="00BD6BBB">
        <w:t>s case-law; there was a danger in a national court construing the Convention too generously in favour of an applicant, since the respondent State had no means of referring such a case to the Court.</w:t>
      </w:r>
      <w:r w:rsidR="00C81668">
        <w:t xml:space="preserve"> </w:t>
      </w:r>
      <w:r w:rsidRPr="00EF0015" w:rsidR="00BD6BBB">
        <w:t>Lord Brown took as his starting</w:t>
      </w:r>
      <w:r w:rsidR="00C844D6">
        <w:t>-</w:t>
      </w:r>
      <w:r w:rsidRPr="00EF0015" w:rsidR="00BD6BBB">
        <w:t xml:space="preserve">point </w:t>
      </w:r>
      <w:r w:rsidRPr="00EF0015" w:rsidR="00575C99">
        <w:t xml:space="preserve">the decision of the Grand Chamber in </w:t>
      </w:r>
      <w:r w:rsidRPr="00EF0015" w:rsidR="00BD6BBB">
        <w:rPr>
          <w:i/>
        </w:rPr>
        <w:t>Banković</w:t>
      </w:r>
      <w:r w:rsidR="00035A69">
        <w:rPr>
          <w:i/>
        </w:rPr>
        <w:t xml:space="preserve"> and Others</w:t>
      </w:r>
      <w:r w:rsidR="00333167">
        <w:rPr>
          <w:i/>
        </w:rPr>
        <w:t xml:space="preserve"> </w:t>
      </w:r>
      <w:r w:rsidR="00DE504F">
        <w:t>(cited above)</w:t>
      </w:r>
      <w:r w:rsidRPr="00D8100E" w:rsidR="00BD6BBB">
        <w:t>,</w:t>
      </w:r>
      <w:r w:rsidRPr="00EF0015" w:rsidR="00BD6BBB">
        <w:rPr>
          <w:i/>
        </w:rPr>
        <w:t xml:space="preserve"> </w:t>
      </w:r>
      <w:r w:rsidRPr="00EF0015" w:rsidR="00BD6BBB">
        <w:t>which he described as “</w:t>
      </w:r>
      <w:r w:rsidRPr="00EF0015" w:rsidR="00575C99">
        <w:t>a watershed authority in the light of which the Strasbourg jurisprudence as a whole has to be re-evaluated</w:t>
      </w:r>
      <w:r w:rsidRPr="00EF0015" w:rsidR="00BD6BBB">
        <w:t>”</w:t>
      </w:r>
      <w:r w:rsidRPr="00EF0015" w:rsidR="00575C99">
        <w:t xml:space="preserve">. </w:t>
      </w:r>
      <w:r w:rsidRPr="00EF0015" w:rsidR="00BD6BBB">
        <w:t xml:space="preserve">He considered that the following propositions could be derived from the decision in </w:t>
      </w:r>
      <w:r w:rsidRPr="00EF0015" w:rsidR="00BD6BBB">
        <w:rPr>
          <w:i/>
        </w:rPr>
        <w:t>Banković</w:t>
      </w:r>
      <w:r w:rsidR="00035A69">
        <w:rPr>
          <w:i/>
        </w:rPr>
        <w:t xml:space="preserve"> and Others</w:t>
      </w:r>
      <w:r w:rsidRPr="00EF0015" w:rsidR="00F16E1B">
        <w:rPr>
          <w:i/>
        </w:rPr>
        <w:t xml:space="preserve"> </w:t>
      </w:r>
      <w:r w:rsidRPr="00EF0015" w:rsidR="00F16E1B">
        <w:t>(</w:t>
      </w:r>
      <w:r w:rsidR="004745F4">
        <w:t>paragraph</w:t>
      </w:r>
      <w:r w:rsidR="004B665B">
        <w:t xml:space="preserve"> </w:t>
      </w:r>
      <w:r w:rsidR="00DE504F">
        <w:t>1</w:t>
      </w:r>
      <w:r w:rsidRPr="00EF0015" w:rsidR="00F16E1B">
        <w:t>09 of the House of Lords judgment)</w:t>
      </w:r>
      <w:r w:rsidR="004E7CF0">
        <w:t>:</w:t>
      </w:r>
    </w:p>
    <w:p w:rsidRPr="00EF0015" w:rsidR="00575C99" w:rsidP="00D64E77" w:rsidRDefault="00F16E1B">
      <w:pPr>
        <w:pStyle w:val="JuQuot"/>
        <w:ind w:left="567"/>
      </w:pPr>
      <w:r w:rsidRPr="00EF0015">
        <w:t>“</w:t>
      </w:r>
      <w:r w:rsidRPr="00EF0015" w:rsidR="00575C99">
        <w:t>1</w:t>
      </w:r>
      <w:r w:rsidR="00446190">
        <w:t>.  </w:t>
      </w:r>
      <w:r w:rsidRPr="00EF0015" w:rsidR="00575C99">
        <w:t xml:space="preserve">Article 1 reflects an </w:t>
      </w:r>
      <w:r w:rsidR="008570E8">
        <w:t>‘</w:t>
      </w:r>
      <w:r w:rsidRPr="00EF0015" w:rsidR="00575C99">
        <w:t>essentially territorial notion of jurisdiction</w:t>
      </w:r>
      <w:r w:rsidR="008570E8">
        <w:t>’</w:t>
      </w:r>
      <w:r w:rsidRPr="00EF0015" w:rsidR="00575C99">
        <w:t xml:space="preserve"> (a phrase repeated several times in the Court</w:t>
      </w:r>
      <w:r w:rsidR="008570E8">
        <w:t>’</w:t>
      </w:r>
      <w:r w:rsidRPr="00EF0015" w:rsidR="00575C99">
        <w:t xml:space="preserve">s judgment), </w:t>
      </w:r>
      <w:r w:rsidR="008570E8">
        <w:t>‘</w:t>
      </w:r>
      <w:r w:rsidRPr="00EF0015" w:rsidR="00575C99">
        <w:t>other bases of jurisdiction being exceptional and requiring special justification in the particular circumstances of each case</w:t>
      </w:r>
      <w:r w:rsidR="008570E8">
        <w:t>’</w:t>
      </w:r>
      <w:r w:rsidRPr="00EF0015" w:rsidR="00575C99">
        <w:t xml:space="preserve"> (</w:t>
      </w:r>
      <w:r w:rsidR="004745F4">
        <w:t>§</w:t>
      </w:r>
      <w:r w:rsidRPr="00EF0015" w:rsidR="00575C99">
        <w:t xml:space="preserve"> 61). The Convention operates, subject to </w:t>
      </w:r>
      <w:r w:rsidR="004745F4">
        <w:t>A</w:t>
      </w:r>
      <w:r w:rsidRPr="00EF0015" w:rsidR="00575C99">
        <w:t xml:space="preserve">rticle 56, </w:t>
      </w:r>
      <w:r w:rsidR="008570E8">
        <w:t>‘</w:t>
      </w:r>
      <w:r w:rsidRPr="00EF0015" w:rsidR="00575C99">
        <w:t>in an essentially regional context and notably in the legal space (</w:t>
      </w:r>
      <w:r w:rsidRPr="00EF0015" w:rsidR="00575C99">
        <w:rPr>
          <w:i/>
        </w:rPr>
        <w:t>espace juridique</w:t>
      </w:r>
      <w:r w:rsidRPr="00EF0015" w:rsidR="00575C99">
        <w:t xml:space="preserve">) of the </w:t>
      </w:r>
      <w:r w:rsidR="004745F4">
        <w:t>C</w:t>
      </w:r>
      <w:r w:rsidRPr="00EF0015" w:rsidR="00575C99">
        <w:t xml:space="preserve">ontracting </w:t>
      </w:r>
      <w:r w:rsidR="004745F4">
        <w:t>S</w:t>
      </w:r>
      <w:r w:rsidRPr="00EF0015" w:rsidR="00575C99">
        <w:t>tates</w:t>
      </w:r>
      <w:r w:rsidR="008570E8">
        <w:t>’</w:t>
      </w:r>
      <w:r w:rsidRPr="00EF0015" w:rsidR="00575C99">
        <w:t xml:space="preserve"> (</w:t>
      </w:r>
      <w:r w:rsidR="004745F4">
        <w:t>§</w:t>
      </w:r>
      <w:r w:rsidRPr="00EF0015" w:rsidR="00575C99">
        <w:t xml:space="preserve"> 80) (i</w:t>
      </w:r>
      <w:r w:rsidR="00C66D63">
        <w:t>.</w:t>
      </w:r>
      <w:r w:rsidRPr="00EF0015" w:rsidR="00575C99">
        <w:t>e</w:t>
      </w:r>
      <w:r w:rsidR="00C66D63">
        <w:t>.</w:t>
      </w:r>
      <w:r w:rsidRPr="00EF0015" w:rsidR="00575C99">
        <w:t xml:space="preserve"> within the area of the Council of Europe countries).</w:t>
      </w:r>
    </w:p>
    <w:p w:rsidRPr="00EF0015" w:rsidR="00575C99" w:rsidP="00D64E77" w:rsidRDefault="00575C99">
      <w:pPr>
        <w:pStyle w:val="JuQuot"/>
        <w:ind w:left="567"/>
      </w:pPr>
      <w:r w:rsidRPr="00EF0015">
        <w:t>2</w:t>
      </w:r>
      <w:r w:rsidR="00446190">
        <w:t>.  </w:t>
      </w:r>
      <w:r w:rsidRPr="00EF0015">
        <w:t xml:space="preserve">The Court recognises </w:t>
      </w:r>
      <w:r w:rsidR="004745F4">
        <w:t>A</w:t>
      </w:r>
      <w:r w:rsidRPr="00EF0015">
        <w:t xml:space="preserve">rticle 1 jurisdiction to avoid a </w:t>
      </w:r>
      <w:r w:rsidR="008570E8">
        <w:t>‘</w:t>
      </w:r>
      <w:r w:rsidRPr="00EF0015">
        <w:t>vacuum in human rights</w:t>
      </w:r>
      <w:r w:rsidR="008570E8">
        <w:t>’</w:t>
      </w:r>
      <w:r w:rsidRPr="00EF0015">
        <w:t xml:space="preserve"> protection</w:t>
      </w:r>
      <w:r w:rsidR="008570E8">
        <w:t>’</w:t>
      </w:r>
      <w:r w:rsidRPr="00EF0015">
        <w:t xml:space="preserve"> when the territory </w:t>
      </w:r>
      <w:r w:rsidR="008570E8">
        <w:t>‘</w:t>
      </w:r>
      <w:r w:rsidRPr="00EF0015">
        <w:t>would normally be covered by the Convention</w:t>
      </w:r>
      <w:r w:rsidR="008570E8">
        <w:t>’</w:t>
      </w:r>
      <w:r w:rsidR="00C01416">
        <w:t xml:space="preserve"> (</w:t>
      </w:r>
      <w:r w:rsidR="004745F4">
        <w:t>§</w:t>
      </w:r>
      <w:r w:rsidR="00C01416">
        <w:t> </w:t>
      </w:r>
      <w:r w:rsidRPr="00EF0015">
        <w:t>80) (i</w:t>
      </w:r>
      <w:r w:rsidR="00C66D63">
        <w:t>.</w:t>
      </w:r>
      <w:r w:rsidRPr="00EF0015">
        <w:t>e</w:t>
      </w:r>
      <w:r w:rsidR="00C66D63">
        <w:t>.</w:t>
      </w:r>
      <w:r w:rsidRPr="00EF0015">
        <w:t xml:space="preserve"> in a Council of Europe country) where otherwise (as in </w:t>
      </w:r>
      <w:r w:rsidR="00DE67FD">
        <w:t>n</w:t>
      </w:r>
      <w:r w:rsidRPr="00EF0015">
        <w:t xml:space="preserve">orthern Cyprus) the inhabitants </w:t>
      </w:r>
      <w:r w:rsidR="008570E8">
        <w:t>‘</w:t>
      </w:r>
      <w:r w:rsidRPr="00EF0015">
        <w:t>would have found themselves excluded from the benefits of the Convention safeguards and system which they had previously enjoyed</w:t>
      </w:r>
      <w:r w:rsidR="008570E8">
        <w:t>’</w:t>
      </w:r>
      <w:r w:rsidR="00C01416">
        <w:t xml:space="preserve"> (</w:t>
      </w:r>
      <w:r w:rsidR="00C66D63">
        <w:t>§</w:t>
      </w:r>
      <w:r w:rsidR="00C01416">
        <w:t> </w:t>
      </w:r>
      <w:r w:rsidRPr="00EF0015">
        <w:t>80).</w:t>
      </w:r>
    </w:p>
    <w:p w:rsidRPr="00EF0015" w:rsidR="00575C99" w:rsidP="00D64E77" w:rsidRDefault="00575C99">
      <w:pPr>
        <w:pStyle w:val="JuQuot"/>
        <w:ind w:left="567"/>
      </w:pPr>
      <w:r w:rsidRPr="00EF0015">
        <w:t>3</w:t>
      </w:r>
      <w:r w:rsidR="00446190">
        <w:t>.  </w:t>
      </w:r>
      <w:r w:rsidRPr="00EF0015">
        <w:t xml:space="preserve">The rights and freedoms defined in the Convention cannot be </w:t>
      </w:r>
      <w:r w:rsidR="008570E8">
        <w:t>‘</w:t>
      </w:r>
      <w:r w:rsidRPr="00EF0015">
        <w:t>divided and tailored</w:t>
      </w:r>
      <w:r w:rsidR="008570E8">
        <w:t>’</w:t>
      </w:r>
      <w:r w:rsidRPr="00EF0015">
        <w:t xml:space="preserve"> (</w:t>
      </w:r>
      <w:r w:rsidR="00906BA5">
        <w:t>§</w:t>
      </w:r>
      <w:r w:rsidRPr="00EF0015">
        <w:t xml:space="preserve"> 75).</w:t>
      </w:r>
    </w:p>
    <w:p w:rsidRPr="00EF0015" w:rsidR="00575C99" w:rsidP="00D64E77" w:rsidRDefault="00575C99">
      <w:pPr>
        <w:pStyle w:val="JuQuot"/>
        <w:ind w:left="567"/>
      </w:pPr>
      <w:r w:rsidRPr="00EF0015">
        <w:t>4</w:t>
      </w:r>
      <w:r w:rsidR="00446190">
        <w:t>.  </w:t>
      </w:r>
      <w:r w:rsidRPr="00EF0015">
        <w:t>The circumstances in which the Court has exceptionally recognise</w:t>
      </w:r>
      <w:r w:rsidR="00C01416">
        <w:t>d the extra</w:t>
      </w:r>
      <w:r w:rsidRPr="00EF0015">
        <w:t xml:space="preserve">territorial exercise of jurisdiction by a </w:t>
      </w:r>
      <w:r w:rsidR="00906BA5">
        <w:t>S</w:t>
      </w:r>
      <w:r w:rsidRPr="00EF0015">
        <w:t>tate include:</w:t>
      </w:r>
    </w:p>
    <w:p w:rsidRPr="00EF0015" w:rsidR="00575C99" w:rsidP="00D64E77" w:rsidRDefault="00575C99">
      <w:pPr>
        <w:pStyle w:val="JuQuot"/>
        <w:ind w:left="706"/>
      </w:pPr>
      <w:r w:rsidRPr="00EF0015">
        <w:t>(i)</w:t>
      </w:r>
      <w:r w:rsidR="00446190">
        <w:t>  </w:t>
      </w:r>
      <w:r w:rsidRPr="00EF0015">
        <w:t xml:space="preserve">Where the </w:t>
      </w:r>
      <w:r w:rsidR="00906BA5">
        <w:t>S</w:t>
      </w:r>
      <w:r w:rsidRPr="00EF0015">
        <w:t xml:space="preserve">tate </w:t>
      </w:r>
      <w:r w:rsidR="008570E8">
        <w:t>‘</w:t>
      </w:r>
      <w:r w:rsidRPr="00EF0015">
        <w:t>through the effective control of the relevant territory and its inhabitants abroad as a consequence of military occupation or through the consent, invitation or acquiescence of the government of that territory, exercises all or some of the public powers normally to be exercised by [the government of that territory]</w:t>
      </w:r>
      <w:r w:rsidR="008570E8">
        <w:t>’</w:t>
      </w:r>
      <w:r w:rsidRPr="00EF0015">
        <w:t xml:space="preserve"> (</w:t>
      </w:r>
      <w:r w:rsidR="00906BA5">
        <w:t>§</w:t>
      </w:r>
      <w:r w:rsidRPr="00EF0015">
        <w:t xml:space="preserve"> 71) (i</w:t>
      </w:r>
      <w:r w:rsidR="00C66D63">
        <w:t>.</w:t>
      </w:r>
      <w:r w:rsidRPr="00EF0015">
        <w:t>e</w:t>
      </w:r>
      <w:r w:rsidR="00C66D63">
        <w:t>.</w:t>
      </w:r>
      <w:r w:rsidRPr="00EF0015">
        <w:t xml:space="preserve"> when otherwise there would be a vacuum within a Council of</w:t>
      </w:r>
      <w:r w:rsidRPr="00EF0015" w:rsidR="00D64E77">
        <w:t xml:space="preserve"> </w:t>
      </w:r>
      <w:r w:rsidRPr="00EF0015">
        <w:t>Europe country, the government of that country itself being</w:t>
      </w:r>
      <w:r w:rsidRPr="00EF0015" w:rsidR="00D64E77">
        <w:t xml:space="preserve"> unable </w:t>
      </w:r>
      <w:r w:rsidR="008570E8">
        <w:t>‘</w:t>
      </w:r>
      <w:r w:rsidRPr="00EF0015">
        <w:t>to fulfil the obligations it had undertaken under the</w:t>
      </w:r>
      <w:r w:rsidRPr="00EF0015" w:rsidR="00D64E77">
        <w:t xml:space="preserve"> Convention</w:t>
      </w:r>
      <w:r w:rsidR="008570E8">
        <w:t>’</w:t>
      </w:r>
      <w:r w:rsidRPr="00EF0015">
        <w:t xml:space="preserve"> (</w:t>
      </w:r>
      <w:r w:rsidR="00906BA5">
        <w:t>§</w:t>
      </w:r>
      <w:r w:rsidR="004B665B">
        <w:t xml:space="preserve"> </w:t>
      </w:r>
      <w:r w:rsidRPr="00EF0015">
        <w:t xml:space="preserve">80) (as in </w:t>
      </w:r>
      <w:r w:rsidR="00DE67FD">
        <w:t>n</w:t>
      </w:r>
      <w:r w:rsidRPr="00EF0015">
        <w:t>orthern Cyprus)</w:t>
      </w:r>
      <w:r w:rsidR="00906BA5">
        <w:t>)</w:t>
      </w:r>
      <w:r w:rsidRPr="00EF0015">
        <w:t>.</w:t>
      </w:r>
    </w:p>
    <w:p w:rsidRPr="00EF0015" w:rsidR="00575C99" w:rsidP="00D64E77" w:rsidRDefault="00D64E77">
      <w:pPr>
        <w:pStyle w:val="JuQuot"/>
        <w:ind w:left="706"/>
      </w:pPr>
      <w:r w:rsidRPr="00EF0015">
        <w:t>(ii)</w:t>
      </w:r>
      <w:r w:rsidR="00446190">
        <w:t>  </w:t>
      </w:r>
      <w:r w:rsidR="008570E8">
        <w:t>’</w:t>
      </w:r>
      <w:r w:rsidR="00906BA5">
        <w:t>[</w:t>
      </w:r>
      <w:r w:rsidRPr="00EF0015" w:rsidR="00575C99">
        <w:t>C</w:t>
      </w:r>
      <w:r w:rsidR="00906BA5">
        <w:t>]</w:t>
      </w:r>
      <w:r w:rsidRPr="00EF0015" w:rsidR="00575C99">
        <w:t>ases involving the activities of its diplomatic or consular</w:t>
      </w:r>
      <w:r w:rsidRPr="00EF0015">
        <w:t xml:space="preserve"> </w:t>
      </w:r>
      <w:r w:rsidRPr="00EF0015" w:rsidR="00575C99">
        <w:t>agents abroad and on board craft and vessels registered in, or</w:t>
      </w:r>
      <w:r w:rsidRPr="00EF0015">
        <w:t xml:space="preserve"> </w:t>
      </w:r>
      <w:r w:rsidRPr="00EF0015" w:rsidR="00575C99">
        <w:t xml:space="preserve">flying the flag of, that </w:t>
      </w:r>
      <w:r w:rsidR="00906BA5">
        <w:t>S</w:t>
      </w:r>
      <w:r w:rsidRPr="00EF0015" w:rsidR="00575C99">
        <w:t>tate [where] customary international</w:t>
      </w:r>
      <w:r w:rsidRPr="00EF0015">
        <w:t xml:space="preserve"> </w:t>
      </w:r>
      <w:r w:rsidRPr="00EF0015" w:rsidR="00575C99">
        <w:t>law and treaty provisions have recognised the extraterritorial</w:t>
      </w:r>
      <w:r w:rsidRPr="00EF0015">
        <w:t xml:space="preserve"> </w:t>
      </w:r>
      <w:r w:rsidRPr="00EF0015" w:rsidR="00575C99">
        <w:t>exercise of jurisdiction</w:t>
      </w:r>
      <w:r w:rsidR="008570E8">
        <w:t>’</w:t>
      </w:r>
      <w:r w:rsidRPr="00EF0015" w:rsidR="00575C99">
        <w:t xml:space="preserve"> (</w:t>
      </w:r>
      <w:r w:rsidR="00906BA5">
        <w:t>§</w:t>
      </w:r>
      <w:r w:rsidRPr="00EF0015" w:rsidR="00575C99">
        <w:t xml:space="preserve"> 73).</w:t>
      </w:r>
    </w:p>
    <w:p w:rsidRPr="00EF0015" w:rsidR="00575C99" w:rsidP="00D64E77" w:rsidRDefault="00575C99">
      <w:pPr>
        <w:pStyle w:val="JuQuot"/>
        <w:ind w:left="709"/>
      </w:pPr>
      <w:r w:rsidRPr="00EF0015">
        <w:t>(iii)</w:t>
      </w:r>
      <w:r w:rsidR="00446190">
        <w:t>  </w:t>
      </w:r>
      <w:r w:rsidRPr="00EF0015">
        <w:t xml:space="preserve">Certain other cases where a </w:t>
      </w:r>
      <w:r w:rsidR="00906BA5">
        <w:t>S</w:t>
      </w:r>
      <w:r w:rsidRPr="00EF0015">
        <w:t>tate</w:t>
      </w:r>
      <w:r w:rsidR="008570E8">
        <w:t>’</w:t>
      </w:r>
      <w:r w:rsidRPr="00EF0015">
        <w:t xml:space="preserve">s responsibility </w:t>
      </w:r>
      <w:r w:rsidR="008570E8">
        <w:t>‘</w:t>
      </w:r>
      <w:r w:rsidRPr="00EF0015">
        <w:t>could, in</w:t>
      </w:r>
      <w:r w:rsidRPr="00EF0015" w:rsidR="00D64E77">
        <w:t xml:space="preserve"> </w:t>
      </w:r>
      <w:r w:rsidRPr="00EF0015">
        <w:t xml:space="preserve">principle, be engaged because of acts </w:t>
      </w:r>
      <w:r w:rsidR="00E07594">
        <w:t>...</w:t>
      </w:r>
      <w:r w:rsidRPr="00EF0015">
        <w:t xml:space="preserve"> which produced</w:t>
      </w:r>
      <w:r w:rsidRPr="00EF0015" w:rsidR="00D64E77">
        <w:t xml:space="preserve"> </w:t>
      </w:r>
      <w:r w:rsidRPr="00EF0015">
        <w:t>effects or were perfor</w:t>
      </w:r>
      <w:r w:rsidRPr="00EF0015" w:rsidR="00D64E77">
        <w:t>med outside their own territory</w:t>
      </w:r>
      <w:r w:rsidR="008570E8">
        <w:t>’</w:t>
      </w:r>
      <w:r w:rsidRPr="00EF0015">
        <w:t xml:space="preserve"> (</w:t>
      </w:r>
      <w:r w:rsidR="00906BA5">
        <w:t>§</w:t>
      </w:r>
      <w:r w:rsidRPr="00EF0015" w:rsidR="00D64E77">
        <w:t xml:space="preserve"> </w:t>
      </w:r>
      <w:r w:rsidRPr="00EF0015">
        <w:t xml:space="preserve">69). </w:t>
      </w:r>
      <w:r w:rsidRPr="00EF0015">
        <w:rPr>
          <w:i/>
        </w:rPr>
        <w:t xml:space="preserve">Drozd </w:t>
      </w:r>
      <w:r w:rsidR="00906BA5">
        <w:t>[</w:t>
      </w:r>
      <w:r w:rsidRPr="00D8100E" w:rsidR="00906BA5">
        <w:rPr>
          <w:i/>
        </w:rPr>
        <w:t>and Ja</w:t>
      </w:r>
      <w:r w:rsidR="00906BA5">
        <w:rPr>
          <w:i/>
        </w:rPr>
        <w:t>n</w:t>
      </w:r>
      <w:r w:rsidRPr="00D8100E" w:rsidR="00906BA5">
        <w:rPr>
          <w:i/>
        </w:rPr>
        <w:t>ousek</w:t>
      </w:r>
      <w:r w:rsidR="00906BA5">
        <w:t xml:space="preserve">] </w:t>
      </w:r>
      <w:r w:rsidRPr="00EF0015">
        <w:rPr>
          <w:i/>
        </w:rPr>
        <w:t>v</w:t>
      </w:r>
      <w:r w:rsidR="00906BA5">
        <w:rPr>
          <w:i/>
        </w:rPr>
        <w:t>.</w:t>
      </w:r>
      <w:r w:rsidRPr="00EF0015">
        <w:rPr>
          <w:i/>
        </w:rPr>
        <w:t xml:space="preserve"> France</w:t>
      </w:r>
      <w:r w:rsidRPr="00EF0015">
        <w:t xml:space="preserve"> </w:t>
      </w:r>
      <w:r w:rsidR="00906BA5">
        <w:t>[</w:t>
      </w:r>
      <w:r w:rsidRPr="00D8100E" w:rsidR="00906BA5">
        <w:rPr>
          <w:i/>
        </w:rPr>
        <w:t>and Spain</w:t>
      </w:r>
      <w:r w:rsidR="00906BA5">
        <w:t xml:space="preserve">] </w:t>
      </w:r>
      <w:r w:rsidRPr="00EF0015">
        <w:t>(</w:t>
      </w:r>
      <w:r w:rsidR="00906BA5">
        <w:t xml:space="preserve">[26 June] </w:t>
      </w:r>
      <w:r w:rsidRPr="00EF0015">
        <w:t>1992</w:t>
      </w:r>
      <w:r w:rsidR="00690EFB">
        <w:t>[, Series A no. 240]</w:t>
      </w:r>
      <w:r w:rsidRPr="00EF0015">
        <w:t xml:space="preserve">) 14 EHRR 745 (at </w:t>
      </w:r>
      <w:r w:rsidR="00486DA0">
        <w:t>§</w:t>
      </w:r>
      <w:r w:rsidRPr="00EF0015">
        <w:t xml:space="preserve"> 91) is the</w:t>
      </w:r>
      <w:r w:rsidRPr="00EF0015" w:rsidR="00D64E77">
        <w:t xml:space="preserve"> </w:t>
      </w:r>
      <w:r w:rsidRPr="00EF0015">
        <w:t xml:space="preserve">only authority specifically referred to in </w:t>
      </w:r>
      <w:r w:rsidRPr="00EF0015">
        <w:rPr>
          <w:i/>
        </w:rPr>
        <w:t>Bankovi</w:t>
      </w:r>
      <w:r w:rsidR="00486DA0">
        <w:rPr>
          <w:i/>
        </w:rPr>
        <w:t>ć</w:t>
      </w:r>
      <w:r w:rsidRPr="00EF0015">
        <w:t xml:space="preserve"> </w:t>
      </w:r>
      <w:r w:rsidR="00035A69">
        <w:t>[</w:t>
      </w:r>
      <w:r w:rsidRPr="00D8100E" w:rsidR="00035A69">
        <w:rPr>
          <w:i/>
        </w:rPr>
        <w:t>and Others</w:t>
      </w:r>
      <w:r w:rsidR="00035A69">
        <w:t xml:space="preserve">] </w:t>
      </w:r>
      <w:r w:rsidRPr="00EF0015">
        <w:t>as</w:t>
      </w:r>
      <w:r w:rsidRPr="00EF0015" w:rsidR="00D64E77">
        <w:t xml:space="preserve"> </w:t>
      </w:r>
      <w:r w:rsidRPr="00EF0015">
        <w:t>exemplifying this class of exception to the general rule.</w:t>
      </w:r>
      <w:r w:rsidRPr="00EF0015" w:rsidR="00D64E77">
        <w:t xml:space="preserve"> </w:t>
      </w:r>
      <w:r w:rsidRPr="00EF0015">
        <w:rPr>
          <w:i/>
        </w:rPr>
        <w:t>Drozd</w:t>
      </w:r>
      <w:r w:rsidR="00486DA0">
        <w:t xml:space="preserve"> [</w:t>
      </w:r>
      <w:r w:rsidRPr="00D8100E" w:rsidR="00486DA0">
        <w:rPr>
          <w:i/>
        </w:rPr>
        <w:t>and Janousek</w:t>
      </w:r>
      <w:r w:rsidR="00486DA0">
        <w:t>]</w:t>
      </w:r>
      <w:r w:rsidRPr="00EF0015">
        <w:t>, however, contemplated no more than that, if a French</w:t>
      </w:r>
      <w:r w:rsidRPr="00EF0015" w:rsidR="00D64E77">
        <w:t xml:space="preserve"> </w:t>
      </w:r>
      <w:r w:rsidRPr="00EF0015">
        <w:t>judge exercised jurisdiction extraterritorially in Andorra in</w:t>
      </w:r>
      <w:r w:rsidRPr="00EF0015" w:rsidR="00D64E77">
        <w:t xml:space="preserve"> </w:t>
      </w:r>
      <w:r w:rsidRPr="00EF0015">
        <w:t>his capacity as a French judge,</w:t>
      </w:r>
      <w:r w:rsidRPr="00EF0015" w:rsidR="00D64E77">
        <w:t xml:space="preserve"> </w:t>
      </w:r>
      <w:r w:rsidRPr="00EF0015">
        <w:t>then anyone complaining of a</w:t>
      </w:r>
      <w:r w:rsidRPr="00EF0015" w:rsidR="00D64E77">
        <w:t xml:space="preserve"> </w:t>
      </w:r>
      <w:r w:rsidRPr="00EF0015">
        <w:t>violation of his Convention rights by that judge would be</w:t>
      </w:r>
      <w:r w:rsidRPr="00EF0015" w:rsidR="00D64E77">
        <w:t xml:space="preserve"> </w:t>
      </w:r>
      <w:r w:rsidRPr="00EF0015">
        <w:t>regarded as being within France</w:t>
      </w:r>
      <w:r w:rsidR="008570E8">
        <w:t>’</w:t>
      </w:r>
      <w:r w:rsidRPr="00EF0015">
        <w:t>s jurisdiction.</w:t>
      </w:r>
    </w:p>
    <w:p w:rsidRPr="00EF0015" w:rsidR="00575C99" w:rsidP="00D64E77" w:rsidRDefault="00575C99">
      <w:pPr>
        <w:pStyle w:val="JuQuot"/>
        <w:ind w:left="706"/>
      </w:pPr>
      <w:r w:rsidRPr="00EF0015">
        <w:t>(iv)</w:t>
      </w:r>
      <w:r w:rsidR="00446190">
        <w:t>  </w:t>
      </w:r>
      <w:r w:rsidRPr="00EF0015">
        <w:t xml:space="preserve">The </w:t>
      </w:r>
      <w:r w:rsidRPr="00EF0015">
        <w:rPr>
          <w:i/>
        </w:rPr>
        <w:t>Soering v</w:t>
      </w:r>
      <w:r w:rsidR="00486DA0">
        <w:rPr>
          <w:i/>
        </w:rPr>
        <w:t>.</w:t>
      </w:r>
      <w:r w:rsidRPr="00EF0015">
        <w:rPr>
          <w:i/>
        </w:rPr>
        <w:t xml:space="preserve"> </w:t>
      </w:r>
      <w:r w:rsidRPr="00D8100E" w:rsidR="00486DA0">
        <w:t>[</w:t>
      </w:r>
      <w:r w:rsidR="00486DA0">
        <w:rPr>
          <w:i/>
        </w:rPr>
        <w:t>the</w:t>
      </w:r>
      <w:r w:rsidRPr="00D8100E" w:rsidR="00486DA0">
        <w:t>]</w:t>
      </w:r>
      <w:r w:rsidR="00486DA0">
        <w:rPr>
          <w:i/>
        </w:rPr>
        <w:t xml:space="preserve"> </w:t>
      </w:r>
      <w:r w:rsidRPr="00EF0015">
        <w:rPr>
          <w:i/>
        </w:rPr>
        <w:t>United Kingdom</w:t>
      </w:r>
      <w:r w:rsidRPr="00EF0015">
        <w:t xml:space="preserve"> (</w:t>
      </w:r>
      <w:r w:rsidR="00486DA0">
        <w:t xml:space="preserve">[7 July] </w:t>
      </w:r>
      <w:r w:rsidRPr="00EF0015">
        <w:t>1989</w:t>
      </w:r>
      <w:r w:rsidR="00486DA0">
        <w:t>[, Series A no. 161]</w:t>
      </w:r>
      <w:r w:rsidRPr="00EF0015">
        <w:t>) 11 EHRR 439 line of</w:t>
      </w:r>
      <w:r w:rsidRPr="00EF0015" w:rsidR="00D64E77">
        <w:t xml:space="preserve"> </w:t>
      </w:r>
      <w:r w:rsidRPr="00EF0015">
        <w:t xml:space="preserve">cases, the Court pointed out, involves action by the </w:t>
      </w:r>
      <w:r w:rsidR="00486DA0">
        <w:t>S</w:t>
      </w:r>
      <w:r w:rsidRPr="00EF0015">
        <w:t>tate</w:t>
      </w:r>
      <w:r w:rsidRPr="00EF0015" w:rsidR="00D64E77">
        <w:t xml:space="preserve"> whilst the person concerned is </w:t>
      </w:r>
      <w:r w:rsidR="008570E8">
        <w:t>‘</w:t>
      </w:r>
      <w:r w:rsidRPr="00EF0015">
        <w:t>on its territory, clearly within</w:t>
      </w:r>
      <w:r w:rsidRPr="00EF0015" w:rsidR="00D64E77">
        <w:t xml:space="preserve"> its jurisdiction</w:t>
      </w:r>
      <w:r w:rsidR="008570E8">
        <w:t>’</w:t>
      </w:r>
      <w:r w:rsidRPr="00EF0015">
        <w:t xml:space="preserve"> (</w:t>
      </w:r>
      <w:r w:rsidR="00486DA0">
        <w:t>[</w:t>
      </w:r>
      <w:r w:rsidRPr="00D8100E" w:rsidR="00486DA0">
        <w:rPr>
          <w:i/>
        </w:rPr>
        <w:t>Banković</w:t>
      </w:r>
      <w:r w:rsidR="00035A69">
        <w:rPr>
          <w:i/>
        </w:rPr>
        <w:t xml:space="preserve"> and Others</w:t>
      </w:r>
      <w:r w:rsidR="00486DA0">
        <w:t>,] §</w:t>
      </w:r>
      <w:r w:rsidRPr="00EF0015">
        <w:t xml:space="preserve"> 68) and not, therefore, the exercise of</w:t>
      </w:r>
      <w:r w:rsidRPr="00EF0015" w:rsidR="00D64E77">
        <w:t xml:space="preserve"> </w:t>
      </w:r>
      <w:r w:rsidRPr="00EF0015">
        <w:t xml:space="preserve">the </w:t>
      </w:r>
      <w:r w:rsidR="00486DA0">
        <w:t>S</w:t>
      </w:r>
      <w:r w:rsidRPr="00EF0015">
        <w:t>tate</w:t>
      </w:r>
      <w:r w:rsidR="008570E8">
        <w:t>’</w:t>
      </w:r>
      <w:r w:rsidRPr="00EF0015">
        <w:t>s jurisdiction abroad.</w:t>
      </w:r>
      <w:r w:rsidRPr="00EF0015" w:rsidR="00F16E1B">
        <w:t>”</w:t>
      </w:r>
    </w:p>
    <w:p w:rsidR="00C81668" w:rsidP="00D83EB0" w:rsidRDefault="00D83EB0">
      <w:pPr>
        <w:pStyle w:val="JuPara"/>
      </w:pPr>
      <w:r w:rsidRPr="00EF0015">
        <w:t xml:space="preserve">Lord Brown referred to the </w:t>
      </w:r>
      <w:r w:rsidRPr="00EF0015">
        <w:rPr>
          <w:i/>
        </w:rPr>
        <w:t>Öcalan</w:t>
      </w:r>
      <w:r w:rsidRPr="00EF0015">
        <w:t xml:space="preserve">, </w:t>
      </w:r>
      <w:r w:rsidRPr="00EF0015">
        <w:rPr>
          <w:i/>
        </w:rPr>
        <w:t xml:space="preserve">Freda </w:t>
      </w:r>
      <w:r w:rsidRPr="00EF0015">
        <w:t xml:space="preserve">and </w:t>
      </w:r>
      <w:r w:rsidRPr="00EF0015">
        <w:rPr>
          <w:i/>
        </w:rPr>
        <w:t xml:space="preserve">Sánchez Ramirez </w:t>
      </w:r>
      <w:r w:rsidRPr="00EF0015">
        <w:t xml:space="preserve">line of cases (cited above), </w:t>
      </w:r>
      <w:r w:rsidR="00042C46">
        <w:t>in each of which the</w:t>
      </w:r>
      <w:r w:rsidRPr="00EF0015">
        <w:t xml:space="preserve"> applicant was forcibly removed from a country outside the Council of Europe, with the full cooperation of the foreign authorities, to stand trial in the respondent State</w:t>
      </w:r>
      <w:r w:rsidR="00042C46">
        <w:t>. He</w:t>
      </w:r>
      <w:r w:rsidRPr="00EF0015">
        <w:t xml:space="preserve"> observed</w:t>
      </w:r>
      <w:r w:rsidRPr="00EF0015" w:rsidR="00F16E1B">
        <w:t xml:space="preserve"> that t</w:t>
      </w:r>
      <w:r w:rsidRPr="00EF0015">
        <w:t xml:space="preserve">his line of cases </w:t>
      </w:r>
      <w:r w:rsidRPr="00EF0015" w:rsidR="00F16E1B">
        <w:t>concerning “irregular extraditions” constituted one category of “exceptional”</w:t>
      </w:r>
      <w:r w:rsidRPr="00EF0015">
        <w:t xml:space="preserve"> cases expressly contemplated by </w:t>
      </w:r>
      <w:r w:rsidRPr="00EF0015">
        <w:rPr>
          <w:i/>
        </w:rPr>
        <w:t>Bankovi</w:t>
      </w:r>
      <w:r w:rsidR="00042C46">
        <w:rPr>
          <w:i/>
        </w:rPr>
        <w:t>ć</w:t>
      </w:r>
      <w:r w:rsidR="00035A69">
        <w:rPr>
          <w:i/>
        </w:rPr>
        <w:t xml:space="preserve"> and Others</w:t>
      </w:r>
      <w:r w:rsidR="00333167">
        <w:rPr>
          <w:i/>
        </w:rPr>
        <w:t xml:space="preserve"> </w:t>
      </w:r>
      <w:r w:rsidR="00333167">
        <w:t xml:space="preserve">(cited above), </w:t>
      </w:r>
      <w:r w:rsidRPr="00EF0015" w:rsidR="00F16E1B">
        <w:t>as having “</w:t>
      </w:r>
      <w:r w:rsidRPr="00EF0015">
        <w:t>special justification</w:t>
      </w:r>
      <w:r w:rsidRPr="00EF0015" w:rsidR="00F16E1B">
        <w:t>”</w:t>
      </w:r>
      <w:r w:rsidRPr="00EF0015">
        <w:t xml:space="preserve"> for extraterritorial </w:t>
      </w:r>
      <w:r w:rsidRPr="00EF0015" w:rsidR="00F16E1B">
        <w:t>jurisdiction</w:t>
      </w:r>
      <w:r w:rsidRPr="00EF0015">
        <w:t xml:space="preserve"> under </w:t>
      </w:r>
      <w:r w:rsidRPr="00EF0015" w:rsidR="00F16E1B">
        <w:t>Article 1</w:t>
      </w:r>
      <w:r w:rsidR="00333167">
        <w:t xml:space="preserve"> of the Convention</w:t>
      </w:r>
      <w:r w:rsidRPr="00EF0015" w:rsidR="00F16E1B">
        <w:t xml:space="preserve">. He did not consider that the first </w:t>
      </w:r>
      <w:r w:rsidR="00042C46">
        <w:t>four applicants</w:t>
      </w:r>
      <w:r w:rsidR="008570E8">
        <w:t>’</w:t>
      </w:r>
      <w:r w:rsidRPr="00EF0015" w:rsidR="00F16E1B">
        <w:t xml:space="preserve"> cases fell into any of the exceptions to the territorial principle so far recognised by the Court.</w:t>
      </w:r>
    </w:p>
    <w:p w:rsidRPr="00EF0015" w:rsidR="00545C75" w:rsidP="00545C75" w:rsidRDefault="009F2999">
      <w:pPr>
        <w:pStyle w:val="JuPara"/>
        <w:rPr>
          <w:szCs w:val="24"/>
          <w:lang w:eastAsia="en-US"/>
        </w:rPr>
      </w:pPr>
      <w:r w:rsidRPr="00EF0015">
        <w:fldChar w:fldCharType="begin"/>
      </w:r>
      <w:r w:rsidRPr="00EF0015">
        <w:instrText xml:space="preserve"> SEQ level0 \*arabic </w:instrText>
      </w:r>
      <w:r w:rsidRPr="00EF0015">
        <w:fldChar w:fldCharType="separate"/>
      </w:r>
      <w:r w:rsidR="00524A6D">
        <w:rPr>
          <w:noProof/>
        </w:rPr>
        <w:t>86</w:t>
      </w:r>
      <w:r w:rsidRPr="00EF0015">
        <w:fldChar w:fldCharType="end"/>
      </w:r>
      <w:r w:rsidRPr="00EF0015">
        <w:t>.  </w:t>
      </w:r>
      <w:r w:rsidRPr="00EF0015" w:rsidR="00545C75">
        <w:t>Lord Brown next considered the Court</w:t>
      </w:r>
      <w:r w:rsidR="008570E8">
        <w:t>’</w:t>
      </w:r>
      <w:r w:rsidRPr="00EF0015" w:rsidR="00545C75">
        <w:t xml:space="preserve">s judgment in </w:t>
      </w:r>
      <w:r w:rsidR="004B665B">
        <w:rPr>
          <w:i/>
          <w:szCs w:val="24"/>
          <w:lang w:eastAsia="en-US"/>
        </w:rPr>
        <w:t xml:space="preserve">Issa and Others v. </w:t>
      </w:r>
      <w:r w:rsidRPr="00EF0015" w:rsidR="00545C75">
        <w:rPr>
          <w:i/>
          <w:szCs w:val="24"/>
          <w:lang w:eastAsia="en-US"/>
        </w:rPr>
        <w:t>Turkey</w:t>
      </w:r>
      <w:r w:rsidRPr="00EF0015" w:rsidR="00545C75">
        <w:rPr>
          <w:szCs w:val="24"/>
          <w:lang w:eastAsia="en-US"/>
        </w:rPr>
        <w:t xml:space="preserve"> </w:t>
      </w:r>
      <w:r w:rsidR="00333167">
        <w:rPr>
          <w:szCs w:val="24"/>
          <w:lang w:eastAsia="en-US"/>
        </w:rPr>
        <w:t>(</w:t>
      </w:r>
      <w:r w:rsidRPr="00EF0015" w:rsidR="00545C75">
        <w:rPr>
          <w:szCs w:val="24"/>
          <w:lang w:eastAsia="en-US"/>
        </w:rPr>
        <w:t xml:space="preserve">no. 31821/96, </w:t>
      </w:r>
      <w:r w:rsidRPr="00EF0015" w:rsidR="00A14643">
        <w:rPr>
          <w:szCs w:val="24"/>
          <w:lang w:eastAsia="en-US"/>
        </w:rPr>
        <w:t xml:space="preserve">§ 71, </w:t>
      </w:r>
      <w:r w:rsidRPr="00EF0015" w:rsidR="00545C75">
        <w:rPr>
          <w:szCs w:val="24"/>
          <w:lang w:eastAsia="en-US"/>
        </w:rPr>
        <w:t>16 November 2004</w:t>
      </w:r>
      <w:r w:rsidR="00333167">
        <w:rPr>
          <w:szCs w:val="24"/>
          <w:lang w:eastAsia="en-US"/>
        </w:rPr>
        <w:t>)</w:t>
      </w:r>
      <w:r w:rsidRPr="00EF0015" w:rsidR="00545C75">
        <w:rPr>
          <w:szCs w:val="24"/>
          <w:lang w:eastAsia="en-US"/>
        </w:rPr>
        <w:t>, on which the applicants relied, and held as follows:</w:t>
      </w:r>
    </w:p>
    <w:p w:rsidRPr="00EF0015" w:rsidR="0095288F" w:rsidP="0095288F" w:rsidRDefault="00F16E1B">
      <w:pPr>
        <w:pStyle w:val="JuQuot"/>
        <w:rPr>
          <w:lang w:eastAsia="en-US"/>
        </w:rPr>
      </w:pPr>
      <w:r w:rsidRPr="00EF0015">
        <w:rPr>
          <w:lang w:eastAsia="en-US"/>
        </w:rPr>
        <w:t>“</w:t>
      </w:r>
      <w:r w:rsidRPr="00EF0015" w:rsidR="0095288F">
        <w:rPr>
          <w:lang w:eastAsia="en-US"/>
        </w:rPr>
        <w:t>127.</w:t>
      </w:r>
      <w:r w:rsidR="00446190">
        <w:rPr>
          <w:lang w:eastAsia="en-US"/>
        </w:rPr>
        <w:t>  </w:t>
      </w:r>
      <w:r w:rsidRPr="00EF0015" w:rsidR="0095288F">
        <w:rPr>
          <w:lang w:eastAsia="en-US"/>
        </w:rPr>
        <w:t>If and in</w:t>
      </w:r>
      <w:r w:rsidR="00333167">
        <w:rPr>
          <w:lang w:eastAsia="en-US"/>
        </w:rPr>
        <w:t xml:space="preserve"> </w:t>
      </w:r>
      <w:r w:rsidRPr="00EF0015" w:rsidR="0095288F">
        <w:rPr>
          <w:lang w:eastAsia="en-US"/>
        </w:rPr>
        <w:t>so</w:t>
      </w:r>
      <w:r w:rsidR="00333167">
        <w:rPr>
          <w:lang w:eastAsia="en-US"/>
        </w:rPr>
        <w:t xml:space="preserve"> </w:t>
      </w:r>
      <w:r w:rsidRPr="00EF0015" w:rsidR="0095288F">
        <w:rPr>
          <w:lang w:eastAsia="en-US"/>
        </w:rPr>
        <w:t xml:space="preserve">far as </w:t>
      </w:r>
      <w:r w:rsidRPr="00EF0015" w:rsidR="0095288F">
        <w:rPr>
          <w:i/>
          <w:lang w:eastAsia="en-US"/>
        </w:rPr>
        <w:t>Issa</w:t>
      </w:r>
      <w:r w:rsidRPr="00EF0015" w:rsidR="0095288F">
        <w:rPr>
          <w:lang w:eastAsia="en-US"/>
        </w:rPr>
        <w:t xml:space="preserve"> </w:t>
      </w:r>
      <w:r w:rsidR="00F64C9A">
        <w:rPr>
          <w:lang w:eastAsia="en-US"/>
        </w:rPr>
        <w:t>[</w:t>
      </w:r>
      <w:r w:rsidRPr="00D8100E" w:rsidR="00F64C9A">
        <w:rPr>
          <w:i/>
          <w:lang w:eastAsia="en-US"/>
        </w:rPr>
        <w:t>and Others</w:t>
      </w:r>
      <w:r w:rsidR="00F64C9A">
        <w:rPr>
          <w:lang w:eastAsia="en-US"/>
        </w:rPr>
        <w:t xml:space="preserve">] </w:t>
      </w:r>
      <w:r w:rsidRPr="00EF0015" w:rsidR="0095288F">
        <w:rPr>
          <w:lang w:eastAsia="en-US"/>
        </w:rPr>
        <w:t xml:space="preserve">is said to support the altogether wider notions of </w:t>
      </w:r>
      <w:r w:rsidR="00333167">
        <w:rPr>
          <w:lang w:eastAsia="en-US"/>
        </w:rPr>
        <w:t>A</w:t>
      </w:r>
      <w:r w:rsidRPr="00EF0015" w:rsidR="0095288F">
        <w:rPr>
          <w:lang w:eastAsia="en-US"/>
        </w:rPr>
        <w:t xml:space="preserve">rticle 1 jurisdiction contended for by the appellants on this appeal, I cannot accept it. In the first place, the statements relied upon must be regarded as </w:t>
      </w:r>
      <w:r w:rsidRPr="00EF0015" w:rsidR="0095288F">
        <w:rPr>
          <w:i/>
          <w:lang w:eastAsia="en-US"/>
        </w:rPr>
        <w:t>obiter dicta</w:t>
      </w:r>
      <w:r w:rsidRPr="00EF0015" w:rsidR="0095288F">
        <w:rPr>
          <w:lang w:eastAsia="en-US"/>
        </w:rPr>
        <w:t xml:space="preserve">. Secondly, as just explained, such wider assertions of jurisdiction are not supported by the authorities cited (at any rate, those authorities accepted as relevant by the Grand Chamber in </w:t>
      </w:r>
      <w:r w:rsidRPr="00EF0015" w:rsidR="0095288F">
        <w:rPr>
          <w:i/>
          <w:lang w:eastAsia="en-US"/>
        </w:rPr>
        <w:t>Bankovi</w:t>
      </w:r>
      <w:r w:rsidR="00333167">
        <w:rPr>
          <w:i/>
          <w:lang w:eastAsia="en-US"/>
        </w:rPr>
        <w:t>ć</w:t>
      </w:r>
      <w:r w:rsidR="00035A69">
        <w:rPr>
          <w:i/>
          <w:lang w:eastAsia="en-US"/>
        </w:rPr>
        <w:t xml:space="preserve"> </w:t>
      </w:r>
      <w:r w:rsidR="00035A69">
        <w:rPr>
          <w:lang w:eastAsia="en-US"/>
        </w:rPr>
        <w:t>[</w:t>
      </w:r>
      <w:r w:rsidRPr="00D8100E" w:rsidR="00035A69">
        <w:rPr>
          <w:i/>
          <w:lang w:eastAsia="en-US"/>
        </w:rPr>
        <w:t>and Others</w:t>
      </w:r>
      <w:r w:rsidR="00035A69">
        <w:rPr>
          <w:lang w:eastAsia="en-US"/>
        </w:rPr>
        <w:t>]</w:t>
      </w:r>
      <w:r w:rsidRPr="00EF0015" w:rsidR="0095288F">
        <w:rPr>
          <w:lang w:eastAsia="en-US"/>
        </w:rPr>
        <w:t xml:space="preserve">). Thirdly, such wider view of jurisdiction would clearly be inconsistent both with the reasoning in </w:t>
      </w:r>
      <w:r w:rsidRPr="00EF0015" w:rsidR="0095288F">
        <w:rPr>
          <w:i/>
          <w:lang w:eastAsia="en-US"/>
        </w:rPr>
        <w:t>Bankovi</w:t>
      </w:r>
      <w:r w:rsidR="00333167">
        <w:rPr>
          <w:i/>
          <w:lang w:eastAsia="en-US"/>
        </w:rPr>
        <w:t>ć</w:t>
      </w:r>
      <w:r w:rsidRPr="00EF0015" w:rsidR="0095288F">
        <w:rPr>
          <w:lang w:eastAsia="en-US"/>
        </w:rPr>
        <w:t xml:space="preserve"> </w:t>
      </w:r>
      <w:r w:rsidR="00035A69">
        <w:rPr>
          <w:lang w:eastAsia="en-US"/>
        </w:rPr>
        <w:t>[</w:t>
      </w:r>
      <w:r w:rsidRPr="00D8100E" w:rsidR="00035A69">
        <w:rPr>
          <w:i/>
          <w:lang w:eastAsia="en-US"/>
        </w:rPr>
        <w:t>and Others</w:t>
      </w:r>
      <w:r w:rsidR="00035A69">
        <w:rPr>
          <w:lang w:eastAsia="en-US"/>
        </w:rPr>
        <w:t xml:space="preserve">] </w:t>
      </w:r>
      <w:r w:rsidRPr="00EF0015" w:rsidR="0095288F">
        <w:rPr>
          <w:lang w:eastAsia="en-US"/>
        </w:rPr>
        <w:t xml:space="preserve">and, indeed, with its result. Either it would extend the </w:t>
      </w:r>
      <w:r w:rsidR="008570E8">
        <w:rPr>
          <w:lang w:eastAsia="en-US"/>
        </w:rPr>
        <w:t>‘</w:t>
      </w:r>
      <w:r w:rsidRPr="00EF0015" w:rsidR="0095288F">
        <w:rPr>
          <w:lang w:eastAsia="en-US"/>
        </w:rPr>
        <w:t>effective control</w:t>
      </w:r>
      <w:r w:rsidR="008570E8">
        <w:rPr>
          <w:lang w:eastAsia="en-US"/>
        </w:rPr>
        <w:t>’</w:t>
      </w:r>
      <w:r w:rsidRPr="00EF0015" w:rsidR="0095288F">
        <w:rPr>
          <w:lang w:eastAsia="en-US"/>
        </w:rPr>
        <w:t xml:space="preserve"> principle beyond the Council of Europe area (where alone it had previously been applied, as has been seen, to </w:t>
      </w:r>
      <w:r w:rsidR="00DE67FD">
        <w:rPr>
          <w:lang w:eastAsia="en-US"/>
        </w:rPr>
        <w:t>n</w:t>
      </w:r>
      <w:r w:rsidRPr="00EF0015" w:rsidR="0095288F">
        <w:rPr>
          <w:lang w:eastAsia="en-US"/>
        </w:rPr>
        <w:t xml:space="preserve">orthern Cyprus, to the Ajarian Autonomous Republic in Georgia and to Transdniestria) to Iraq, an area (like the FRY </w:t>
      </w:r>
      <w:r w:rsidR="00DC4621">
        <w:rPr>
          <w:lang w:eastAsia="en-US"/>
        </w:rPr>
        <w:t xml:space="preserve">[Federal Republic of Yugoslavia] </w:t>
      </w:r>
      <w:r w:rsidRPr="00EF0015" w:rsidR="0095288F">
        <w:rPr>
          <w:lang w:eastAsia="en-US"/>
        </w:rPr>
        <w:t xml:space="preserve">considered in </w:t>
      </w:r>
      <w:r w:rsidRPr="00EF0015" w:rsidR="0095288F">
        <w:rPr>
          <w:i/>
          <w:lang w:eastAsia="en-US"/>
        </w:rPr>
        <w:t>Bankovi</w:t>
      </w:r>
      <w:r w:rsidR="00333167">
        <w:rPr>
          <w:i/>
          <w:lang w:eastAsia="en-US"/>
        </w:rPr>
        <w:t>ć</w:t>
      </w:r>
      <w:r w:rsidR="00035A69">
        <w:rPr>
          <w:lang w:eastAsia="en-US"/>
        </w:rPr>
        <w:t xml:space="preserve"> [</w:t>
      </w:r>
      <w:r w:rsidRPr="00D8100E" w:rsidR="00035A69">
        <w:rPr>
          <w:i/>
          <w:lang w:eastAsia="en-US"/>
        </w:rPr>
        <w:t>and Others</w:t>
      </w:r>
      <w:r w:rsidR="00035A69">
        <w:rPr>
          <w:lang w:eastAsia="en-US"/>
        </w:rPr>
        <w:t>]</w:t>
      </w:r>
      <w:r w:rsidRPr="00EF0015" w:rsidR="0095288F">
        <w:rPr>
          <w:lang w:eastAsia="en-US"/>
        </w:rPr>
        <w:t>) outside the Council of Europe</w:t>
      </w:r>
      <w:r w:rsidR="00DC4621">
        <w:rPr>
          <w:lang w:eastAsia="en-US"/>
        </w:rPr>
        <w:t xml:space="preserve"> – </w:t>
      </w:r>
      <w:r w:rsidRPr="00EF0015" w:rsidR="0095288F">
        <w:rPr>
          <w:lang w:eastAsia="en-US"/>
        </w:rPr>
        <w:t>and, indeed, would do so contrary to the inescapable logic of the Court</w:t>
      </w:r>
      <w:r w:rsidR="008570E8">
        <w:rPr>
          <w:lang w:eastAsia="en-US"/>
        </w:rPr>
        <w:t>’</w:t>
      </w:r>
      <w:r w:rsidRPr="00EF0015" w:rsidR="0095288F">
        <w:rPr>
          <w:lang w:eastAsia="en-US"/>
        </w:rPr>
        <w:t>s case</w:t>
      </w:r>
      <w:r w:rsidR="00DC4621">
        <w:rPr>
          <w:lang w:eastAsia="en-US"/>
        </w:rPr>
        <w:t>-</w:t>
      </w:r>
      <w:r w:rsidRPr="00EF0015" w:rsidR="0095288F">
        <w:rPr>
          <w:lang w:eastAsia="en-US"/>
        </w:rPr>
        <w:t xml:space="preserve">law on </w:t>
      </w:r>
      <w:r w:rsidR="00DC4621">
        <w:rPr>
          <w:lang w:eastAsia="en-US"/>
        </w:rPr>
        <w:t>A</w:t>
      </w:r>
      <w:r w:rsidRPr="00EF0015" w:rsidR="0095288F">
        <w:rPr>
          <w:lang w:eastAsia="en-US"/>
        </w:rPr>
        <w:t xml:space="preserve">rticle 56. Alternatively it would stretch to breaking point the concept of jurisdiction extending extraterritorially to those subject to a </w:t>
      </w:r>
      <w:r w:rsidR="00DC4621">
        <w:rPr>
          <w:lang w:eastAsia="en-US"/>
        </w:rPr>
        <w:t>S</w:t>
      </w:r>
      <w:r w:rsidRPr="00EF0015" w:rsidR="0095288F">
        <w:rPr>
          <w:lang w:eastAsia="en-US"/>
        </w:rPr>
        <w:t>tate</w:t>
      </w:r>
      <w:r w:rsidR="008570E8">
        <w:rPr>
          <w:lang w:eastAsia="en-US"/>
        </w:rPr>
        <w:t>’</w:t>
      </w:r>
      <w:r w:rsidRPr="00EF0015" w:rsidR="0095288F">
        <w:rPr>
          <w:lang w:eastAsia="en-US"/>
        </w:rPr>
        <w:t xml:space="preserve">s </w:t>
      </w:r>
      <w:r w:rsidR="008570E8">
        <w:rPr>
          <w:lang w:eastAsia="en-US"/>
        </w:rPr>
        <w:t>‘</w:t>
      </w:r>
      <w:r w:rsidRPr="00EF0015" w:rsidR="0095288F">
        <w:rPr>
          <w:lang w:eastAsia="en-US"/>
        </w:rPr>
        <w:t>authority and control</w:t>
      </w:r>
      <w:r w:rsidR="008570E8">
        <w:rPr>
          <w:lang w:eastAsia="en-US"/>
        </w:rPr>
        <w:t>’</w:t>
      </w:r>
      <w:r w:rsidRPr="00EF0015" w:rsidR="0095288F">
        <w:rPr>
          <w:lang w:eastAsia="en-US"/>
        </w:rPr>
        <w:t xml:space="preserve">. It is one thing to recognise as exceptional the specific narrow categories of cases I have sought to summarise above; it would be quite another to accept that whenever a </w:t>
      </w:r>
      <w:r w:rsidR="00DC4621">
        <w:rPr>
          <w:lang w:eastAsia="en-US"/>
        </w:rPr>
        <w:t>C</w:t>
      </w:r>
      <w:r w:rsidRPr="00EF0015" w:rsidR="0095288F">
        <w:rPr>
          <w:lang w:eastAsia="en-US"/>
        </w:rPr>
        <w:t xml:space="preserve">ontracting </w:t>
      </w:r>
      <w:r w:rsidR="00DC4621">
        <w:rPr>
          <w:lang w:eastAsia="en-US"/>
        </w:rPr>
        <w:t>S</w:t>
      </w:r>
      <w:r w:rsidRPr="00EF0015" w:rsidR="0095288F">
        <w:rPr>
          <w:lang w:eastAsia="en-US"/>
        </w:rPr>
        <w:t xml:space="preserve">tate acts (militarily or otherwise) through its agents abroad, those affected by such activities fall within its </w:t>
      </w:r>
      <w:r w:rsidR="00DC4621">
        <w:rPr>
          <w:lang w:eastAsia="en-US"/>
        </w:rPr>
        <w:t>A</w:t>
      </w:r>
      <w:r w:rsidRPr="00EF0015" w:rsidR="0095288F">
        <w:rPr>
          <w:lang w:eastAsia="en-US"/>
        </w:rPr>
        <w:t xml:space="preserve">rticle 1 jurisdiction. Such a contention would prove altogether too much. It would make a nonsense of much that was said in </w:t>
      </w:r>
      <w:r w:rsidRPr="00EF0015" w:rsidR="0095288F">
        <w:rPr>
          <w:i/>
          <w:lang w:eastAsia="en-US"/>
        </w:rPr>
        <w:t>Bankovi</w:t>
      </w:r>
      <w:r w:rsidR="00333167">
        <w:rPr>
          <w:i/>
          <w:lang w:eastAsia="en-US"/>
        </w:rPr>
        <w:t>ć</w:t>
      </w:r>
      <w:r w:rsidR="00035A69">
        <w:rPr>
          <w:i/>
          <w:lang w:eastAsia="en-US"/>
        </w:rPr>
        <w:t xml:space="preserve"> </w:t>
      </w:r>
      <w:r w:rsidR="00035A69">
        <w:rPr>
          <w:lang w:eastAsia="en-US"/>
        </w:rPr>
        <w:t>[</w:t>
      </w:r>
      <w:r w:rsidRPr="00D8100E" w:rsidR="00035A69">
        <w:rPr>
          <w:i/>
          <w:lang w:eastAsia="en-US"/>
        </w:rPr>
        <w:t>and Others</w:t>
      </w:r>
      <w:r w:rsidR="00035A69">
        <w:rPr>
          <w:lang w:eastAsia="en-US"/>
        </w:rPr>
        <w:t>]</w:t>
      </w:r>
      <w:r w:rsidRPr="00EF0015" w:rsidR="0095288F">
        <w:rPr>
          <w:lang w:eastAsia="en-US"/>
        </w:rPr>
        <w:t xml:space="preserve">, not least as to the Convention being </w:t>
      </w:r>
      <w:r w:rsidR="008570E8">
        <w:rPr>
          <w:lang w:eastAsia="en-US"/>
        </w:rPr>
        <w:t>‘</w:t>
      </w:r>
      <w:r w:rsidRPr="00EF0015" w:rsidR="0095288F">
        <w:rPr>
          <w:lang w:eastAsia="en-US"/>
        </w:rPr>
        <w:t>a constitutional instrument of European public order</w:t>
      </w:r>
      <w:r w:rsidR="008570E8">
        <w:rPr>
          <w:lang w:eastAsia="en-US"/>
        </w:rPr>
        <w:t>’</w:t>
      </w:r>
      <w:r w:rsidRPr="00EF0015" w:rsidR="0095288F">
        <w:rPr>
          <w:lang w:eastAsia="en-US"/>
        </w:rPr>
        <w:t xml:space="preserve">, operating </w:t>
      </w:r>
      <w:r w:rsidR="008570E8">
        <w:rPr>
          <w:lang w:eastAsia="en-US"/>
        </w:rPr>
        <w:t>‘</w:t>
      </w:r>
      <w:r w:rsidRPr="00EF0015" w:rsidR="0095288F">
        <w:rPr>
          <w:lang w:eastAsia="en-US"/>
        </w:rPr>
        <w:t>in an essentially regional context</w:t>
      </w:r>
      <w:r w:rsidR="008570E8">
        <w:rPr>
          <w:lang w:eastAsia="en-US"/>
        </w:rPr>
        <w:t>’</w:t>
      </w:r>
      <w:r w:rsidRPr="00EF0015" w:rsidR="0095288F">
        <w:rPr>
          <w:lang w:eastAsia="en-US"/>
        </w:rPr>
        <w:t xml:space="preserve">, </w:t>
      </w:r>
      <w:r w:rsidR="008570E8">
        <w:rPr>
          <w:lang w:eastAsia="en-US"/>
        </w:rPr>
        <w:t>‘</w:t>
      </w:r>
      <w:r w:rsidRPr="00EF0015" w:rsidR="0095288F">
        <w:rPr>
          <w:lang w:eastAsia="en-US"/>
        </w:rPr>
        <w:t xml:space="preserve">not designed to be applied throughout the world, even in respect of the conduct of </w:t>
      </w:r>
      <w:r w:rsidR="00DC4621">
        <w:rPr>
          <w:lang w:eastAsia="en-US"/>
        </w:rPr>
        <w:t>C</w:t>
      </w:r>
      <w:r w:rsidRPr="00EF0015" w:rsidR="0095288F">
        <w:rPr>
          <w:lang w:eastAsia="en-US"/>
        </w:rPr>
        <w:t xml:space="preserve">ontracting </w:t>
      </w:r>
      <w:r w:rsidR="00DC4621">
        <w:rPr>
          <w:lang w:eastAsia="en-US"/>
        </w:rPr>
        <w:t>S</w:t>
      </w:r>
      <w:r w:rsidRPr="00EF0015" w:rsidR="0095288F">
        <w:rPr>
          <w:lang w:eastAsia="en-US"/>
        </w:rPr>
        <w:t>tates</w:t>
      </w:r>
      <w:r w:rsidR="008570E8">
        <w:rPr>
          <w:lang w:eastAsia="en-US"/>
        </w:rPr>
        <w:t>’</w:t>
      </w:r>
      <w:r w:rsidRPr="00EF0015" w:rsidR="0095288F">
        <w:rPr>
          <w:lang w:eastAsia="en-US"/>
        </w:rPr>
        <w:t xml:space="preserve"> (</w:t>
      </w:r>
      <w:r w:rsidR="00DC4621">
        <w:rPr>
          <w:lang w:eastAsia="en-US"/>
        </w:rPr>
        <w:t>§</w:t>
      </w:r>
      <w:r w:rsidR="004B665B">
        <w:rPr>
          <w:lang w:eastAsia="en-US"/>
        </w:rPr>
        <w:t xml:space="preserve"> </w:t>
      </w:r>
      <w:r w:rsidRPr="00EF0015" w:rsidR="0095288F">
        <w:rPr>
          <w:lang w:eastAsia="en-US"/>
        </w:rPr>
        <w:t xml:space="preserve">80). It would, indeed, make redundant the principle of </w:t>
      </w:r>
      <w:r w:rsidR="008570E8">
        <w:rPr>
          <w:lang w:eastAsia="en-US"/>
        </w:rPr>
        <w:t>‘</w:t>
      </w:r>
      <w:r w:rsidRPr="00EF0015" w:rsidR="0095288F">
        <w:rPr>
          <w:lang w:eastAsia="en-US"/>
        </w:rPr>
        <w:t>effective control</w:t>
      </w:r>
      <w:r w:rsidR="008570E8">
        <w:rPr>
          <w:lang w:eastAsia="en-US"/>
        </w:rPr>
        <w:t>’</w:t>
      </w:r>
      <w:r w:rsidRPr="00EF0015" w:rsidR="0095288F">
        <w:rPr>
          <w:lang w:eastAsia="en-US"/>
        </w:rPr>
        <w:t xml:space="preserve"> of an area: what need for that if jurisdiction arises in any event under a general principle of </w:t>
      </w:r>
      <w:r w:rsidR="008570E8">
        <w:rPr>
          <w:lang w:eastAsia="en-US"/>
        </w:rPr>
        <w:t>‘</w:t>
      </w:r>
      <w:r w:rsidRPr="00EF0015" w:rsidR="0095288F">
        <w:rPr>
          <w:lang w:eastAsia="en-US"/>
        </w:rPr>
        <w:t>authority and control</w:t>
      </w:r>
      <w:r w:rsidR="008570E8">
        <w:rPr>
          <w:lang w:eastAsia="en-US"/>
        </w:rPr>
        <w:t>’</w:t>
      </w:r>
      <w:r w:rsidRPr="00EF0015" w:rsidR="0095288F">
        <w:rPr>
          <w:lang w:eastAsia="en-US"/>
        </w:rPr>
        <w:t xml:space="preserve"> irrespective of whether the area is (a) effectively controlled or (b) within the Council of Europe?</w:t>
      </w:r>
    </w:p>
    <w:p w:rsidRPr="00EF0015" w:rsidR="0095288F" w:rsidP="0095288F" w:rsidRDefault="0095288F">
      <w:pPr>
        <w:pStyle w:val="JuQuot"/>
        <w:rPr>
          <w:lang w:eastAsia="en-US"/>
        </w:rPr>
      </w:pPr>
      <w:r w:rsidRPr="00EF0015">
        <w:rPr>
          <w:lang w:eastAsia="en-US"/>
        </w:rPr>
        <w:t>128.</w:t>
      </w:r>
      <w:r w:rsidR="00446190">
        <w:rPr>
          <w:lang w:eastAsia="en-US"/>
        </w:rPr>
        <w:t>  </w:t>
      </w:r>
      <w:r w:rsidRPr="00EF0015">
        <w:rPr>
          <w:lang w:eastAsia="en-US"/>
        </w:rPr>
        <w:t xml:space="preserve">There is one other central objection to the creation of the wide basis of jurisdiction here contended for by the appellants under the rubric </w:t>
      </w:r>
      <w:r w:rsidR="008570E8">
        <w:rPr>
          <w:lang w:eastAsia="en-US"/>
        </w:rPr>
        <w:t>‘</w:t>
      </w:r>
      <w:r w:rsidRPr="00EF0015">
        <w:rPr>
          <w:lang w:eastAsia="en-US"/>
        </w:rPr>
        <w:t>control and authority</w:t>
      </w:r>
      <w:r w:rsidR="008570E8">
        <w:rPr>
          <w:lang w:eastAsia="en-US"/>
        </w:rPr>
        <w:t>’</w:t>
      </w:r>
      <w:r w:rsidRPr="00EF0015">
        <w:rPr>
          <w:lang w:eastAsia="en-US"/>
        </w:rPr>
        <w:t xml:space="preserve">, going beyond that arising in any of the narrowly recognised categories already discussed and yet short of that arising from the effective control of territory within the Council of Europe area. </w:t>
      </w:r>
      <w:r w:rsidRPr="00EF0015">
        <w:rPr>
          <w:i/>
          <w:lang w:eastAsia="en-US"/>
        </w:rPr>
        <w:t>Bankovi</w:t>
      </w:r>
      <w:r w:rsidR="00876197">
        <w:rPr>
          <w:i/>
          <w:lang w:eastAsia="en-US"/>
        </w:rPr>
        <w:t>ć</w:t>
      </w:r>
      <w:r w:rsidRPr="00EF0015">
        <w:rPr>
          <w:lang w:eastAsia="en-US"/>
        </w:rPr>
        <w:t xml:space="preserve"> </w:t>
      </w:r>
      <w:r w:rsidR="00035A69">
        <w:rPr>
          <w:lang w:eastAsia="en-US"/>
        </w:rPr>
        <w:t>[</w:t>
      </w:r>
      <w:r w:rsidRPr="00D8100E" w:rsidR="00035A69">
        <w:rPr>
          <w:i/>
          <w:lang w:eastAsia="en-US"/>
        </w:rPr>
        <w:t>and Others</w:t>
      </w:r>
      <w:r w:rsidR="00035A69">
        <w:rPr>
          <w:lang w:eastAsia="en-US"/>
        </w:rPr>
        <w:t xml:space="preserve">] </w:t>
      </w:r>
      <w:r w:rsidRPr="00EF0015">
        <w:rPr>
          <w:lang w:eastAsia="en-US"/>
        </w:rPr>
        <w:t xml:space="preserve">(and later </w:t>
      </w:r>
      <w:r w:rsidRPr="00EF0015">
        <w:rPr>
          <w:i/>
          <w:lang w:eastAsia="en-US"/>
        </w:rPr>
        <w:t>Assanidze</w:t>
      </w:r>
      <w:r w:rsidR="00876197">
        <w:rPr>
          <w:lang w:eastAsia="en-US"/>
        </w:rPr>
        <w:t xml:space="preserve"> [</w:t>
      </w:r>
      <w:r w:rsidRPr="00EF0015" w:rsidR="00876197">
        <w:rPr>
          <w:i/>
          <w:lang w:eastAsia="en-US"/>
        </w:rPr>
        <w:t>v.</w:t>
      </w:r>
      <w:r w:rsidR="00E73883">
        <w:rPr>
          <w:i/>
          <w:lang w:eastAsia="en-US"/>
        </w:rPr>
        <w:t> </w:t>
      </w:r>
      <w:r w:rsidRPr="00EF0015" w:rsidR="00876197">
        <w:rPr>
          <w:i/>
          <w:lang w:eastAsia="en-US"/>
        </w:rPr>
        <w:t xml:space="preserve">Georgia </w:t>
      </w:r>
      <w:r w:rsidRPr="00EF0015" w:rsidR="00876197">
        <w:rPr>
          <w:lang w:eastAsia="en-US"/>
        </w:rPr>
        <w:t>[GC], no. 71503/01, ECHR 2004</w:t>
      </w:r>
      <w:r w:rsidRPr="00EF0015" w:rsidR="00876197">
        <w:rPr>
          <w:lang w:eastAsia="en-US"/>
        </w:rPr>
        <w:noBreakHyphen/>
        <w:t>II</w:t>
      </w:r>
      <w:r w:rsidR="00876197">
        <w:rPr>
          <w:lang w:eastAsia="en-US"/>
        </w:rPr>
        <w:t>]</w:t>
      </w:r>
      <w:r w:rsidRPr="00EF0015">
        <w:rPr>
          <w:lang w:eastAsia="en-US"/>
        </w:rPr>
        <w:t xml:space="preserve">) stands, as stated, for the indivisible nature of </w:t>
      </w:r>
      <w:r w:rsidR="00876197">
        <w:rPr>
          <w:lang w:eastAsia="en-US"/>
        </w:rPr>
        <w:t>A</w:t>
      </w:r>
      <w:r w:rsidRPr="00EF0015">
        <w:rPr>
          <w:lang w:eastAsia="en-US"/>
        </w:rPr>
        <w:t xml:space="preserve">rticle 1 jurisdiction: it cannot be </w:t>
      </w:r>
      <w:r w:rsidR="008570E8">
        <w:rPr>
          <w:lang w:eastAsia="en-US"/>
        </w:rPr>
        <w:t>‘</w:t>
      </w:r>
      <w:r w:rsidRPr="00EF0015">
        <w:rPr>
          <w:lang w:eastAsia="en-US"/>
        </w:rPr>
        <w:t>divided and tailored</w:t>
      </w:r>
      <w:r w:rsidR="008570E8">
        <w:rPr>
          <w:lang w:eastAsia="en-US"/>
        </w:rPr>
        <w:t>’</w:t>
      </w:r>
      <w:r w:rsidRPr="00EF0015">
        <w:rPr>
          <w:lang w:eastAsia="en-US"/>
        </w:rPr>
        <w:t xml:space="preserve">. As </w:t>
      </w:r>
      <w:r w:rsidRPr="00EF0015">
        <w:rPr>
          <w:i/>
          <w:lang w:eastAsia="en-US"/>
        </w:rPr>
        <w:t>Bankovi</w:t>
      </w:r>
      <w:r w:rsidR="00876197">
        <w:rPr>
          <w:i/>
          <w:lang w:eastAsia="en-US"/>
        </w:rPr>
        <w:t>ć</w:t>
      </w:r>
      <w:r w:rsidRPr="00EF0015">
        <w:rPr>
          <w:lang w:eastAsia="en-US"/>
        </w:rPr>
        <w:t xml:space="preserve"> </w:t>
      </w:r>
      <w:r w:rsidR="00035A69">
        <w:rPr>
          <w:lang w:eastAsia="en-US"/>
        </w:rPr>
        <w:t>[</w:t>
      </w:r>
      <w:r w:rsidRPr="00D8100E" w:rsidR="00035A69">
        <w:rPr>
          <w:i/>
          <w:lang w:eastAsia="en-US"/>
        </w:rPr>
        <w:t>and Others</w:t>
      </w:r>
      <w:r w:rsidR="00035A69">
        <w:rPr>
          <w:lang w:eastAsia="en-US"/>
        </w:rPr>
        <w:t xml:space="preserve">] </w:t>
      </w:r>
      <w:r w:rsidRPr="00EF0015">
        <w:rPr>
          <w:lang w:eastAsia="en-US"/>
        </w:rPr>
        <w:t xml:space="preserve">had earlier pointed out (at </w:t>
      </w:r>
      <w:r w:rsidR="00876197">
        <w:rPr>
          <w:lang w:eastAsia="en-US"/>
        </w:rPr>
        <w:t>§</w:t>
      </w:r>
      <w:r w:rsidRPr="00EF0015">
        <w:rPr>
          <w:lang w:eastAsia="en-US"/>
        </w:rPr>
        <w:t xml:space="preserve"> 40) </w:t>
      </w:r>
      <w:r w:rsidR="008570E8">
        <w:rPr>
          <w:lang w:eastAsia="en-US"/>
        </w:rPr>
        <w:t>‘</w:t>
      </w:r>
      <w:r w:rsidRPr="00EF0015">
        <w:rPr>
          <w:lang w:eastAsia="en-US"/>
        </w:rPr>
        <w:t>the applicant</w:t>
      </w:r>
      <w:r w:rsidR="008570E8">
        <w:rPr>
          <w:lang w:eastAsia="en-US"/>
        </w:rPr>
        <w:t>’</w:t>
      </w:r>
      <w:r w:rsidRPr="00EF0015">
        <w:rPr>
          <w:lang w:eastAsia="en-US"/>
        </w:rPr>
        <w:t xml:space="preserve">s interpretation of jurisdiction would invert and divide the positive obligation on </w:t>
      </w:r>
      <w:r w:rsidR="00876197">
        <w:rPr>
          <w:lang w:eastAsia="en-US"/>
        </w:rPr>
        <w:t>C</w:t>
      </w:r>
      <w:r w:rsidRPr="00EF0015">
        <w:rPr>
          <w:lang w:eastAsia="en-US"/>
        </w:rPr>
        <w:t xml:space="preserve">ontracting </w:t>
      </w:r>
      <w:r w:rsidR="00876197">
        <w:rPr>
          <w:lang w:eastAsia="en-US"/>
        </w:rPr>
        <w:t>S</w:t>
      </w:r>
      <w:r w:rsidRPr="00EF0015">
        <w:rPr>
          <w:lang w:eastAsia="en-US"/>
        </w:rPr>
        <w:t xml:space="preserve">tates to secure the substantive rights in a manner never contemplated by </w:t>
      </w:r>
      <w:r w:rsidR="00876197">
        <w:rPr>
          <w:lang w:eastAsia="en-US"/>
        </w:rPr>
        <w:t>A</w:t>
      </w:r>
      <w:r w:rsidRPr="00EF0015">
        <w:rPr>
          <w:lang w:eastAsia="en-US"/>
        </w:rPr>
        <w:t>rticle 1 of the Convention</w:t>
      </w:r>
      <w:r w:rsidR="008570E8">
        <w:rPr>
          <w:lang w:eastAsia="en-US"/>
        </w:rPr>
        <w:t>’</w:t>
      </w:r>
      <w:r w:rsidRPr="00EF0015">
        <w:rPr>
          <w:lang w:eastAsia="en-US"/>
        </w:rPr>
        <w:t xml:space="preserve">. When, moreover, the Convention applies, it operates as </w:t>
      </w:r>
      <w:r w:rsidR="008570E8">
        <w:rPr>
          <w:lang w:eastAsia="en-US"/>
        </w:rPr>
        <w:t>‘</w:t>
      </w:r>
      <w:r w:rsidRPr="00EF0015">
        <w:rPr>
          <w:lang w:eastAsia="en-US"/>
        </w:rPr>
        <w:t>a living instrument</w:t>
      </w:r>
      <w:r w:rsidR="008570E8">
        <w:rPr>
          <w:lang w:eastAsia="en-US"/>
        </w:rPr>
        <w:t>’</w:t>
      </w:r>
      <w:r w:rsidRPr="00EF0015">
        <w:rPr>
          <w:lang w:eastAsia="en-US"/>
        </w:rPr>
        <w:t xml:space="preserve">. </w:t>
      </w:r>
      <w:r w:rsidRPr="00EF0015">
        <w:rPr>
          <w:i/>
          <w:lang w:eastAsia="en-US"/>
        </w:rPr>
        <w:t>Öcalan</w:t>
      </w:r>
      <w:r w:rsidRPr="00EF0015">
        <w:rPr>
          <w:lang w:eastAsia="en-US"/>
        </w:rPr>
        <w:t xml:space="preserve"> provides an example of this, a recognition that the interpretation of </w:t>
      </w:r>
      <w:r w:rsidR="0086667B">
        <w:rPr>
          <w:lang w:eastAsia="en-US"/>
        </w:rPr>
        <w:t>A</w:t>
      </w:r>
      <w:r w:rsidRPr="00EF0015">
        <w:rPr>
          <w:lang w:eastAsia="en-US"/>
        </w:rPr>
        <w:t xml:space="preserve">rticle 2 has been modified consequent on </w:t>
      </w:r>
      <w:r w:rsidR="008570E8">
        <w:rPr>
          <w:lang w:eastAsia="en-US"/>
        </w:rPr>
        <w:t>‘</w:t>
      </w:r>
      <w:r w:rsidRPr="00EF0015">
        <w:rPr>
          <w:lang w:eastAsia="en-US"/>
        </w:rPr>
        <w:t xml:space="preserve">the territories encompassed by the member </w:t>
      </w:r>
      <w:r w:rsidR="0086667B">
        <w:rPr>
          <w:lang w:eastAsia="en-US"/>
        </w:rPr>
        <w:t>S</w:t>
      </w:r>
      <w:r w:rsidRPr="00EF0015">
        <w:rPr>
          <w:lang w:eastAsia="en-US"/>
        </w:rPr>
        <w:t>tates of the Council of Europe [having] become a zone free of capital punishment</w:t>
      </w:r>
      <w:r w:rsidR="008570E8">
        <w:rPr>
          <w:lang w:eastAsia="en-US"/>
        </w:rPr>
        <w:t>’</w:t>
      </w:r>
      <w:r w:rsidRPr="00EF0015">
        <w:rPr>
          <w:lang w:eastAsia="en-US"/>
        </w:rPr>
        <w:t xml:space="preserve"> (</w:t>
      </w:r>
      <w:r w:rsidR="0086667B">
        <w:rPr>
          <w:lang w:eastAsia="en-US"/>
        </w:rPr>
        <w:t>§</w:t>
      </w:r>
      <w:r w:rsidRPr="00EF0015">
        <w:rPr>
          <w:lang w:eastAsia="en-US"/>
        </w:rPr>
        <w:t xml:space="preserve"> 163). (Paragraphs 64 and 65 of </w:t>
      </w:r>
      <w:r w:rsidRPr="00EF0015">
        <w:rPr>
          <w:i/>
          <w:lang w:eastAsia="en-US"/>
        </w:rPr>
        <w:t>Bankovi</w:t>
      </w:r>
      <w:r w:rsidR="0086667B">
        <w:rPr>
          <w:i/>
          <w:lang w:eastAsia="en-US"/>
        </w:rPr>
        <w:t>ć</w:t>
      </w:r>
      <w:r w:rsidR="00035A69">
        <w:rPr>
          <w:lang w:eastAsia="en-US"/>
        </w:rPr>
        <w:t xml:space="preserve"> [</w:t>
      </w:r>
      <w:r w:rsidRPr="00D8100E" w:rsidR="00035A69">
        <w:rPr>
          <w:i/>
          <w:lang w:eastAsia="en-US"/>
        </w:rPr>
        <w:t>and Others</w:t>
      </w:r>
      <w:r w:rsidR="00035A69">
        <w:rPr>
          <w:lang w:eastAsia="en-US"/>
        </w:rPr>
        <w:t>]</w:t>
      </w:r>
      <w:r w:rsidRPr="00EF0015">
        <w:rPr>
          <w:lang w:eastAsia="en-US"/>
        </w:rPr>
        <w:t xml:space="preserve">, I may note, contrast on the one hand </w:t>
      </w:r>
      <w:r w:rsidR="008570E8">
        <w:rPr>
          <w:lang w:eastAsia="en-US"/>
        </w:rPr>
        <w:t>‘</w:t>
      </w:r>
      <w:r w:rsidRPr="00EF0015">
        <w:rPr>
          <w:lang w:eastAsia="en-US"/>
        </w:rPr>
        <w:t>the Convention</w:t>
      </w:r>
      <w:r w:rsidR="008570E8">
        <w:rPr>
          <w:lang w:eastAsia="en-US"/>
        </w:rPr>
        <w:t>’</w:t>
      </w:r>
      <w:r w:rsidRPr="00EF0015">
        <w:rPr>
          <w:lang w:eastAsia="en-US"/>
        </w:rPr>
        <w:t>s substantive provisions</w:t>
      </w:r>
      <w:r w:rsidR="008570E8">
        <w:rPr>
          <w:lang w:eastAsia="en-US"/>
        </w:rPr>
        <w:t>’</w:t>
      </w:r>
      <w:r w:rsidRPr="00EF0015">
        <w:rPr>
          <w:lang w:eastAsia="en-US"/>
        </w:rPr>
        <w:t xml:space="preserve"> and </w:t>
      </w:r>
      <w:r w:rsidR="008570E8">
        <w:rPr>
          <w:lang w:eastAsia="en-US"/>
        </w:rPr>
        <w:t>‘</w:t>
      </w:r>
      <w:r w:rsidRPr="00EF0015">
        <w:rPr>
          <w:lang w:eastAsia="en-US"/>
        </w:rPr>
        <w:t>the competence of the Convention organs</w:t>
      </w:r>
      <w:r w:rsidR="008570E8">
        <w:rPr>
          <w:lang w:eastAsia="en-US"/>
        </w:rPr>
        <w:t>’</w:t>
      </w:r>
      <w:r w:rsidRPr="00EF0015">
        <w:rPr>
          <w:lang w:eastAsia="en-US"/>
        </w:rPr>
        <w:t xml:space="preserve">, to both of which the </w:t>
      </w:r>
      <w:r w:rsidR="008570E8">
        <w:rPr>
          <w:lang w:eastAsia="en-US"/>
        </w:rPr>
        <w:t>‘</w:t>
      </w:r>
      <w:r w:rsidRPr="00EF0015">
        <w:rPr>
          <w:lang w:eastAsia="en-US"/>
        </w:rPr>
        <w:t>living instrument</w:t>
      </w:r>
      <w:r w:rsidR="008570E8">
        <w:rPr>
          <w:lang w:eastAsia="en-US"/>
        </w:rPr>
        <w:t>’</w:t>
      </w:r>
      <w:r w:rsidRPr="00EF0015">
        <w:rPr>
          <w:lang w:eastAsia="en-US"/>
        </w:rPr>
        <w:t xml:space="preserve"> approach applies and, on the other hand, the scope of </w:t>
      </w:r>
      <w:r w:rsidR="0086667B">
        <w:rPr>
          <w:lang w:eastAsia="en-US"/>
        </w:rPr>
        <w:t>A</w:t>
      </w:r>
      <w:r w:rsidRPr="00EF0015">
        <w:rPr>
          <w:lang w:eastAsia="en-US"/>
        </w:rPr>
        <w:t>rticle 1</w:t>
      </w:r>
      <w:r w:rsidR="0086667B">
        <w:rPr>
          <w:lang w:eastAsia="en-US"/>
        </w:rPr>
        <w:t xml:space="preserve"> – </w:t>
      </w:r>
      <w:r w:rsidR="008570E8">
        <w:rPr>
          <w:lang w:eastAsia="en-US"/>
        </w:rPr>
        <w:t>‘</w:t>
      </w:r>
      <w:r w:rsidRPr="00EF0015">
        <w:rPr>
          <w:lang w:eastAsia="en-US"/>
        </w:rPr>
        <w:t>the scope and reach of the entire Convention</w:t>
      </w:r>
      <w:r w:rsidR="008570E8">
        <w:rPr>
          <w:lang w:eastAsia="en-US"/>
        </w:rPr>
        <w:t>’</w:t>
      </w:r>
      <w:r w:rsidR="0086667B">
        <w:rPr>
          <w:lang w:eastAsia="en-US"/>
        </w:rPr>
        <w:t xml:space="preserve"> – </w:t>
      </w:r>
      <w:r w:rsidRPr="00EF0015">
        <w:rPr>
          <w:lang w:eastAsia="en-US"/>
        </w:rPr>
        <w:t>to which it does not.) Bear in mind too the rigour with which the Court applies the Convention, well exemplified by the series of cases from the conflict zone of south</w:t>
      </w:r>
      <w:r w:rsidR="0086667B">
        <w:rPr>
          <w:lang w:eastAsia="en-US"/>
        </w:rPr>
        <w:t>-</w:t>
      </w:r>
      <w:r w:rsidRPr="00EF0015">
        <w:rPr>
          <w:lang w:eastAsia="en-US"/>
        </w:rPr>
        <w:t xml:space="preserve">eastern Turkey in which, the </w:t>
      </w:r>
      <w:r w:rsidR="0086667B">
        <w:rPr>
          <w:lang w:eastAsia="en-US"/>
        </w:rPr>
        <w:t>S</w:t>
      </w:r>
      <w:r w:rsidRPr="00EF0015">
        <w:rPr>
          <w:lang w:eastAsia="en-US"/>
        </w:rPr>
        <w:t>tate</w:t>
      </w:r>
      <w:r w:rsidR="008570E8">
        <w:rPr>
          <w:lang w:eastAsia="en-US"/>
        </w:rPr>
        <w:t>’</w:t>
      </w:r>
      <w:r w:rsidRPr="00EF0015">
        <w:rPr>
          <w:lang w:eastAsia="en-US"/>
        </w:rPr>
        <w:t xml:space="preserve">s difficulties notwithstanding, no dilution has been permitted of the investigative obligations arising under </w:t>
      </w:r>
      <w:r w:rsidR="0086667B">
        <w:rPr>
          <w:lang w:eastAsia="en-US"/>
        </w:rPr>
        <w:t>A</w:t>
      </w:r>
      <w:r w:rsidRPr="00EF0015">
        <w:rPr>
          <w:lang w:eastAsia="en-US"/>
        </w:rPr>
        <w:t>rticles 2 and 3.</w:t>
      </w:r>
    </w:p>
    <w:p w:rsidRPr="00EF0015" w:rsidR="0095288F" w:rsidP="0095288F" w:rsidRDefault="0095288F">
      <w:pPr>
        <w:pStyle w:val="JuQuot"/>
        <w:rPr>
          <w:lang w:eastAsia="en-US"/>
        </w:rPr>
      </w:pPr>
      <w:r w:rsidRPr="00EF0015">
        <w:rPr>
          <w:lang w:eastAsia="en-US"/>
        </w:rPr>
        <w:t>129.</w:t>
      </w:r>
      <w:r w:rsidR="00446190">
        <w:rPr>
          <w:lang w:eastAsia="en-US"/>
        </w:rPr>
        <w:t>  </w:t>
      </w:r>
      <w:r w:rsidRPr="00EF0015">
        <w:rPr>
          <w:lang w:eastAsia="en-US"/>
        </w:rPr>
        <w:t xml:space="preserve">The point is this: except where a </w:t>
      </w:r>
      <w:r w:rsidR="0086667B">
        <w:rPr>
          <w:lang w:eastAsia="en-US"/>
        </w:rPr>
        <w:t>S</w:t>
      </w:r>
      <w:r w:rsidRPr="00EF0015">
        <w:rPr>
          <w:lang w:eastAsia="en-US"/>
        </w:rPr>
        <w:t>tate really does have effective</w:t>
      </w:r>
      <w:r w:rsidRPr="00EF0015">
        <w:t xml:space="preserve"> </w:t>
      </w:r>
      <w:r w:rsidRPr="00EF0015">
        <w:rPr>
          <w:lang w:eastAsia="en-US"/>
        </w:rPr>
        <w:t xml:space="preserve">control of territory, it cannot hope to secure Convention rights within that territory and, unless it is within the area of the Council of Europe, it is unlikely in any event to find certain of the Convention rights it is bound to secure reconcilable with the customs of the resident population. Indeed it goes further than that. During the period in question here it is common ground that the UK was an </w:t>
      </w:r>
      <w:r w:rsidR="0086667B">
        <w:rPr>
          <w:lang w:eastAsia="en-US"/>
        </w:rPr>
        <w:t>O</w:t>
      </w:r>
      <w:r w:rsidRPr="00EF0015">
        <w:rPr>
          <w:lang w:eastAsia="en-US"/>
        </w:rPr>
        <w:t xml:space="preserve">ccupying </w:t>
      </w:r>
      <w:r w:rsidR="0086667B">
        <w:rPr>
          <w:lang w:eastAsia="en-US"/>
        </w:rPr>
        <w:t>P</w:t>
      </w:r>
      <w:r w:rsidRPr="00EF0015">
        <w:rPr>
          <w:lang w:eastAsia="en-US"/>
        </w:rPr>
        <w:t xml:space="preserve">ower in </w:t>
      </w:r>
      <w:r w:rsidR="0086667B">
        <w:rPr>
          <w:lang w:eastAsia="en-US"/>
        </w:rPr>
        <w:t>s</w:t>
      </w:r>
      <w:r w:rsidRPr="00EF0015">
        <w:rPr>
          <w:lang w:eastAsia="en-US"/>
        </w:rPr>
        <w:t xml:space="preserve">outhern Iraq and bound as such by </w:t>
      </w:r>
      <w:r w:rsidR="0086667B">
        <w:rPr>
          <w:lang w:eastAsia="en-US"/>
        </w:rPr>
        <w:t xml:space="preserve">[the] </w:t>
      </w:r>
      <w:r w:rsidRPr="00EF0015">
        <w:rPr>
          <w:lang w:eastAsia="en-US"/>
        </w:rPr>
        <w:t xml:space="preserve">Geneva IV </w:t>
      </w:r>
      <w:r w:rsidR="0086667B">
        <w:rPr>
          <w:lang w:eastAsia="en-US"/>
        </w:rPr>
        <w:t xml:space="preserve">[Convention] </w:t>
      </w:r>
      <w:r w:rsidRPr="00EF0015">
        <w:rPr>
          <w:lang w:eastAsia="en-US"/>
        </w:rPr>
        <w:t xml:space="preserve">and by the Hague Regulations. Article 43 of the Hague Regulations provides that the occupant </w:t>
      </w:r>
      <w:r w:rsidR="008570E8">
        <w:rPr>
          <w:lang w:eastAsia="en-US"/>
        </w:rPr>
        <w:t>‘</w:t>
      </w:r>
      <w:r w:rsidRPr="00EF0015">
        <w:rPr>
          <w:lang w:eastAsia="en-US"/>
        </w:rPr>
        <w:t>shall take all the measures in his power to restore</w:t>
      </w:r>
      <w:r w:rsidR="0086667B">
        <w:rPr>
          <w:lang w:eastAsia="en-US"/>
        </w:rPr>
        <w:t>,</w:t>
      </w:r>
      <w:r w:rsidRPr="00EF0015">
        <w:rPr>
          <w:lang w:eastAsia="en-US"/>
        </w:rPr>
        <w:t xml:space="preserve"> and ensure, as far as possible, public order and safety, while respecting, unless absolutely prevented, the laws in force in the country</w:t>
      </w:r>
      <w:r w:rsidR="008570E8">
        <w:rPr>
          <w:lang w:eastAsia="en-US"/>
        </w:rPr>
        <w:t>’</w:t>
      </w:r>
      <w:r w:rsidRPr="00EF0015">
        <w:rPr>
          <w:lang w:eastAsia="en-US"/>
        </w:rPr>
        <w:t>. The appellants argue that occupation within the meaning of the Hague Regulations necessarily involves the occupant having effective control of the area and so being responsible for securing there all Convention rights and freedoms. So far as this being the case, however, the occupants</w:t>
      </w:r>
      <w:r w:rsidR="008570E8">
        <w:rPr>
          <w:lang w:eastAsia="en-US"/>
        </w:rPr>
        <w:t>’</w:t>
      </w:r>
      <w:r w:rsidRPr="00EF0015">
        <w:rPr>
          <w:lang w:eastAsia="en-US"/>
        </w:rPr>
        <w:t xml:space="preserve"> obligation is to respect </w:t>
      </w:r>
      <w:r w:rsidR="008570E8">
        <w:rPr>
          <w:lang w:eastAsia="en-US"/>
        </w:rPr>
        <w:t>‘</w:t>
      </w:r>
      <w:r w:rsidRPr="00EF0015">
        <w:rPr>
          <w:lang w:eastAsia="en-US"/>
        </w:rPr>
        <w:t>the laws in force</w:t>
      </w:r>
      <w:r w:rsidR="008570E8">
        <w:rPr>
          <w:lang w:eastAsia="en-US"/>
        </w:rPr>
        <w:t>’</w:t>
      </w:r>
      <w:r w:rsidRPr="00EF0015">
        <w:rPr>
          <w:lang w:eastAsia="en-US"/>
        </w:rPr>
        <w:t>, not to introduce laws and the means to enforce them (for example, courts and a justice system) such as to satisfy the requirements of the Convention. Often (for example where Sharia law is in force) Convention rights would clearly be incompatible with the laws of the territory occupied.</w:t>
      </w:r>
      <w:r w:rsidRPr="00EF0015" w:rsidR="00F16E1B">
        <w:rPr>
          <w:lang w:eastAsia="en-US"/>
        </w:rPr>
        <w:t>”</w:t>
      </w:r>
    </w:p>
    <w:p w:rsidRPr="00EF0015" w:rsidR="00B06ABD" w:rsidP="00B06ABD" w:rsidRDefault="00B06ABD">
      <w:pPr>
        <w:pStyle w:val="JuPara"/>
        <w:rPr>
          <w:lang w:eastAsia="en-US"/>
        </w:rPr>
      </w:pPr>
      <w:r w:rsidRPr="00EF0015">
        <w:rPr>
          <w:lang w:eastAsia="en-US"/>
        </w:rPr>
        <w:fldChar w:fldCharType="begin"/>
      </w:r>
      <w:r w:rsidRPr="00EF0015">
        <w:rPr>
          <w:lang w:eastAsia="en-US"/>
        </w:rPr>
        <w:instrText xml:space="preserve"> SEQ level0 \*arabic </w:instrText>
      </w:r>
      <w:r w:rsidRPr="00EF0015">
        <w:rPr>
          <w:lang w:eastAsia="en-US"/>
        </w:rPr>
        <w:fldChar w:fldCharType="separate"/>
      </w:r>
      <w:r w:rsidR="00524A6D">
        <w:rPr>
          <w:noProof/>
          <w:lang w:eastAsia="en-US"/>
        </w:rPr>
        <w:t>87</w:t>
      </w:r>
      <w:r w:rsidRPr="00EF0015">
        <w:rPr>
          <w:lang w:eastAsia="en-US"/>
        </w:rPr>
        <w:fldChar w:fldCharType="end"/>
      </w:r>
      <w:r w:rsidRPr="00EF0015">
        <w:rPr>
          <w:lang w:eastAsia="en-US"/>
        </w:rPr>
        <w:t xml:space="preserve">.  Lord Rodger (at </w:t>
      </w:r>
      <w:r w:rsidR="0086667B">
        <w:rPr>
          <w:lang w:eastAsia="en-US"/>
        </w:rPr>
        <w:t>paragraph</w:t>
      </w:r>
      <w:r w:rsidRPr="00EF0015">
        <w:rPr>
          <w:lang w:eastAsia="en-US"/>
        </w:rPr>
        <w:t xml:space="preserve"> 83)</w:t>
      </w:r>
      <w:r w:rsidRPr="00EF0015" w:rsidR="00710CC1">
        <w:rPr>
          <w:lang w:eastAsia="en-US"/>
        </w:rPr>
        <w:t>, with whom</w:t>
      </w:r>
      <w:r w:rsidR="008D39A8">
        <w:rPr>
          <w:lang w:eastAsia="en-US"/>
        </w:rPr>
        <w:t xml:space="preserve"> Baroness Hale agreed, and Lord</w:t>
      </w:r>
      <w:r w:rsidR="00334356">
        <w:rPr>
          <w:lang w:eastAsia="en-US"/>
        </w:rPr>
        <w:t xml:space="preserve"> </w:t>
      </w:r>
      <w:r w:rsidRPr="00EF0015" w:rsidR="00710CC1">
        <w:rPr>
          <w:lang w:eastAsia="en-US"/>
        </w:rPr>
        <w:t>Carswell (</w:t>
      </w:r>
      <w:r w:rsidR="0086667B">
        <w:rPr>
          <w:lang w:eastAsia="en-US"/>
        </w:rPr>
        <w:t>paragraph</w:t>
      </w:r>
      <w:r w:rsidRPr="00EF0015" w:rsidR="00710CC1">
        <w:rPr>
          <w:lang w:eastAsia="en-US"/>
        </w:rPr>
        <w:t xml:space="preserve"> 97)</w:t>
      </w:r>
      <w:r w:rsidRPr="00EF0015">
        <w:rPr>
          <w:lang w:eastAsia="en-US"/>
        </w:rPr>
        <w:t xml:space="preserve"> </w:t>
      </w:r>
      <w:r w:rsidRPr="00EF0015" w:rsidR="00710CC1">
        <w:rPr>
          <w:lang w:eastAsia="en-US"/>
        </w:rPr>
        <w:t xml:space="preserve">expressly held that </w:t>
      </w:r>
      <w:r w:rsidRPr="00EF0015">
        <w:rPr>
          <w:lang w:eastAsia="en-US"/>
        </w:rPr>
        <w:t>the United Kingdom was</w:t>
      </w:r>
      <w:r w:rsidRPr="00EF0015" w:rsidR="00710CC1">
        <w:rPr>
          <w:lang w:eastAsia="en-US"/>
        </w:rPr>
        <w:t xml:space="preserve"> not</w:t>
      </w:r>
      <w:r w:rsidRPr="00EF0015">
        <w:rPr>
          <w:lang w:eastAsia="en-US"/>
        </w:rPr>
        <w:t xml:space="preserve"> in effective control of Basra</w:t>
      </w:r>
      <w:r w:rsidRPr="00EF0015" w:rsidR="00F12FE2">
        <w:rPr>
          <w:lang w:eastAsia="en-US"/>
        </w:rPr>
        <w:t xml:space="preserve"> City</w:t>
      </w:r>
      <w:r w:rsidRPr="00EF0015">
        <w:rPr>
          <w:lang w:eastAsia="en-US"/>
        </w:rPr>
        <w:t xml:space="preserve"> and the</w:t>
      </w:r>
      <w:r w:rsidRPr="00EF0015" w:rsidR="00710CC1">
        <w:rPr>
          <w:lang w:eastAsia="en-US"/>
        </w:rPr>
        <w:t xml:space="preserve"> </w:t>
      </w:r>
      <w:r w:rsidRPr="00EF0015">
        <w:rPr>
          <w:lang w:eastAsia="en-US"/>
        </w:rPr>
        <w:t xml:space="preserve">surrounding area for </w:t>
      </w:r>
      <w:r w:rsidRPr="00EF0015" w:rsidR="00710CC1">
        <w:rPr>
          <w:lang w:eastAsia="en-US"/>
        </w:rPr>
        <w:t>purposes of jurisdiction under A</w:t>
      </w:r>
      <w:r w:rsidRPr="00EF0015">
        <w:rPr>
          <w:lang w:eastAsia="en-US"/>
        </w:rPr>
        <w:t>rticle 1 of the</w:t>
      </w:r>
      <w:r w:rsidRPr="00EF0015" w:rsidR="00710CC1">
        <w:rPr>
          <w:lang w:eastAsia="en-US"/>
        </w:rPr>
        <w:t xml:space="preserve"> </w:t>
      </w:r>
      <w:r w:rsidRPr="00EF0015">
        <w:rPr>
          <w:lang w:eastAsia="en-US"/>
        </w:rPr>
        <w:t>Convention at the relevant time.</w:t>
      </w:r>
    </w:p>
    <w:p w:rsidRPr="00EF0015" w:rsidR="004278FB" w:rsidP="00D83EB0" w:rsidRDefault="00D83EB0">
      <w:pPr>
        <w:pStyle w:val="JuPara"/>
      </w:pPr>
      <w:r w:rsidRPr="00EF0015">
        <w:fldChar w:fldCharType="begin"/>
      </w:r>
      <w:r w:rsidRPr="00EF0015">
        <w:instrText xml:space="preserve"> SEQ level0 \*arabic </w:instrText>
      </w:r>
      <w:r w:rsidRPr="00EF0015">
        <w:fldChar w:fldCharType="separate"/>
      </w:r>
      <w:r w:rsidR="00524A6D">
        <w:rPr>
          <w:noProof/>
        </w:rPr>
        <w:t>88</w:t>
      </w:r>
      <w:r w:rsidRPr="00EF0015">
        <w:fldChar w:fldCharType="end"/>
      </w:r>
      <w:r w:rsidRPr="00EF0015">
        <w:t>.  The Secretary of State accepted that the facts of the sixth applicant</w:t>
      </w:r>
      <w:r w:rsidR="008570E8">
        <w:t>’</w:t>
      </w:r>
      <w:r w:rsidRPr="00EF0015">
        <w:t>s case fell within the United Kingdom</w:t>
      </w:r>
      <w:r w:rsidR="008570E8">
        <w:t>’</w:t>
      </w:r>
      <w:r w:rsidR="00127CF4">
        <w:t xml:space="preserve">s jurisdiction under Article </w:t>
      </w:r>
      <w:r w:rsidRPr="00EF0015">
        <w:t>1 of the Convention. The parties therefore agreed that if (as the majority held) the jurisdictional scope of the Human Rights Act was the same as that of the Convention, the sixth applicant</w:t>
      </w:r>
      <w:r w:rsidR="008570E8">
        <w:t>’</w:t>
      </w:r>
      <w:r w:rsidRPr="00EF0015">
        <w:t>s case should be remitted to the Divisional Court, as the Court of Appeal had ordered. In consequence, it was unnecessary for the House of Lords to examine the jurisdictional issue in relation to the death of the sixth applicant</w:t>
      </w:r>
      <w:r w:rsidR="008570E8">
        <w:t>’</w:t>
      </w:r>
      <w:r w:rsidRPr="00EF0015">
        <w:t>s son. However, Lord Brown, with whom the majority agreed,</w:t>
      </w:r>
      <w:r w:rsidRPr="00EF0015" w:rsidR="002B7043">
        <w:t xml:space="preserve"> concluded:</w:t>
      </w:r>
    </w:p>
    <w:p w:rsidRPr="00EF0015" w:rsidR="00CB00CD" w:rsidP="00CB00CD" w:rsidRDefault="002B7043">
      <w:pPr>
        <w:pStyle w:val="JuQuot"/>
      </w:pPr>
      <w:r w:rsidRPr="00EF0015">
        <w:t>“132.</w:t>
      </w:r>
      <w:r w:rsidR="00446190">
        <w:t>  </w:t>
      </w:r>
      <w:r w:rsidR="00E07594">
        <w:t>...</w:t>
      </w:r>
      <w:r w:rsidRPr="00EF0015">
        <w:t xml:space="preserve"> As for the sixth case, I for my part would recognise the UK</w:t>
      </w:r>
      <w:r w:rsidR="008570E8">
        <w:t>’</w:t>
      </w:r>
      <w:r w:rsidRPr="00EF0015">
        <w:t>s jurisdiction over Mr Mousa only on the narrow basis found established by the Divisional Court, essentially by analogy with the extraterritorial e</w:t>
      </w:r>
      <w:r w:rsidR="00C976AF">
        <w:t xml:space="preserve">xception made for embassies (an </w:t>
      </w:r>
      <w:r w:rsidRPr="00EF0015">
        <w:t xml:space="preserve">analogy recognised too in </w:t>
      </w:r>
      <w:r w:rsidRPr="00EF0015">
        <w:rPr>
          <w:i/>
        </w:rPr>
        <w:t>Hess v</w:t>
      </w:r>
      <w:r w:rsidR="007E2DC3">
        <w:rPr>
          <w:i/>
        </w:rPr>
        <w:t>.</w:t>
      </w:r>
      <w:r w:rsidRPr="00EF0015">
        <w:rPr>
          <w:i/>
        </w:rPr>
        <w:t xml:space="preserve"> </w:t>
      </w:r>
      <w:r w:rsidR="007E2DC3">
        <w:t>[</w:t>
      </w:r>
      <w:r w:rsidRPr="007E2DC3" w:rsidR="007E2DC3">
        <w:rPr>
          <w:i/>
        </w:rPr>
        <w:t>the</w:t>
      </w:r>
      <w:r w:rsidR="007E2DC3">
        <w:t xml:space="preserve">] </w:t>
      </w:r>
      <w:r w:rsidRPr="00D8100E">
        <w:t>United</w:t>
      </w:r>
      <w:r w:rsidRPr="00EF0015">
        <w:rPr>
          <w:i/>
        </w:rPr>
        <w:t xml:space="preserve"> Kingdom</w:t>
      </w:r>
      <w:r w:rsidRPr="00EF0015">
        <w:t xml:space="preserve"> (</w:t>
      </w:r>
      <w:r w:rsidR="007E2DC3">
        <w:t xml:space="preserve">[no. 6231/73, Commission decision of 28 May] </w:t>
      </w:r>
      <w:r w:rsidRPr="00EF0015">
        <w:t>1975</w:t>
      </w:r>
      <w:r w:rsidR="006012BF">
        <w:t xml:space="preserve">[, </w:t>
      </w:r>
      <w:r w:rsidR="007E2DC3">
        <w:t>Decisions and Reports</w:t>
      </w:r>
      <w:r w:rsidR="006012BF">
        <w:t xml:space="preserve"> 2, </w:t>
      </w:r>
      <w:r w:rsidR="007E2DC3">
        <w:t>p. ]</w:t>
      </w:r>
      <w:r w:rsidRPr="00EF0015">
        <w:t xml:space="preserve">72, a Commission decision in the context of a foreign prison which had itself referred to the embassy case of </w:t>
      </w:r>
      <w:r w:rsidRPr="00EF0015">
        <w:rPr>
          <w:i/>
        </w:rPr>
        <w:t>X</w:t>
      </w:r>
      <w:r w:rsidR="00C416E7">
        <w:rPr>
          <w:i/>
        </w:rPr>
        <w:t>.</w:t>
      </w:r>
      <w:r w:rsidRPr="00EF0015">
        <w:rPr>
          <w:i/>
        </w:rPr>
        <w:t xml:space="preserve"> v</w:t>
      </w:r>
      <w:r w:rsidR="007E2DC3">
        <w:rPr>
          <w:i/>
        </w:rPr>
        <w:t>.</w:t>
      </w:r>
      <w:r w:rsidRPr="00EF0015">
        <w:rPr>
          <w:i/>
        </w:rPr>
        <w:t xml:space="preserve"> </w:t>
      </w:r>
      <w:r w:rsidRPr="00D8100E" w:rsidR="00C416E7">
        <w:t>[</w:t>
      </w:r>
      <w:r w:rsidRPr="00EF0015">
        <w:rPr>
          <w:i/>
        </w:rPr>
        <w:t>Germany</w:t>
      </w:r>
      <w:r w:rsidR="00573776">
        <w:t xml:space="preserve">, </w:t>
      </w:r>
      <w:r w:rsidR="00C416E7">
        <w:t>no. 1611/62, Commission decision of 25 September 1965, Yearbook 8</w:t>
      </w:r>
      <w:r w:rsidR="00183F2D">
        <w:t>, p.</w:t>
      </w:r>
      <w:r w:rsidR="00573776">
        <w:t> </w:t>
      </w:r>
      <w:r w:rsidR="00183F2D">
        <w:t>158</w:t>
      </w:r>
      <w:r w:rsidR="00C416E7">
        <w:t>]</w:t>
      </w:r>
      <w:r w:rsidRPr="00EF0015">
        <w:t>).</w:t>
      </w:r>
      <w:r w:rsidR="00C81668">
        <w:t xml:space="preserve"> </w:t>
      </w:r>
      <w:r w:rsidR="00E07594">
        <w:t>...</w:t>
      </w:r>
      <w:r w:rsidRPr="00EF0015">
        <w:t>”</w:t>
      </w:r>
    </w:p>
    <w:p w:rsidRPr="00EF0015" w:rsidR="004278FB" w:rsidP="00CB00CD" w:rsidRDefault="00221F05">
      <w:pPr>
        <w:pStyle w:val="JuHIRoman"/>
      </w:pPr>
      <w:bookmarkStart w:name="_Toc275785581" w:id="85"/>
      <w:bookmarkStart w:name="_Toc289868962" w:id="86"/>
      <w:bookmarkStart w:name="_Toc297210658" w:id="87"/>
      <w:r>
        <w:t>II</w:t>
      </w:r>
      <w:r w:rsidRPr="00EF0015" w:rsidR="004278FB">
        <w:t>.  </w:t>
      </w:r>
      <w:r w:rsidRPr="00EF0015" w:rsidR="00CA6F92">
        <w:t>RELEVANT INTERNAT</w:t>
      </w:r>
      <w:r w:rsidRPr="00EF0015" w:rsidR="00CB00CD">
        <w:t>I</w:t>
      </w:r>
      <w:r w:rsidRPr="00EF0015" w:rsidR="00CA6F92">
        <w:t>ONAL LAW</w:t>
      </w:r>
      <w:bookmarkEnd w:id="85"/>
      <w:bookmarkEnd w:id="86"/>
      <w:r w:rsidR="00550F6D">
        <w:t xml:space="preserve"> MATERIALS</w:t>
      </w:r>
      <w:bookmarkEnd w:id="87"/>
    </w:p>
    <w:p w:rsidRPr="00EF0015" w:rsidR="00CA6F92" w:rsidP="00CA6F92" w:rsidRDefault="00127CF4">
      <w:pPr>
        <w:pStyle w:val="JuHAA"/>
      </w:pPr>
      <w:bookmarkStart w:name="_Toc289765874" w:id="88"/>
      <w:bookmarkStart w:name="_Toc289868963" w:id="89"/>
      <w:bookmarkStart w:name="_Toc297210659" w:id="90"/>
      <w:r>
        <w:t>A.  </w:t>
      </w:r>
      <w:r w:rsidRPr="00EF0015" w:rsidR="00CB00CD">
        <w:t>International h</w:t>
      </w:r>
      <w:r w:rsidRPr="00EF0015" w:rsidR="00CA6F92">
        <w:t xml:space="preserve">umanitarian law </w:t>
      </w:r>
      <w:r w:rsidRPr="00EF0015" w:rsidR="00CB00CD">
        <w:t>on</w:t>
      </w:r>
      <w:r w:rsidRPr="00EF0015" w:rsidR="00CA6F92">
        <w:t xml:space="preserve"> belligerent occupation</w:t>
      </w:r>
      <w:bookmarkEnd w:id="88"/>
      <w:bookmarkEnd w:id="89"/>
      <w:bookmarkEnd w:id="90"/>
    </w:p>
    <w:p w:rsidRPr="00EF0015" w:rsidR="005F2300" w:rsidP="00CB3917" w:rsidRDefault="00EE3BF2">
      <w:pPr>
        <w:pStyle w:val="JuPara"/>
        <w:rPr>
          <w:szCs w:val="24"/>
        </w:rPr>
      </w:pPr>
      <w:r w:rsidRPr="00EF0015">
        <w:rPr>
          <w:szCs w:val="24"/>
        </w:rPr>
        <w:fldChar w:fldCharType="begin"/>
      </w:r>
      <w:r w:rsidRPr="00EF0015">
        <w:rPr>
          <w:szCs w:val="24"/>
        </w:rPr>
        <w:instrText xml:space="preserve"> SEQ level0 \*arabic </w:instrText>
      </w:r>
      <w:r w:rsidRPr="00EF0015">
        <w:rPr>
          <w:szCs w:val="24"/>
        </w:rPr>
        <w:fldChar w:fldCharType="separate"/>
      </w:r>
      <w:r w:rsidR="00524A6D">
        <w:rPr>
          <w:noProof/>
          <w:szCs w:val="24"/>
        </w:rPr>
        <w:t>89</w:t>
      </w:r>
      <w:r w:rsidRPr="00EF0015">
        <w:rPr>
          <w:szCs w:val="24"/>
        </w:rPr>
        <w:fldChar w:fldCharType="end"/>
      </w:r>
      <w:r w:rsidRPr="00EF0015">
        <w:rPr>
          <w:szCs w:val="24"/>
        </w:rPr>
        <w:t>. </w:t>
      </w:r>
      <w:r w:rsidR="00446190">
        <w:rPr>
          <w:szCs w:val="24"/>
        </w:rPr>
        <w:t> </w:t>
      </w:r>
      <w:r w:rsidRPr="00EF0015">
        <w:rPr>
          <w:szCs w:val="24"/>
        </w:rPr>
        <w:t xml:space="preserve">The duties of </w:t>
      </w:r>
      <w:r w:rsidRPr="00EF0015" w:rsidR="002B5260">
        <w:rPr>
          <w:szCs w:val="24"/>
        </w:rPr>
        <w:t>an O</w:t>
      </w:r>
      <w:r w:rsidRPr="00EF0015">
        <w:rPr>
          <w:szCs w:val="24"/>
        </w:rPr>
        <w:t xml:space="preserve">ccupying </w:t>
      </w:r>
      <w:r w:rsidRPr="00EF0015" w:rsidR="002B5260">
        <w:rPr>
          <w:szCs w:val="24"/>
        </w:rPr>
        <w:t>P</w:t>
      </w:r>
      <w:r w:rsidRPr="00EF0015">
        <w:rPr>
          <w:szCs w:val="24"/>
        </w:rPr>
        <w:t>ower can</w:t>
      </w:r>
      <w:r w:rsidR="00127CF4">
        <w:rPr>
          <w:szCs w:val="24"/>
        </w:rPr>
        <w:t xml:space="preserve"> be found primarily in Articles </w:t>
      </w:r>
      <w:r w:rsidRPr="00EF0015">
        <w:rPr>
          <w:szCs w:val="24"/>
        </w:rPr>
        <w:t xml:space="preserve">42 to 56 of the </w:t>
      </w:r>
      <w:r w:rsidRPr="00EF0015" w:rsidR="005F2300">
        <w:rPr>
          <w:szCs w:val="24"/>
        </w:rPr>
        <w:t>Regulations concerning the Laws and Customs of War on Land (The Hague, 18 October 1907</w:t>
      </w:r>
      <w:r w:rsidR="002544BD">
        <w:rPr>
          <w:szCs w:val="24"/>
        </w:rPr>
        <w:t>)</w:t>
      </w:r>
      <w:r w:rsidRPr="00EF0015" w:rsidR="005F2300">
        <w:rPr>
          <w:szCs w:val="24"/>
        </w:rPr>
        <w:t xml:space="preserve"> </w:t>
      </w:r>
      <w:r w:rsidR="002544BD">
        <w:rPr>
          <w:szCs w:val="24"/>
        </w:rPr>
        <w:t>(</w:t>
      </w:r>
      <w:r w:rsidRPr="00EF0015" w:rsidR="005F2300">
        <w:rPr>
          <w:szCs w:val="24"/>
        </w:rPr>
        <w:t xml:space="preserve">“the Hague Regulations”) </w:t>
      </w:r>
      <w:r w:rsidRPr="00EF0015">
        <w:rPr>
          <w:szCs w:val="24"/>
        </w:rPr>
        <w:t xml:space="preserve">and Articles 27 to 34 and 47 to 78 of the </w:t>
      </w:r>
      <w:r w:rsidR="003D2C85">
        <w:rPr>
          <w:szCs w:val="24"/>
        </w:rPr>
        <w:t xml:space="preserve">Geneva </w:t>
      </w:r>
      <w:r w:rsidRPr="00EF0015" w:rsidR="00C452F0">
        <w:rPr>
          <w:szCs w:val="24"/>
        </w:rPr>
        <w:t>Convention</w:t>
      </w:r>
      <w:r w:rsidR="00334356">
        <w:rPr>
          <w:szCs w:val="24"/>
        </w:rPr>
        <w:t xml:space="preserve"> </w:t>
      </w:r>
      <w:r w:rsidRPr="00EF0015" w:rsidR="005F2300">
        <w:rPr>
          <w:szCs w:val="24"/>
        </w:rPr>
        <w:t>(IV)</w:t>
      </w:r>
      <w:r w:rsidRPr="00EF0015" w:rsidR="00C452F0">
        <w:rPr>
          <w:szCs w:val="24"/>
        </w:rPr>
        <w:t xml:space="preserve"> relative to the Protection of Civilian Persons in Time of War </w:t>
      </w:r>
      <w:r w:rsidR="00127CF4">
        <w:rPr>
          <w:szCs w:val="24"/>
        </w:rPr>
        <w:t>(</w:t>
      </w:r>
      <w:r w:rsidR="003D2C85">
        <w:rPr>
          <w:szCs w:val="24"/>
        </w:rPr>
        <w:t xml:space="preserve">of 12 </w:t>
      </w:r>
      <w:r w:rsidRPr="00EF0015" w:rsidR="005F2300">
        <w:rPr>
          <w:szCs w:val="24"/>
        </w:rPr>
        <w:t xml:space="preserve">August </w:t>
      </w:r>
      <w:r w:rsidRPr="00EF0015" w:rsidR="00C452F0">
        <w:rPr>
          <w:szCs w:val="24"/>
        </w:rPr>
        <w:t>1949</w:t>
      </w:r>
      <w:r w:rsidR="002544BD">
        <w:rPr>
          <w:szCs w:val="24"/>
        </w:rPr>
        <w:t>)</w:t>
      </w:r>
      <w:r w:rsidRPr="00EF0015" w:rsidR="005F2300">
        <w:rPr>
          <w:szCs w:val="24"/>
        </w:rPr>
        <w:t xml:space="preserve"> </w:t>
      </w:r>
      <w:r w:rsidR="002544BD">
        <w:rPr>
          <w:szCs w:val="24"/>
        </w:rPr>
        <w:t>(</w:t>
      </w:r>
      <w:r w:rsidRPr="00EF0015" w:rsidR="00C452F0">
        <w:rPr>
          <w:szCs w:val="24"/>
        </w:rPr>
        <w:t>“</w:t>
      </w:r>
      <w:r w:rsidRPr="00EF0015" w:rsidR="005F2300">
        <w:rPr>
          <w:szCs w:val="24"/>
        </w:rPr>
        <w:t xml:space="preserve">the </w:t>
      </w:r>
      <w:r w:rsidRPr="00EF0015" w:rsidR="00C452F0">
        <w:rPr>
          <w:szCs w:val="24"/>
        </w:rPr>
        <w:t>Fourth Geneva Convention”)</w:t>
      </w:r>
      <w:r w:rsidRPr="00EF0015">
        <w:rPr>
          <w:szCs w:val="24"/>
        </w:rPr>
        <w:t xml:space="preserve">, as well as in certain provisions of </w:t>
      </w:r>
      <w:r w:rsidRPr="00EF0015" w:rsidR="002B5260">
        <w:rPr>
          <w:szCs w:val="24"/>
        </w:rPr>
        <w:t xml:space="preserve">the </w:t>
      </w:r>
      <w:r w:rsidRPr="00EF0015" w:rsidR="005F2300">
        <w:rPr>
          <w:szCs w:val="24"/>
        </w:rPr>
        <w:t xml:space="preserve">Protocol Additional </w:t>
      </w:r>
      <w:r w:rsidR="00C976AF">
        <w:rPr>
          <w:szCs w:val="24"/>
        </w:rPr>
        <w:t>to the Geneva Conventions of 12</w:t>
      </w:r>
      <w:r w:rsidR="00334356">
        <w:rPr>
          <w:szCs w:val="24"/>
        </w:rPr>
        <w:t xml:space="preserve"> </w:t>
      </w:r>
      <w:r w:rsidRPr="00EF0015" w:rsidR="005F2300">
        <w:rPr>
          <w:szCs w:val="24"/>
        </w:rPr>
        <w:t xml:space="preserve">August 1949, and relating to the Protection of Victims of International Armed Conflicts (Protocol I), </w:t>
      </w:r>
      <w:r w:rsidR="002544BD">
        <w:rPr>
          <w:szCs w:val="24"/>
        </w:rPr>
        <w:t xml:space="preserve">of </w:t>
      </w:r>
      <w:r w:rsidRPr="00EF0015" w:rsidR="005F2300">
        <w:rPr>
          <w:szCs w:val="24"/>
        </w:rPr>
        <w:t>8 June 1977</w:t>
      </w:r>
      <w:r w:rsidR="008570E8">
        <w:rPr>
          <w:szCs w:val="24"/>
        </w:rPr>
        <w:t xml:space="preserve"> </w:t>
      </w:r>
      <w:r w:rsidR="002544BD">
        <w:rPr>
          <w:szCs w:val="24"/>
        </w:rPr>
        <w:t>(</w:t>
      </w:r>
      <w:r w:rsidR="00334356">
        <w:rPr>
          <w:szCs w:val="24"/>
        </w:rPr>
        <w:t xml:space="preserve">“Additional Protocol </w:t>
      </w:r>
      <w:r w:rsidR="0076147A">
        <w:rPr>
          <w:szCs w:val="24"/>
        </w:rPr>
        <w:t>I</w:t>
      </w:r>
      <w:r w:rsidRPr="00EF0015" w:rsidR="005F2300">
        <w:rPr>
          <w:szCs w:val="24"/>
        </w:rPr>
        <w:t>”).</w:t>
      </w:r>
    </w:p>
    <w:p w:rsidRPr="00EF0015" w:rsidR="00CB3917" w:rsidP="00CB3917" w:rsidRDefault="00102211">
      <w:pPr>
        <w:pStyle w:val="JuPara"/>
      </w:pPr>
      <w:r w:rsidRPr="00EF0015">
        <w:t>Article</w:t>
      </w:r>
      <w:r w:rsidRPr="00EF0015" w:rsidR="002B5260">
        <w:t>s</w:t>
      </w:r>
      <w:r w:rsidRPr="00EF0015" w:rsidR="00CB3917">
        <w:t xml:space="preserve"> 42 </w:t>
      </w:r>
      <w:r w:rsidRPr="00EF0015" w:rsidR="002B5260">
        <w:t>and 43 of the Hague Regulations provide</w:t>
      </w:r>
      <w:r w:rsidRPr="00EF0015" w:rsidR="00CB3917">
        <w:t xml:space="preserve"> as follows:</w:t>
      </w:r>
    </w:p>
    <w:p w:rsidR="00446190" w:rsidP="00D8100E" w:rsidRDefault="00446190">
      <w:pPr>
        <w:pStyle w:val="JuQuot"/>
        <w:spacing w:before="240"/>
        <w:ind w:left="0" w:firstLine="0"/>
        <w:jc w:val="center"/>
      </w:pPr>
      <w:r w:rsidRPr="00D8100E">
        <w:rPr>
          <w:b/>
        </w:rPr>
        <w:t>Article 42</w:t>
      </w:r>
    </w:p>
    <w:p w:rsidR="00CB3917" w:rsidP="00CB3917" w:rsidRDefault="00446190">
      <w:pPr>
        <w:pStyle w:val="JuQuot"/>
      </w:pPr>
      <w:r>
        <w:t>“</w:t>
      </w:r>
      <w:r w:rsidRPr="00EF0015" w:rsidR="00CB3917">
        <w:t>Territory is considered occupied when it is actually placed under the authority of the hostile army. The occupation extends only to the territory where such authority has been es</w:t>
      </w:r>
      <w:r w:rsidRPr="00EF0015" w:rsidR="002B5260">
        <w:t>tablished and can be exercised.</w:t>
      </w:r>
      <w:r>
        <w:t>”</w:t>
      </w:r>
    </w:p>
    <w:p w:rsidRPr="00D8100E" w:rsidR="00446190" w:rsidP="00D8100E" w:rsidRDefault="00446190">
      <w:pPr>
        <w:pStyle w:val="JuQuot"/>
        <w:spacing w:before="240"/>
        <w:ind w:left="0" w:firstLine="0"/>
        <w:jc w:val="center"/>
        <w:rPr>
          <w:b/>
        </w:rPr>
      </w:pPr>
      <w:r w:rsidRPr="00D8100E">
        <w:rPr>
          <w:b/>
        </w:rPr>
        <w:t>Article 43</w:t>
      </w:r>
    </w:p>
    <w:p w:rsidRPr="00EF0015" w:rsidR="00EE3BF2" w:rsidP="00EE3BF2" w:rsidRDefault="00446190">
      <w:pPr>
        <w:pStyle w:val="JuQuot"/>
      </w:pPr>
      <w:r>
        <w:t>“</w:t>
      </w:r>
      <w:r w:rsidRPr="00EF0015" w:rsidR="00EE3BF2">
        <w:t>The authority of the legitimate power having in fact passed into the hands of the occupant, the latter shall take all the measures in his power to restore, and ensure, as far as possible, public order and safety, while respecting, unless absolutely prevented, the laws in force in the country.”</w:t>
      </w:r>
    </w:p>
    <w:p w:rsidRPr="00EF0015" w:rsidR="00F46A88" w:rsidP="00EE3BF2" w:rsidRDefault="00EE3BF2">
      <w:pPr>
        <w:pStyle w:val="JuPara"/>
      </w:pPr>
      <w:r w:rsidRPr="00EF0015">
        <w:t xml:space="preserve">Article 64 </w:t>
      </w:r>
      <w:r w:rsidRPr="00EF0015" w:rsidR="002B5260">
        <w:t xml:space="preserve">of the Fourth Geneva Convention </w:t>
      </w:r>
      <w:r w:rsidRPr="00EF0015">
        <w:t xml:space="preserve">provides that penal laws may be repealed or suspended by the </w:t>
      </w:r>
      <w:r w:rsidRPr="00EF0015" w:rsidR="002B5260">
        <w:t>O</w:t>
      </w:r>
      <w:r w:rsidRPr="00EF0015">
        <w:t>ccup</w:t>
      </w:r>
      <w:r w:rsidRPr="00EF0015" w:rsidR="002B5260">
        <w:t>ying Power</w:t>
      </w:r>
      <w:r w:rsidRPr="00EF0015">
        <w:t xml:space="preserve"> </w:t>
      </w:r>
      <w:r w:rsidRPr="00EF0015" w:rsidR="002B5260">
        <w:t xml:space="preserve">only </w:t>
      </w:r>
      <w:r w:rsidRPr="00EF0015">
        <w:t xml:space="preserve">where they constitute a threat to the security or an obstacle to the application of the </w:t>
      </w:r>
      <w:r w:rsidRPr="00EF0015" w:rsidR="00CB3917">
        <w:t>Fourth Geneva Convention</w:t>
      </w:r>
      <w:r w:rsidRPr="00EF0015">
        <w:t>. It also detai</w:t>
      </w:r>
      <w:r w:rsidRPr="00EF0015" w:rsidR="002B5260">
        <w:t>ls the situations in which the O</w:t>
      </w:r>
      <w:r w:rsidRPr="00EF0015">
        <w:t xml:space="preserve">ccupying </w:t>
      </w:r>
      <w:r w:rsidRPr="00EF0015" w:rsidR="002B5260">
        <w:t>P</w:t>
      </w:r>
      <w:r w:rsidRPr="00EF0015">
        <w:t>ower is entitled to introduce legislative measures. These are specifically</w:t>
      </w:r>
      <w:r w:rsidRPr="00EF0015" w:rsidR="00F46A88">
        <w:t>:</w:t>
      </w:r>
    </w:p>
    <w:p w:rsidRPr="00EF0015" w:rsidR="00EE3BF2" w:rsidP="00F46A88" w:rsidRDefault="00EE3BF2">
      <w:pPr>
        <w:pStyle w:val="JuQuot"/>
      </w:pPr>
      <w:r w:rsidRPr="00EF0015">
        <w:t>“</w:t>
      </w:r>
      <w:r w:rsidR="002544BD">
        <w:t xml:space="preserve">... </w:t>
      </w:r>
      <w:r w:rsidRPr="00EF0015">
        <w:t>provisions which are essential to enable the Occupying Power to fulfil its obligations under the present Convention, to maintain the orderly government of the territory, and to ensure the security of the Occupying Power, of the members and property of the occupying forces or administration, and likewise of the establishments and lines of communication used by them.”</w:t>
      </w:r>
    </w:p>
    <w:p w:rsidR="00C81668" w:rsidP="00A03D3C" w:rsidRDefault="00C452F0">
      <w:pPr>
        <w:pStyle w:val="JuPara"/>
        <w:rPr>
          <w:szCs w:val="24"/>
        </w:rPr>
      </w:pPr>
      <w:r w:rsidRPr="00EF0015">
        <w:rPr>
          <w:szCs w:val="24"/>
        </w:rPr>
        <w:t>Ag</w:t>
      </w:r>
      <w:r w:rsidRPr="00EF0015" w:rsidR="00524FE4">
        <w:rPr>
          <w:szCs w:val="24"/>
        </w:rPr>
        <w:t>reements concluded between the O</w:t>
      </w:r>
      <w:r w:rsidRPr="00EF0015">
        <w:rPr>
          <w:szCs w:val="24"/>
        </w:rPr>
        <w:t xml:space="preserve">ccupying </w:t>
      </w:r>
      <w:r w:rsidRPr="00EF0015" w:rsidR="00524FE4">
        <w:rPr>
          <w:szCs w:val="24"/>
        </w:rPr>
        <w:t>P</w:t>
      </w:r>
      <w:r w:rsidRPr="00EF0015">
        <w:rPr>
          <w:szCs w:val="24"/>
        </w:rPr>
        <w:t xml:space="preserve">ower and the local authorities cannot deprive the population of </w:t>
      </w:r>
      <w:r w:rsidR="00603A0E">
        <w:rPr>
          <w:szCs w:val="24"/>
        </w:rPr>
        <w:t xml:space="preserve">the </w:t>
      </w:r>
      <w:r w:rsidRPr="00EF0015">
        <w:rPr>
          <w:szCs w:val="24"/>
        </w:rPr>
        <w:t>occupied territory of the protection afforded by</w:t>
      </w:r>
      <w:r w:rsidRPr="00EF0015" w:rsidR="002B5260">
        <w:rPr>
          <w:szCs w:val="24"/>
        </w:rPr>
        <w:t xml:space="preserve"> international humanitarian law </w:t>
      </w:r>
      <w:r w:rsidRPr="00EF0015">
        <w:rPr>
          <w:szCs w:val="24"/>
        </w:rPr>
        <w:t>and protected persons themselves can in no circumstances renounce their rights (Fourth Geneva Convention</w:t>
      </w:r>
      <w:r w:rsidRPr="00EF0015" w:rsidR="00524FE4">
        <w:rPr>
          <w:szCs w:val="24"/>
        </w:rPr>
        <w:t>, Article</w:t>
      </w:r>
      <w:r w:rsidR="0076147A">
        <w:rPr>
          <w:szCs w:val="24"/>
        </w:rPr>
        <w:t>s 8 and</w:t>
      </w:r>
      <w:r w:rsidRPr="00EF0015" w:rsidR="00524FE4">
        <w:rPr>
          <w:szCs w:val="24"/>
        </w:rPr>
        <w:t xml:space="preserve"> 47</w:t>
      </w:r>
      <w:r w:rsidRPr="00EF0015">
        <w:rPr>
          <w:szCs w:val="24"/>
        </w:rPr>
        <w:t xml:space="preserve">). </w:t>
      </w:r>
      <w:r w:rsidRPr="00EF0015" w:rsidR="00A03D3C">
        <w:rPr>
          <w:szCs w:val="24"/>
        </w:rPr>
        <w:t>Occupation does not create any change in the status of the territory (see Article 4 of Additional Protocol I), which can only be effected by a peace treaty or by annexation followed by recognition. The former sovereign remains sovereign and there is no change in the nationality of the inhabitants.</w:t>
      </w:r>
    </w:p>
    <w:p w:rsidRPr="00EF0015" w:rsidR="009F6D3F" w:rsidP="009F6D3F" w:rsidRDefault="00127CF4">
      <w:pPr>
        <w:pStyle w:val="JuHAA"/>
      </w:pPr>
      <w:bookmarkStart w:name="_Toc289765875" w:id="91"/>
      <w:bookmarkStart w:name="_Toc289868964" w:id="92"/>
      <w:bookmarkStart w:name="_Toc297210660" w:id="93"/>
      <w:r>
        <w:t>B.  </w:t>
      </w:r>
      <w:r w:rsidRPr="00EF0015" w:rsidR="009F6D3F">
        <w:t xml:space="preserve">Case-law of the International Court of Justice concerning the interrelationship between </w:t>
      </w:r>
      <w:r w:rsidRPr="00EF0015" w:rsidR="00A957EC">
        <w:t>international humanitarian law</w:t>
      </w:r>
      <w:r w:rsidRPr="00EF0015" w:rsidR="009F6D3F">
        <w:t xml:space="preserve"> and international human rights law and the extraterritorial obligations of States under international human rights law</w:t>
      </w:r>
      <w:bookmarkEnd w:id="91"/>
      <w:bookmarkEnd w:id="92"/>
      <w:bookmarkEnd w:id="93"/>
    </w:p>
    <w:p w:rsidRPr="00EF0015" w:rsidR="00B56052" w:rsidP="00B56052" w:rsidRDefault="003141D1">
      <w:pPr>
        <w:pStyle w:val="JuPara"/>
        <w:rPr>
          <w:rStyle w:val="JuQuotChar"/>
          <w:szCs w:val="24"/>
        </w:rPr>
      </w:pPr>
      <w:r w:rsidRPr="00EF0015">
        <w:rPr>
          <w:rStyle w:val="JuQuotChar"/>
          <w:szCs w:val="24"/>
        </w:rPr>
        <w:fldChar w:fldCharType="begin"/>
      </w:r>
      <w:r w:rsidRPr="00EF0015">
        <w:rPr>
          <w:rStyle w:val="JuQuotChar"/>
          <w:szCs w:val="24"/>
        </w:rPr>
        <w:instrText xml:space="preserve"> SEQ level0 \*arabic </w:instrText>
      </w:r>
      <w:r w:rsidRPr="00EF0015">
        <w:rPr>
          <w:rStyle w:val="JuQuotChar"/>
          <w:szCs w:val="24"/>
        </w:rPr>
        <w:fldChar w:fldCharType="separate"/>
      </w:r>
      <w:r w:rsidR="00524A6D">
        <w:rPr>
          <w:rStyle w:val="JuQuotChar"/>
          <w:noProof/>
          <w:szCs w:val="24"/>
        </w:rPr>
        <w:t>90</w:t>
      </w:r>
      <w:r w:rsidRPr="00EF0015">
        <w:rPr>
          <w:rStyle w:val="JuQuotChar"/>
          <w:szCs w:val="24"/>
        </w:rPr>
        <w:fldChar w:fldCharType="end"/>
      </w:r>
      <w:r w:rsidRPr="00EF0015">
        <w:rPr>
          <w:rStyle w:val="JuQuotChar"/>
          <w:szCs w:val="24"/>
        </w:rPr>
        <w:t xml:space="preserve">.  In </w:t>
      </w:r>
      <w:r w:rsidRPr="00EF0015" w:rsidR="00B56052">
        <w:rPr>
          <w:rStyle w:val="JuQuotChar"/>
          <w:szCs w:val="24"/>
        </w:rPr>
        <w:t>the proceedings concerning the International Court of Justice</w:t>
      </w:r>
      <w:r w:rsidR="008570E8">
        <w:rPr>
          <w:rStyle w:val="JuQuotChar"/>
          <w:szCs w:val="24"/>
        </w:rPr>
        <w:t>’</w:t>
      </w:r>
      <w:r w:rsidRPr="00EF0015" w:rsidR="00B56052">
        <w:rPr>
          <w:rStyle w:val="JuQuotChar"/>
          <w:szCs w:val="24"/>
        </w:rPr>
        <w:t xml:space="preserve">s </w:t>
      </w:r>
      <w:r w:rsidRPr="00EF0015">
        <w:rPr>
          <w:rStyle w:val="JuQuotChar"/>
          <w:szCs w:val="24"/>
        </w:rPr>
        <w:t xml:space="preserve">Advisory Opinion on the </w:t>
      </w:r>
      <w:r w:rsidRPr="00EF0015" w:rsidR="00CB66AD">
        <w:rPr>
          <w:rStyle w:val="JuQuotChar"/>
          <w:i/>
          <w:szCs w:val="24"/>
        </w:rPr>
        <w:t>Legal Consequences o</w:t>
      </w:r>
      <w:r w:rsidRPr="00EF0015" w:rsidR="00524FE4">
        <w:rPr>
          <w:rStyle w:val="JuQuotChar"/>
          <w:i/>
          <w:szCs w:val="24"/>
        </w:rPr>
        <w:t>f</w:t>
      </w:r>
      <w:r w:rsidRPr="00EF0015" w:rsidR="00CB66AD">
        <w:rPr>
          <w:rStyle w:val="JuQuotChar"/>
          <w:i/>
          <w:szCs w:val="24"/>
        </w:rPr>
        <w:t xml:space="preserve"> the Construction of a Wall in the Occupied Palestinian Territory</w:t>
      </w:r>
      <w:r w:rsidR="0033762E">
        <w:rPr>
          <w:rStyle w:val="JuQuotChar"/>
          <w:i/>
          <w:szCs w:val="24"/>
        </w:rPr>
        <w:t xml:space="preserve"> </w:t>
      </w:r>
      <w:r w:rsidR="0033762E">
        <w:rPr>
          <w:rStyle w:val="JuQuotChar"/>
          <w:szCs w:val="24"/>
        </w:rPr>
        <w:t>(9 July 2004)</w:t>
      </w:r>
      <w:r w:rsidRPr="00EF0015" w:rsidR="00CB66AD">
        <w:rPr>
          <w:rStyle w:val="JuQuotChar"/>
          <w:szCs w:val="24"/>
        </w:rPr>
        <w:t xml:space="preserve">, </w:t>
      </w:r>
      <w:r w:rsidRPr="00EF0015" w:rsidR="00B56052">
        <w:rPr>
          <w:rStyle w:val="JuQuotChar"/>
          <w:szCs w:val="24"/>
        </w:rPr>
        <w:t xml:space="preserve">Israel denied that </w:t>
      </w:r>
      <w:r w:rsidRPr="00EF0015">
        <w:rPr>
          <w:rStyle w:val="JuQuotChar"/>
          <w:szCs w:val="24"/>
        </w:rPr>
        <w:t xml:space="preserve">the </w:t>
      </w:r>
      <w:r w:rsidRPr="00EF0015" w:rsidR="002706E7">
        <w:rPr>
          <w:rStyle w:val="JuQuotChar"/>
          <w:szCs w:val="24"/>
        </w:rPr>
        <w:t xml:space="preserve">human rights instruments to which it was a </w:t>
      </w:r>
      <w:r w:rsidR="007E182C">
        <w:rPr>
          <w:rStyle w:val="JuQuotChar"/>
          <w:szCs w:val="24"/>
        </w:rPr>
        <w:t>p</w:t>
      </w:r>
      <w:r w:rsidRPr="00EF0015" w:rsidR="002706E7">
        <w:rPr>
          <w:rStyle w:val="JuQuotChar"/>
          <w:szCs w:val="24"/>
        </w:rPr>
        <w:t xml:space="preserve">arty, including the </w:t>
      </w:r>
      <w:r w:rsidRPr="00EF0015" w:rsidR="00102211">
        <w:rPr>
          <w:rStyle w:val="JuQuotChar"/>
          <w:szCs w:val="24"/>
        </w:rPr>
        <w:t>International Covenan</w:t>
      </w:r>
      <w:r w:rsidRPr="00EF0015" w:rsidR="00E506FC">
        <w:rPr>
          <w:rStyle w:val="JuQuotChar"/>
          <w:szCs w:val="24"/>
        </w:rPr>
        <w:t>t on Civil and Political Rights</w:t>
      </w:r>
      <w:r w:rsidRPr="00EF0015">
        <w:rPr>
          <w:rStyle w:val="JuQuotChar"/>
          <w:szCs w:val="24"/>
        </w:rPr>
        <w:t xml:space="preserve">, </w:t>
      </w:r>
      <w:r w:rsidRPr="00EF0015" w:rsidR="00B56052">
        <w:rPr>
          <w:rStyle w:val="JuQuotChar"/>
          <w:szCs w:val="24"/>
        </w:rPr>
        <w:t xml:space="preserve">were applicable to </w:t>
      </w:r>
      <w:r w:rsidRPr="00EF0015" w:rsidR="009C6748">
        <w:rPr>
          <w:rStyle w:val="JuQuotChar"/>
          <w:szCs w:val="24"/>
        </w:rPr>
        <w:t>the Occupied Palestinian T</w:t>
      </w:r>
      <w:r w:rsidRPr="00EF0015" w:rsidR="00B56052">
        <w:rPr>
          <w:rStyle w:val="JuQuotChar"/>
          <w:szCs w:val="24"/>
        </w:rPr>
        <w:t>erritory and asserted (</w:t>
      </w:r>
      <w:r w:rsidR="002544BD">
        <w:rPr>
          <w:rStyle w:val="JuQuotChar"/>
          <w:szCs w:val="24"/>
        </w:rPr>
        <w:t xml:space="preserve">at </w:t>
      </w:r>
      <w:r w:rsidR="00BF10AE">
        <w:rPr>
          <w:rStyle w:val="JuQuotChar"/>
          <w:szCs w:val="24"/>
        </w:rPr>
        <w:t>paragraph</w:t>
      </w:r>
      <w:r w:rsidRPr="00EF0015" w:rsidR="00B56052">
        <w:rPr>
          <w:rStyle w:val="JuQuotChar"/>
          <w:szCs w:val="24"/>
        </w:rPr>
        <w:t xml:space="preserve"> 102) that:</w:t>
      </w:r>
    </w:p>
    <w:p w:rsidRPr="00EF0015" w:rsidR="00B56052" w:rsidP="00B56052" w:rsidRDefault="00B56052">
      <w:pPr>
        <w:pStyle w:val="JuQuot"/>
        <w:rPr>
          <w:rStyle w:val="JuQuotChar"/>
          <w:szCs w:val="24"/>
        </w:rPr>
      </w:pPr>
      <w:r w:rsidRPr="00EF0015">
        <w:rPr>
          <w:rStyle w:val="JuQuotChar"/>
          <w:szCs w:val="24"/>
        </w:rPr>
        <w:t xml:space="preserve">“humanitarian law is the protection granted in a conflict situation such as the one in the West Bank and Gaza Strip, whereas human rights treaties were intended for the protection of citizens from their own </w:t>
      </w:r>
      <w:r w:rsidR="002544BD">
        <w:rPr>
          <w:rStyle w:val="JuQuotChar"/>
          <w:szCs w:val="24"/>
        </w:rPr>
        <w:t>g</w:t>
      </w:r>
      <w:r w:rsidRPr="00EF0015">
        <w:rPr>
          <w:rStyle w:val="JuQuotChar"/>
          <w:szCs w:val="24"/>
        </w:rPr>
        <w:t>overnment in times of peace.”</w:t>
      </w:r>
    </w:p>
    <w:p w:rsidRPr="00EF0015" w:rsidR="00B56052" w:rsidP="00B56052" w:rsidRDefault="00B56052">
      <w:pPr>
        <w:pStyle w:val="JuPara"/>
        <w:rPr>
          <w:rStyle w:val="JuQuotChar"/>
          <w:szCs w:val="24"/>
        </w:rPr>
      </w:pPr>
      <w:r w:rsidRPr="00EF0015">
        <w:rPr>
          <w:rStyle w:val="JuQuotChar"/>
          <w:szCs w:val="24"/>
        </w:rPr>
        <w:t xml:space="preserve">In order to determine whether the instruments were applicable in the Occupied Palestinian Territory, the </w:t>
      </w:r>
      <w:r w:rsidRPr="00EF0015" w:rsidR="00A957EC">
        <w:t>International Court of Justice</w:t>
      </w:r>
      <w:r w:rsidRPr="00EF0015">
        <w:rPr>
          <w:rStyle w:val="JuQuotChar"/>
          <w:szCs w:val="24"/>
        </w:rPr>
        <w:t xml:space="preserve"> first addressed the issue of the relationship between </w:t>
      </w:r>
      <w:r w:rsidRPr="00EF0015" w:rsidR="00A957EC">
        <w:rPr>
          <w:rStyle w:val="JuQuotChar"/>
          <w:szCs w:val="24"/>
        </w:rPr>
        <w:t>international humanitarian law</w:t>
      </w:r>
      <w:r w:rsidRPr="00EF0015">
        <w:rPr>
          <w:rStyle w:val="JuQuotChar"/>
          <w:szCs w:val="24"/>
        </w:rPr>
        <w:t xml:space="preserve"> and </w:t>
      </w:r>
      <w:r w:rsidRPr="00EF0015" w:rsidR="0043290A">
        <w:rPr>
          <w:rStyle w:val="JuQuotChar"/>
          <w:szCs w:val="24"/>
        </w:rPr>
        <w:t xml:space="preserve">international </w:t>
      </w:r>
      <w:r w:rsidRPr="00EF0015">
        <w:rPr>
          <w:rStyle w:val="JuQuotChar"/>
          <w:szCs w:val="24"/>
        </w:rPr>
        <w:t>human rights law, holding as follows:</w:t>
      </w:r>
    </w:p>
    <w:p w:rsidR="00C81668" w:rsidP="00B56052" w:rsidRDefault="00B56052">
      <w:pPr>
        <w:pStyle w:val="JuQuot"/>
        <w:rPr>
          <w:rStyle w:val="JuQuotChar"/>
          <w:szCs w:val="24"/>
        </w:rPr>
      </w:pPr>
      <w:r w:rsidRPr="00EF0015">
        <w:rPr>
          <w:rStyle w:val="JuQuotChar"/>
          <w:szCs w:val="24"/>
        </w:rPr>
        <w:t>“106.</w:t>
      </w:r>
      <w:r w:rsidR="00446190">
        <w:rPr>
          <w:rStyle w:val="JuQuotChar"/>
          <w:szCs w:val="24"/>
        </w:rPr>
        <w:t>  </w:t>
      </w:r>
      <w:r w:rsidR="00E07594">
        <w:rPr>
          <w:rStyle w:val="JuQuotChar"/>
          <w:szCs w:val="24"/>
        </w:rPr>
        <w:t>...</w:t>
      </w:r>
      <w:r w:rsidRPr="00EF0015">
        <w:rPr>
          <w:rStyle w:val="JuQuotChar"/>
          <w:szCs w:val="24"/>
        </w:rPr>
        <w:t xml:space="preserve"> the Court considers that the protection offered by human rights conventions does not cease in case of armed conflict, save through the effect of provisions for derogation of the kind to be found in Article 4 of the </w:t>
      </w:r>
      <w:r w:rsidRPr="00EF0015" w:rsidR="00E506FC">
        <w:rPr>
          <w:rStyle w:val="JuQuotChar"/>
          <w:szCs w:val="24"/>
        </w:rPr>
        <w:t>International Covenant on Civil and Political Rights</w:t>
      </w:r>
      <w:r w:rsidRPr="00EF0015">
        <w:rPr>
          <w:rStyle w:val="JuQuotChar"/>
          <w:szCs w:val="24"/>
        </w:rPr>
        <w:t xml:space="preserve">. As regards the relationship between international humanitarian law and human rights law, there are thus three possible situations: some rights may be exclusively matters of international humanitarian law; others may be exclusively matters of human rights law; yet others may be matters of both these branches of international law. In order to answer the question put to it, the Court will have to take into consideration both these branches of international law, namely human rights law and, as </w:t>
      </w:r>
      <w:r w:rsidRPr="00EF0015">
        <w:rPr>
          <w:rStyle w:val="JuQuotChar"/>
          <w:i/>
          <w:szCs w:val="24"/>
        </w:rPr>
        <w:t>lex specialis</w:t>
      </w:r>
      <w:r w:rsidRPr="00EF0015">
        <w:rPr>
          <w:rStyle w:val="JuQuotChar"/>
          <w:szCs w:val="24"/>
        </w:rPr>
        <w:t>,</w:t>
      </w:r>
      <w:r w:rsidR="00C81668">
        <w:rPr>
          <w:rStyle w:val="JuQuotChar"/>
          <w:szCs w:val="24"/>
        </w:rPr>
        <w:t xml:space="preserve"> </w:t>
      </w:r>
      <w:r w:rsidRPr="00EF0015">
        <w:rPr>
          <w:rStyle w:val="JuQuotChar"/>
          <w:szCs w:val="24"/>
        </w:rPr>
        <w:t>international humanitarian law.”</w:t>
      </w:r>
    </w:p>
    <w:p w:rsidRPr="00EF0015" w:rsidR="00CB2849" w:rsidP="00B56052" w:rsidRDefault="00B56052">
      <w:pPr>
        <w:pStyle w:val="JuPara"/>
        <w:rPr>
          <w:rStyle w:val="JuQuotChar"/>
          <w:szCs w:val="24"/>
        </w:rPr>
      </w:pPr>
      <w:r w:rsidRPr="00EF0015">
        <w:rPr>
          <w:rStyle w:val="JuQuotChar"/>
          <w:szCs w:val="24"/>
        </w:rPr>
        <w:t xml:space="preserve">The </w:t>
      </w:r>
      <w:r w:rsidRPr="00EF0015" w:rsidR="00A957EC">
        <w:t>International Court of Justice</w:t>
      </w:r>
      <w:r w:rsidRPr="00EF0015">
        <w:rPr>
          <w:rStyle w:val="JuQuotChar"/>
          <w:szCs w:val="24"/>
        </w:rPr>
        <w:t xml:space="preserve"> next considered the question whether the </w:t>
      </w:r>
      <w:r w:rsidRPr="00EF0015" w:rsidR="00E506FC">
        <w:rPr>
          <w:rStyle w:val="JuQuotChar"/>
          <w:szCs w:val="24"/>
        </w:rPr>
        <w:t xml:space="preserve">International Covenant on Civil and Political Rights </w:t>
      </w:r>
      <w:r w:rsidRPr="00EF0015" w:rsidR="002706E7">
        <w:rPr>
          <w:rStyle w:val="JuQuotChar"/>
          <w:szCs w:val="24"/>
        </w:rPr>
        <w:t>was</w:t>
      </w:r>
      <w:r w:rsidRPr="00EF0015">
        <w:rPr>
          <w:rStyle w:val="JuQuotChar"/>
          <w:szCs w:val="24"/>
        </w:rPr>
        <w:t xml:space="preserve"> </w:t>
      </w:r>
      <w:r w:rsidRPr="00EF0015" w:rsidR="009C6748">
        <w:rPr>
          <w:rStyle w:val="JuQuotChar"/>
          <w:szCs w:val="24"/>
        </w:rPr>
        <w:t>capable of applying o</w:t>
      </w:r>
      <w:r w:rsidRPr="00EF0015">
        <w:rPr>
          <w:rStyle w:val="JuQuotChar"/>
          <w:szCs w:val="24"/>
        </w:rPr>
        <w:t>utside the State</w:t>
      </w:r>
      <w:r w:rsidR="008570E8">
        <w:rPr>
          <w:rStyle w:val="JuQuotChar"/>
          <w:szCs w:val="24"/>
        </w:rPr>
        <w:t>’</w:t>
      </w:r>
      <w:r w:rsidRPr="00EF0015">
        <w:rPr>
          <w:rStyle w:val="JuQuotChar"/>
          <w:szCs w:val="24"/>
        </w:rPr>
        <w:t>s national territory</w:t>
      </w:r>
      <w:r w:rsidRPr="00EF0015" w:rsidR="009C6748">
        <w:rPr>
          <w:rStyle w:val="JuQuotChar"/>
          <w:szCs w:val="24"/>
        </w:rPr>
        <w:t xml:space="preserve"> and whether it applied in the Occupied Palestinian Territory. It</w:t>
      </w:r>
      <w:r w:rsidRPr="00EF0015" w:rsidR="002706E7">
        <w:rPr>
          <w:rStyle w:val="JuQuotChar"/>
          <w:szCs w:val="24"/>
        </w:rPr>
        <w:t xml:space="preserve"> held </w:t>
      </w:r>
      <w:r w:rsidRPr="00EF0015" w:rsidR="00CB2849">
        <w:rPr>
          <w:rStyle w:val="JuQuotChar"/>
          <w:szCs w:val="24"/>
        </w:rPr>
        <w:t>as follows</w:t>
      </w:r>
      <w:r w:rsidRPr="00EF0015" w:rsidR="002706E7">
        <w:rPr>
          <w:rStyle w:val="JuQuotChar"/>
          <w:szCs w:val="24"/>
        </w:rPr>
        <w:t xml:space="preserve"> (references and citations omitted)</w:t>
      </w:r>
      <w:r w:rsidRPr="00EF0015" w:rsidR="00CB2849">
        <w:rPr>
          <w:rStyle w:val="JuQuotChar"/>
          <w:szCs w:val="24"/>
        </w:rPr>
        <w:t>:</w:t>
      </w:r>
    </w:p>
    <w:p w:rsidRPr="00EF0015" w:rsidR="00CB2849" w:rsidP="002706E7" w:rsidRDefault="002706E7">
      <w:pPr>
        <w:pStyle w:val="JuQuot"/>
        <w:rPr>
          <w:rStyle w:val="JuQuotChar"/>
          <w:szCs w:val="24"/>
        </w:rPr>
      </w:pPr>
      <w:r w:rsidRPr="00EF0015">
        <w:rPr>
          <w:rStyle w:val="JuQuotChar"/>
          <w:szCs w:val="24"/>
        </w:rPr>
        <w:t>“</w:t>
      </w:r>
      <w:r w:rsidRPr="00EF0015" w:rsidR="00CB2849">
        <w:rPr>
          <w:rStyle w:val="JuQuotChar"/>
          <w:szCs w:val="24"/>
        </w:rPr>
        <w:t>108.</w:t>
      </w:r>
      <w:r w:rsidR="00EC3FA6">
        <w:rPr>
          <w:rStyle w:val="JuQuotChar"/>
          <w:szCs w:val="24"/>
        </w:rPr>
        <w:t>  </w:t>
      </w:r>
      <w:r w:rsidRPr="00EF0015" w:rsidR="00CB2849">
        <w:rPr>
          <w:rStyle w:val="JuQuotChar"/>
          <w:szCs w:val="24"/>
        </w:rPr>
        <w:t xml:space="preserve">The scope of application of the </w:t>
      </w:r>
      <w:r w:rsidRPr="00EF0015" w:rsidR="00E506FC">
        <w:rPr>
          <w:rStyle w:val="JuQuotChar"/>
          <w:szCs w:val="24"/>
        </w:rPr>
        <w:t>International Covenant on Civil and Political Rights</w:t>
      </w:r>
      <w:r w:rsidRPr="00EF0015" w:rsidR="00CB2849">
        <w:rPr>
          <w:rStyle w:val="JuQuotChar"/>
          <w:szCs w:val="24"/>
        </w:rPr>
        <w:t xml:space="preserve"> is defined by Article 2, paragraph 1, thereof, which provides:</w:t>
      </w:r>
    </w:p>
    <w:p w:rsidRPr="00EF0015" w:rsidR="00CB2849" w:rsidP="00D8100E" w:rsidRDefault="008570E8">
      <w:pPr>
        <w:pStyle w:val="JuQuot"/>
        <w:ind w:left="567"/>
        <w:rPr>
          <w:rStyle w:val="JuQuotChar"/>
          <w:szCs w:val="24"/>
        </w:rPr>
      </w:pPr>
      <w:r>
        <w:rPr>
          <w:rStyle w:val="JuQuotChar"/>
          <w:szCs w:val="24"/>
        </w:rPr>
        <w:t>‘</w:t>
      </w:r>
      <w:r w:rsidRPr="00EF0015" w:rsidR="00CB2849">
        <w:rPr>
          <w:rStyle w:val="JuQuotChar"/>
          <w:szCs w:val="24"/>
        </w:rPr>
        <w:t xml:space="preserve">Each State Party to the present Covenant undertakes to respect and to ensure to </w:t>
      </w:r>
      <w:r w:rsidR="00117C54">
        <w:rPr>
          <w:rStyle w:val="JuQuotChar"/>
          <w:szCs w:val="24"/>
        </w:rPr>
        <w:t xml:space="preserve">all </w:t>
      </w:r>
      <w:r w:rsidRPr="00EF0015" w:rsidR="00CB2849">
        <w:rPr>
          <w:rStyle w:val="JuQuotChar"/>
          <w:szCs w:val="24"/>
        </w:rPr>
        <w:t>individuals within its territory and subject to its jurisdiction the rights recogni</w:t>
      </w:r>
      <w:r w:rsidR="00FC600C">
        <w:rPr>
          <w:rStyle w:val="JuQuotChar"/>
          <w:szCs w:val="24"/>
        </w:rPr>
        <w:t>s</w:t>
      </w:r>
      <w:r w:rsidRPr="00EF0015" w:rsidR="00CB2849">
        <w:rPr>
          <w:rStyle w:val="JuQuotChar"/>
          <w:szCs w:val="24"/>
        </w:rPr>
        <w:t>ed in the present Covenant, without distinction of any kind, such as race, colour, sex, language, religion, political or other opinion, national or social origin, property, birth or other status.</w:t>
      </w:r>
      <w:r>
        <w:rPr>
          <w:rStyle w:val="JuQuotChar"/>
          <w:szCs w:val="24"/>
        </w:rPr>
        <w:t>’</w:t>
      </w:r>
    </w:p>
    <w:p w:rsidRPr="00EF0015" w:rsidR="00CB2849" w:rsidP="002706E7" w:rsidRDefault="00CB2849">
      <w:pPr>
        <w:pStyle w:val="JuQuot"/>
        <w:rPr>
          <w:rStyle w:val="JuQuotChar"/>
          <w:szCs w:val="24"/>
        </w:rPr>
      </w:pPr>
      <w:r w:rsidRPr="00EF0015">
        <w:rPr>
          <w:rStyle w:val="JuQuotChar"/>
          <w:szCs w:val="24"/>
        </w:rPr>
        <w:t>This provision can be interpreted as covering only individuals who are both present within a State</w:t>
      </w:r>
      <w:r w:rsidR="008570E8">
        <w:rPr>
          <w:rStyle w:val="JuQuotChar"/>
          <w:szCs w:val="24"/>
        </w:rPr>
        <w:t>’</w:t>
      </w:r>
      <w:r w:rsidRPr="00EF0015">
        <w:rPr>
          <w:rStyle w:val="JuQuotChar"/>
          <w:szCs w:val="24"/>
        </w:rPr>
        <w:t>s territory and subject to that State</w:t>
      </w:r>
      <w:r w:rsidR="008570E8">
        <w:rPr>
          <w:rStyle w:val="JuQuotChar"/>
          <w:szCs w:val="24"/>
        </w:rPr>
        <w:t>’</w:t>
      </w:r>
      <w:r w:rsidRPr="00EF0015">
        <w:rPr>
          <w:rStyle w:val="JuQuotChar"/>
          <w:szCs w:val="24"/>
        </w:rPr>
        <w:t>s jurisdiction. It can also be construed as covering both individuals present within a State</w:t>
      </w:r>
      <w:r w:rsidR="008570E8">
        <w:rPr>
          <w:rStyle w:val="JuQuotChar"/>
          <w:szCs w:val="24"/>
        </w:rPr>
        <w:t>’</w:t>
      </w:r>
      <w:r w:rsidRPr="00EF0015">
        <w:rPr>
          <w:rStyle w:val="JuQuotChar"/>
          <w:szCs w:val="24"/>
        </w:rPr>
        <w:t>s territory and those outside that territory but subject to that State</w:t>
      </w:r>
      <w:r w:rsidR="008570E8">
        <w:rPr>
          <w:rStyle w:val="JuQuotChar"/>
          <w:szCs w:val="24"/>
        </w:rPr>
        <w:t>’</w:t>
      </w:r>
      <w:r w:rsidRPr="00EF0015">
        <w:rPr>
          <w:rStyle w:val="JuQuotChar"/>
          <w:szCs w:val="24"/>
        </w:rPr>
        <w:t>s jurisdiction. The Court will thus seek to determine the meaning to be given to this text.</w:t>
      </w:r>
    </w:p>
    <w:p w:rsidRPr="00EF0015" w:rsidR="00CB2849" w:rsidP="002706E7" w:rsidRDefault="00CB2849">
      <w:pPr>
        <w:pStyle w:val="JuQuot"/>
        <w:rPr>
          <w:rStyle w:val="JuQuotChar"/>
          <w:szCs w:val="24"/>
        </w:rPr>
      </w:pPr>
      <w:r w:rsidRPr="00EF0015">
        <w:rPr>
          <w:rStyle w:val="JuQuotChar"/>
          <w:szCs w:val="24"/>
        </w:rPr>
        <w:t>109.</w:t>
      </w:r>
      <w:r w:rsidR="00EC3FA6">
        <w:rPr>
          <w:rStyle w:val="JuQuotChar"/>
          <w:szCs w:val="24"/>
        </w:rPr>
        <w:t>  </w:t>
      </w:r>
      <w:r w:rsidRPr="00EF0015">
        <w:rPr>
          <w:rStyle w:val="JuQuotChar"/>
          <w:szCs w:val="24"/>
        </w:rPr>
        <w:t xml:space="preserve">The Court would observe that, while the jurisdiction of States is primarily territorial, it may sometimes be exercised outside the national territory. Considering the object and purpose of the </w:t>
      </w:r>
      <w:r w:rsidRPr="00EF0015" w:rsidR="00E506FC">
        <w:rPr>
          <w:rStyle w:val="JuQuotChar"/>
          <w:szCs w:val="24"/>
        </w:rPr>
        <w:t>International Covenant on Civil and Political Rights</w:t>
      </w:r>
      <w:r w:rsidRPr="00EF0015">
        <w:rPr>
          <w:rStyle w:val="JuQuotChar"/>
          <w:szCs w:val="24"/>
        </w:rPr>
        <w:t xml:space="preserve">, it would seem natural that, even when such is the case, States </w:t>
      </w:r>
      <w:r w:rsidR="00FC600C">
        <w:rPr>
          <w:rStyle w:val="JuQuotChar"/>
          <w:szCs w:val="24"/>
        </w:rPr>
        <w:t>P</w:t>
      </w:r>
      <w:r w:rsidRPr="00EF0015">
        <w:rPr>
          <w:rStyle w:val="JuQuotChar"/>
          <w:szCs w:val="24"/>
        </w:rPr>
        <w:t>arties to the Covenant should be bound to comply with its provisions.</w:t>
      </w:r>
    </w:p>
    <w:p w:rsidR="00C81668" w:rsidP="002706E7" w:rsidRDefault="00CB2849">
      <w:pPr>
        <w:pStyle w:val="JuQuot"/>
        <w:rPr>
          <w:rStyle w:val="JuQuotChar"/>
          <w:szCs w:val="24"/>
        </w:rPr>
      </w:pPr>
      <w:r w:rsidRPr="00EF0015">
        <w:rPr>
          <w:rStyle w:val="JuQuotChar"/>
          <w:szCs w:val="24"/>
        </w:rPr>
        <w:t>The constant practice of the Human Rights Committee is consistent with this. Thus, the Committee has found the Covenant applicable where the State exercises its jurisdiction on foreign territory. It has ruled on the</w:t>
      </w:r>
      <w:r w:rsidRPr="00EF0015" w:rsidR="002706E7">
        <w:rPr>
          <w:rStyle w:val="JuQuotChar"/>
          <w:szCs w:val="24"/>
        </w:rPr>
        <w:t xml:space="preserve"> </w:t>
      </w:r>
      <w:r w:rsidRPr="00EF0015">
        <w:rPr>
          <w:rStyle w:val="JuQuotChar"/>
          <w:szCs w:val="24"/>
        </w:rPr>
        <w:t>legality of acts by U</w:t>
      </w:r>
      <w:r w:rsidRPr="00EF0015" w:rsidR="002706E7">
        <w:rPr>
          <w:rStyle w:val="JuQuotChar"/>
          <w:szCs w:val="24"/>
        </w:rPr>
        <w:t>ru</w:t>
      </w:r>
      <w:r w:rsidRPr="00EF0015">
        <w:rPr>
          <w:rStyle w:val="JuQuotChar"/>
          <w:szCs w:val="24"/>
        </w:rPr>
        <w:t>guay in cases of arrests carried out by Uruguayan</w:t>
      </w:r>
      <w:r w:rsidRPr="00EF0015" w:rsidR="002706E7">
        <w:rPr>
          <w:rStyle w:val="JuQuotChar"/>
          <w:szCs w:val="24"/>
        </w:rPr>
        <w:t xml:space="preserve"> </w:t>
      </w:r>
      <w:r w:rsidRPr="00EF0015">
        <w:rPr>
          <w:rStyle w:val="JuQuotChar"/>
          <w:szCs w:val="24"/>
        </w:rPr>
        <w:t xml:space="preserve">agents in Brazil or Argentina </w:t>
      </w:r>
      <w:r w:rsidR="00E07594">
        <w:rPr>
          <w:rStyle w:val="JuQuotChar"/>
          <w:szCs w:val="24"/>
        </w:rPr>
        <w:t>...</w:t>
      </w:r>
      <w:r w:rsidRPr="00EF0015">
        <w:rPr>
          <w:rStyle w:val="JuQuotChar"/>
          <w:szCs w:val="24"/>
        </w:rPr>
        <w:t xml:space="preserve"> It decided to</w:t>
      </w:r>
      <w:r w:rsidRPr="00EF0015" w:rsidR="002706E7">
        <w:rPr>
          <w:rStyle w:val="JuQuotChar"/>
          <w:szCs w:val="24"/>
        </w:rPr>
        <w:t xml:space="preserve"> </w:t>
      </w:r>
      <w:r w:rsidRPr="00EF0015">
        <w:rPr>
          <w:rStyle w:val="JuQuotChar"/>
          <w:szCs w:val="24"/>
        </w:rPr>
        <w:t>the same effect in the case of the confiscation of a passport by a Uruguayan</w:t>
      </w:r>
      <w:r w:rsidRPr="00EF0015" w:rsidR="002706E7">
        <w:rPr>
          <w:rStyle w:val="JuQuotChar"/>
          <w:szCs w:val="24"/>
        </w:rPr>
        <w:t xml:space="preserve"> </w:t>
      </w:r>
      <w:r w:rsidRPr="00EF0015">
        <w:rPr>
          <w:rStyle w:val="JuQuotChar"/>
          <w:szCs w:val="24"/>
        </w:rPr>
        <w:t>consulate in Germany</w:t>
      </w:r>
      <w:r w:rsidRPr="00EF0015" w:rsidR="002706E7">
        <w:rPr>
          <w:rStyle w:val="JuQuotChar"/>
          <w:szCs w:val="24"/>
        </w:rPr>
        <w:t xml:space="preserve"> </w:t>
      </w:r>
      <w:r w:rsidR="00E07594">
        <w:rPr>
          <w:rStyle w:val="JuQuotChar"/>
          <w:szCs w:val="24"/>
        </w:rPr>
        <w:t>...</w:t>
      </w:r>
    </w:p>
    <w:p w:rsidR="008570E8" w:rsidP="002706E7" w:rsidRDefault="00CB2849">
      <w:pPr>
        <w:pStyle w:val="JuQuot"/>
        <w:rPr>
          <w:rStyle w:val="JuQuotChar"/>
          <w:szCs w:val="24"/>
        </w:rPr>
      </w:pPr>
      <w:r w:rsidRPr="00EF0015">
        <w:rPr>
          <w:rStyle w:val="JuQuotChar"/>
          <w:szCs w:val="24"/>
        </w:rPr>
        <w:t>110.</w:t>
      </w:r>
      <w:r w:rsidR="00446190">
        <w:rPr>
          <w:rStyle w:val="JuQuotChar"/>
          <w:szCs w:val="24"/>
        </w:rPr>
        <w:t>  </w:t>
      </w:r>
      <w:r w:rsidRPr="00EF0015">
        <w:rPr>
          <w:rStyle w:val="JuQuotChar"/>
          <w:szCs w:val="24"/>
        </w:rPr>
        <w:t>The Court takes note in this connection of the position taken by</w:t>
      </w:r>
      <w:r w:rsidRPr="00EF0015" w:rsidR="002706E7">
        <w:rPr>
          <w:rStyle w:val="JuQuotChar"/>
          <w:szCs w:val="24"/>
        </w:rPr>
        <w:t xml:space="preserve"> </w:t>
      </w:r>
      <w:r w:rsidRPr="00EF0015">
        <w:rPr>
          <w:rStyle w:val="JuQuotChar"/>
          <w:szCs w:val="24"/>
        </w:rPr>
        <w:t>Israel, in relation to the applicability of the Covenant, in its communications</w:t>
      </w:r>
      <w:r w:rsidRPr="00EF0015" w:rsidR="002706E7">
        <w:rPr>
          <w:rStyle w:val="JuQuotChar"/>
          <w:szCs w:val="24"/>
        </w:rPr>
        <w:t xml:space="preserve"> </w:t>
      </w:r>
      <w:r w:rsidRPr="00EF0015">
        <w:rPr>
          <w:rStyle w:val="JuQuotChar"/>
          <w:szCs w:val="24"/>
        </w:rPr>
        <w:t>to the Human Rights Committee, and of the view of the Committee.</w:t>
      </w:r>
    </w:p>
    <w:p w:rsidR="00FC600C" w:rsidP="002706E7" w:rsidRDefault="00CB2849">
      <w:pPr>
        <w:pStyle w:val="JuQuot"/>
        <w:rPr>
          <w:rStyle w:val="JuQuotChar"/>
          <w:szCs w:val="24"/>
        </w:rPr>
      </w:pPr>
      <w:r w:rsidRPr="00EF0015">
        <w:rPr>
          <w:rStyle w:val="JuQuotChar"/>
          <w:szCs w:val="24"/>
        </w:rPr>
        <w:t>In 1998, Israel stated that, when preparing its report to the Committee,</w:t>
      </w:r>
      <w:r w:rsidRPr="00EF0015" w:rsidR="002706E7">
        <w:rPr>
          <w:rStyle w:val="JuQuotChar"/>
          <w:szCs w:val="24"/>
        </w:rPr>
        <w:t xml:space="preserve"> </w:t>
      </w:r>
      <w:r w:rsidRPr="00EF0015">
        <w:rPr>
          <w:rStyle w:val="JuQuotChar"/>
          <w:szCs w:val="24"/>
        </w:rPr>
        <w:t xml:space="preserve">it had had to face the question </w:t>
      </w:r>
      <w:r w:rsidR="008570E8">
        <w:rPr>
          <w:rStyle w:val="JuQuotChar"/>
          <w:szCs w:val="24"/>
        </w:rPr>
        <w:t>‘</w:t>
      </w:r>
      <w:r w:rsidRPr="00EF0015">
        <w:rPr>
          <w:rStyle w:val="JuQuotChar"/>
          <w:szCs w:val="24"/>
        </w:rPr>
        <w:t>whether individuals resident in the occupied</w:t>
      </w:r>
      <w:r w:rsidRPr="00EF0015" w:rsidR="002706E7">
        <w:rPr>
          <w:rStyle w:val="JuQuotChar"/>
          <w:szCs w:val="24"/>
        </w:rPr>
        <w:t xml:space="preserve"> </w:t>
      </w:r>
      <w:r w:rsidRPr="00EF0015">
        <w:rPr>
          <w:rStyle w:val="JuQuotChar"/>
          <w:szCs w:val="24"/>
        </w:rPr>
        <w:t>territorie</w:t>
      </w:r>
      <w:r w:rsidRPr="00EF0015" w:rsidR="002706E7">
        <w:rPr>
          <w:rStyle w:val="JuQuotChar"/>
          <w:szCs w:val="24"/>
        </w:rPr>
        <w:t>s were indeed subject to Israel</w:t>
      </w:r>
      <w:r w:rsidR="008570E8">
        <w:rPr>
          <w:rStyle w:val="JuQuotChar"/>
          <w:szCs w:val="24"/>
        </w:rPr>
        <w:t>’</w:t>
      </w:r>
      <w:r w:rsidRPr="00EF0015">
        <w:rPr>
          <w:rStyle w:val="JuQuotChar"/>
          <w:szCs w:val="24"/>
        </w:rPr>
        <w:t>s jurisdiction</w:t>
      </w:r>
      <w:r w:rsidR="008570E8">
        <w:rPr>
          <w:rStyle w:val="JuQuotChar"/>
          <w:szCs w:val="24"/>
        </w:rPr>
        <w:t>’</w:t>
      </w:r>
      <w:r w:rsidRPr="00EF0015">
        <w:rPr>
          <w:rStyle w:val="JuQuotChar"/>
          <w:szCs w:val="24"/>
        </w:rPr>
        <w:t xml:space="preserve"> for purposes</w:t>
      </w:r>
      <w:r w:rsidRPr="00EF0015" w:rsidR="002706E7">
        <w:rPr>
          <w:rStyle w:val="JuQuotChar"/>
          <w:szCs w:val="24"/>
        </w:rPr>
        <w:t xml:space="preserve"> </w:t>
      </w:r>
      <w:r w:rsidRPr="00EF0015">
        <w:rPr>
          <w:rStyle w:val="JuQuotChar"/>
          <w:szCs w:val="24"/>
        </w:rPr>
        <w:t xml:space="preserve">of the application of the Covenant </w:t>
      </w:r>
      <w:r w:rsidR="00E07594">
        <w:rPr>
          <w:rStyle w:val="JuQuotChar"/>
          <w:szCs w:val="24"/>
        </w:rPr>
        <w:t>...</w:t>
      </w:r>
      <w:r w:rsidRPr="00EF0015">
        <w:rPr>
          <w:rStyle w:val="JuQuotChar"/>
          <w:szCs w:val="24"/>
        </w:rPr>
        <w:t xml:space="preserve"> Israel</w:t>
      </w:r>
      <w:r w:rsidRPr="00EF0015" w:rsidR="002706E7">
        <w:rPr>
          <w:rStyle w:val="JuQuotChar"/>
          <w:szCs w:val="24"/>
        </w:rPr>
        <w:t xml:space="preserve"> </w:t>
      </w:r>
      <w:r w:rsidRPr="00EF0015">
        <w:rPr>
          <w:rStyle w:val="JuQuotChar"/>
          <w:szCs w:val="24"/>
        </w:rPr>
        <w:t xml:space="preserve">took the position that </w:t>
      </w:r>
      <w:r w:rsidR="008570E8">
        <w:rPr>
          <w:rStyle w:val="JuQuotChar"/>
          <w:szCs w:val="24"/>
        </w:rPr>
        <w:t>‘</w:t>
      </w:r>
      <w:r w:rsidRPr="00EF0015">
        <w:rPr>
          <w:rStyle w:val="JuQuotChar"/>
          <w:szCs w:val="24"/>
        </w:rPr>
        <w:t>the Covenant and similar instruments did not</w:t>
      </w:r>
      <w:r w:rsidRPr="00EF0015" w:rsidR="002706E7">
        <w:rPr>
          <w:rStyle w:val="JuQuotChar"/>
          <w:szCs w:val="24"/>
        </w:rPr>
        <w:t xml:space="preserve"> </w:t>
      </w:r>
      <w:r w:rsidRPr="00EF0015">
        <w:rPr>
          <w:rStyle w:val="JuQuotChar"/>
          <w:szCs w:val="24"/>
        </w:rPr>
        <w:t>apply directly to the current situation in the occupied territories</w:t>
      </w:r>
      <w:r w:rsidR="008570E8">
        <w:rPr>
          <w:rStyle w:val="JuQuotChar"/>
          <w:szCs w:val="24"/>
        </w:rPr>
        <w:t>’</w:t>
      </w:r>
      <w:r w:rsidRPr="00EF0015" w:rsidR="002706E7">
        <w:rPr>
          <w:rStyle w:val="JuQuotChar"/>
          <w:szCs w:val="24"/>
        </w:rPr>
        <w:t xml:space="preserve"> </w:t>
      </w:r>
      <w:r w:rsidR="00E07594">
        <w:rPr>
          <w:rStyle w:val="JuQuotChar"/>
          <w:szCs w:val="24"/>
        </w:rPr>
        <w:t>...</w:t>
      </w:r>
    </w:p>
    <w:p w:rsidRPr="00EF0015" w:rsidR="002706E7" w:rsidP="002706E7" w:rsidRDefault="00CB2849">
      <w:pPr>
        <w:pStyle w:val="JuQuot"/>
        <w:rPr>
          <w:rStyle w:val="JuQuotChar"/>
          <w:szCs w:val="24"/>
        </w:rPr>
      </w:pPr>
      <w:r w:rsidRPr="00EF0015">
        <w:rPr>
          <w:rStyle w:val="JuQuotChar"/>
          <w:szCs w:val="24"/>
        </w:rPr>
        <w:t>The Committee, in its concluding observations after examination of</w:t>
      </w:r>
      <w:r w:rsidRPr="00EF0015" w:rsidR="002706E7">
        <w:rPr>
          <w:rStyle w:val="JuQuotChar"/>
          <w:szCs w:val="24"/>
        </w:rPr>
        <w:t xml:space="preserve"> </w:t>
      </w:r>
      <w:r w:rsidRPr="00EF0015">
        <w:rPr>
          <w:rStyle w:val="JuQuotChar"/>
          <w:szCs w:val="24"/>
        </w:rPr>
        <w:t>the report, expresse</w:t>
      </w:r>
      <w:r w:rsidRPr="00EF0015" w:rsidR="002706E7">
        <w:rPr>
          <w:rStyle w:val="JuQuotChar"/>
          <w:szCs w:val="24"/>
        </w:rPr>
        <w:t>d</w:t>
      </w:r>
      <w:r w:rsidRPr="00EF0015">
        <w:rPr>
          <w:rStyle w:val="JuQuotChar"/>
          <w:szCs w:val="24"/>
        </w:rPr>
        <w:t xml:space="preserve"> concern at</w:t>
      </w:r>
      <w:r w:rsidRPr="00EF0015" w:rsidR="00B00868">
        <w:rPr>
          <w:rStyle w:val="JuQuotChar"/>
          <w:szCs w:val="24"/>
        </w:rPr>
        <w:t xml:space="preserve"> Israel</w:t>
      </w:r>
      <w:r w:rsidR="008570E8">
        <w:rPr>
          <w:rStyle w:val="JuQuotChar"/>
          <w:szCs w:val="24"/>
        </w:rPr>
        <w:t>’</w:t>
      </w:r>
      <w:r w:rsidRPr="00EF0015" w:rsidR="002706E7">
        <w:rPr>
          <w:rStyle w:val="JuQuotChar"/>
          <w:szCs w:val="24"/>
        </w:rPr>
        <w:t xml:space="preserve">s attitude and pointed </w:t>
      </w:r>
      <w:r w:rsidR="008570E8">
        <w:rPr>
          <w:rStyle w:val="JuQuotChar"/>
          <w:szCs w:val="24"/>
        </w:rPr>
        <w:t>‘</w:t>
      </w:r>
      <w:r w:rsidRPr="00EF0015">
        <w:rPr>
          <w:rStyle w:val="JuQuotChar"/>
          <w:szCs w:val="24"/>
        </w:rPr>
        <w:t>to the</w:t>
      </w:r>
      <w:r w:rsidRPr="00EF0015" w:rsidR="002706E7">
        <w:rPr>
          <w:rStyle w:val="JuQuotChar"/>
          <w:szCs w:val="24"/>
        </w:rPr>
        <w:t xml:space="preserve"> </w:t>
      </w:r>
      <w:r w:rsidRPr="00EF0015">
        <w:rPr>
          <w:rStyle w:val="JuQuotChar"/>
          <w:szCs w:val="24"/>
        </w:rPr>
        <w:t>long-standing presence of Israel in [th</w:t>
      </w:r>
      <w:r w:rsidRPr="00EF0015" w:rsidR="002706E7">
        <w:rPr>
          <w:rStyle w:val="JuQuotChar"/>
          <w:szCs w:val="24"/>
        </w:rPr>
        <w:t>e occupied] territories, Israel</w:t>
      </w:r>
      <w:r w:rsidR="008570E8">
        <w:rPr>
          <w:rStyle w:val="JuQuotChar"/>
          <w:szCs w:val="24"/>
        </w:rPr>
        <w:t>’</w:t>
      </w:r>
      <w:r w:rsidRPr="00EF0015">
        <w:rPr>
          <w:rStyle w:val="JuQuotChar"/>
          <w:szCs w:val="24"/>
        </w:rPr>
        <w:t>s</w:t>
      </w:r>
      <w:r w:rsidRPr="00EF0015" w:rsidR="002706E7">
        <w:rPr>
          <w:rStyle w:val="JuQuotChar"/>
          <w:szCs w:val="24"/>
        </w:rPr>
        <w:t xml:space="preserve"> ambiguous attitude towards their future status, as well as the exercise of effective jurisdiction by Israeli security forces therein</w:t>
      </w:r>
      <w:r w:rsidR="008570E8">
        <w:rPr>
          <w:rStyle w:val="JuQuotChar"/>
          <w:szCs w:val="24"/>
        </w:rPr>
        <w:t>’</w:t>
      </w:r>
      <w:r w:rsidRPr="00EF0015" w:rsidR="002706E7">
        <w:rPr>
          <w:rStyle w:val="JuQuotChar"/>
          <w:szCs w:val="24"/>
        </w:rPr>
        <w:t xml:space="preserve"> </w:t>
      </w:r>
      <w:r w:rsidR="00E07594">
        <w:rPr>
          <w:rStyle w:val="JuQuotChar"/>
          <w:szCs w:val="24"/>
        </w:rPr>
        <w:t>...</w:t>
      </w:r>
      <w:r w:rsidRPr="00EF0015" w:rsidR="002706E7">
        <w:rPr>
          <w:rStyle w:val="JuQuotChar"/>
          <w:szCs w:val="24"/>
        </w:rPr>
        <w:t xml:space="preserve"> In 2003 in face of Israel</w:t>
      </w:r>
      <w:r w:rsidR="008570E8">
        <w:rPr>
          <w:rStyle w:val="JuQuotChar"/>
          <w:szCs w:val="24"/>
        </w:rPr>
        <w:t>’</w:t>
      </w:r>
      <w:r w:rsidRPr="00EF0015" w:rsidR="002706E7">
        <w:rPr>
          <w:rStyle w:val="JuQuotChar"/>
          <w:szCs w:val="24"/>
        </w:rPr>
        <w:t xml:space="preserve">s consistent position, to the effect that </w:t>
      </w:r>
      <w:r w:rsidR="008570E8">
        <w:rPr>
          <w:rStyle w:val="JuQuotChar"/>
          <w:szCs w:val="24"/>
        </w:rPr>
        <w:t>‘</w:t>
      </w:r>
      <w:r w:rsidRPr="00EF0015" w:rsidR="002706E7">
        <w:rPr>
          <w:rStyle w:val="JuQuotChar"/>
          <w:szCs w:val="24"/>
        </w:rPr>
        <w:t xml:space="preserve">the Covenant does not apply beyond its own territory, notably in the West Bank and Gaza </w:t>
      </w:r>
      <w:r w:rsidR="00E07594">
        <w:rPr>
          <w:rStyle w:val="JuQuotChar"/>
          <w:szCs w:val="24"/>
        </w:rPr>
        <w:t>...</w:t>
      </w:r>
      <w:r w:rsidR="008570E8">
        <w:rPr>
          <w:rStyle w:val="JuQuotChar"/>
          <w:szCs w:val="24"/>
        </w:rPr>
        <w:t>’</w:t>
      </w:r>
      <w:r w:rsidRPr="00EF0015" w:rsidR="002706E7">
        <w:rPr>
          <w:rStyle w:val="JuQuotChar"/>
          <w:szCs w:val="24"/>
        </w:rPr>
        <w:t>, the Committee reached the following conclusion:</w:t>
      </w:r>
    </w:p>
    <w:p w:rsidRPr="00EF0015" w:rsidR="002706E7" w:rsidP="00D8100E" w:rsidRDefault="008570E8">
      <w:pPr>
        <w:pStyle w:val="JuQuot"/>
        <w:ind w:left="567"/>
        <w:rPr>
          <w:rStyle w:val="JuQuotChar"/>
          <w:szCs w:val="24"/>
        </w:rPr>
      </w:pPr>
      <w:r>
        <w:rPr>
          <w:rStyle w:val="JuQuotChar"/>
          <w:szCs w:val="24"/>
        </w:rPr>
        <w:t>‘</w:t>
      </w:r>
      <w:r w:rsidRPr="00EF0015" w:rsidR="002706E7">
        <w:rPr>
          <w:rStyle w:val="JuQuotChar"/>
          <w:szCs w:val="24"/>
        </w:rPr>
        <w:t xml:space="preserve">in the current circumstances, the provisions of the Covenant apply to the benefit of the population of the </w:t>
      </w:r>
      <w:r w:rsidR="00280C2E">
        <w:rPr>
          <w:rStyle w:val="JuQuotChar"/>
          <w:szCs w:val="24"/>
        </w:rPr>
        <w:t>o</w:t>
      </w:r>
      <w:r w:rsidRPr="00EF0015" w:rsidR="002706E7">
        <w:rPr>
          <w:rStyle w:val="JuQuotChar"/>
          <w:szCs w:val="24"/>
        </w:rPr>
        <w:t xml:space="preserve">ccupied </w:t>
      </w:r>
      <w:r w:rsidR="00280C2E">
        <w:rPr>
          <w:rStyle w:val="JuQuotChar"/>
          <w:szCs w:val="24"/>
        </w:rPr>
        <w:t>t</w:t>
      </w:r>
      <w:r w:rsidRPr="00EF0015" w:rsidR="002706E7">
        <w:rPr>
          <w:rStyle w:val="JuQuotChar"/>
          <w:szCs w:val="24"/>
        </w:rPr>
        <w:t xml:space="preserve">erritories, for all conduct by the State </w:t>
      </w:r>
      <w:r w:rsidR="00FC600C">
        <w:rPr>
          <w:rStyle w:val="JuQuotChar"/>
          <w:szCs w:val="24"/>
        </w:rPr>
        <w:t>P</w:t>
      </w:r>
      <w:r w:rsidRPr="00EF0015" w:rsidR="002706E7">
        <w:rPr>
          <w:rStyle w:val="JuQuotChar"/>
          <w:szCs w:val="24"/>
        </w:rPr>
        <w:t>arty</w:t>
      </w:r>
      <w:r>
        <w:rPr>
          <w:rStyle w:val="JuQuotChar"/>
          <w:szCs w:val="24"/>
        </w:rPr>
        <w:t>’</w:t>
      </w:r>
      <w:r w:rsidRPr="00EF0015" w:rsidR="002706E7">
        <w:rPr>
          <w:rStyle w:val="JuQuotChar"/>
          <w:szCs w:val="24"/>
        </w:rPr>
        <w:t>s authorities or agents in those territories that affect the enjoyment of rights enshrined in the Covenant and fall within the ambit of State responsibility of Israel under the principles of public international law</w:t>
      </w:r>
      <w:r>
        <w:rPr>
          <w:rStyle w:val="JuQuotChar"/>
          <w:szCs w:val="24"/>
        </w:rPr>
        <w:t>’</w:t>
      </w:r>
      <w:r w:rsidRPr="00EF0015" w:rsidR="002706E7">
        <w:rPr>
          <w:rStyle w:val="JuQuotChar"/>
          <w:szCs w:val="24"/>
        </w:rPr>
        <w:t xml:space="preserve"> </w:t>
      </w:r>
      <w:r w:rsidR="00E07594">
        <w:rPr>
          <w:rStyle w:val="JuQuotChar"/>
          <w:szCs w:val="24"/>
        </w:rPr>
        <w:t>...</w:t>
      </w:r>
    </w:p>
    <w:p w:rsidRPr="00EF0015" w:rsidR="00CB2849" w:rsidP="002706E7" w:rsidRDefault="002706E7">
      <w:pPr>
        <w:pStyle w:val="JuQuot"/>
        <w:rPr>
          <w:rStyle w:val="JuQuotChar"/>
          <w:szCs w:val="24"/>
        </w:rPr>
      </w:pPr>
      <w:r w:rsidRPr="00EF0015">
        <w:rPr>
          <w:rStyle w:val="JuQuotChar"/>
          <w:szCs w:val="24"/>
        </w:rPr>
        <w:t>111.</w:t>
      </w:r>
      <w:r w:rsidR="00446190">
        <w:rPr>
          <w:rStyle w:val="JuQuotChar"/>
          <w:szCs w:val="24"/>
        </w:rPr>
        <w:t>  </w:t>
      </w:r>
      <w:r w:rsidRPr="00EF0015">
        <w:rPr>
          <w:rStyle w:val="JuQuotChar"/>
          <w:szCs w:val="24"/>
        </w:rPr>
        <w:t xml:space="preserve">In conclusion, the Court considers that the </w:t>
      </w:r>
      <w:r w:rsidRPr="00EF0015" w:rsidR="00E506FC">
        <w:rPr>
          <w:rStyle w:val="JuQuotChar"/>
          <w:szCs w:val="24"/>
        </w:rPr>
        <w:t>International Covenant on Civil and Political Rights</w:t>
      </w:r>
      <w:r w:rsidRPr="00EF0015">
        <w:rPr>
          <w:rStyle w:val="JuQuotChar"/>
          <w:szCs w:val="24"/>
        </w:rPr>
        <w:t xml:space="preserve"> is applicable in respect of acts done by a State in the exercise of its jurisdiction outside its own territory.”</w:t>
      </w:r>
    </w:p>
    <w:p w:rsidRPr="00EF0015" w:rsidR="00FE3FD8" w:rsidP="00FE3FD8" w:rsidRDefault="00FE3FD8">
      <w:pPr>
        <w:pStyle w:val="JuPara"/>
        <w:rPr>
          <w:rStyle w:val="JuQuotChar"/>
          <w:szCs w:val="24"/>
        </w:rPr>
      </w:pPr>
      <w:r w:rsidRPr="00EF0015">
        <w:rPr>
          <w:rStyle w:val="JuQuotChar"/>
          <w:szCs w:val="24"/>
        </w:rPr>
        <w:t xml:space="preserve">In addition, the </w:t>
      </w:r>
      <w:r w:rsidRPr="00EF0015" w:rsidR="00A957EC">
        <w:t>International Court of Justice</w:t>
      </w:r>
      <w:r w:rsidRPr="00EF0015">
        <w:rPr>
          <w:rStyle w:val="JuQuotChar"/>
          <w:szCs w:val="24"/>
        </w:rPr>
        <w:t xml:space="preserve"> appeared to assume that</w:t>
      </w:r>
      <w:r w:rsidRPr="00EF0015" w:rsidR="00815E7D">
        <w:rPr>
          <w:rStyle w:val="JuQuotChar"/>
          <w:szCs w:val="24"/>
        </w:rPr>
        <w:t>, even in respect of extraterritorial acts,</w:t>
      </w:r>
      <w:r w:rsidRPr="00EF0015">
        <w:rPr>
          <w:rStyle w:val="JuQuotChar"/>
          <w:szCs w:val="24"/>
        </w:rPr>
        <w:t xml:space="preserve"> it would in principle be possible for a State to </w:t>
      </w:r>
      <w:r w:rsidRPr="00EF0015" w:rsidR="00815E7D">
        <w:rPr>
          <w:rStyle w:val="JuQuotChar"/>
          <w:szCs w:val="24"/>
        </w:rPr>
        <w:t xml:space="preserve">derogate from its obligations under the </w:t>
      </w:r>
      <w:r w:rsidRPr="00EF0015" w:rsidR="00F12FE2">
        <w:rPr>
          <w:rStyle w:val="JuQuotChar"/>
          <w:szCs w:val="24"/>
        </w:rPr>
        <w:t>International Covenant on Civil and Political Rights</w:t>
      </w:r>
      <w:r w:rsidRPr="00EF0015" w:rsidR="00815E7D">
        <w:rPr>
          <w:rStyle w:val="JuQuotChar"/>
          <w:szCs w:val="24"/>
        </w:rPr>
        <w:t>, Article 4 § 1 of which provides:</w:t>
      </w:r>
    </w:p>
    <w:p w:rsidR="00C81668" w:rsidP="00815E7D" w:rsidRDefault="00815E7D">
      <w:pPr>
        <w:pStyle w:val="JuQuot"/>
        <w:rPr>
          <w:rStyle w:val="JuQuotChar"/>
          <w:szCs w:val="24"/>
        </w:rPr>
      </w:pPr>
      <w:r w:rsidRPr="00EF0015">
        <w:rPr>
          <w:rStyle w:val="JuQuotChar"/>
          <w:szCs w:val="24"/>
        </w:rPr>
        <w:t>“In time of public emergency which threatens the life of the nation and the existence of which is officially proclaimed, the States Parties to the present Covenant may take measures derogating from their obligations under the present Covenant to the extent strictly required by the exigencies of the situation, provided that such measures are not inconsistent with their other obligations under international law and do not involve discrimination solely on the ground of race, colour, sex, language, religion or social origin.”</w:t>
      </w:r>
    </w:p>
    <w:p w:rsidRPr="00EF0015" w:rsidR="00623FD7" w:rsidP="00623FD7" w:rsidRDefault="00623FD7">
      <w:pPr>
        <w:pStyle w:val="JuPara"/>
        <w:rPr>
          <w:rStyle w:val="JuQuotChar"/>
          <w:szCs w:val="24"/>
        </w:rPr>
      </w:pPr>
      <w:r w:rsidRPr="00EF0015">
        <w:rPr>
          <w:rStyle w:val="JuQuotChar"/>
          <w:szCs w:val="24"/>
        </w:rPr>
        <w:t xml:space="preserve">Thus, in </w:t>
      </w:r>
      <w:r w:rsidR="00E76CAA">
        <w:rPr>
          <w:rStyle w:val="JuQuotChar"/>
          <w:szCs w:val="24"/>
        </w:rPr>
        <w:t>paragraph</w:t>
      </w:r>
      <w:r w:rsidRPr="00EF0015">
        <w:rPr>
          <w:rStyle w:val="JuQuotChar"/>
          <w:szCs w:val="24"/>
        </w:rPr>
        <w:t xml:space="preserve"> 136 of </w:t>
      </w:r>
      <w:r w:rsidR="00F321BA">
        <w:rPr>
          <w:rStyle w:val="JuQuotChar"/>
          <w:szCs w:val="24"/>
        </w:rPr>
        <w:t>its</w:t>
      </w:r>
      <w:r w:rsidRPr="00EF0015">
        <w:rPr>
          <w:rStyle w:val="JuQuotChar"/>
          <w:szCs w:val="24"/>
        </w:rPr>
        <w:t xml:space="preserve"> </w:t>
      </w:r>
      <w:r w:rsidR="00E76CAA">
        <w:rPr>
          <w:rStyle w:val="JuQuotChar"/>
          <w:szCs w:val="24"/>
        </w:rPr>
        <w:t>Advisory O</w:t>
      </w:r>
      <w:r w:rsidRPr="00EF0015">
        <w:rPr>
          <w:rStyle w:val="JuQuotChar"/>
          <w:szCs w:val="24"/>
        </w:rPr>
        <w:t xml:space="preserve">pinion, having considered whether the acts in question were justified under </w:t>
      </w:r>
      <w:r w:rsidRPr="00EF0015" w:rsidR="00A957EC">
        <w:t>international humanitarian law</w:t>
      </w:r>
      <w:r w:rsidRPr="00EF0015">
        <w:rPr>
          <w:rStyle w:val="JuQuotChar"/>
          <w:szCs w:val="24"/>
        </w:rPr>
        <w:t xml:space="preserve"> on grounds of military exigency, the </w:t>
      </w:r>
      <w:r w:rsidRPr="00EF0015" w:rsidR="00A957EC">
        <w:t>International Court of Justice</w:t>
      </w:r>
      <w:r w:rsidRPr="00EF0015" w:rsidR="00A957EC">
        <w:rPr>
          <w:rStyle w:val="JuQuotChar"/>
          <w:szCs w:val="24"/>
        </w:rPr>
        <w:t xml:space="preserve"> </w:t>
      </w:r>
      <w:r w:rsidRPr="00EF0015">
        <w:rPr>
          <w:rStyle w:val="JuQuotChar"/>
          <w:szCs w:val="24"/>
        </w:rPr>
        <w:t>held:</w:t>
      </w:r>
    </w:p>
    <w:p w:rsidRPr="00EF0015" w:rsidR="00623FD7" w:rsidP="00623FD7" w:rsidRDefault="00623FD7">
      <w:pPr>
        <w:pStyle w:val="JuQuot"/>
        <w:rPr>
          <w:rStyle w:val="JuQuotChar"/>
          <w:szCs w:val="24"/>
        </w:rPr>
      </w:pPr>
      <w:r w:rsidRPr="00EF0015">
        <w:rPr>
          <w:rStyle w:val="JuQuotChar"/>
          <w:szCs w:val="24"/>
        </w:rPr>
        <w:t>“136.</w:t>
      </w:r>
      <w:r w:rsidR="00446190">
        <w:rPr>
          <w:rStyle w:val="JuQuotChar"/>
          <w:szCs w:val="24"/>
        </w:rPr>
        <w:t>  </w:t>
      </w:r>
      <w:r w:rsidRPr="00EF0015">
        <w:rPr>
          <w:rStyle w:val="JuQuotChar"/>
          <w:szCs w:val="24"/>
        </w:rPr>
        <w:t xml:space="preserve">The Court would further observe that some human rights conventions, and in particular the International Covenant on Civil and Political Rights, contain provisions which States </w:t>
      </w:r>
      <w:r w:rsidR="00243F8E">
        <w:rPr>
          <w:rStyle w:val="JuQuotChar"/>
          <w:szCs w:val="24"/>
        </w:rPr>
        <w:t>P</w:t>
      </w:r>
      <w:r w:rsidRPr="00EF0015">
        <w:rPr>
          <w:rStyle w:val="JuQuotChar"/>
          <w:szCs w:val="24"/>
        </w:rPr>
        <w:t>arties may invoke in order to derogate, under various conditions, from certain of their conventional obligations. In this respect, the Court would however recall that the communication notified by Israel to the Secretary-General of the United Nations under Article 4 of the International Covenant on Civil and Political Rights concerns only Article 9 of the Covenant, relating to the right to freedom and security of person (see paragraph 127 above); Israel is accordingly bound to respect all the other provisions of that instrument.”</w:t>
      </w:r>
    </w:p>
    <w:p w:rsidRPr="00EF0015" w:rsidR="00EE069B" w:rsidP="00CC220B" w:rsidRDefault="003141D1">
      <w:pPr>
        <w:pStyle w:val="JuPara"/>
        <w:rPr>
          <w:rStyle w:val="JuQuotChar"/>
          <w:szCs w:val="24"/>
        </w:rPr>
      </w:pPr>
      <w:r w:rsidRPr="00EF0015">
        <w:rPr>
          <w:rStyle w:val="JuQuotChar"/>
          <w:szCs w:val="24"/>
        </w:rPr>
        <w:fldChar w:fldCharType="begin"/>
      </w:r>
      <w:r w:rsidRPr="00EF0015">
        <w:rPr>
          <w:rStyle w:val="JuQuotChar"/>
          <w:szCs w:val="24"/>
        </w:rPr>
        <w:instrText xml:space="preserve"> SEQ level0 \*arabic </w:instrText>
      </w:r>
      <w:r w:rsidRPr="00EF0015">
        <w:rPr>
          <w:rStyle w:val="JuQuotChar"/>
          <w:szCs w:val="24"/>
        </w:rPr>
        <w:fldChar w:fldCharType="separate"/>
      </w:r>
      <w:r w:rsidR="00524A6D">
        <w:rPr>
          <w:rStyle w:val="JuQuotChar"/>
          <w:noProof/>
          <w:szCs w:val="24"/>
        </w:rPr>
        <w:t>91</w:t>
      </w:r>
      <w:r w:rsidRPr="00EF0015">
        <w:rPr>
          <w:rStyle w:val="JuQuotChar"/>
          <w:szCs w:val="24"/>
        </w:rPr>
        <w:fldChar w:fldCharType="end"/>
      </w:r>
      <w:r w:rsidRPr="00EF0015">
        <w:rPr>
          <w:rStyle w:val="JuQuotChar"/>
          <w:szCs w:val="24"/>
        </w:rPr>
        <w:t xml:space="preserve">.  In its </w:t>
      </w:r>
      <w:r w:rsidRPr="00EF0015" w:rsidR="00102211">
        <w:rPr>
          <w:rStyle w:val="JuQuotChar"/>
          <w:szCs w:val="24"/>
        </w:rPr>
        <w:t>judgment</w:t>
      </w:r>
      <w:r w:rsidRPr="00EF0015">
        <w:rPr>
          <w:rStyle w:val="JuQuotChar"/>
          <w:szCs w:val="24"/>
        </w:rPr>
        <w:t xml:space="preserve"> </w:t>
      </w:r>
      <w:r w:rsidRPr="00EF0015" w:rsidR="00CB66AD">
        <w:rPr>
          <w:rStyle w:val="JuQuotChar"/>
          <w:i/>
          <w:szCs w:val="24"/>
        </w:rPr>
        <w:t xml:space="preserve">Armed Activities on the Territory of the Congo (Democratic Republic of </w:t>
      </w:r>
      <w:r w:rsidR="007136E6">
        <w:rPr>
          <w:rStyle w:val="JuQuotChar"/>
          <w:i/>
          <w:szCs w:val="24"/>
        </w:rPr>
        <w:t xml:space="preserve">the </w:t>
      </w:r>
      <w:r w:rsidRPr="00EF0015" w:rsidR="00CB66AD">
        <w:rPr>
          <w:rStyle w:val="JuQuotChar"/>
          <w:i/>
          <w:szCs w:val="24"/>
        </w:rPr>
        <w:t>Congo (DRC) v. Uganda</w:t>
      </w:r>
      <w:r w:rsidRPr="00EF0015" w:rsidR="00CB66AD">
        <w:rPr>
          <w:rStyle w:val="JuQuotChar"/>
          <w:szCs w:val="24"/>
        </w:rPr>
        <w:t xml:space="preserve">) </w:t>
      </w:r>
      <w:r w:rsidR="007136E6">
        <w:rPr>
          <w:rStyle w:val="JuQuotChar"/>
          <w:szCs w:val="24"/>
        </w:rPr>
        <w:t xml:space="preserve">of </w:t>
      </w:r>
      <w:r w:rsidRPr="00EF0015" w:rsidR="00CB66AD">
        <w:rPr>
          <w:rStyle w:val="JuQuotChar"/>
          <w:szCs w:val="24"/>
        </w:rPr>
        <w:t>19 December 2005</w:t>
      </w:r>
      <w:r w:rsidR="007136E6">
        <w:rPr>
          <w:rStyle w:val="JuQuotChar"/>
          <w:szCs w:val="24"/>
        </w:rPr>
        <w:t>,</w:t>
      </w:r>
      <w:r w:rsidRPr="00EF0015">
        <w:rPr>
          <w:rStyle w:val="JuQuotChar"/>
          <w:szCs w:val="24"/>
        </w:rPr>
        <w:t xml:space="preserve"> the </w:t>
      </w:r>
      <w:r w:rsidRPr="00EF0015" w:rsidR="00A957EC">
        <w:t>International Court of Justice</w:t>
      </w:r>
      <w:r w:rsidRPr="00EF0015" w:rsidR="00A957EC">
        <w:rPr>
          <w:rStyle w:val="JuQuotChar"/>
          <w:szCs w:val="24"/>
        </w:rPr>
        <w:t xml:space="preserve"> </w:t>
      </w:r>
      <w:r w:rsidRPr="00EF0015" w:rsidR="00CC220B">
        <w:rPr>
          <w:rStyle w:val="JuQuotChar"/>
          <w:szCs w:val="24"/>
        </w:rPr>
        <w:t>considered whether</w:t>
      </w:r>
      <w:r w:rsidRPr="00EF0015" w:rsidR="00BF247E">
        <w:rPr>
          <w:rStyle w:val="JuQuotChar"/>
          <w:szCs w:val="24"/>
        </w:rPr>
        <w:t>, during the relevant period,</w:t>
      </w:r>
      <w:r w:rsidRPr="00EF0015" w:rsidR="00B00868">
        <w:rPr>
          <w:rStyle w:val="JuQuotChar"/>
          <w:szCs w:val="24"/>
        </w:rPr>
        <w:t xml:space="preserve"> Uganda was an “Occupying P</w:t>
      </w:r>
      <w:r w:rsidRPr="00EF0015" w:rsidR="00CC220B">
        <w:rPr>
          <w:rStyle w:val="JuQuotChar"/>
          <w:szCs w:val="24"/>
        </w:rPr>
        <w:t xml:space="preserve">ower” </w:t>
      </w:r>
      <w:r w:rsidRPr="00EF0015" w:rsidR="00BF247E">
        <w:rPr>
          <w:rStyle w:val="JuQuotChar"/>
          <w:szCs w:val="24"/>
        </w:rPr>
        <w:t>of any</w:t>
      </w:r>
      <w:r w:rsidRPr="00EF0015" w:rsidR="00CC220B">
        <w:rPr>
          <w:rStyle w:val="JuQuotChar"/>
          <w:szCs w:val="24"/>
        </w:rPr>
        <w:t xml:space="preserve"> part of the territory of the Democratic Republic of </w:t>
      </w:r>
      <w:r w:rsidR="007136E6">
        <w:rPr>
          <w:rStyle w:val="JuQuotChar"/>
          <w:szCs w:val="24"/>
        </w:rPr>
        <w:t xml:space="preserve">the </w:t>
      </w:r>
      <w:r w:rsidRPr="00EF0015" w:rsidR="00CC220B">
        <w:rPr>
          <w:rStyle w:val="JuQuotChar"/>
          <w:szCs w:val="24"/>
        </w:rPr>
        <w:t xml:space="preserve">Congo, within the meaning of customary international law, as reflected in Article </w:t>
      </w:r>
      <w:r w:rsidR="00334356">
        <w:rPr>
          <w:rStyle w:val="JuQuotChar"/>
          <w:szCs w:val="24"/>
        </w:rPr>
        <w:t xml:space="preserve">42 of the Hague Regulations (§§ </w:t>
      </w:r>
      <w:r w:rsidRPr="00EF0015" w:rsidR="00CC220B">
        <w:rPr>
          <w:rStyle w:val="JuQuotChar"/>
          <w:szCs w:val="24"/>
        </w:rPr>
        <w:t>172-73</w:t>
      </w:r>
      <w:r w:rsidR="007136E6">
        <w:rPr>
          <w:rStyle w:val="JuQuotChar"/>
          <w:szCs w:val="24"/>
        </w:rPr>
        <w:t xml:space="preserve"> of the judgment</w:t>
      </w:r>
      <w:r w:rsidRPr="00EF0015" w:rsidR="00CC220B">
        <w:rPr>
          <w:rStyle w:val="JuQuotChar"/>
          <w:szCs w:val="24"/>
        </w:rPr>
        <w:t xml:space="preserve">). </w:t>
      </w:r>
      <w:r w:rsidRPr="00EF0015" w:rsidR="0066483B">
        <w:rPr>
          <w:rStyle w:val="JuQuotChar"/>
          <w:szCs w:val="24"/>
        </w:rPr>
        <w:t xml:space="preserve">The </w:t>
      </w:r>
      <w:r w:rsidRPr="00EF0015" w:rsidR="00A957EC">
        <w:t>International Court of Justice</w:t>
      </w:r>
      <w:r w:rsidRPr="00EF0015" w:rsidR="00A957EC">
        <w:rPr>
          <w:rStyle w:val="JuQuotChar"/>
          <w:szCs w:val="24"/>
        </w:rPr>
        <w:t xml:space="preserve"> </w:t>
      </w:r>
      <w:r w:rsidRPr="00EF0015" w:rsidR="0066483B">
        <w:rPr>
          <w:rStyle w:val="JuQuotChar"/>
          <w:szCs w:val="24"/>
        </w:rPr>
        <w:t xml:space="preserve">found that Ugandan forces were stationed in the province of Ituri and exercised authority there, in the sense that they had substituted their own authority for that of the Congolese </w:t>
      </w:r>
      <w:r w:rsidR="007136E6">
        <w:rPr>
          <w:rStyle w:val="JuQuotChar"/>
          <w:szCs w:val="24"/>
        </w:rPr>
        <w:t>g</w:t>
      </w:r>
      <w:r w:rsidRPr="00EF0015" w:rsidR="0066483B">
        <w:rPr>
          <w:rStyle w:val="JuQuotChar"/>
          <w:szCs w:val="24"/>
        </w:rPr>
        <w:t xml:space="preserve">overnment </w:t>
      </w:r>
      <w:r w:rsidRPr="00EF0015" w:rsidR="00EE069B">
        <w:rPr>
          <w:rStyle w:val="JuQuotChar"/>
          <w:szCs w:val="24"/>
        </w:rPr>
        <w:t xml:space="preserve">(§§ 174-76). The </w:t>
      </w:r>
      <w:r w:rsidRPr="00EF0015" w:rsidR="00A957EC">
        <w:t>International Court of Justice</w:t>
      </w:r>
      <w:r w:rsidRPr="00EF0015" w:rsidR="00A957EC">
        <w:rPr>
          <w:rStyle w:val="JuQuotChar"/>
          <w:szCs w:val="24"/>
        </w:rPr>
        <w:t xml:space="preserve"> </w:t>
      </w:r>
      <w:r w:rsidRPr="00EF0015" w:rsidR="00EE069B">
        <w:rPr>
          <w:rStyle w:val="JuQuotChar"/>
          <w:szCs w:val="24"/>
        </w:rPr>
        <w:t>continued:</w:t>
      </w:r>
    </w:p>
    <w:p w:rsidRPr="00EF0015" w:rsidR="008242FB" w:rsidP="00EE069B" w:rsidRDefault="00EE069B">
      <w:pPr>
        <w:pStyle w:val="JuQuot"/>
        <w:rPr>
          <w:rStyle w:val="JuQuotChar"/>
          <w:szCs w:val="24"/>
        </w:rPr>
      </w:pPr>
      <w:r w:rsidRPr="00EF0015">
        <w:rPr>
          <w:rStyle w:val="JuQuotChar"/>
          <w:szCs w:val="24"/>
        </w:rPr>
        <w:t>“178.</w:t>
      </w:r>
      <w:r w:rsidR="00446190">
        <w:rPr>
          <w:rStyle w:val="JuQuotChar"/>
          <w:szCs w:val="24"/>
        </w:rPr>
        <w:t>  </w:t>
      </w:r>
      <w:r w:rsidRPr="00EF0015">
        <w:rPr>
          <w:rStyle w:val="JuQuotChar"/>
          <w:szCs w:val="24"/>
        </w:rPr>
        <w:t>The Court thus concludes that Uganda</w:t>
      </w:r>
      <w:r w:rsidRPr="00EF0015" w:rsidR="0066483B">
        <w:rPr>
          <w:rStyle w:val="JuQuotChar"/>
          <w:szCs w:val="24"/>
        </w:rPr>
        <w:t xml:space="preserve"> was the </w:t>
      </w:r>
      <w:r w:rsidR="007136E6">
        <w:rPr>
          <w:rStyle w:val="JuQuotChar"/>
          <w:szCs w:val="24"/>
        </w:rPr>
        <w:t>O</w:t>
      </w:r>
      <w:r w:rsidRPr="00EF0015">
        <w:rPr>
          <w:rStyle w:val="JuQuotChar"/>
          <w:szCs w:val="24"/>
        </w:rPr>
        <w:t>ccupying Power in Ituri at the relevant time. As such it was under an obligation, according to Article 43 of the Hague Regulations of 1907, to take all the measures in its power to restore, and ensure, as far as possible, public order and safety in the occupied area, while respecting, unless absolutely prevented, the laws in force in the DRC. This obligation comprised the duty to secure respect for the applicable rules of international human rights law and international humanitarian law, to protect the inhabitants of the occupied territory against acts of violence, and not to tolerate such violence by any third party.</w:t>
      </w:r>
    </w:p>
    <w:p w:rsidRPr="00EF0015" w:rsidR="008242FB" w:rsidP="008242FB" w:rsidRDefault="008242FB">
      <w:pPr>
        <w:pStyle w:val="JuQuot"/>
        <w:rPr>
          <w:rStyle w:val="JuQuotChar"/>
          <w:szCs w:val="24"/>
        </w:rPr>
      </w:pPr>
      <w:r w:rsidRPr="00EF0015">
        <w:rPr>
          <w:rStyle w:val="JuQuotChar"/>
          <w:szCs w:val="24"/>
        </w:rPr>
        <w:t>179.</w:t>
      </w:r>
      <w:r w:rsidR="00446190">
        <w:rPr>
          <w:rStyle w:val="JuQuotChar"/>
          <w:szCs w:val="24"/>
        </w:rPr>
        <w:t>  </w:t>
      </w:r>
      <w:r w:rsidRPr="00EF0015">
        <w:rPr>
          <w:rStyle w:val="JuQuotChar"/>
          <w:szCs w:val="24"/>
        </w:rPr>
        <w:t xml:space="preserve">The Court, having concluded that Uganda was an </w:t>
      </w:r>
      <w:r w:rsidR="007136E6">
        <w:rPr>
          <w:rStyle w:val="JuQuotChar"/>
          <w:szCs w:val="24"/>
        </w:rPr>
        <w:t>O</w:t>
      </w:r>
      <w:r w:rsidRPr="00EF0015">
        <w:rPr>
          <w:rStyle w:val="JuQuotChar"/>
          <w:szCs w:val="24"/>
        </w:rPr>
        <w:t>ccupying Power in Ituri at the relevant time, finds that Uganda</w:t>
      </w:r>
      <w:r w:rsidR="008570E8">
        <w:rPr>
          <w:rStyle w:val="JuQuotChar"/>
          <w:szCs w:val="24"/>
        </w:rPr>
        <w:t>’</w:t>
      </w:r>
      <w:r w:rsidRPr="00EF0015">
        <w:rPr>
          <w:rStyle w:val="JuQuotChar"/>
          <w:szCs w:val="24"/>
        </w:rPr>
        <w:t>s responsibility is engaged both for any acts of its military that violated its international obligations and for any lack of vigilance in preventing violations of human rights and international humanitarian law by other actors present in the occupied territory, including rebel groups acting on their own account.</w:t>
      </w:r>
    </w:p>
    <w:p w:rsidRPr="00EF0015" w:rsidR="00EE069B" w:rsidP="008242FB" w:rsidRDefault="008242FB">
      <w:pPr>
        <w:pStyle w:val="JuQuot"/>
        <w:rPr>
          <w:rStyle w:val="JuQuotChar"/>
          <w:szCs w:val="24"/>
        </w:rPr>
      </w:pPr>
      <w:r w:rsidRPr="00EF0015">
        <w:rPr>
          <w:rStyle w:val="JuQuotChar"/>
          <w:szCs w:val="24"/>
        </w:rPr>
        <w:t>180.</w:t>
      </w:r>
      <w:r w:rsidR="00446190">
        <w:rPr>
          <w:rStyle w:val="JuQuotChar"/>
          <w:szCs w:val="24"/>
        </w:rPr>
        <w:t>  </w:t>
      </w:r>
      <w:r w:rsidRPr="00EF0015">
        <w:rPr>
          <w:rStyle w:val="JuQuotChar"/>
          <w:szCs w:val="24"/>
        </w:rPr>
        <w:t>The Court notes that Uganda at all times has responsibility for all actions and omissions of its own military forces in the territory of the DRC in breach of its obligations under the rules of international human rights law and international humanitarian law which are relevant and applicable in the specific situation.</w:t>
      </w:r>
      <w:r w:rsidRPr="00EF0015" w:rsidR="00EE069B">
        <w:rPr>
          <w:rStyle w:val="JuQuotChar"/>
          <w:szCs w:val="24"/>
        </w:rPr>
        <w:t>”</w:t>
      </w:r>
    </w:p>
    <w:p w:rsidR="00C81668" w:rsidP="00CC220B" w:rsidRDefault="00EE069B">
      <w:pPr>
        <w:pStyle w:val="JuPara"/>
        <w:rPr>
          <w:rStyle w:val="JuQuotChar"/>
          <w:szCs w:val="24"/>
        </w:rPr>
      </w:pPr>
      <w:r w:rsidRPr="00EF0015">
        <w:rPr>
          <w:rStyle w:val="JuQuotChar"/>
          <w:szCs w:val="24"/>
        </w:rPr>
        <w:t xml:space="preserve">The </w:t>
      </w:r>
      <w:r w:rsidRPr="00EF0015" w:rsidR="00A957EC">
        <w:t>International Court of Justice</w:t>
      </w:r>
      <w:r w:rsidRPr="00EF0015">
        <w:rPr>
          <w:rStyle w:val="JuQuotChar"/>
          <w:szCs w:val="24"/>
        </w:rPr>
        <w:t xml:space="preserve"> </w:t>
      </w:r>
      <w:r w:rsidRPr="00EF0015" w:rsidR="00ED7A05">
        <w:rPr>
          <w:rStyle w:val="JuQuotChar"/>
          <w:szCs w:val="24"/>
        </w:rPr>
        <w:t>established the facts relating to the serious breaches of human rights allegedly attributable to Uganda</w:t>
      </w:r>
      <w:r w:rsidRPr="00EF0015" w:rsidR="00213E0B">
        <w:rPr>
          <w:rStyle w:val="JuQuotChar"/>
          <w:szCs w:val="24"/>
        </w:rPr>
        <w:t>, in the occupied Ituri region and elsewhere (§§ 205-12)</w:t>
      </w:r>
      <w:r w:rsidRPr="00EF0015" w:rsidR="00ED7A05">
        <w:rPr>
          <w:rStyle w:val="JuQuotChar"/>
          <w:szCs w:val="24"/>
        </w:rPr>
        <w:t>. In order to determine whether the conduct in question constituted a breach of Uganda</w:t>
      </w:r>
      <w:r w:rsidR="008570E8">
        <w:rPr>
          <w:rStyle w:val="JuQuotChar"/>
          <w:szCs w:val="24"/>
        </w:rPr>
        <w:t>’</w:t>
      </w:r>
      <w:r w:rsidRPr="00EF0015" w:rsidR="00ED7A05">
        <w:rPr>
          <w:rStyle w:val="JuQuotChar"/>
          <w:szCs w:val="24"/>
        </w:rPr>
        <w:t xml:space="preserve">s international obligations, the </w:t>
      </w:r>
      <w:r w:rsidRPr="00EF0015" w:rsidR="00A957EC">
        <w:t>International Court of Justice</w:t>
      </w:r>
      <w:r w:rsidRPr="00EF0015" w:rsidR="00A957EC">
        <w:rPr>
          <w:rStyle w:val="JuQuotChar"/>
          <w:szCs w:val="24"/>
        </w:rPr>
        <w:t xml:space="preserve"> </w:t>
      </w:r>
      <w:r w:rsidRPr="00EF0015" w:rsidR="00ED7A05">
        <w:rPr>
          <w:rStyle w:val="JuQuotChar"/>
          <w:szCs w:val="24"/>
        </w:rPr>
        <w:t>recalled its finding in the above</w:t>
      </w:r>
      <w:r w:rsidR="00AF362D">
        <w:rPr>
          <w:rStyle w:val="JuQuotChar"/>
          <w:szCs w:val="24"/>
        </w:rPr>
        <w:t>-cited</w:t>
      </w:r>
      <w:r w:rsidRPr="00EF0015" w:rsidR="00ED7A05">
        <w:rPr>
          <w:rStyle w:val="JuQuotChar"/>
          <w:szCs w:val="24"/>
        </w:rPr>
        <w:t xml:space="preserve"> </w:t>
      </w:r>
      <w:r w:rsidRPr="00EF0015" w:rsidR="00AF362D">
        <w:rPr>
          <w:rStyle w:val="JuQuotChar"/>
          <w:i/>
          <w:szCs w:val="24"/>
        </w:rPr>
        <w:t xml:space="preserve">Legal Consequences of the </w:t>
      </w:r>
      <w:r w:rsidRPr="00EF0015" w:rsidR="007D76B1">
        <w:rPr>
          <w:rStyle w:val="JuQuotChar"/>
          <w:i/>
          <w:szCs w:val="24"/>
        </w:rPr>
        <w:t xml:space="preserve">Construction of a Wall </w:t>
      </w:r>
      <w:r w:rsidRPr="00EF0015" w:rsidR="00AF362D">
        <w:rPr>
          <w:rStyle w:val="JuQuotChar"/>
          <w:i/>
          <w:szCs w:val="24"/>
        </w:rPr>
        <w:t>in the Occupied Palestinian Territory</w:t>
      </w:r>
      <w:r w:rsidR="00AF362D">
        <w:rPr>
          <w:rStyle w:val="JuQuotChar"/>
          <w:i/>
          <w:szCs w:val="24"/>
        </w:rPr>
        <w:t xml:space="preserve"> </w:t>
      </w:r>
      <w:r w:rsidRPr="00EF0015" w:rsidR="00ED7A05">
        <w:rPr>
          <w:rStyle w:val="JuQuotChar"/>
          <w:szCs w:val="24"/>
        </w:rPr>
        <w:t>Advisory Opinion that both international humanitarian law and international human rights law would have to be taken into consideration and that international human rights instruments w</w:t>
      </w:r>
      <w:r w:rsidRPr="00EF0015" w:rsidR="00B00868">
        <w:rPr>
          <w:rStyle w:val="JuQuotChar"/>
          <w:szCs w:val="24"/>
        </w:rPr>
        <w:t>ere</w:t>
      </w:r>
      <w:r w:rsidRPr="00EF0015" w:rsidR="00ED7A05">
        <w:rPr>
          <w:rStyle w:val="JuQuotChar"/>
          <w:szCs w:val="24"/>
        </w:rPr>
        <w:t xml:space="preserve"> capable of having an extraterritorial application, “particularly in occupied territories” (§ 216). The </w:t>
      </w:r>
      <w:r w:rsidRPr="00EF0015" w:rsidR="00A957EC">
        <w:t>International Court of Justice</w:t>
      </w:r>
      <w:r w:rsidRPr="00EF0015" w:rsidR="00A957EC">
        <w:rPr>
          <w:rStyle w:val="JuQuotChar"/>
          <w:szCs w:val="24"/>
        </w:rPr>
        <w:t xml:space="preserve"> </w:t>
      </w:r>
      <w:r w:rsidRPr="00EF0015">
        <w:rPr>
          <w:rStyle w:val="JuQuotChar"/>
          <w:szCs w:val="24"/>
        </w:rPr>
        <w:t xml:space="preserve">next determined which were “the applicable rules of international human rights law and international humanitarian law”, </w:t>
      </w:r>
      <w:r w:rsidRPr="00EF0015" w:rsidR="00E62119">
        <w:rPr>
          <w:rStyle w:val="JuQuotChar"/>
          <w:szCs w:val="24"/>
        </w:rPr>
        <w:t xml:space="preserve">by listing the international humanitarian and international human rights treaties to which both Uganda and the Democratic Republic of </w:t>
      </w:r>
      <w:r w:rsidR="00AF362D">
        <w:rPr>
          <w:rStyle w:val="JuQuotChar"/>
          <w:szCs w:val="24"/>
        </w:rPr>
        <w:t xml:space="preserve">the </w:t>
      </w:r>
      <w:r w:rsidRPr="00EF0015" w:rsidR="00E62119">
        <w:rPr>
          <w:rStyle w:val="JuQuotChar"/>
          <w:szCs w:val="24"/>
        </w:rPr>
        <w:t xml:space="preserve">Congo were party, together with the relevant principles of </w:t>
      </w:r>
      <w:r w:rsidR="00070894">
        <w:rPr>
          <w:rStyle w:val="JuQuotChar"/>
          <w:szCs w:val="24"/>
        </w:rPr>
        <w:t>customary international law (§§ </w:t>
      </w:r>
      <w:r w:rsidRPr="00EF0015" w:rsidR="00E62119">
        <w:rPr>
          <w:rStyle w:val="JuQuotChar"/>
          <w:szCs w:val="24"/>
        </w:rPr>
        <w:t>217</w:t>
      </w:r>
      <w:r w:rsidR="00AF362D">
        <w:rPr>
          <w:rStyle w:val="JuQuotChar"/>
          <w:szCs w:val="24"/>
        </w:rPr>
        <w:noBreakHyphen/>
      </w:r>
      <w:r w:rsidRPr="00EF0015" w:rsidR="00E62119">
        <w:rPr>
          <w:rStyle w:val="JuQuotChar"/>
          <w:szCs w:val="24"/>
        </w:rPr>
        <w:t>19).</w:t>
      </w:r>
    </w:p>
    <w:p w:rsidRPr="00EF0015" w:rsidR="00283B02" w:rsidP="00283B02" w:rsidRDefault="00D905A9">
      <w:pPr>
        <w:pStyle w:val="JuHAA"/>
        <w:rPr>
          <w:rStyle w:val="JuQuotChar"/>
          <w:lang w:eastAsia="en-GB"/>
        </w:rPr>
      </w:pPr>
      <w:bookmarkStart w:name="_Toc289765876" w:id="94"/>
      <w:bookmarkStart w:name="_Toc289868965" w:id="95"/>
      <w:bookmarkStart w:name="_Toc297210661" w:id="96"/>
      <w:r w:rsidRPr="00EF0015">
        <w:rPr>
          <w:rStyle w:val="JuQuotChar"/>
          <w:lang w:eastAsia="en-GB"/>
        </w:rPr>
        <w:t>C</w:t>
      </w:r>
      <w:r w:rsidR="00127CF4">
        <w:rPr>
          <w:rStyle w:val="JuQuotChar"/>
          <w:lang w:eastAsia="en-GB"/>
        </w:rPr>
        <w:t>.  </w:t>
      </w:r>
      <w:r w:rsidRPr="00EF0015" w:rsidR="00283B02">
        <w:rPr>
          <w:rStyle w:val="JuQuotChar"/>
          <w:lang w:eastAsia="en-GB"/>
        </w:rPr>
        <w:t xml:space="preserve">The duty to investigate alleged violations of the right to life in situations of armed conflict </w:t>
      </w:r>
      <w:r w:rsidRPr="00EF0015" w:rsidR="00E749AD">
        <w:rPr>
          <w:rStyle w:val="JuQuotChar"/>
          <w:lang w:eastAsia="en-GB"/>
        </w:rPr>
        <w:t xml:space="preserve">and occupation </w:t>
      </w:r>
      <w:r w:rsidRPr="00EF0015" w:rsidR="00283B02">
        <w:rPr>
          <w:rStyle w:val="JuQuotChar"/>
          <w:lang w:eastAsia="en-GB"/>
        </w:rPr>
        <w:t xml:space="preserve">under </w:t>
      </w:r>
      <w:r w:rsidRPr="00EF0015" w:rsidR="00DB5662">
        <w:rPr>
          <w:rStyle w:val="JuQuotChar"/>
          <w:lang w:eastAsia="en-GB"/>
        </w:rPr>
        <w:t>international humanitarian law</w:t>
      </w:r>
      <w:r w:rsidRPr="00EF0015" w:rsidR="00283B02">
        <w:rPr>
          <w:rStyle w:val="JuQuotChar"/>
          <w:lang w:eastAsia="en-GB"/>
        </w:rPr>
        <w:t xml:space="preserve"> and international human rights law</w:t>
      </w:r>
      <w:bookmarkEnd w:id="94"/>
      <w:bookmarkEnd w:id="95"/>
      <w:bookmarkEnd w:id="96"/>
    </w:p>
    <w:p w:rsidRPr="00EF0015" w:rsidR="00536F1E" w:rsidP="00536F1E" w:rsidRDefault="00524FE4">
      <w:pPr>
        <w:pStyle w:val="JuPara"/>
      </w:pPr>
      <w:r w:rsidRPr="00EF0015">
        <w:fldChar w:fldCharType="begin"/>
      </w:r>
      <w:r w:rsidRPr="00EF0015">
        <w:instrText xml:space="preserve"> SEQ level0 \*arabic </w:instrText>
      </w:r>
      <w:r w:rsidRPr="00EF0015">
        <w:fldChar w:fldCharType="separate"/>
      </w:r>
      <w:r w:rsidR="00524A6D">
        <w:rPr>
          <w:noProof/>
        </w:rPr>
        <w:t>92</w:t>
      </w:r>
      <w:r w:rsidRPr="00EF0015">
        <w:fldChar w:fldCharType="end"/>
      </w:r>
      <w:r w:rsidRPr="00EF0015">
        <w:t>.  </w:t>
      </w:r>
      <w:r w:rsidRPr="00EF0015" w:rsidR="00536F1E">
        <w:t xml:space="preserve">Article 121 of the Geneva Convention </w:t>
      </w:r>
      <w:r w:rsidR="003D2C85">
        <w:t xml:space="preserve">(III) relative to the Treatment of Prisoners of War (of 12 August 1949) (“the Third Geneva Convention”) </w:t>
      </w:r>
      <w:r w:rsidRPr="00EF0015" w:rsidR="00536F1E">
        <w:t xml:space="preserve">provides that an official enquiry must be held by the </w:t>
      </w:r>
      <w:r w:rsidR="003D2C85">
        <w:t>D</w:t>
      </w:r>
      <w:r w:rsidRPr="00EF0015" w:rsidR="00536F1E">
        <w:t xml:space="preserve">etaining </w:t>
      </w:r>
      <w:r w:rsidR="003D2C85">
        <w:t>P</w:t>
      </w:r>
      <w:r w:rsidRPr="00EF0015" w:rsidR="00536F1E">
        <w:t>ower following the suspected homicide of a prisoner of war. Article 131 of the Fourth Geneva Convention provides:</w:t>
      </w:r>
    </w:p>
    <w:p w:rsidRPr="00EF0015" w:rsidR="00536F1E" w:rsidP="00536F1E" w:rsidRDefault="00536F1E">
      <w:pPr>
        <w:pStyle w:val="JuQuot"/>
      </w:pPr>
      <w:r w:rsidRPr="00EF0015">
        <w:t>“Every death or serious injury of an internee, caused or suspected to have been caused by a sentry, another internee or any other person, as well as any death the cause of which is unknown, shall be immediately followed by an official enquiry by the Detaining Power. A communication on this subject shall be sent immediately to the Protecti</w:t>
      </w:r>
      <w:r w:rsidR="003D2C85">
        <w:t>ng</w:t>
      </w:r>
      <w:r w:rsidRPr="00EF0015">
        <w:t xml:space="preserve"> Power. The evidence of any witnesses shall be taken, and a report including such evidence shall be prepared and forwarded to the said Protecti</w:t>
      </w:r>
      <w:r w:rsidR="003D2C85">
        <w:t>ng</w:t>
      </w:r>
      <w:r w:rsidRPr="00EF0015">
        <w:t xml:space="preserve"> Power. If the enquiry indicates the guilt of one or more persons, the Detaining Power shall take all necessary steps to ensure the prosecution of the person or persons responsible.”</w:t>
      </w:r>
    </w:p>
    <w:p w:rsidRPr="00EF0015" w:rsidR="00536F1E" w:rsidP="00536F1E" w:rsidRDefault="00536F1E">
      <w:pPr>
        <w:pStyle w:val="JuPara"/>
      </w:pPr>
      <w:r w:rsidRPr="00EF0015">
        <w:t>The Geneva Conventions also place an obligation on each High Contracting Party to investigate and prosecute alleged grave breaches of the Conventions, including the wilful killing of protected persons (Articles 49 and 50 of the Geneva Convention</w:t>
      </w:r>
      <w:r w:rsidR="003D2C85">
        <w:t xml:space="preserve"> (I) for the Amelioration of the Condition of the Sick and Wounded in the Field (of 12 August 1949) (“the First Geneva Convention”)</w:t>
      </w:r>
      <w:r w:rsidRPr="00EF0015">
        <w:t>; Articles 50</w:t>
      </w:r>
      <w:r w:rsidR="003D2C85">
        <w:t xml:space="preserve"> </w:t>
      </w:r>
      <w:r w:rsidR="00D574DA">
        <w:t>and</w:t>
      </w:r>
      <w:r w:rsidR="003D2C85">
        <w:t xml:space="preserve"> </w:t>
      </w:r>
      <w:r w:rsidRPr="00EF0015">
        <w:t>51 of the Geneva Convention</w:t>
      </w:r>
      <w:r w:rsidR="003D2C85">
        <w:t xml:space="preserve"> (II) for the Amelioration of the Condition of Wounded, Sick and Shipwrecked Members of Armed Forces at Sea (of 12 August 1949) (“the Second Geneva Convention”)</w:t>
      </w:r>
      <w:r w:rsidRPr="00EF0015">
        <w:t>; Articles 129 and 130 of the Th</w:t>
      </w:r>
      <w:r w:rsidR="003D2C85">
        <w:t xml:space="preserve">ird Geneva Convention; </w:t>
      </w:r>
      <w:r w:rsidR="00D574DA">
        <w:t xml:space="preserve">and </w:t>
      </w:r>
      <w:r w:rsidR="003D2C85">
        <w:t xml:space="preserve">Articles </w:t>
      </w:r>
      <w:r w:rsidRPr="00EF0015">
        <w:t>146 and 147 of the Fourth Geneva Convention).</w:t>
      </w:r>
    </w:p>
    <w:p w:rsidR="00C81668" w:rsidP="00283B02" w:rsidRDefault="00283B02">
      <w:pPr>
        <w:pStyle w:val="JuPara"/>
        <w:rPr>
          <w:lang w:eastAsia="en-GB"/>
        </w:rPr>
      </w:pPr>
      <w:r w:rsidRPr="00EF0015">
        <w:rPr>
          <w:lang w:eastAsia="en-GB"/>
        </w:rPr>
        <w:fldChar w:fldCharType="begin"/>
      </w:r>
      <w:r w:rsidRPr="00EF0015">
        <w:rPr>
          <w:lang w:eastAsia="en-GB"/>
        </w:rPr>
        <w:instrText xml:space="preserve"> SEQ level0 \*arabic </w:instrText>
      </w:r>
      <w:r w:rsidRPr="00EF0015">
        <w:rPr>
          <w:lang w:eastAsia="en-GB"/>
        </w:rPr>
        <w:fldChar w:fldCharType="separate"/>
      </w:r>
      <w:r w:rsidR="00524A6D">
        <w:rPr>
          <w:noProof/>
          <w:lang w:eastAsia="en-GB"/>
        </w:rPr>
        <w:t>93</w:t>
      </w:r>
      <w:r w:rsidRPr="00EF0015">
        <w:rPr>
          <w:lang w:eastAsia="en-GB"/>
        </w:rPr>
        <w:fldChar w:fldCharType="end"/>
      </w:r>
      <w:r w:rsidRPr="00EF0015">
        <w:rPr>
          <w:lang w:eastAsia="en-GB"/>
        </w:rPr>
        <w:t xml:space="preserve">.  In </w:t>
      </w:r>
      <w:r w:rsidR="00D574DA">
        <w:rPr>
          <w:lang w:eastAsia="en-GB"/>
        </w:rPr>
        <w:t>his r</w:t>
      </w:r>
      <w:r w:rsidRPr="00EF0015">
        <w:rPr>
          <w:lang w:eastAsia="en-GB"/>
        </w:rPr>
        <w:t xml:space="preserve">eport </w:t>
      </w:r>
      <w:r w:rsidR="00D574DA">
        <w:rPr>
          <w:lang w:eastAsia="en-GB"/>
        </w:rPr>
        <w:t xml:space="preserve">of 8 March 2006 </w:t>
      </w:r>
      <w:r w:rsidRPr="00EF0015">
        <w:rPr>
          <w:lang w:eastAsia="en-GB"/>
        </w:rPr>
        <w:t xml:space="preserve">on </w:t>
      </w:r>
      <w:r w:rsidR="00D574DA">
        <w:rPr>
          <w:lang w:eastAsia="en-GB"/>
        </w:rPr>
        <w:t>e</w:t>
      </w:r>
      <w:r w:rsidRPr="00EF0015">
        <w:rPr>
          <w:lang w:eastAsia="en-GB"/>
        </w:rPr>
        <w:t xml:space="preserve">xtrajudicial, </w:t>
      </w:r>
      <w:r w:rsidR="00D574DA">
        <w:rPr>
          <w:lang w:eastAsia="en-GB"/>
        </w:rPr>
        <w:t>s</w:t>
      </w:r>
      <w:r w:rsidRPr="00EF0015">
        <w:rPr>
          <w:lang w:eastAsia="en-GB"/>
        </w:rPr>
        <w:t xml:space="preserve">ummary or </w:t>
      </w:r>
      <w:r w:rsidR="00D574DA">
        <w:rPr>
          <w:lang w:eastAsia="en-GB"/>
        </w:rPr>
        <w:t>a</w:t>
      </w:r>
      <w:r w:rsidRPr="00EF0015" w:rsidR="00803370">
        <w:rPr>
          <w:lang w:eastAsia="en-GB"/>
        </w:rPr>
        <w:t xml:space="preserve">rbitrary </w:t>
      </w:r>
      <w:r w:rsidR="00D574DA">
        <w:rPr>
          <w:lang w:eastAsia="en-GB"/>
        </w:rPr>
        <w:t>e</w:t>
      </w:r>
      <w:r w:rsidRPr="00EF0015">
        <w:rPr>
          <w:lang w:eastAsia="en-GB"/>
        </w:rPr>
        <w:t>xecutions (</w:t>
      </w:r>
      <w:r w:rsidRPr="00EF0015" w:rsidR="00D574DA">
        <w:rPr>
          <w:lang w:eastAsia="en-GB"/>
        </w:rPr>
        <w:t>E/CN.4/2006/53</w:t>
      </w:r>
      <w:r w:rsidR="00D574DA">
        <w:rPr>
          <w:lang w:eastAsia="en-GB"/>
        </w:rPr>
        <w:t>),</w:t>
      </w:r>
      <w:r w:rsidRPr="00EF0015">
        <w:rPr>
          <w:lang w:eastAsia="en-GB"/>
        </w:rPr>
        <w:t xml:space="preserve"> the United Nations Special Rapporteur, Philip Alston, observed in connection with the right to life</w:t>
      </w:r>
      <w:r w:rsidRPr="00EF0015" w:rsidR="000E1FE3">
        <w:rPr>
          <w:lang w:eastAsia="en-GB"/>
        </w:rPr>
        <w:t xml:space="preserve"> under Article 6 of the </w:t>
      </w:r>
      <w:r w:rsidRPr="00EF0015" w:rsidR="00F12FE2">
        <w:rPr>
          <w:rStyle w:val="JuQuotChar"/>
          <w:szCs w:val="24"/>
        </w:rPr>
        <w:t>International Covenant on Civil and Political Rights</w:t>
      </w:r>
      <w:r w:rsidRPr="00EF0015">
        <w:rPr>
          <w:lang w:eastAsia="en-GB"/>
        </w:rPr>
        <w:t xml:space="preserve"> in </w:t>
      </w:r>
      <w:r w:rsidRPr="00EF0015" w:rsidR="000E1FE3">
        <w:rPr>
          <w:lang w:eastAsia="en-GB"/>
        </w:rPr>
        <w:t xml:space="preserve">situations of </w:t>
      </w:r>
      <w:r w:rsidRPr="00EF0015">
        <w:rPr>
          <w:lang w:eastAsia="en-GB"/>
        </w:rPr>
        <w:t>armed conflict and occu</w:t>
      </w:r>
      <w:r w:rsidRPr="00EF0015" w:rsidR="000E1FE3">
        <w:rPr>
          <w:lang w:eastAsia="en-GB"/>
        </w:rPr>
        <w:t>pa</w:t>
      </w:r>
      <w:r w:rsidRPr="00EF0015">
        <w:rPr>
          <w:lang w:eastAsia="en-GB"/>
        </w:rPr>
        <w:t>tion (footnotes omitted):</w:t>
      </w:r>
    </w:p>
    <w:p w:rsidRPr="00EF0015" w:rsidR="009F2999" w:rsidP="00E749AD" w:rsidRDefault="00E749AD">
      <w:pPr>
        <w:pStyle w:val="JuQuot"/>
        <w:rPr>
          <w:lang w:eastAsia="en-GB"/>
        </w:rPr>
      </w:pPr>
      <w:r w:rsidRPr="00EF0015">
        <w:rPr>
          <w:lang w:eastAsia="en-GB"/>
        </w:rPr>
        <w:t>“</w:t>
      </w:r>
      <w:r w:rsidRPr="00EF0015" w:rsidR="00283B02">
        <w:rPr>
          <w:lang w:eastAsia="en-GB"/>
        </w:rPr>
        <w:t>36.</w:t>
      </w:r>
      <w:r w:rsidR="00446190">
        <w:rPr>
          <w:lang w:eastAsia="en-GB"/>
        </w:rPr>
        <w:t>  </w:t>
      </w:r>
      <w:r w:rsidRPr="00EF0015" w:rsidR="00283B02">
        <w:rPr>
          <w:lang w:eastAsia="en-GB"/>
        </w:rPr>
        <w:t>Armed conflict and occu</w:t>
      </w:r>
      <w:r w:rsidRPr="00EF0015" w:rsidR="000E1FE3">
        <w:rPr>
          <w:lang w:eastAsia="en-GB"/>
        </w:rPr>
        <w:t>pa</w:t>
      </w:r>
      <w:r w:rsidRPr="00EF0015" w:rsidR="00283B02">
        <w:rPr>
          <w:lang w:eastAsia="en-GB"/>
        </w:rPr>
        <w:t>tion do not discharge the State</w:t>
      </w:r>
      <w:r w:rsidR="008570E8">
        <w:rPr>
          <w:lang w:eastAsia="en-GB"/>
        </w:rPr>
        <w:t>’</w:t>
      </w:r>
      <w:r w:rsidRPr="00EF0015" w:rsidR="00283B02">
        <w:rPr>
          <w:lang w:eastAsia="en-GB"/>
        </w:rPr>
        <w:t>s duty to investigate and prosecute human rights abuses. The right to life is non-derogable regardless of circumstance. This prohibits any practice of not investigating alleged violations during armed conflict or</w:t>
      </w:r>
      <w:r w:rsidRPr="00EF0015">
        <w:rPr>
          <w:lang w:eastAsia="en-GB"/>
        </w:rPr>
        <w:t xml:space="preserve"> </w:t>
      </w:r>
      <w:r w:rsidRPr="00EF0015" w:rsidR="00283B02">
        <w:rPr>
          <w:lang w:eastAsia="en-GB"/>
        </w:rPr>
        <w:t>occu</w:t>
      </w:r>
      <w:r w:rsidRPr="00EF0015" w:rsidR="000E1FE3">
        <w:rPr>
          <w:lang w:eastAsia="en-GB"/>
        </w:rPr>
        <w:t>pa</w:t>
      </w:r>
      <w:r w:rsidRPr="00EF0015" w:rsidR="00283B02">
        <w:rPr>
          <w:lang w:eastAsia="en-GB"/>
        </w:rPr>
        <w:t>tion. As the Hu</w:t>
      </w:r>
      <w:r w:rsidRPr="00EF0015">
        <w:rPr>
          <w:lang w:eastAsia="en-GB"/>
        </w:rPr>
        <w:t xml:space="preserve">man Rights Committee has held, </w:t>
      </w:r>
      <w:r w:rsidR="008570E8">
        <w:rPr>
          <w:lang w:eastAsia="en-GB"/>
        </w:rPr>
        <w:t>‘</w:t>
      </w:r>
      <w:r w:rsidRPr="00EF0015" w:rsidR="00283B02">
        <w:rPr>
          <w:lang w:eastAsia="en-GB"/>
        </w:rPr>
        <w:t>It is inherent in the protection of rights</w:t>
      </w:r>
      <w:r w:rsidRPr="00EF0015">
        <w:rPr>
          <w:lang w:eastAsia="en-GB"/>
        </w:rPr>
        <w:t xml:space="preserve"> </w:t>
      </w:r>
      <w:r w:rsidRPr="00EF0015" w:rsidR="00283B02">
        <w:rPr>
          <w:lang w:eastAsia="en-GB"/>
        </w:rPr>
        <w:t>explicitly recogni</w:t>
      </w:r>
      <w:r w:rsidR="00D574DA">
        <w:rPr>
          <w:lang w:eastAsia="en-GB"/>
        </w:rPr>
        <w:t>s</w:t>
      </w:r>
      <w:r w:rsidRPr="00EF0015" w:rsidR="00283B02">
        <w:rPr>
          <w:lang w:eastAsia="en-GB"/>
        </w:rPr>
        <w:t xml:space="preserve">ed as non-derogable </w:t>
      </w:r>
      <w:r w:rsidR="00E07594">
        <w:rPr>
          <w:lang w:eastAsia="en-GB"/>
        </w:rPr>
        <w:t>...</w:t>
      </w:r>
      <w:r w:rsidRPr="00EF0015" w:rsidR="00283B02">
        <w:rPr>
          <w:lang w:eastAsia="en-GB"/>
        </w:rPr>
        <w:t xml:space="preserve"> that they must be secured by procedural guarantees </w:t>
      </w:r>
      <w:r w:rsidR="00E07594">
        <w:rPr>
          <w:lang w:eastAsia="en-GB"/>
        </w:rPr>
        <w:t>...</w:t>
      </w:r>
      <w:r w:rsidRPr="00EF0015">
        <w:rPr>
          <w:lang w:eastAsia="en-GB"/>
        </w:rPr>
        <w:t xml:space="preserve"> </w:t>
      </w:r>
      <w:r w:rsidRPr="00EF0015" w:rsidR="00283B02">
        <w:rPr>
          <w:lang w:eastAsia="en-GB"/>
        </w:rPr>
        <w:t>The provisions of the [</w:t>
      </w:r>
      <w:r w:rsidRPr="00EF0015" w:rsidR="00F12FE2">
        <w:rPr>
          <w:rStyle w:val="JuQuotChar"/>
          <w:szCs w:val="24"/>
        </w:rPr>
        <w:t>International Covenant on Civil and Political Rights</w:t>
      </w:r>
      <w:r w:rsidRPr="00EF0015" w:rsidR="00283B02">
        <w:rPr>
          <w:lang w:eastAsia="en-GB"/>
        </w:rPr>
        <w:t>] relating to procedural safeguards may never be made subject to</w:t>
      </w:r>
      <w:r w:rsidRPr="00EF0015">
        <w:rPr>
          <w:lang w:eastAsia="en-GB"/>
        </w:rPr>
        <w:t xml:space="preserve"> </w:t>
      </w:r>
      <w:r w:rsidRPr="00EF0015" w:rsidR="00283B02">
        <w:rPr>
          <w:lang w:eastAsia="en-GB"/>
        </w:rPr>
        <w:t>measures that would circumvent the prot</w:t>
      </w:r>
      <w:r w:rsidRPr="00EF0015">
        <w:rPr>
          <w:lang w:eastAsia="en-GB"/>
        </w:rPr>
        <w:t>ection of non-derogable rights</w:t>
      </w:r>
      <w:r w:rsidR="008570E8">
        <w:rPr>
          <w:lang w:eastAsia="en-GB"/>
        </w:rPr>
        <w:t>’</w:t>
      </w:r>
      <w:r w:rsidRPr="00EF0015">
        <w:rPr>
          <w:lang w:eastAsia="en-GB"/>
        </w:rPr>
        <w:t>.</w:t>
      </w:r>
      <w:r w:rsidRPr="00EF0015" w:rsidR="00283B02">
        <w:rPr>
          <w:lang w:eastAsia="en-GB"/>
        </w:rPr>
        <w:t xml:space="preserve"> It is undeniable that</w:t>
      </w:r>
      <w:r w:rsidRPr="00EF0015">
        <w:rPr>
          <w:lang w:eastAsia="en-GB"/>
        </w:rPr>
        <w:t xml:space="preserve"> </w:t>
      </w:r>
      <w:r w:rsidRPr="00EF0015" w:rsidR="00283B02">
        <w:rPr>
          <w:lang w:eastAsia="en-GB"/>
        </w:rPr>
        <w:t>during armed conflicts circumstances will sometimes impede investigation. Such circumstances</w:t>
      </w:r>
      <w:r w:rsidRPr="00EF0015">
        <w:rPr>
          <w:lang w:eastAsia="en-GB"/>
        </w:rPr>
        <w:t xml:space="preserve"> </w:t>
      </w:r>
      <w:r w:rsidRPr="00EF0015" w:rsidR="00283B02">
        <w:rPr>
          <w:lang w:eastAsia="en-GB"/>
        </w:rPr>
        <w:t xml:space="preserve">will never discharge the obligation to investigate </w:t>
      </w:r>
      <w:r w:rsidR="00D574DA">
        <w:rPr>
          <w:lang w:eastAsia="en-GB"/>
        </w:rPr>
        <w:t>–</w:t>
      </w:r>
      <w:r w:rsidRPr="00EF0015" w:rsidR="00283B02">
        <w:rPr>
          <w:lang w:eastAsia="en-GB"/>
        </w:rPr>
        <w:t xml:space="preserve"> this would eviscerate the non-derogable</w:t>
      </w:r>
      <w:r w:rsidRPr="00EF0015">
        <w:rPr>
          <w:lang w:eastAsia="en-GB"/>
        </w:rPr>
        <w:t xml:space="preserve"> </w:t>
      </w:r>
      <w:r w:rsidRPr="00EF0015" w:rsidR="00283B02">
        <w:rPr>
          <w:lang w:eastAsia="en-GB"/>
        </w:rPr>
        <w:t xml:space="preserve">character of the right to life </w:t>
      </w:r>
      <w:r w:rsidR="00D574DA">
        <w:rPr>
          <w:lang w:eastAsia="en-GB"/>
        </w:rPr>
        <w:t>–</w:t>
      </w:r>
      <w:r w:rsidRPr="00EF0015" w:rsidR="00283B02">
        <w:rPr>
          <w:lang w:eastAsia="en-GB"/>
        </w:rPr>
        <w:t xml:space="preserve"> but they may affect the modalities or particulars of the</w:t>
      </w:r>
      <w:r w:rsidRPr="00EF0015">
        <w:rPr>
          <w:lang w:eastAsia="en-GB"/>
        </w:rPr>
        <w:t xml:space="preserve"> </w:t>
      </w:r>
      <w:r w:rsidRPr="00EF0015" w:rsidR="00283B02">
        <w:rPr>
          <w:lang w:eastAsia="en-GB"/>
        </w:rPr>
        <w:t>investigation. In addition to being fully responsible for the conduct of their agents, in relation to</w:t>
      </w:r>
      <w:r w:rsidRPr="00EF0015">
        <w:rPr>
          <w:lang w:eastAsia="en-GB"/>
        </w:rPr>
        <w:t xml:space="preserve"> </w:t>
      </w:r>
      <w:r w:rsidRPr="00EF0015" w:rsidR="00283B02">
        <w:rPr>
          <w:lang w:eastAsia="en-GB"/>
        </w:rPr>
        <w:t>the acts of private actors States are also held to a standard of due diligence in armed conflicts as</w:t>
      </w:r>
      <w:r w:rsidRPr="00EF0015">
        <w:rPr>
          <w:lang w:eastAsia="en-GB"/>
        </w:rPr>
        <w:t xml:space="preserve"> </w:t>
      </w:r>
      <w:r w:rsidRPr="00EF0015" w:rsidR="00283B02">
        <w:rPr>
          <w:lang w:eastAsia="en-GB"/>
        </w:rPr>
        <w:t>well as peace. On a case-by-case basis a State might utili</w:t>
      </w:r>
      <w:r w:rsidR="00D574DA">
        <w:rPr>
          <w:lang w:eastAsia="en-GB"/>
        </w:rPr>
        <w:t>s</w:t>
      </w:r>
      <w:r w:rsidRPr="00EF0015" w:rsidR="00283B02">
        <w:rPr>
          <w:lang w:eastAsia="en-GB"/>
        </w:rPr>
        <w:t>e less effective measures of</w:t>
      </w:r>
      <w:r w:rsidRPr="00EF0015">
        <w:rPr>
          <w:lang w:eastAsia="en-GB"/>
        </w:rPr>
        <w:t xml:space="preserve"> </w:t>
      </w:r>
      <w:r w:rsidRPr="00EF0015" w:rsidR="00283B02">
        <w:rPr>
          <w:lang w:eastAsia="en-GB"/>
        </w:rPr>
        <w:t>investigation in response to concrete constraints. For example, when hostile forces control the</w:t>
      </w:r>
      <w:r w:rsidRPr="00EF0015">
        <w:rPr>
          <w:lang w:eastAsia="en-GB"/>
        </w:rPr>
        <w:t xml:space="preserve"> </w:t>
      </w:r>
      <w:r w:rsidRPr="00EF0015" w:rsidR="00283B02">
        <w:rPr>
          <w:lang w:eastAsia="en-GB"/>
        </w:rPr>
        <w:t>scene of a shooting, conducting an autopsy may prove impossible. Regardless of the</w:t>
      </w:r>
      <w:r w:rsidRPr="00EF0015">
        <w:rPr>
          <w:lang w:eastAsia="en-GB"/>
        </w:rPr>
        <w:t xml:space="preserve"> </w:t>
      </w:r>
      <w:r w:rsidRPr="00EF0015" w:rsidR="00283B02">
        <w:rPr>
          <w:lang w:eastAsia="en-GB"/>
        </w:rPr>
        <w:t>circumstances, however, investigations must always be conducted as effectively as possible and</w:t>
      </w:r>
      <w:r w:rsidRPr="00EF0015">
        <w:rPr>
          <w:lang w:eastAsia="en-GB"/>
        </w:rPr>
        <w:t xml:space="preserve"> </w:t>
      </w:r>
      <w:r w:rsidRPr="00EF0015" w:rsidR="00283B02">
        <w:rPr>
          <w:lang w:eastAsia="en-GB"/>
        </w:rPr>
        <w:t xml:space="preserve">never be reduced to mere formality. </w:t>
      </w:r>
      <w:r w:rsidR="00E07594">
        <w:rPr>
          <w:lang w:eastAsia="en-GB"/>
        </w:rPr>
        <w:t>...</w:t>
      </w:r>
      <w:r w:rsidRPr="00EF0015" w:rsidR="009F2999">
        <w:rPr>
          <w:lang w:eastAsia="en-GB"/>
        </w:rPr>
        <w:t>”</w:t>
      </w:r>
    </w:p>
    <w:p w:rsidRPr="00EF0015" w:rsidR="00536F1E" w:rsidP="009F2999" w:rsidRDefault="00610AFC">
      <w:pPr>
        <w:pStyle w:val="JuPara"/>
        <w:rPr>
          <w:i/>
        </w:rPr>
      </w:pPr>
      <w:r w:rsidRPr="00EF0015">
        <w:fldChar w:fldCharType="begin"/>
      </w:r>
      <w:r w:rsidRPr="00EF0015">
        <w:instrText xml:space="preserve"> SEQ level0 \*arabic </w:instrText>
      </w:r>
      <w:r w:rsidRPr="00EF0015">
        <w:fldChar w:fldCharType="separate"/>
      </w:r>
      <w:r w:rsidR="00524A6D">
        <w:rPr>
          <w:noProof/>
        </w:rPr>
        <w:t>94</w:t>
      </w:r>
      <w:r w:rsidRPr="00EF0015">
        <w:fldChar w:fldCharType="end"/>
      </w:r>
      <w:r w:rsidRPr="00EF0015">
        <w:t xml:space="preserve">.  In its judgment in the </w:t>
      </w:r>
      <w:r w:rsidRPr="00EF0015">
        <w:rPr>
          <w:i/>
        </w:rPr>
        <w:t xml:space="preserve">Case of the </w:t>
      </w:r>
      <w:r w:rsidR="00E61413">
        <w:rPr>
          <w:i/>
        </w:rPr>
        <w:t>“</w:t>
      </w:r>
      <w:r w:rsidRPr="00EF0015">
        <w:rPr>
          <w:i/>
        </w:rPr>
        <w:t>Mapiripán Massacre</w:t>
      </w:r>
      <w:r w:rsidR="00E61413">
        <w:rPr>
          <w:i/>
        </w:rPr>
        <w:t>” v. </w:t>
      </w:r>
      <w:r w:rsidRPr="00EF0015">
        <w:rPr>
          <w:i/>
        </w:rPr>
        <w:t xml:space="preserve">Colombia </w:t>
      </w:r>
      <w:r w:rsidR="00E61413">
        <w:t xml:space="preserve">of </w:t>
      </w:r>
      <w:r w:rsidR="00334356">
        <w:t xml:space="preserve">15 </w:t>
      </w:r>
      <w:r w:rsidRPr="00EF0015">
        <w:t xml:space="preserve">September 2005, the Inter-American Court of Human Rights held, </w:t>
      </w:r>
      <w:r w:rsidRPr="00EF0015">
        <w:rPr>
          <w:i/>
        </w:rPr>
        <w:t>inter alia</w:t>
      </w:r>
      <w:r w:rsidRPr="00D8100E">
        <w:t>,</w:t>
      </w:r>
      <w:r w:rsidRPr="00E61413">
        <w:t xml:space="preserve"> </w:t>
      </w:r>
      <w:r w:rsidRPr="00EF0015">
        <w:t>in connection with the respondent State</w:t>
      </w:r>
      <w:r w:rsidR="008570E8">
        <w:t>’</w:t>
      </w:r>
      <w:r w:rsidRPr="00EF0015">
        <w:t xml:space="preserve">s failure </w:t>
      </w:r>
      <w:r w:rsidRPr="00EF0015" w:rsidR="004D3B65">
        <w:t>ful</w:t>
      </w:r>
      <w:r w:rsidRPr="00EF0015">
        <w:t>ly to investigate the massacre of civilians carried out by a paramilitary group with the alleged assistance of the State authorities:</w:t>
      </w:r>
    </w:p>
    <w:p w:rsidRPr="00EF0015" w:rsidR="00536F1E" w:rsidP="00610AFC" w:rsidRDefault="00536F1E">
      <w:pPr>
        <w:pStyle w:val="JuQuot"/>
      </w:pPr>
      <w:r w:rsidRPr="00EF0015">
        <w:t>“</w:t>
      </w:r>
      <w:r w:rsidRPr="00EF0015" w:rsidR="00610AFC">
        <w:t>238.</w:t>
      </w:r>
      <w:r w:rsidR="00446190">
        <w:t>  </w:t>
      </w:r>
      <w:r w:rsidRPr="00EF0015">
        <w:t>In this regard, the Court recogni</w:t>
      </w:r>
      <w:r w:rsidR="00E61413">
        <w:t>s</w:t>
      </w:r>
      <w:r w:rsidRPr="00EF0015">
        <w:t>es the difficult circumstances of Colombia, where its population and its institutions strive to attain peace</w:t>
      </w:r>
      <w:r w:rsidR="00E61413">
        <w:t>.</w:t>
      </w:r>
      <w:r w:rsidRPr="00EF0015">
        <w:t xml:space="preserve"> However, the country</w:t>
      </w:r>
      <w:r w:rsidR="008570E8">
        <w:t>’</w:t>
      </w:r>
      <w:r w:rsidRPr="00EF0015">
        <w:t>s conditions, no matter how difficult, do not release a State Party to the American Convention of its obligation</w:t>
      </w:r>
      <w:r w:rsidR="009B30E8">
        <w:t>s</w:t>
      </w:r>
      <w:r w:rsidRPr="00EF0015">
        <w:t xml:space="preserve"> set forth in this treaty, which specifically continue in cases such as the instant one. The Court has argued that when the State conducts or tolerates actions leading to extra-legal executions, not investigating them adequately and not punishing those responsible, as appropriate, it breaches the duties to respect rights set forth in the Convention and to ensure their free and full exercise, both by the alleged victim and by his or her next of kin, it does not allow society to learn what happened, and it reproduces the conditions of impunity for this type of facts to happen once again.”</w:t>
      </w:r>
    </w:p>
    <w:p w:rsidRPr="00EF0015" w:rsidR="00F71A6A" w:rsidP="00090C82" w:rsidRDefault="00F71A6A">
      <w:pPr>
        <w:pStyle w:val="JuHHead"/>
      </w:pPr>
      <w:bookmarkStart w:name="_Toc275785582" w:id="97"/>
      <w:bookmarkStart w:name="_Toc289868966" w:id="98"/>
      <w:bookmarkStart w:name="_Toc297210662" w:id="99"/>
      <w:r w:rsidRPr="00EF0015">
        <w:t>THE LAW</w:t>
      </w:r>
      <w:bookmarkEnd w:id="97"/>
      <w:bookmarkEnd w:id="98"/>
      <w:bookmarkEnd w:id="99"/>
    </w:p>
    <w:p w:rsidRPr="00EF0015" w:rsidR="00BC2347" w:rsidP="00BC2347" w:rsidRDefault="00127CF4">
      <w:pPr>
        <w:pStyle w:val="JuHIRoman"/>
      </w:pPr>
      <w:bookmarkStart w:name="_Toc275785583" w:id="100"/>
      <w:bookmarkStart w:name="_Toc289868967" w:id="101"/>
      <w:bookmarkStart w:name="_Toc297210663" w:id="102"/>
      <w:r>
        <w:t>I.  </w:t>
      </w:r>
      <w:r w:rsidRPr="00EF0015" w:rsidR="00BC2347">
        <w:t>ALLEGED VIOLATION OF ARTICLE 2 OF THE CONVENTION</w:t>
      </w:r>
      <w:bookmarkEnd w:id="100"/>
      <w:bookmarkEnd w:id="101"/>
      <w:bookmarkEnd w:id="102"/>
    </w:p>
    <w:p w:rsidR="00C81668" w:rsidP="000017B8" w:rsidRDefault="000017B8">
      <w:pPr>
        <w:pStyle w:val="JuPara"/>
      </w:pPr>
      <w:r w:rsidRPr="00EF0015">
        <w:fldChar w:fldCharType="begin"/>
      </w:r>
      <w:r w:rsidRPr="00EF0015">
        <w:instrText xml:space="preserve"> SEQ level0 \*arabic </w:instrText>
      </w:r>
      <w:r w:rsidRPr="00EF0015">
        <w:fldChar w:fldCharType="separate"/>
      </w:r>
      <w:r w:rsidR="00524A6D">
        <w:rPr>
          <w:noProof/>
        </w:rPr>
        <w:t>95</w:t>
      </w:r>
      <w:r w:rsidRPr="00EF0015">
        <w:fldChar w:fldCharType="end"/>
      </w:r>
      <w:r w:rsidRPr="00EF0015">
        <w:t xml:space="preserve">.  The applicants contended that their relatives </w:t>
      </w:r>
      <w:r w:rsidRPr="00EF0015" w:rsidR="004D3B65">
        <w:t>were</w:t>
      </w:r>
      <w:r w:rsidRPr="00EF0015">
        <w:t xml:space="preserve"> within the jurisdiction of the United Kingdom under Article 1 of the Convention at the moment of death and that</w:t>
      </w:r>
      <w:r w:rsidRPr="00EF0015" w:rsidR="00717087">
        <w:t>, except in relation to the sixth applicant,</w:t>
      </w:r>
      <w:r w:rsidRPr="00EF0015">
        <w:t xml:space="preserve"> the United Kingdom had not complied with its investigative duty under Article</w:t>
      </w:r>
      <w:r w:rsidRPr="00EF0015" w:rsidR="00BC2347">
        <w:t> </w:t>
      </w:r>
      <w:r w:rsidRPr="00EF0015">
        <w:t>2.</w:t>
      </w:r>
    </w:p>
    <w:p w:rsidR="00C81668" w:rsidP="000017B8" w:rsidRDefault="00731DCE">
      <w:pPr>
        <w:pStyle w:val="JuPara"/>
      </w:pPr>
      <w:r w:rsidRPr="00EF0015">
        <w:fldChar w:fldCharType="begin"/>
      </w:r>
      <w:r w:rsidRPr="00EF0015">
        <w:instrText xml:space="preserve"> SEQ level0 \*arabic </w:instrText>
      </w:r>
      <w:r w:rsidRPr="00EF0015">
        <w:fldChar w:fldCharType="separate"/>
      </w:r>
      <w:r w:rsidR="00524A6D">
        <w:rPr>
          <w:noProof/>
        </w:rPr>
        <w:t>96</w:t>
      </w:r>
      <w:r w:rsidRPr="00EF0015">
        <w:fldChar w:fldCharType="end"/>
      </w:r>
      <w:r w:rsidRPr="00EF0015">
        <w:t>.  </w:t>
      </w:r>
      <w:r w:rsidRPr="00EF0015" w:rsidR="000017B8">
        <w:t>The Government accepted that the sixth applicant</w:t>
      </w:r>
      <w:r w:rsidR="008570E8">
        <w:t>’</w:t>
      </w:r>
      <w:r w:rsidRPr="00EF0015" w:rsidR="000017B8">
        <w:t xml:space="preserve">s son had been within United Kingdom jurisdiction but denied that </w:t>
      </w:r>
      <w:r w:rsidRPr="00EF0015">
        <w:t xml:space="preserve">the United Kingdom had jurisdiction over </w:t>
      </w:r>
      <w:r w:rsidRPr="00EF0015" w:rsidR="000017B8">
        <w:t>any of the other deceased</w:t>
      </w:r>
      <w:r w:rsidRPr="00EF0015">
        <w:t>.</w:t>
      </w:r>
      <w:r w:rsidRPr="00EF0015" w:rsidR="000017B8">
        <w:t xml:space="preserve"> </w:t>
      </w:r>
      <w:r w:rsidRPr="00EF0015" w:rsidR="006E2CCB">
        <w:t>They contended that, since the second and third applicants</w:t>
      </w:r>
      <w:r w:rsidR="008570E8">
        <w:t>’</w:t>
      </w:r>
      <w:r w:rsidRPr="00EF0015" w:rsidR="006E2CCB">
        <w:t xml:space="preserve"> relatives had been killed after the adoption of </w:t>
      </w:r>
      <w:r w:rsidRPr="00EF0015" w:rsidR="00F12FE2">
        <w:t xml:space="preserve">United Nations Security Council Resolution </w:t>
      </w:r>
      <w:r w:rsidRPr="00EF0015" w:rsidR="006E2CCB">
        <w:t xml:space="preserve">1511 (see paragraph </w:t>
      </w:r>
      <w:r w:rsidRPr="00EF0015" w:rsidR="00182EE4">
        <w:t>16</w:t>
      </w:r>
      <w:r w:rsidRPr="00EF0015" w:rsidR="006E2CCB">
        <w:t xml:space="preserve"> above), the acts which led to their deaths were attributable to the United Nations and not to the United Kingdom. </w:t>
      </w:r>
      <w:r w:rsidRPr="00EF0015" w:rsidR="000017B8">
        <w:t>In addition, the Government contended that the fifth applicant</w:t>
      </w:r>
      <w:r w:rsidR="008570E8">
        <w:t>’</w:t>
      </w:r>
      <w:r w:rsidRPr="00EF0015" w:rsidR="000017B8">
        <w:t>s case should be declared inadmissible for non-exhaustion of domestic remedies and that the fifth and sixth applicants no longer had victim status.</w:t>
      </w:r>
    </w:p>
    <w:p w:rsidRPr="00EF0015" w:rsidR="00E3657B" w:rsidP="00BC2347" w:rsidRDefault="00BC2347">
      <w:pPr>
        <w:pStyle w:val="JuHAA"/>
      </w:pPr>
      <w:bookmarkStart w:name="_Toc289868968" w:id="103"/>
      <w:bookmarkStart w:name="_Toc297210664" w:id="104"/>
      <w:r w:rsidRPr="00EF0015">
        <w:t>A</w:t>
      </w:r>
      <w:r w:rsidRPr="00EF0015" w:rsidR="00F71A6A">
        <w:t>.  </w:t>
      </w:r>
      <w:r w:rsidRPr="00EF0015" w:rsidR="00E3657B">
        <w:t>A</w:t>
      </w:r>
      <w:r w:rsidRPr="00EF0015">
        <w:t>dmissibility</w:t>
      </w:r>
      <w:bookmarkEnd w:id="103"/>
      <w:bookmarkEnd w:id="104"/>
    </w:p>
    <w:p w:rsidRPr="00EF0015" w:rsidR="006E2CCB" w:rsidP="00BC2347" w:rsidRDefault="00BC2347">
      <w:pPr>
        <w:pStyle w:val="JuH1"/>
        <w:rPr>
          <w:i w:val="0"/>
        </w:rPr>
      </w:pPr>
      <w:bookmarkStart w:name="_Toc275785584" w:id="105"/>
      <w:bookmarkStart w:name="_Toc289765880" w:id="106"/>
      <w:bookmarkStart w:name="_Toc289868969" w:id="107"/>
      <w:bookmarkStart w:name="_Toc297210665" w:id="108"/>
      <w:r w:rsidRPr="00EF0015">
        <w:t>1</w:t>
      </w:r>
      <w:r w:rsidRPr="00EF0015" w:rsidR="006E2CCB">
        <w:t>.</w:t>
      </w:r>
      <w:bookmarkEnd w:id="105"/>
      <w:r w:rsidR="00127CF4">
        <w:t>  </w:t>
      </w:r>
      <w:r w:rsidRPr="00EF0015" w:rsidR="00524FE4">
        <w:t>Attribution</w:t>
      </w:r>
      <w:bookmarkEnd w:id="106"/>
      <w:bookmarkEnd w:id="107"/>
      <w:bookmarkEnd w:id="108"/>
    </w:p>
    <w:p w:rsidRPr="00EF0015" w:rsidR="006E2CCB" w:rsidP="006E2CCB" w:rsidRDefault="006E2CCB">
      <w:pPr>
        <w:pStyle w:val="JuPara"/>
      </w:pPr>
      <w:r w:rsidRPr="00EF0015">
        <w:fldChar w:fldCharType="begin"/>
      </w:r>
      <w:r w:rsidRPr="00EF0015">
        <w:instrText xml:space="preserve"> SEQ level0 \*arabic </w:instrText>
      </w:r>
      <w:r w:rsidRPr="00EF0015">
        <w:fldChar w:fldCharType="separate"/>
      </w:r>
      <w:r w:rsidR="00524A6D">
        <w:rPr>
          <w:noProof/>
        </w:rPr>
        <w:t>97</w:t>
      </w:r>
      <w:r w:rsidRPr="00EF0015">
        <w:fldChar w:fldCharType="end"/>
      </w:r>
      <w:r w:rsidRPr="00EF0015">
        <w:t>.  The Government pointed out that the operations that led to the deaths of the second and third applicants</w:t>
      </w:r>
      <w:r w:rsidR="008570E8">
        <w:t>’</w:t>
      </w:r>
      <w:r w:rsidRPr="00EF0015">
        <w:t xml:space="preserve"> relatives occurred after 16 October 2003, when the </w:t>
      </w:r>
      <w:r w:rsidRPr="00EF0015" w:rsidR="00F12FE2">
        <w:t xml:space="preserve">United Nations Security Council </w:t>
      </w:r>
      <w:r w:rsidRPr="00EF0015">
        <w:t>ado</w:t>
      </w:r>
      <w:r w:rsidR="00C976AF">
        <w:t xml:space="preserve">pted </w:t>
      </w:r>
      <w:r w:rsidR="00974479">
        <w:t>R</w:t>
      </w:r>
      <w:r w:rsidR="00334356">
        <w:t xml:space="preserve">esolution 1511. Paragraph </w:t>
      </w:r>
      <w:r w:rsidRPr="00EF0015">
        <w:t xml:space="preserve">13 of that </w:t>
      </w:r>
      <w:r w:rsidR="00974479">
        <w:t>R</w:t>
      </w:r>
      <w:r w:rsidRPr="00EF0015">
        <w:t xml:space="preserve">esolution authorised a </w:t>
      </w:r>
      <w:r w:rsidRPr="00EF0015" w:rsidR="00DB5662">
        <w:t>Multi</w:t>
      </w:r>
      <w:r w:rsidR="00974479">
        <w:t>n</w:t>
      </w:r>
      <w:r w:rsidRPr="00EF0015" w:rsidR="00DB5662">
        <w:t xml:space="preserve">ational Force </w:t>
      </w:r>
      <w:r w:rsidRPr="00EF0015">
        <w:t xml:space="preserve">to take “all necessary measures to contribute to the maintenance of security and stability in Iraq” (see paragraph </w:t>
      </w:r>
      <w:r w:rsidRPr="00EF0015" w:rsidR="00182EE4">
        <w:t>16</w:t>
      </w:r>
      <w:r w:rsidRPr="00EF0015">
        <w:t xml:space="preserve"> above). It followed that, in conducting the relevant operations in which the second and third applicants</w:t>
      </w:r>
      <w:r w:rsidR="008570E8">
        <w:t>’</w:t>
      </w:r>
      <w:r w:rsidRPr="00EF0015">
        <w:t xml:space="preserve"> relatives were shot, United Kingdom troops were not exercising the sovereign authority of the United Kingdom but the international authority of the </w:t>
      </w:r>
      <w:r w:rsidRPr="00EF0015" w:rsidR="00DB5662">
        <w:t>Multi</w:t>
      </w:r>
      <w:r w:rsidR="00974479">
        <w:t>n</w:t>
      </w:r>
      <w:r w:rsidRPr="00EF0015" w:rsidR="00DB5662">
        <w:t xml:space="preserve">ational Force </w:t>
      </w:r>
      <w:r w:rsidRPr="00EF0015">
        <w:t xml:space="preserve">acting pursuant to the binding decision of the </w:t>
      </w:r>
      <w:r w:rsidRPr="00EF0015" w:rsidR="00F12FE2">
        <w:t>United Nations Security Council</w:t>
      </w:r>
      <w:r w:rsidRPr="00EF0015">
        <w:t>.</w:t>
      </w:r>
    </w:p>
    <w:p w:rsidRPr="00EF0015" w:rsidR="00813BE6" w:rsidP="00813BE6" w:rsidRDefault="00813BE6">
      <w:pPr>
        <w:pStyle w:val="JuPara"/>
        <w:rPr>
          <w:i/>
        </w:rPr>
      </w:pPr>
      <w:r w:rsidRPr="00EF0015">
        <w:fldChar w:fldCharType="begin"/>
      </w:r>
      <w:r w:rsidRPr="00EF0015">
        <w:instrText xml:space="preserve"> SEQ level0 \*arabic </w:instrText>
      </w:r>
      <w:r w:rsidRPr="00EF0015">
        <w:fldChar w:fldCharType="separate"/>
      </w:r>
      <w:r w:rsidR="00524A6D">
        <w:rPr>
          <w:noProof/>
        </w:rPr>
        <w:t>98</w:t>
      </w:r>
      <w:r w:rsidRPr="00EF0015">
        <w:fldChar w:fldCharType="end"/>
      </w:r>
      <w:r w:rsidRPr="00EF0015">
        <w:t xml:space="preserve">.  The applicants stressed that the Government had not raised this argument at any stage during the domestic proceedings. Moreover, an identical argument had been advanced by the Government and rejected by the House of Lords in </w:t>
      </w:r>
      <w:r w:rsidRPr="00EF0015">
        <w:rPr>
          <w:i/>
        </w:rPr>
        <w:t>R</w:t>
      </w:r>
      <w:r w:rsidR="00974479">
        <w:rPr>
          <w:i/>
        </w:rPr>
        <w:t>.</w:t>
      </w:r>
      <w:r w:rsidRPr="00EF0015">
        <w:rPr>
          <w:i/>
        </w:rPr>
        <w:t xml:space="preserve"> (on the application </w:t>
      </w:r>
      <w:r w:rsidR="00C01416">
        <w:rPr>
          <w:i/>
        </w:rPr>
        <w:t>of Al-Jedda) (FC) (Appellant) v</w:t>
      </w:r>
      <w:r w:rsidR="00127CF4">
        <w:rPr>
          <w:i/>
        </w:rPr>
        <w:t>.</w:t>
      </w:r>
      <w:r w:rsidR="00C01416">
        <w:rPr>
          <w:i/>
        </w:rPr>
        <w:t> </w:t>
      </w:r>
      <w:r w:rsidRPr="00EF0015">
        <w:rPr>
          <w:i/>
        </w:rPr>
        <w:t xml:space="preserve">Secretary of State for Defence (Respondent) </w:t>
      </w:r>
      <w:r w:rsidRPr="00EF0015">
        <w:t>[2007] UKHL 58.</w:t>
      </w:r>
    </w:p>
    <w:p w:rsidRPr="00EF0015" w:rsidR="00AD14B4" w:rsidP="00AD14B4" w:rsidRDefault="00AD14B4">
      <w:pPr>
        <w:pStyle w:val="JuPara"/>
        <w:rPr>
          <w:lang w:eastAsia="en-US"/>
        </w:rPr>
      </w:pPr>
      <w:r w:rsidRPr="00EF0015">
        <w:fldChar w:fldCharType="begin"/>
      </w:r>
      <w:r w:rsidRPr="00EF0015">
        <w:instrText xml:space="preserve"> SEQ level0 \*arabic </w:instrText>
      </w:r>
      <w:r w:rsidRPr="00EF0015">
        <w:fldChar w:fldCharType="separate"/>
      </w:r>
      <w:r w:rsidR="00524A6D">
        <w:rPr>
          <w:noProof/>
        </w:rPr>
        <w:t>99</w:t>
      </w:r>
      <w:r w:rsidRPr="00EF0015">
        <w:fldChar w:fldCharType="end"/>
      </w:r>
      <w:r w:rsidRPr="00EF0015">
        <w:t>.  The Court recalls that it is intended to be subsidiary to the national systems safeguarding human rights. It is, therefore, appropriate that the national courts should initially have the opportunity to determine questions of the compatibility of domestic law with the Convention and that, if an application is nonetheless subsequently brought before the Court, it should have the benefit of the views of the national courts, as being in direct and continuous contact with the forces of their countries. It is thus of importance that the arguments put by the Government before the national courts should be on the same lines as those put before this Court. In particular, it is not open to a Government to put to the Court arguments which are inconsistent with the position they adopted before the national courts (</w:t>
      </w:r>
      <w:r w:rsidR="003E6AA1">
        <w:t xml:space="preserve">see </w:t>
      </w:r>
      <w:r w:rsidR="00C01416">
        <w:rPr>
          <w:i/>
          <w:lang w:eastAsia="en-US"/>
        </w:rPr>
        <w:t>A. and Others v. </w:t>
      </w:r>
      <w:r w:rsidRPr="00EF0015">
        <w:rPr>
          <w:i/>
          <w:lang w:eastAsia="en-US"/>
        </w:rPr>
        <w:t>the United Kingdom</w:t>
      </w:r>
      <w:r w:rsidRPr="00EF0015">
        <w:rPr>
          <w:lang w:eastAsia="en-US"/>
        </w:rPr>
        <w:t xml:space="preserve"> [GC], </w:t>
      </w:r>
      <w:r w:rsidRPr="00EF0015">
        <w:rPr>
          <w:snapToGrid w:val="0"/>
          <w:lang w:eastAsia="en-US"/>
        </w:rPr>
        <w:t>no.</w:t>
      </w:r>
      <w:r w:rsidRPr="00EF0015">
        <w:rPr>
          <w:lang w:eastAsia="en-US"/>
        </w:rPr>
        <w:t xml:space="preserve"> 3455/05, § 154, ECHR 2009</w:t>
      </w:r>
      <w:r w:rsidR="00974479">
        <w:rPr>
          <w:lang w:eastAsia="en-US"/>
        </w:rPr>
        <w:t>).</w:t>
      </w:r>
    </w:p>
    <w:p w:rsidRPr="00EF0015" w:rsidR="00AD14B4" w:rsidP="00AD14B4" w:rsidRDefault="00AD14B4">
      <w:pPr>
        <w:pStyle w:val="JuPara"/>
      </w:pPr>
      <w:r w:rsidRPr="00EF0015">
        <w:fldChar w:fldCharType="begin"/>
      </w:r>
      <w:r w:rsidRPr="00EF0015">
        <w:instrText xml:space="preserve"> SEQ level0 \*arabic </w:instrText>
      </w:r>
      <w:r w:rsidRPr="00EF0015">
        <w:fldChar w:fldCharType="separate"/>
      </w:r>
      <w:r w:rsidR="00524A6D">
        <w:rPr>
          <w:noProof/>
        </w:rPr>
        <w:t>100</w:t>
      </w:r>
      <w:r w:rsidRPr="00EF0015">
        <w:fldChar w:fldCharType="end"/>
      </w:r>
      <w:r w:rsidRPr="00EF0015">
        <w:t>.  The Government did not contend before the national courts that any of the killings of the applicants</w:t>
      </w:r>
      <w:r w:rsidR="008570E8">
        <w:t>’</w:t>
      </w:r>
      <w:r w:rsidRPr="00EF0015">
        <w:t xml:space="preserve"> relatives were not attributable to United Kingdom armed forces. The Court considers, therefore, that the Government are estopped from raising this objection in the present proceedings.</w:t>
      </w:r>
    </w:p>
    <w:p w:rsidRPr="00EF0015" w:rsidR="00C778A1" w:rsidP="00BC2347" w:rsidRDefault="00BC2347">
      <w:pPr>
        <w:pStyle w:val="JuH1"/>
        <w:rPr>
          <w:i w:val="0"/>
        </w:rPr>
      </w:pPr>
      <w:bookmarkStart w:name="_Toc275785585" w:id="109"/>
      <w:bookmarkStart w:name="_Toc289765881" w:id="110"/>
      <w:bookmarkStart w:name="_Toc289868970" w:id="111"/>
      <w:bookmarkStart w:name="_Toc297210666" w:id="112"/>
      <w:r w:rsidRPr="00EF0015">
        <w:t>2</w:t>
      </w:r>
      <w:r w:rsidRPr="00EF0015" w:rsidR="00C778A1">
        <w:t>.</w:t>
      </w:r>
      <w:bookmarkEnd w:id="109"/>
      <w:r w:rsidR="00127CF4">
        <w:t>  </w:t>
      </w:r>
      <w:r w:rsidRPr="00EF0015" w:rsidR="00524FE4">
        <w:t>Jurisdiction</w:t>
      </w:r>
      <w:bookmarkEnd w:id="110"/>
      <w:bookmarkEnd w:id="111"/>
      <w:bookmarkEnd w:id="112"/>
    </w:p>
    <w:p w:rsidR="00C81668" w:rsidP="007D5839" w:rsidRDefault="007D5839">
      <w:pPr>
        <w:pStyle w:val="JuPara"/>
      </w:pPr>
      <w:r w:rsidRPr="00EF0015">
        <w:fldChar w:fldCharType="begin"/>
      </w:r>
      <w:r w:rsidRPr="00EF0015">
        <w:instrText xml:space="preserve"> SEQ level0 \*arabic </w:instrText>
      </w:r>
      <w:r w:rsidRPr="00EF0015">
        <w:fldChar w:fldCharType="separate"/>
      </w:r>
      <w:r w:rsidR="00524A6D">
        <w:rPr>
          <w:noProof/>
        </w:rPr>
        <w:t>101</w:t>
      </w:r>
      <w:r w:rsidRPr="00EF0015">
        <w:fldChar w:fldCharType="end"/>
      </w:r>
      <w:r w:rsidRPr="00EF0015">
        <w:t xml:space="preserve">.  The Government further contended that the </w:t>
      </w:r>
      <w:r w:rsidR="009A5FF8">
        <w:t>acts in question took place in s</w:t>
      </w:r>
      <w:r w:rsidRPr="00EF0015">
        <w:t>outhern Iraq and outside the United Kingdom</w:t>
      </w:r>
      <w:r w:rsidR="008570E8">
        <w:t>’</w:t>
      </w:r>
      <w:r w:rsidRPr="00EF0015">
        <w:t>s jurisdiction under Article 1 of the Convention. The sole exception was the killing of the sixth applicant</w:t>
      </w:r>
      <w:r w:rsidR="008570E8">
        <w:t>’</w:t>
      </w:r>
      <w:r w:rsidRPr="00EF0015">
        <w:t>s son, which occurred in a British military prison over which the United Kingdom did have jurisdiction.</w:t>
      </w:r>
    </w:p>
    <w:p w:rsidRPr="00EF0015" w:rsidR="005D033B" w:rsidP="005D033B" w:rsidRDefault="005D033B">
      <w:pPr>
        <w:pStyle w:val="JuPara"/>
      </w:pPr>
      <w:r w:rsidRPr="00EF0015">
        <w:fldChar w:fldCharType="begin"/>
      </w:r>
      <w:r w:rsidRPr="00EF0015">
        <w:instrText xml:space="preserve"> SEQ level0 \*arabic </w:instrText>
      </w:r>
      <w:r w:rsidRPr="00EF0015">
        <w:fldChar w:fldCharType="separate"/>
      </w:r>
      <w:r w:rsidR="00524A6D">
        <w:rPr>
          <w:noProof/>
        </w:rPr>
        <w:t>102</w:t>
      </w:r>
      <w:r w:rsidRPr="00EF0015">
        <w:fldChar w:fldCharType="end"/>
      </w:r>
      <w:r w:rsidRPr="00EF0015">
        <w:t>.  The Court considers that the question whether the applicants</w:t>
      </w:r>
      <w:r w:rsidR="008570E8">
        <w:t>’</w:t>
      </w:r>
      <w:r w:rsidRPr="00EF0015">
        <w:t xml:space="preserve"> cases fall within the juris</w:t>
      </w:r>
      <w:r w:rsidRPr="00EF0015" w:rsidR="00872B97">
        <w:t>diction of the respondent State</w:t>
      </w:r>
      <w:r w:rsidRPr="00EF0015">
        <w:t xml:space="preserve"> is closely linked to the merits of their complaints. It therefore joins this preliminary question to the merits.</w:t>
      </w:r>
    </w:p>
    <w:p w:rsidRPr="00EF0015" w:rsidR="007D5839" w:rsidP="00BC2347" w:rsidRDefault="00BC2347">
      <w:pPr>
        <w:pStyle w:val="JuH1"/>
      </w:pPr>
      <w:bookmarkStart w:name="_Toc275785586" w:id="113"/>
      <w:bookmarkStart w:name="_Toc289765882" w:id="114"/>
      <w:bookmarkStart w:name="_Toc289868971" w:id="115"/>
      <w:bookmarkStart w:name="_Toc297210667" w:id="116"/>
      <w:r w:rsidRPr="00EF0015">
        <w:t>3</w:t>
      </w:r>
      <w:r w:rsidR="00127CF4">
        <w:t>.  </w:t>
      </w:r>
      <w:r w:rsidRPr="00EF0015" w:rsidR="007D5839">
        <w:t>Exhaustion of domestic remedies</w:t>
      </w:r>
      <w:bookmarkEnd w:id="113"/>
      <w:bookmarkEnd w:id="114"/>
      <w:bookmarkEnd w:id="115"/>
      <w:bookmarkEnd w:id="116"/>
    </w:p>
    <w:p w:rsidRPr="00EF0015" w:rsidR="007D5839" w:rsidP="007D5839" w:rsidRDefault="007D5839">
      <w:pPr>
        <w:pStyle w:val="JuPara"/>
      </w:pPr>
      <w:r w:rsidRPr="00EF0015">
        <w:fldChar w:fldCharType="begin"/>
      </w:r>
      <w:r w:rsidRPr="00EF0015">
        <w:instrText xml:space="preserve"> SEQ level0 \*arabic </w:instrText>
      </w:r>
      <w:r w:rsidRPr="00EF0015">
        <w:fldChar w:fldCharType="separate"/>
      </w:r>
      <w:r w:rsidR="00524A6D">
        <w:rPr>
          <w:noProof/>
        </w:rPr>
        <w:t>103</w:t>
      </w:r>
      <w:r w:rsidRPr="00EF0015">
        <w:fldChar w:fldCharType="end"/>
      </w:r>
      <w:r w:rsidRPr="00EF0015">
        <w:t>.  The Government contended that the fifth applicant</w:t>
      </w:r>
      <w:r w:rsidR="008570E8">
        <w:t>’</w:t>
      </w:r>
      <w:r w:rsidRPr="00EF0015">
        <w:t xml:space="preserve">s case should be declared inadmissible for non-exhaustion of domestic remedies. They pointed out that although he brought judicial review proceedings alleging breaches of his substantive and procedural rights under Articles 2 and 3, his claim was stayed pending resolution of the six test cases (see paragraph </w:t>
      </w:r>
      <w:r w:rsidRPr="00EF0015" w:rsidR="000A4CE2">
        <w:t>7</w:t>
      </w:r>
      <w:r w:rsidR="009A5844">
        <w:t>3</w:t>
      </w:r>
      <w:r w:rsidRPr="00EF0015">
        <w:t xml:space="preserve"> above). After those claims had been resolved, it would have been open to the applicant to apply to the </w:t>
      </w:r>
      <w:r w:rsidR="002E6BC4">
        <w:t xml:space="preserve">Divisional </w:t>
      </w:r>
      <w:r w:rsidRPr="00EF0015">
        <w:t>Court to lift the stay, but he did not do so. His case was not a shooting incident, and the domestic courts had not had the opportunity to consider the facts relevant to his claims that his son was within the jurisdiction of the United Kingdom and that there had been a breach of the procedural obligation.</w:t>
      </w:r>
    </w:p>
    <w:p w:rsidR="00C81668" w:rsidP="007D5839" w:rsidRDefault="007D5839">
      <w:pPr>
        <w:pStyle w:val="JuPara"/>
      </w:pPr>
      <w:r w:rsidRPr="00EF0015">
        <w:fldChar w:fldCharType="begin"/>
      </w:r>
      <w:r w:rsidRPr="00EF0015">
        <w:instrText xml:space="preserve"> SEQ level0 \*arabic </w:instrText>
      </w:r>
      <w:r w:rsidRPr="00EF0015">
        <w:fldChar w:fldCharType="separate"/>
      </w:r>
      <w:r w:rsidR="00524A6D">
        <w:rPr>
          <w:noProof/>
        </w:rPr>
        <w:t>104</w:t>
      </w:r>
      <w:r w:rsidRPr="00EF0015">
        <w:fldChar w:fldCharType="end"/>
      </w:r>
      <w:r w:rsidRPr="00EF0015">
        <w:t>.  The applicants invited the Cou</w:t>
      </w:r>
      <w:r w:rsidR="00127CF4">
        <w:t xml:space="preserve">rt to reject this submission. A </w:t>
      </w:r>
      <w:r w:rsidRPr="00EF0015">
        <w:t>judicial</w:t>
      </w:r>
      <w:r w:rsidR="00935A4F">
        <w:t>-</w:t>
      </w:r>
      <w:r w:rsidRPr="00EF0015">
        <w:t xml:space="preserve">review claim had been lodged </w:t>
      </w:r>
      <w:r w:rsidR="00127CF4">
        <w:t xml:space="preserve">by the fifth applicant on 5 May </w:t>
      </w:r>
      <w:r w:rsidRPr="00EF0015">
        <w:t>2004. It was, by agreement, stayed pending the outcome o</w:t>
      </w:r>
      <w:r w:rsidR="00127CF4">
        <w:t xml:space="preserve">f the six </w:t>
      </w:r>
      <w:r w:rsidRPr="00EF0015">
        <w:t xml:space="preserve">test cases (see paragraph </w:t>
      </w:r>
      <w:r w:rsidR="009A5844">
        <w:t>73</w:t>
      </w:r>
      <w:r w:rsidRPr="00EF0015">
        <w:t xml:space="preserve"> above). The fifth applicant would have had no reasonable prospects of success if, after the House of Lords gave judgment in </w:t>
      </w:r>
      <w:r w:rsidRPr="00EF0015">
        <w:rPr>
          <w:i/>
        </w:rPr>
        <w:t>Al-Skeini</w:t>
      </w:r>
      <w:r w:rsidR="00935A4F">
        <w:rPr>
          <w:i/>
        </w:rPr>
        <w:t xml:space="preserve"> and Others (Respondents) v. Secretary of State for Defence (Appellant) Al-Skeini and Others (Appellants) v. Secretary of State for Defence (Respondent) (Consolidated Appeals) </w:t>
      </w:r>
      <w:r w:rsidR="00935A4F">
        <w:t>[2007] UKHL 26</w:t>
      </w:r>
      <w:r w:rsidRPr="00EF0015">
        <w:t>, he had sought to revive and pursue his stayed judicial</w:t>
      </w:r>
      <w:r w:rsidR="00773E8B">
        <w:t>-</w:t>
      </w:r>
      <w:r w:rsidRPr="00EF0015">
        <w:t>review claim. The lower courts would have been bound by the House of Lords</w:t>
      </w:r>
      <w:r w:rsidR="008570E8">
        <w:t>’</w:t>
      </w:r>
      <w:r w:rsidRPr="00EF0015">
        <w:t xml:space="preserve"> interpretation of Article 1 and would have applied it so as to find that the applicant</w:t>
      </w:r>
      <w:r w:rsidR="008570E8">
        <w:t>’</w:t>
      </w:r>
      <w:r w:rsidRPr="00EF0015">
        <w:t>s deceased son had not been within United Kingdom jurisdiction.</w:t>
      </w:r>
    </w:p>
    <w:p w:rsidRPr="00EF0015" w:rsidR="007D5839" w:rsidP="007D5839" w:rsidRDefault="007D5839">
      <w:pPr>
        <w:pStyle w:val="JuPara"/>
      </w:pPr>
      <w:r w:rsidRPr="00EF0015">
        <w:fldChar w:fldCharType="begin"/>
      </w:r>
      <w:r w:rsidRPr="00EF0015">
        <w:instrText xml:space="preserve"> SEQ level0 \*arabic </w:instrText>
      </w:r>
      <w:r w:rsidRPr="00EF0015">
        <w:fldChar w:fldCharType="separate"/>
      </w:r>
      <w:r w:rsidR="00524A6D">
        <w:rPr>
          <w:noProof/>
        </w:rPr>
        <w:t>105</w:t>
      </w:r>
      <w:r w:rsidRPr="00EF0015">
        <w:fldChar w:fldCharType="end"/>
      </w:r>
      <w:r w:rsidRPr="00EF0015">
        <w:t xml:space="preserve">.  The Court observes that, according to the fifth applicant, his son died when, having been arrested by United Kingdom soldiers on suspicion of looting, he was driven in an army vehicle to the river and forced to jump in. His case is, therefore, distinguishable on its alleged facts from those of the first, second and fourth applicants, whose relatives were shot by British soldiers; the third applicant, whose wife was shot during exchange of fire between British troops and unknown gunmen; and the sixth applicant, whose son was killed while detained in a British military detention facility. It is true that the House of Lords in the </w:t>
      </w:r>
      <w:r w:rsidRPr="00EF0015">
        <w:rPr>
          <w:i/>
        </w:rPr>
        <w:t xml:space="preserve">Al-Skeini </w:t>
      </w:r>
      <w:r w:rsidRPr="00EF0015">
        <w:t>proceedings did not have before it a case similar to the fifth applicant</w:t>
      </w:r>
      <w:r w:rsidR="008570E8">
        <w:t>’</w:t>
      </w:r>
      <w:r w:rsidRPr="00EF0015">
        <w:t>s, where an Iraqi civilian met his death having been taken into British military custody, but without being detained in a military prison. Nonetheless, the Court considers that the applicants are correct in their assessment that the fifth applicant would have had no prospects of success had he subsequently sought to pursue his judicial</w:t>
      </w:r>
      <w:r w:rsidR="00773E8B">
        <w:t>-</w:t>
      </w:r>
      <w:r w:rsidRPr="00EF0015">
        <w:t>review application in the domestic courts. Lord Brown, with whom the majority of the House of Lords agreed, made it clear that he preferred the approach to jurisdiction in the sixth applicant</w:t>
      </w:r>
      <w:r w:rsidR="008570E8">
        <w:t>’</w:t>
      </w:r>
      <w:r w:rsidRPr="00EF0015">
        <w:t>s case taken by the Divisional Court, namely that jurisdiction arose in respect of Baha Mousa only because he died while detained in</w:t>
      </w:r>
      <w:r w:rsidR="00127CF4">
        <w:t xml:space="preserve"> a British military prison (see </w:t>
      </w:r>
      <w:r w:rsidR="00334356">
        <w:t xml:space="preserve">paragraph </w:t>
      </w:r>
      <w:r w:rsidR="009A5844">
        <w:t>88</w:t>
      </w:r>
      <w:r w:rsidRPr="00EF0015">
        <w:t xml:space="preserve"> above). In these circumstances, the Court does not consider that the fifth applicant can be criticised for failing to attempt to revive his claim before the Divisional Court. It follows that the Government</w:t>
      </w:r>
      <w:r w:rsidR="008570E8">
        <w:t>’</w:t>
      </w:r>
      <w:r w:rsidRPr="00EF0015">
        <w:t>s preliminary objection based on non-exhaustion of domestic remedies must be rejected.</w:t>
      </w:r>
    </w:p>
    <w:p w:rsidRPr="00EF0015" w:rsidR="005D033B" w:rsidP="00BC2347" w:rsidRDefault="00BC2347">
      <w:pPr>
        <w:pStyle w:val="JuH1"/>
      </w:pPr>
      <w:bookmarkStart w:name="_Toc275785587" w:id="117"/>
      <w:bookmarkStart w:name="_Toc289765883" w:id="118"/>
      <w:bookmarkStart w:name="_Toc289868972" w:id="119"/>
      <w:bookmarkStart w:name="_Toc297210668" w:id="120"/>
      <w:r w:rsidRPr="00EF0015">
        <w:t>4</w:t>
      </w:r>
      <w:r w:rsidR="00127CF4">
        <w:t>.  </w:t>
      </w:r>
      <w:r w:rsidRPr="00EF0015" w:rsidR="007D5839">
        <w:t>Victim status</w:t>
      </w:r>
      <w:bookmarkEnd w:id="117"/>
      <w:bookmarkEnd w:id="118"/>
      <w:bookmarkEnd w:id="119"/>
      <w:bookmarkEnd w:id="120"/>
    </w:p>
    <w:p w:rsidRPr="00EF0015" w:rsidR="007D5839" w:rsidP="007D5839" w:rsidRDefault="007D5839">
      <w:pPr>
        <w:pStyle w:val="JuPara"/>
      </w:pPr>
      <w:r w:rsidRPr="00EF0015">
        <w:fldChar w:fldCharType="begin"/>
      </w:r>
      <w:r w:rsidRPr="00EF0015">
        <w:instrText xml:space="preserve"> SEQ level0 \*arabic </w:instrText>
      </w:r>
      <w:r w:rsidRPr="00EF0015">
        <w:fldChar w:fldCharType="separate"/>
      </w:r>
      <w:r w:rsidR="00524A6D">
        <w:rPr>
          <w:noProof/>
        </w:rPr>
        <w:t>106</w:t>
      </w:r>
      <w:r w:rsidRPr="00EF0015">
        <w:fldChar w:fldCharType="end"/>
      </w:r>
      <w:r w:rsidRPr="00EF0015">
        <w:t xml:space="preserve">.  The Government submitted that </w:t>
      </w:r>
      <w:r w:rsidRPr="00EF0015" w:rsidR="00AE5D42">
        <w:t xml:space="preserve">the fifth and sixth applicants could no longer claim to be victims of any violations of their rights under Article 2, since </w:t>
      </w:r>
      <w:r w:rsidR="002E6BC4">
        <w:t xml:space="preserve">the </w:t>
      </w:r>
      <w:r w:rsidRPr="00EF0015" w:rsidR="00AE5D42">
        <w:t>death of each of their sons had been fully investigated by the national authorities and compensation paid to the applicants.</w:t>
      </w:r>
    </w:p>
    <w:p w:rsidR="00C81668" w:rsidP="00EE2D5E" w:rsidRDefault="00F15EE0">
      <w:pPr>
        <w:pStyle w:val="JuPara"/>
      </w:pPr>
      <w:r w:rsidRPr="00EF0015">
        <w:fldChar w:fldCharType="begin"/>
      </w:r>
      <w:r w:rsidRPr="00EF0015">
        <w:instrText xml:space="preserve"> SEQ level0 \*arabic </w:instrText>
      </w:r>
      <w:r w:rsidRPr="00EF0015">
        <w:fldChar w:fldCharType="separate"/>
      </w:r>
      <w:r w:rsidR="00524A6D">
        <w:rPr>
          <w:noProof/>
        </w:rPr>
        <w:t>107</w:t>
      </w:r>
      <w:r w:rsidRPr="00EF0015">
        <w:fldChar w:fldCharType="end"/>
      </w:r>
      <w:r w:rsidRPr="00EF0015">
        <w:t xml:space="preserve">.  The Court considers that this question </w:t>
      </w:r>
      <w:r w:rsidR="00773E8B">
        <w:t xml:space="preserve">is </w:t>
      </w:r>
      <w:r w:rsidRPr="00EF0015">
        <w:t>also closely linked and should be joined to the merits</w:t>
      </w:r>
      <w:r w:rsidRPr="00EF0015" w:rsidR="00AE5D42">
        <w:t xml:space="preserve"> of the complaint under Article 2</w:t>
      </w:r>
      <w:r w:rsidRPr="00EF0015">
        <w:t>.</w:t>
      </w:r>
    </w:p>
    <w:p w:rsidRPr="00EF0015" w:rsidR="003F1C44" w:rsidP="003F1C44" w:rsidRDefault="00127CF4">
      <w:pPr>
        <w:pStyle w:val="JuH1"/>
      </w:pPr>
      <w:bookmarkStart w:name="_Toc289765884" w:id="121"/>
      <w:bookmarkStart w:name="_Toc289868973" w:id="122"/>
      <w:bookmarkStart w:name="_Toc297210669" w:id="123"/>
      <w:r>
        <w:t>5.  </w:t>
      </w:r>
      <w:r w:rsidRPr="00EF0015" w:rsidR="003F1C44">
        <w:t>Conclusion on admissibility</w:t>
      </w:r>
      <w:bookmarkEnd w:id="121"/>
      <w:bookmarkEnd w:id="122"/>
      <w:bookmarkEnd w:id="123"/>
    </w:p>
    <w:p w:rsidRPr="00EF0015" w:rsidR="003F1C44" w:rsidP="003F1C44" w:rsidRDefault="001B57A1">
      <w:pPr>
        <w:pStyle w:val="JuPara"/>
      </w:pPr>
      <w:r w:rsidRPr="00EF0015">
        <w:fldChar w:fldCharType="begin"/>
      </w:r>
      <w:r w:rsidRPr="00EF0015">
        <w:instrText xml:space="preserve"> SEQ level0 \*arabic </w:instrText>
      </w:r>
      <w:r w:rsidRPr="00EF0015">
        <w:fldChar w:fldCharType="separate"/>
      </w:r>
      <w:r w:rsidR="00524A6D">
        <w:rPr>
          <w:noProof/>
        </w:rPr>
        <w:t>108</w:t>
      </w:r>
      <w:r w:rsidRPr="00EF0015">
        <w:fldChar w:fldCharType="end"/>
      </w:r>
      <w:r w:rsidRPr="00EF0015">
        <w:t>.  The Court considers that the application raises serious questions of fact and law which are of such complexity that their determination should depend on an examination on the merits. It cannot, therefore, be considered manifestly ill-founded within the meaning of Article 35 § 3 of the Convention, and no other ground for declaring it inadmissible has been established.</w:t>
      </w:r>
      <w:r w:rsidR="009405E2">
        <w:t xml:space="preserve"> It must therefore be declared admissible.</w:t>
      </w:r>
    </w:p>
    <w:p w:rsidRPr="00EF0015" w:rsidR="00BC2347" w:rsidP="005D033B" w:rsidRDefault="00127CF4">
      <w:pPr>
        <w:pStyle w:val="JuHAA"/>
      </w:pPr>
      <w:bookmarkStart w:name="_Toc289868974" w:id="124"/>
      <w:bookmarkStart w:name="_Toc297210670" w:id="125"/>
      <w:r>
        <w:t>B.  </w:t>
      </w:r>
      <w:r w:rsidR="00161782">
        <w:t>M</w:t>
      </w:r>
      <w:r w:rsidRPr="00EF0015" w:rsidR="00BC2347">
        <w:t>erits</w:t>
      </w:r>
      <w:bookmarkEnd w:id="124"/>
      <w:bookmarkEnd w:id="125"/>
    </w:p>
    <w:p w:rsidR="00C81668" w:rsidP="00BC2347" w:rsidRDefault="00BC2347">
      <w:pPr>
        <w:pStyle w:val="JuH1"/>
      </w:pPr>
      <w:bookmarkStart w:name="_Toc275785588" w:id="126"/>
      <w:bookmarkStart w:name="_Toc289868975" w:id="127"/>
      <w:bookmarkStart w:name="_Toc297210671" w:id="128"/>
      <w:r w:rsidRPr="00EF0015">
        <w:t>1</w:t>
      </w:r>
      <w:r w:rsidR="00127CF4">
        <w:t>.  </w:t>
      </w:r>
      <w:r w:rsidRPr="00EF0015">
        <w:t>Jurisdiction</w:t>
      </w:r>
      <w:bookmarkEnd w:id="126"/>
      <w:bookmarkEnd w:id="127"/>
      <w:bookmarkEnd w:id="128"/>
    </w:p>
    <w:p w:rsidRPr="00EF0015" w:rsidR="00042F6D" w:rsidP="00BC2347" w:rsidRDefault="00127CF4">
      <w:pPr>
        <w:pStyle w:val="JuHa"/>
      </w:pPr>
      <w:bookmarkStart w:name="_Toc275785589" w:id="129"/>
      <w:bookmarkStart w:name="_Toc289765887" w:id="130"/>
      <w:bookmarkStart w:name="_Toc289868976" w:id="131"/>
      <w:r>
        <w:t>(</w:t>
      </w:r>
      <w:r w:rsidRPr="00EF0015" w:rsidR="00BC2347">
        <w:t>a</w:t>
      </w:r>
      <w:r>
        <w:t>)  </w:t>
      </w:r>
      <w:r w:rsidRPr="00EF0015" w:rsidR="00042F6D">
        <w:t>The parties</w:t>
      </w:r>
      <w:r w:rsidR="008570E8">
        <w:t>’</w:t>
      </w:r>
      <w:r w:rsidRPr="00EF0015" w:rsidR="00042F6D">
        <w:t xml:space="preserve"> </w:t>
      </w:r>
      <w:bookmarkEnd w:id="129"/>
      <w:bookmarkEnd w:id="130"/>
      <w:bookmarkEnd w:id="131"/>
      <w:r w:rsidR="00E15FF5">
        <w:t>submissions</w:t>
      </w:r>
    </w:p>
    <w:p w:rsidRPr="00EF0015" w:rsidR="00CB00CD" w:rsidP="00BC2347" w:rsidRDefault="00127CF4">
      <w:pPr>
        <w:pStyle w:val="JuHi"/>
      </w:pPr>
      <w:bookmarkStart w:name="_Toc275785590" w:id="132"/>
      <w:bookmarkStart w:name="_Toc289765888" w:id="133"/>
      <w:bookmarkStart w:name="_Toc289868977" w:id="134"/>
      <w:r>
        <w:t>(</w:t>
      </w:r>
      <w:r w:rsidRPr="00EF0015" w:rsidR="00BC2347">
        <w:t>i</w:t>
      </w:r>
      <w:r>
        <w:t>)  </w:t>
      </w:r>
      <w:r w:rsidRPr="00EF0015" w:rsidR="00CB00CD">
        <w:t>The Government</w:t>
      </w:r>
      <w:bookmarkEnd w:id="132"/>
      <w:bookmarkEnd w:id="133"/>
      <w:bookmarkEnd w:id="134"/>
    </w:p>
    <w:p w:rsidRPr="00EF0015" w:rsidR="00840913" w:rsidP="00840913" w:rsidRDefault="00840913">
      <w:pPr>
        <w:pStyle w:val="JuPara"/>
      </w:pPr>
      <w:r w:rsidRPr="00EF0015">
        <w:fldChar w:fldCharType="begin"/>
      </w:r>
      <w:r w:rsidRPr="00EF0015">
        <w:instrText xml:space="preserve"> SEQ level0 \*arabic </w:instrText>
      </w:r>
      <w:r w:rsidRPr="00EF0015">
        <w:fldChar w:fldCharType="separate"/>
      </w:r>
      <w:r w:rsidR="00524A6D">
        <w:rPr>
          <w:noProof/>
        </w:rPr>
        <w:t>109</w:t>
      </w:r>
      <w:r w:rsidRPr="00EF0015">
        <w:fldChar w:fldCharType="end"/>
      </w:r>
      <w:r w:rsidRPr="00EF0015">
        <w:t>.  </w:t>
      </w:r>
      <w:r w:rsidRPr="00EF0015" w:rsidR="009428C7">
        <w:t xml:space="preserve">The Government submitted that the leading authority on the concept of “jurisdiction” </w:t>
      </w:r>
      <w:r w:rsidR="00773E8B">
        <w:t>within the meaning of</w:t>
      </w:r>
      <w:r w:rsidRPr="00EF0015" w:rsidR="009428C7">
        <w:t xml:space="preserve"> Article 1 of the Convention was the Court</w:t>
      </w:r>
      <w:r w:rsidR="008570E8">
        <w:t>’</w:t>
      </w:r>
      <w:r w:rsidRPr="00EF0015" w:rsidR="009428C7">
        <w:t xml:space="preserve">s decision in </w:t>
      </w:r>
      <w:r w:rsidR="00DE504F">
        <w:rPr>
          <w:i/>
        </w:rPr>
        <w:t>Banković</w:t>
      </w:r>
      <w:r w:rsidR="00035A69">
        <w:rPr>
          <w:i/>
        </w:rPr>
        <w:t xml:space="preserve"> and Others</w:t>
      </w:r>
      <w:r w:rsidR="00773E8B">
        <w:t xml:space="preserve"> (cited above).</w:t>
      </w:r>
      <w:r w:rsidRPr="00EF0015" w:rsidR="002E6288">
        <w:t xml:space="preserve"> </w:t>
      </w:r>
      <w:r w:rsidRPr="00EF0015" w:rsidR="002E6288">
        <w:rPr>
          <w:i/>
        </w:rPr>
        <w:t>Banković</w:t>
      </w:r>
      <w:r w:rsidR="00035A69">
        <w:rPr>
          <w:i/>
        </w:rPr>
        <w:t xml:space="preserve"> and Others</w:t>
      </w:r>
      <w:r w:rsidRPr="00EF0015" w:rsidR="002E6288">
        <w:rPr>
          <w:i/>
        </w:rPr>
        <w:t xml:space="preserve"> </w:t>
      </w:r>
      <w:r w:rsidRPr="00EF0015" w:rsidR="002E6288">
        <w:t>established that the fact that an individual had been affected by an act committed by a Contracting State or its agents was not sufficient to establish that he was within that State</w:t>
      </w:r>
      <w:r w:rsidR="008570E8">
        <w:t>’</w:t>
      </w:r>
      <w:r w:rsidRPr="00EF0015" w:rsidR="002E6288">
        <w:t>s jurisdiction</w:t>
      </w:r>
      <w:r w:rsidRPr="00EF0015" w:rsidR="00894BD1">
        <w:t xml:space="preserve">. </w:t>
      </w:r>
      <w:r w:rsidRPr="00EF0015" w:rsidR="00E11A71">
        <w:t xml:space="preserve">Jurisdiction under </w:t>
      </w:r>
      <w:r w:rsidRPr="00EF0015" w:rsidR="002E6288">
        <w:t>Article 1</w:t>
      </w:r>
      <w:r w:rsidRPr="00EF0015" w:rsidR="00E11A71">
        <w:t xml:space="preserve"> was “primarily” or “essentially” territorial</w:t>
      </w:r>
      <w:r w:rsidRPr="00EF0015" w:rsidR="007C1BBD">
        <w:t xml:space="preserve"> and any extension of jurisdiction outside the territory of the Contracting State was “exceptional” and required “special justification in the particular circumstances of each case”.</w:t>
      </w:r>
      <w:r w:rsidRPr="00EF0015" w:rsidR="0054492D">
        <w:t xml:space="preserve"> </w:t>
      </w:r>
      <w:r w:rsidRPr="00EF0015" w:rsidR="009A64E8">
        <w:t xml:space="preserve">The Court had held in </w:t>
      </w:r>
      <w:r w:rsidRPr="00EF0015" w:rsidR="009A64E8">
        <w:rPr>
          <w:i/>
        </w:rPr>
        <w:t>Banković</w:t>
      </w:r>
      <w:r w:rsidR="00035A69">
        <w:rPr>
          <w:i/>
        </w:rPr>
        <w:t xml:space="preserve"> and Others</w:t>
      </w:r>
      <w:r w:rsidRPr="00EF0015" w:rsidR="009A64E8">
        <w:t xml:space="preserve"> that the Convention rights could not be “divided and tailored”</w:t>
      </w:r>
      <w:r w:rsidRPr="00EF0015" w:rsidR="005025CA">
        <w:t>. W</w:t>
      </w:r>
      <w:r w:rsidRPr="00EF0015" w:rsidR="009A64E8">
        <w:t>i</w:t>
      </w:r>
      <w:r w:rsidRPr="00EF0015" w:rsidR="002A64B0">
        <w:t xml:space="preserve">thin its jurisdiction, a Contracting State was under an obligation to secure all the Convention rights and freedoms. </w:t>
      </w:r>
      <w:r w:rsidRPr="00EF0015" w:rsidR="009A64E8">
        <w:t>The Court</w:t>
      </w:r>
      <w:r w:rsidR="003C3473">
        <w:t xml:space="preserve"> had</w:t>
      </w:r>
      <w:r w:rsidRPr="00EF0015" w:rsidR="009A64E8">
        <w:t xml:space="preserve"> also held in </w:t>
      </w:r>
      <w:r w:rsidRPr="00EF0015" w:rsidR="009A64E8">
        <w:rPr>
          <w:i/>
        </w:rPr>
        <w:t>Banković</w:t>
      </w:r>
      <w:r w:rsidR="00035A69">
        <w:rPr>
          <w:i/>
        </w:rPr>
        <w:t xml:space="preserve"> and Others</w:t>
      </w:r>
      <w:r w:rsidRPr="00EF0015" w:rsidR="009A64E8">
        <w:rPr>
          <w:i/>
        </w:rPr>
        <w:t xml:space="preserve"> </w:t>
      </w:r>
      <w:r w:rsidRPr="00EF0015" w:rsidR="00524FE4">
        <w:t>that the Convention was “</w:t>
      </w:r>
      <w:r w:rsidRPr="00EF0015" w:rsidR="005025CA">
        <w:t>an instrument of European public order” and</w:t>
      </w:r>
      <w:r w:rsidRPr="00EF0015" w:rsidR="00524FE4">
        <w:t xml:space="preserve"> </w:t>
      </w:r>
      <w:r w:rsidRPr="00EF0015" w:rsidR="005025CA">
        <w:t>“</w:t>
      </w:r>
      <w:r w:rsidR="00127CF4">
        <w:t xml:space="preserve">a </w:t>
      </w:r>
      <w:r w:rsidR="00C01416">
        <w:t>multi</w:t>
      </w:r>
      <w:r w:rsidRPr="00EF0015" w:rsidR="00524FE4">
        <w:t>lateral treaty operating, subject to Arti</w:t>
      </w:r>
      <w:r w:rsidRPr="00EF0015" w:rsidR="00C809DB">
        <w:t>cle 56 of the Convention, in an essentially regional context and notably in the legal space (</w:t>
      </w:r>
      <w:r w:rsidR="00EF101C">
        <w:rPr>
          <w:i/>
        </w:rPr>
        <w:t>e</w:t>
      </w:r>
      <w:r w:rsidRPr="00EF0015" w:rsidR="00C809DB">
        <w:rPr>
          <w:i/>
        </w:rPr>
        <w:t>space juridique</w:t>
      </w:r>
      <w:r w:rsidRPr="00EF0015" w:rsidR="00C809DB">
        <w:t xml:space="preserve">) of the Contracting States”. </w:t>
      </w:r>
      <w:r w:rsidRPr="00EF0015" w:rsidR="0054492D">
        <w:t>Th</w:t>
      </w:r>
      <w:r w:rsidRPr="00EF0015" w:rsidR="002A64B0">
        <w:t>e</w:t>
      </w:r>
      <w:r w:rsidRPr="00EF0015" w:rsidR="0054492D">
        <w:t xml:space="preserve"> </w:t>
      </w:r>
      <w:r w:rsidRPr="00EF0015" w:rsidR="00C809DB">
        <w:t xml:space="preserve">essentially </w:t>
      </w:r>
      <w:r w:rsidRPr="00EF0015" w:rsidR="0054492D">
        <w:t xml:space="preserve">territorial basis of jurisdiction reflected principles of international law and took account of the practical </w:t>
      </w:r>
      <w:r w:rsidRPr="00EF0015" w:rsidR="002A64B0">
        <w:t xml:space="preserve">and legal </w:t>
      </w:r>
      <w:r w:rsidRPr="00EF0015" w:rsidR="0054492D">
        <w:t>difficulties faced by a State operating on another State</w:t>
      </w:r>
      <w:r w:rsidR="008570E8">
        <w:t>’</w:t>
      </w:r>
      <w:r w:rsidRPr="00EF0015" w:rsidR="0054492D">
        <w:t xml:space="preserve">s </w:t>
      </w:r>
      <w:r w:rsidRPr="00EF0015" w:rsidR="00C809DB">
        <w:t xml:space="preserve">territory, particularly in regions which did not share the values of the Council of Europe </w:t>
      </w:r>
      <w:r w:rsidR="003C3473">
        <w:t>m</w:t>
      </w:r>
      <w:r w:rsidRPr="00EF0015" w:rsidR="00C809DB">
        <w:t>ember States.</w:t>
      </w:r>
    </w:p>
    <w:p w:rsidRPr="00EF0015" w:rsidR="00A053F4" w:rsidP="00260EE5" w:rsidRDefault="00F20C0F">
      <w:pPr>
        <w:pStyle w:val="JuPara"/>
      </w:pPr>
      <w:r w:rsidRPr="00EF0015">
        <w:fldChar w:fldCharType="begin"/>
      </w:r>
      <w:r w:rsidRPr="00EF0015">
        <w:instrText xml:space="preserve"> SEQ level0 \*arabic </w:instrText>
      </w:r>
      <w:r w:rsidRPr="00EF0015">
        <w:fldChar w:fldCharType="separate"/>
      </w:r>
      <w:r w:rsidR="00524A6D">
        <w:rPr>
          <w:noProof/>
        </w:rPr>
        <w:t>110</w:t>
      </w:r>
      <w:r w:rsidRPr="00EF0015">
        <w:fldChar w:fldCharType="end"/>
      </w:r>
      <w:r w:rsidRPr="00EF0015">
        <w:t>.  </w:t>
      </w:r>
      <w:r w:rsidRPr="00EF0015" w:rsidR="005025CA">
        <w:t>In the Government</w:t>
      </w:r>
      <w:r w:rsidR="008570E8">
        <w:t>’</w:t>
      </w:r>
      <w:r w:rsidRPr="00EF0015" w:rsidR="005025CA">
        <w:t>s submission, t</w:t>
      </w:r>
      <w:r w:rsidRPr="00EF0015">
        <w:t xml:space="preserve">he Grand Chamber in </w:t>
      </w:r>
      <w:r w:rsidRPr="00EF0015">
        <w:rPr>
          <w:i/>
        </w:rPr>
        <w:t>Banković</w:t>
      </w:r>
      <w:r w:rsidR="00035A69">
        <w:rPr>
          <w:i/>
        </w:rPr>
        <w:t xml:space="preserve"> and Others</w:t>
      </w:r>
      <w:r w:rsidRPr="00EF0015">
        <w:t xml:space="preserve">, having conducted a comprehensive review of the case-law, identified a limited number of exceptions to the territorial principle. </w:t>
      </w:r>
      <w:r w:rsidRPr="00EF0015" w:rsidR="000D236E">
        <w:t xml:space="preserve">The principal exception derived from the case-law on northern Cyprus and applied when </w:t>
      </w:r>
      <w:r w:rsidR="00EF101C">
        <w:t xml:space="preserve">a </w:t>
      </w:r>
      <w:r w:rsidRPr="00EF0015" w:rsidR="000D236E">
        <w:t xml:space="preserve">State, as a consequence of military action, exercised effective control of an area outside its national territory. Where the Court had found this exceptional basis of jurisdiction to apply, it had </w:t>
      </w:r>
      <w:r w:rsidRPr="00EF0015" w:rsidR="00C17200">
        <w:t>stressed</w:t>
      </w:r>
      <w:r w:rsidRPr="00EF0015" w:rsidR="000D236E">
        <w:t xml:space="preserve"> that the State exercising effective control was thereby responsible for securing the entire range of substantive Convention righ</w:t>
      </w:r>
      <w:r w:rsidRPr="00EF0015" w:rsidR="0067682C">
        <w:t>ts in</w:t>
      </w:r>
      <w:r w:rsidR="00127CF4">
        <w:t xml:space="preserve"> the territory in question (see </w:t>
      </w:r>
      <w:r w:rsidRPr="00EF0015" w:rsidR="0067682C">
        <w:rPr>
          <w:i/>
          <w:lang w:eastAsia="en-US"/>
        </w:rPr>
        <w:t>Loizidou v. Turkey</w:t>
      </w:r>
      <w:r w:rsidRPr="00EF0015" w:rsidR="0067682C">
        <w:rPr>
          <w:lang w:eastAsia="en-US"/>
        </w:rPr>
        <w:t xml:space="preserve"> (preliminary objections), 23 March 1995, § 62, Series A </w:t>
      </w:r>
      <w:r w:rsidR="00334356">
        <w:rPr>
          <w:lang w:eastAsia="en-US"/>
        </w:rPr>
        <w:t xml:space="preserve">no. </w:t>
      </w:r>
      <w:r w:rsidRPr="00EF0015" w:rsidR="0067682C">
        <w:rPr>
          <w:lang w:eastAsia="en-US"/>
        </w:rPr>
        <w:t xml:space="preserve">310; </w:t>
      </w:r>
      <w:bookmarkStart w:name="File12" w:id="135"/>
      <w:r w:rsidRPr="00EF0015" w:rsidR="0067682C">
        <w:rPr>
          <w:i/>
          <w:lang w:eastAsia="en-US"/>
        </w:rPr>
        <w:t>Cyprus</w:t>
      </w:r>
      <w:bookmarkEnd w:id="135"/>
      <w:r w:rsidRPr="00EF0015" w:rsidR="0067682C">
        <w:rPr>
          <w:i/>
          <w:lang w:eastAsia="en-US"/>
        </w:rPr>
        <w:t xml:space="preserve"> v. Turkey </w:t>
      </w:r>
      <w:r w:rsidRPr="00EF0015" w:rsidR="0067682C">
        <w:rPr>
          <w:lang w:eastAsia="en-US"/>
        </w:rPr>
        <w:t>[GC</w:t>
      </w:r>
      <w:r w:rsidR="00127CF4">
        <w:rPr>
          <w:lang w:eastAsia="en-US"/>
        </w:rPr>
        <w:t xml:space="preserve">], no. 25781/94, §§ 75-80, ECHR </w:t>
      </w:r>
      <w:r w:rsidRPr="00EF0015" w:rsidR="0067682C">
        <w:rPr>
          <w:lang w:eastAsia="en-US"/>
        </w:rPr>
        <w:t>2001</w:t>
      </w:r>
      <w:r w:rsidRPr="00EF0015" w:rsidR="0067682C">
        <w:rPr>
          <w:lang w:eastAsia="en-US"/>
        </w:rPr>
        <w:noBreakHyphen/>
        <w:t xml:space="preserve">IV; </w:t>
      </w:r>
      <w:r w:rsidRPr="00EF0015" w:rsidR="0067682C">
        <w:rPr>
          <w:i/>
          <w:lang w:eastAsia="en-US"/>
        </w:rPr>
        <w:t>Banković</w:t>
      </w:r>
      <w:r w:rsidR="00035A69">
        <w:rPr>
          <w:i/>
          <w:lang w:eastAsia="en-US"/>
        </w:rPr>
        <w:t xml:space="preserve"> and Others</w:t>
      </w:r>
      <w:r w:rsidRPr="00D8100E" w:rsidR="0067682C">
        <w:rPr>
          <w:lang w:eastAsia="en-US"/>
        </w:rPr>
        <w:t>,</w:t>
      </w:r>
      <w:r w:rsidRPr="00EF0015" w:rsidR="0067682C">
        <w:rPr>
          <w:i/>
          <w:lang w:eastAsia="en-US"/>
        </w:rPr>
        <w:t xml:space="preserve"> </w:t>
      </w:r>
      <w:r w:rsidRPr="00EF0015" w:rsidR="0067682C">
        <w:rPr>
          <w:lang w:eastAsia="en-US"/>
        </w:rPr>
        <w:t xml:space="preserve">cited above, §§ 70-71; </w:t>
      </w:r>
      <w:r w:rsidR="00DE67FD">
        <w:rPr>
          <w:lang w:eastAsia="en-US"/>
        </w:rPr>
        <w:t xml:space="preserve">and </w:t>
      </w:r>
      <w:r w:rsidR="00127CF4">
        <w:rPr>
          <w:i/>
          <w:lang w:eastAsia="en-US"/>
        </w:rPr>
        <w:t xml:space="preserve">Ilaşcu and Others v. </w:t>
      </w:r>
      <w:r w:rsidRPr="00EF0015" w:rsidR="0067682C">
        <w:rPr>
          <w:i/>
          <w:lang w:eastAsia="en-US"/>
        </w:rPr>
        <w:t xml:space="preserve">Moldova and Russia </w:t>
      </w:r>
      <w:r w:rsidRPr="00EF0015" w:rsidR="0067682C">
        <w:rPr>
          <w:lang w:eastAsia="en-US"/>
        </w:rPr>
        <w:t>[GC], no. 48787/99, §§ 314-16, ECHR 2004</w:t>
      </w:r>
      <w:r w:rsidRPr="00EF0015" w:rsidR="0067682C">
        <w:rPr>
          <w:lang w:eastAsia="en-US"/>
        </w:rPr>
        <w:noBreakHyphen/>
        <w:t>VII).</w:t>
      </w:r>
      <w:r w:rsidRPr="00EF0015" w:rsidR="00D6309B">
        <w:rPr>
          <w:lang w:eastAsia="en-US"/>
        </w:rPr>
        <w:t xml:space="preserve"> </w:t>
      </w:r>
      <w:r w:rsidRPr="00EF0015" w:rsidR="00D6309B">
        <w:t xml:space="preserve">Moreover, despite </w:t>
      </w:r>
      <w:r w:rsidRPr="00D8100E" w:rsidR="00D6309B">
        <w:rPr>
          <w:i/>
        </w:rPr>
        <w:t>dicta</w:t>
      </w:r>
      <w:r w:rsidRPr="00EF0015" w:rsidR="00D6309B">
        <w:t xml:space="preserve"> to the contrary in the subsequent Chamber judgment in </w:t>
      </w:r>
      <w:r w:rsidR="00127CF4">
        <w:rPr>
          <w:i/>
          <w:szCs w:val="24"/>
          <w:lang w:eastAsia="en-US"/>
        </w:rPr>
        <w:t xml:space="preserve">Issa and Others </w:t>
      </w:r>
      <w:r w:rsidR="00790CFA">
        <w:rPr>
          <w:szCs w:val="24"/>
          <w:lang w:eastAsia="en-US"/>
        </w:rPr>
        <w:t>(cited above),</w:t>
      </w:r>
      <w:r w:rsidRPr="00EF0015" w:rsidR="00260EE5">
        <w:rPr>
          <w:szCs w:val="24"/>
          <w:lang w:eastAsia="en-US"/>
        </w:rPr>
        <w:t xml:space="preserve"> the Grand Chamber in </w:t>
      </w:r>
      <w:r w:rsidRPr="00EF0015" w:rsidR="00D6309B">
        <w:rPr>
          <w:i/>
        </w:rPr>
        <w:t>Banković</w:t>
      </w:r>
      <w:r w:rsidR="00035A69">
        <w:rPr>
          <w:i/>
        </w:rPr>
        <w:t xml:space="preserve"> and Others</w:t>
      </w:r>
      <w:r w:rsidRPr="00EF0015" w:rsidR="00D6309B">
        <w:rPr>
          <w:i/>
        </w:rPr>
        <w:t xml:space="preserve"> </w:t>
      </w:r>
      <w:r w:rsidRPr="00EF0015" w:rsidR="00D6309B">
        <w:t>made it clear that the “effective control of an area” basis of jurisdiction could apply only within the legal space</w:t>
      </w:r>
      <w:r w:rsidR="00FA3882">
        <w:t xml:space="preserve"> of the Convention</w:t>
      </w:r>
      <w:r w:rsidRPr="00EF0015" w:rsidR="00D6309B">
        <w:t>. In addition to the control exercised by Turkey in northern Cyprus, the Court had applied this exception in relation to only one other area, Transdniestria, which also fell within the territory of another Contracting State.</w:t>
      </w:r>
      <w:r w:rsidRPr="00EF0015" w:rsidR="00260EE5">
        <w:t xml:space="preserve"> </w:t>
      </w:r>
      <w:r w:rsidRPr="00EF0015" w:rsidR="005025CA">
        <w:t xml:space="preserve">Any other approach would risk requiring the State to impose culturally alien standards, in breach of </w:t>
      </w:r>
      <w:r w:rsidR="00C01416">
        <w:t>the principle of sovereign self</w:t>
      </w:r>
      <w:r w:rsidR="00C01416">
        <w:noBreakHyphen/>
      </w:r>
      <w:r w:rsidRPr="00EF0015" w:rsidR="005025CA">
        <w:t>determination.</w:t>
      </w:r>
    </w:p>
    <w:p w:rsidRPr="00EF0015" w:rsidR="00D6309B" w:rsidP="00260EE5" w:rsidRDefault="00A90274">
      <w:pPr>
        <w:pStyle w:val="JuPara"/>
        <w:rPr>
          <w:lang w:eastAsia="en-US"/>
        </w:rPr>
      </w:pPr>
      <w:r w:rsidRPr="00EF0015">
        <w:fldChar w:fldCharType="begin"/>
      </w:r>
      <w:r w:rsidRPr="00EF0015">
        <w:instrText xml:space="preserve"> SEQ level0 \*arabic </w:instrText>
      </w:r>
      <w:r w:rsidRPr="00EF0015">
        <w:fldChar w:fldCharType="separate"/>
      </w:r>
      <w:r w:rsidR="00524A6D">
        <w:rPr>
          <w:noProof/>
        </w:rPr>
        <w:t>111</w:t>
      </w:r>
      <w:r w:rsidRPr="00EF0015">
        <w:fldChar w:fldCharType="end"/>
      </w:r>
      <w:r w:rsidRPr="00EF0015">
        <w:t>.  </w:t>
      </w:r>
      <w:r w:rsidRPr="00EF0015" w:rsidR="005025CA">
        <w:t>According to the Government, t</w:t>
      </w:r>
      <w:r w:rsidRPr="00EF0015" w:rsidR="00260EE5">
        <w:t>he Court</w:t>
      </w:r>
      <w:r w:rsidR="008570E8">
        <w:t>’</w:t>
      </w:r>
      <w:r w:rsidRPr="00EF0015" w:rsidR="00260EE5">
        <w:t xml:space="preserve">s case-law on Article 56 of the Convention further </w:t>
      </w:r>
      <w:r w:rsidRPr="00EF0015">
        <w:t>indicated</w:t>
      </w:r>
      <w:r w:rsidRPr="00EF0015" w:rsidR="00260EE5">
        <w:t xml:space="preserve"> that a State would not be held to exe</w:t>
      </w:r>
      <w:r w:rsidR="00C976AF">
        <w:t>rcise Article</w:t>
      </w:r>
      <w:r w:rsidR="00334356">
        <w:t xml:space="preserve"> </w:t>
      </w:r>
      <w:r w:rsidRPr="00EF0015" w:rsidR="00260EE5">
        <w:t xml:space="preserve">1 jurisdiction over an overseas territory merely by virtue of exercising effective control there </w:t>
      </w:r>
      <w:r w:rsidR="00790CFA">
        <w:t>(</w:t>
      </w:r>
      <w:r w:rsidRPr="00EF0015" w:rsidR="00260EE5">
        <w:t xml:space="preserve">see </w:t>
      </w:r>
      <w:r w:rsidRPr="00EF0015" w:rsidR="00260EE5">
        <w:rPr>
          <w:i/>
          <w:lang w:eastAsia="en-US"/>
        </w:rPr>
        <w:t>Quark Fishing Ltd v. the United Kingdom</w:t>
      </w:r>
      <w:r w:rsidRPr="00EF0015" w:rsidR="00260EE5">
        <w:rPr>
          <w:lang w:eastAsia="en-US"/>
        </w:rPr>
        <w:t xml:space="preserve"> (dec.), no. 15305/06</w:t>
      </w:r>
      <w:r w:rsidRPr="00EF0015" w:rsidR="00260EE5">
        <w:rPr>
          <w:szCs w:val="24"/>
          <w:lang w:eastAsia="en-US"/>
        </w:rPr>
        <w:t xml:space="preserve">, </w:t>
      </w:r>
      <w:r w:rsidRPr="00EF0015" w:rsidR="00260EE5">
        <w:rPr>
          <w:lang w:eastAsia="en-US"/>
        </w:rPr>
        <w:t>ECHR 2006</w:t>
      </w:r>
      <w:r w:rsidRPr="00EF0015" w:rsidR="00260EE5">
        <w:rPr>
          <w:lang w:eastAsia="en-US"/>
        </w:rPr>
        <w:noBreakHyphen/>
        <w:t>XIV</w:t>
      </w:r>
      <w:r w:rsidR="00790CFA">
        <w:rPr>
          <w:lang w:eastAsia="en-US"/>
        </w:rPr>
        <w:t>)</w:t>
      </w:r>
      <w:r w:rsidRPr="00EF0015" w:rsidR="00260EE5">
        <w:rPr>
          <w:lang w:eastAsia="en-US"/>
        </w:rPr>
        <w:t xml:space="preserve">. </w:t>
      </w:r>
      <w:r w:rsidRPr="00EF0015">
        <w:rPr>
          <w:lang w:eastAsia="en-US"/>
        </w:rPr>
        <w:t xml:space="preserve">If the </w:t>
      </w:r>
      <w:r w:rsidR="00790CFA">
        <w:rPr>
          <w:lang w:eastAsia="en-US"/>
        </w:rPr>
        <w:t>“</w:t>
      </w:r>
      <w:r w:rsidRPr="00EF0015">
        <w:rPr>
          <w:lang w:eastAsia="en-US"/>
        </w:rPr>
        <w:t>effective control of territory</w:t>
      </w:r>
      <w:r w:rsidR="00790CFA">
        <w:rPr>
          <w:lang w:eastAsia="en-US"/>
        </w:rPr>
        <w:t>”</w:t>
      </w:r>
      <w:r w:rsidRPr="00EF0015">
        <w:rPr>
          <w:lang w:eastAsia="en-US"/>
        </w:rPr>
        <w:t xml:space="preserve"> exception were held to apply outside the territories of the Contracting States, this would lead to the conclusion that a State was free to choose whether or not to extend the Conven</w:t>
      </w:r>
      <w:r w:rsidR="00C01416">
        <w:rPr>
          <w:lang w:eastAsia="en-US"/>
        </w:rPr>
        <w:t>tion and its Protocols to a non</w:t>
      </w:r>
      <w:r w:rsidR="00C01416">
        <w:rPr>
          <w:lang w:eastAsia="en-US"/>
        </w:rPr>
        <w:noBreakHyphen/>
      </w:r>
      <w:r w:rsidRPr="00EF0015">
        <w:rPr>
          <w:lang w:eastAsia="en-US"/>
        </w:rPr>
        <w:t>metropolitan territory outside the Convention “</w:t>
      </w:r>
      <w:r w:rsidR="00EF101C">
        <w:rPr>
          <w:i/>
          <w:lang w:eastAsia="en-US"/>
        </w:rPr>
        <w:t>e</w:t>
      </w:r>
      <w:r w:rsidRPr="00EF0015">
        <w:rPr>
          <w:i/>
          <w:lang w:eastAsia="en-US"/>
        </w:rPr>
        <w:t>space juridique</w:t>
      </w:r>
      <w:r w:rsidRPr="00EF0015">
        <w:rPr>
          <w:lang w:eastAsia="en-US"/>
        </w:rPr>
        <w:t>” over which it might in fact have exercised control for decades, but was not free to choose whether to extend the Convention to territories outside that space over which it exercised effective control as a result of military action only temporarily, for example only until peace and security could be restored.</w:t>
      </w:r>
    </w:p>
    <w:p w:rsidR="00C81668" w:rsidP="007B69E1" w:rsidRDefault="00042F6D">
      <w:pPr>
        <w:pStyle w:val="JuPara"/>
      </w:pPr>
      <w:r w:rsidRPr="00EF0015">
        <w:fldChar w:fldCharType="begin"/>
      </w:r>
      <w:r w:rsidRPr="00EF0015">
        <w:instrText xml:space="preserve"> SEQ level0 \*arabic </w:instrText>
      </w:r>
      <w:r w:rsidRPr="00EF0015">
        <w:fldChar w:fldCharType="separate"/>
      </w:r>
      <w:r w:rsidR="00524A6D">
        <w:rPr>
          <w:noProof/>
        </w:rPr>
        <w:t>112</w:t>
      </w:r>
      <w:r w:rsidRPr="00EF0015">
        <w:fldChar w:fldCharType="end"/>
      </w:r>
      <w:r w:rsidRPr="00EF0015">
        <w:t>.  </w:t>
      </w:r>
      <w:r w:rsidRPr="00EF0015" w:rsidR="007B69E1">
        <w:t>The Government submit</w:t>
      </w:r>
      <w:r w:rsidRPr="00EF0015" w:rsidR="0067682C">
        <w:t>ted</w:t>
      </w:r>
      <w:r w:rsidRPr="00EF0015" w:rsidR="007B69E1">
        <w:t xml:space="preserve"> that</w:t>
      </w:r>
      <w:r w:rsidRPr="00EF0015" w:rsidR="00D6309B">
        <w:t>, since Iraq fell outside the legal space</w:t>
      </w:r>
      <w:r w:rsidR="00C77280">
        <w:t xml:space="preserve"> of the Convention</w:t>
      </w:r>
      <w:r w:rsidRPr="00EF0015" w:rsidR="00D6309B">
        <w:t xml:space="preserve">, the </w:t>
      </w:r>
      <w:r w:rsidRPr="00EF0015" w:rsidR="00D8633E">
        <w:t xml:space="preserve">“effective control of an area” </w:t>
      </w:r>
      <w:r w:rsidRPr="00EF0015" w:rsidR="00D6309B">
        <w:t>exceptional basis of jurisdiction could not apply.</w:t>
      </w:r>
      <w:r w:rsidR="00C976AF">
        <w:t xml:space="preserve"> </w:t>
      </w:r>
      <w:r w:rsidRPr="00EF0015" w:rsidR="00D6309B">
        <w:t>In any event,</w:t>
      </w:r>
      <w:r w:rsidRPr="00EF0015" w:rsidR="007B69E1">
        <w:t xml:space="preserve"> the United Kingdom did not have “effective control” over any part of Iraq during the relevant time. </w:t>
      </w:r>
      <w:r w:rsidRPr="00EF0015" w:rsidR="0067682C">
        <w:t>T</w:t>
      </w:r>
      <w:r w:rsidRPr="00EF0015" w:rsidR="007B69E1">
        <w:t xml:space="preserve">his was the conclusion of the domestic courts, which had all the available evidence before them. The number of Coalition Forces, including United Kingdom forces, was small: in </w:t>
      </w:r>
      <w:r w:rsidR="00634F1F">
        <w:t>s</w:t>
      </w:r>
      <w:r w:rsidRPr="00EF0015" w:rsidR="007B69E1">
        <w:t>outh</w:t>
      </w:r>
      <w:r w:rsidR="00634F1F">
        <w:t>-e</w:t>
      </w:r>
      <w:r w:rsidRPr="00EF0015" w:rsidR="007B69E1">
        <w:t xml:space="preserve">ast Iraq, an area of 96,000 square kilometres </w:t>
      </w:r>
      <w:r w:rsidR="00303434">
        <w:t>with</w:t>
      </w:r>
      <w:r w:rsidRPr="00EF0015" w:rsidR="007B69E1">
        <w:t xml:space="preserve"> a population of 4.6 million</w:t>
      </w:r>
      <w:r w:rsidR="00EF101C">
        <w:t>,</w:t>
      </w:r>
      <w:r w:rsidRPr="00EF0015" w:rsidR="007B69E1">
        <w:t xml:space="preserve"> there were 14,500 Coalition troops, including 8,150 United Kingdom troops. United Kingdom troops operated in </w:t>
      </w:r>
      <w:r w:rsidR="00634F1F">
        <w:t xml:space="preserve">the </w:t>
      </w:r>
      <w:r w:rsidRPr="00EF0015" w:rsidR="007B69E1">
        <w:t>Al</w:t>
      </w:r>
      <w:r w:rsidRPr="00EF0015" w:rsidR="00840913">
        <w:t>-</w:t>
      </w:r>
      <w:r w:rsidRPr="00EF0015" w:rsidR="007B69E1">
        <w:t>Basra and Maysan provinces, which had a population of 2.76 million for 8,119 troops. United Kingdom forces in Iraq were faced with real practical difficulties in restoring conditions of security and stability so as to enable the Iraqi people freely to determine their political future. The principal reason for this was that at the start of the occupation there was no competent system of local law enforcement in place, whil</w:t>
      </w:r>
      <w:r w:rsidR="00634F1F">
        <w:t>e</w:t>
      </w:r>
      <w:r w:rsidRPr="00EF0015" w:rsidR="007B69E1">
        <w:t xml:space="preserve"> at the same time there was widespread violent crime, terrorism and tribal fighting involving the use of light and heavy weapons.</w:t>
      </w:r>
    </w:p>
    <w:p w:rsidRPr="00EF0015" w:rsidR="007B69E1" w:rsidP="007B69E1" w:rsidRDefault="00840913">
      <w:pPr>
        <w:pStyle w:val="JuPara"/>
      </w:pPr>
      <w:r w:rsidRPr="00EF0015">
        <w:fldChar w:fldCharType="begin"/>
      </w:r>
      <w:r w:rsidRPr="00EF0015">
        <w:instrText xml:space="preserve"> SEQ level0 \*arabic </w:instrText>
      </w:r>
      <w:r w:rsidRPr="00EF0015">
        <w:fldChar w:fldCharType="separate"/>
      </w:r>
      <w:r w:rsidR="00524A6D">
        <w:rPr>
          <w:noProof/>
        </w:rPr>
        <w:t>113</w:t>
      </w:r>
      <w:r w:rsidRPr="00EF0015">
        <w:fldChar w:fldCharType="end"/>
      </w:r>
      <w:r w:rsidRPr="00EF0015">
        <w:t>.  </w:t>
      </w:r>
      <w:r w:rsidRPr="00EF0015" w:rsidR="007B69E1">
        <w:t xml:space="preserve">Governing authority in Iraq during the occupation was exercised by the </w:t>
      </w:r>
      <w:r w:rsidRPr="00EF0015" w:rsidR="004F05F5">
        <w:t>Coalition Provisional Authority</w:t>
      </w:r>
      <w:r w:rsidR="00634F1F">
        <w:t xml:space="preserve"> (CPA)</w:t>
      </w:r>
      <w:r w:rsidRPr="00EF0015" w:rsidR="007B69E1">
        <w:t xml:space="preserve">, which was governed by </w:t>
      </w:r>
      <w:r w:rsidR="00EF101C">
        <w:t xml:space="preserve">United States </w:t>
      </w:r>
      <w:r w:rsidRPr="00EF0015" w:rsidR="007B69E1">
        <w:t xml:space="preserve">Ambassador Paul Bremer and which was not a subordinate authority of the United Kingdom. In addition, from July 2003 there was a central Iraqi Governing Council and a number of local Iraqi councils. The status of the </w:t>
      </w:r>
      <w:r w:rsidR="00634F1F">
        <w:t>CPA</w:t>
      </w:r>
      <w:r w:rsidRPr="00EF0015" w:rsidR="004F05F5">
        <w:t xml:space="preserve"> </w:t>
      </w:r>
      <w:r w:rsidRPr="00EF0015" w:rsidR="007B69E1">
        <w:t xml:space="preserve">and Iraqi administration was wholly different from that of the </w:t>
      </w:r>
      <w:r w:rsidR="00634F1F">
        <w:t xml:space="preserve">“Turkish Republic of Northern Cyprus” (the </w:t>
      </w:r>
      <w:r w:rsidRPr="00EF0015" w:rsidR="0067682C">
        <w:t>“</w:t>
      </w:r>
      <w:r w:rsidRPr="00EF0015" w:rsidR="007B69E1">
        <w:t>TRNC</w:t>
      </w:r>
      <w:r w:rsidRPr="00EF0015" w:rsidR="0067682C">
        <w:t>”</w:t>
      </w:r>
      <w:r w:rsidR="00634F1F">
        <w:t>)</w:t>
      </w:r>
      <w:r w:rsidRPr="00EF0015" w:rsidR="007B69E1">
        <w:t xml:space="preserve"> in Cyprus or the </w:t>
      </w:r>
      <w:r w:rsidR="00634F1F">
        <w:t xml:space="preserve">“Moldovan Republic of Transdniestria” (the </w:t>
      </w:r>
      <w:r w:rsidRPr="00EF0015" w:rsidR="0067682C">
        <w:t>“</w:t>
      </w:r>
      <w:r w:rsidRPr="00EF0015" w:rsidR="007B69E1">
        <w:t>MRT</w:t>
      </w:r>
      <w:r w:rsidRPr="00EF0015" w:rsidR="0067682C">
        <w:t>”</w:t>
      </w:r>
      <w:r w:rsidR="00634F1F">
        <w:t>)</w:t>
      </w:r>
      <w:r w:rsidRPr="00EF0015" w:rsidR="007B69E1">
        <w:t xml:space="preserve"> in Transdniestria, which were both char</w:t>
      </w:r>
      <w:r w:rsidR="00C01416">
        <w:t>acterised by the Court as “self</w:t>
      </w:r>
      <w:r w:rsidR="00C01416">
        <w:noBreakHyphen/>
      </w:r>
      <w:r w:rsidRPr="00EF0015" w:rsidR="007B69E1">
        <w:t xml:space="preserve">proclaimed authorities which are not recognised by the international community”. The authority of the </w:t>
      </w:r>
      <w:r w:rsidR="008F262F">
        <w:t>CPA</w:t>
      </w:r>
      <w:r w:rsidRPr="00EF0015" w:rsidR="004F05F5">
        <w:t xml:space="preserve"> </w:t>
      </w:r>
      <w:r w:rsidRPr="00EF0015" w:rsidR="007B69E1">
        <w:t xml:space="preserve">and the Iraqi administration was recognised by the international community, through the </w:t>
      </w:r>
      <w:r w:rsidRPr="00EF0015" w:rsidR="00F12FE2">
        <w:t>United Nations Security Council</w:t>
      </w:r>
      <w:r w:rsidRPr="00EF0015" w:rsidR="007B69E1">
        <w:t xml:space="preserve">. </w:t>
      </w:r>
      <w:r w:rsidRPr="00EF0015" w:rsidR="0067682C">
        <w:t>Moreover, t</w:t>
      </w:r>
      <w:r w:rsidRPr="00EF0015" w:rsidR="007B69E1">
        <w:t>he purpose of the United Kingdom</w:t>
      </w:r>
      <w:r w:rsidR="008570E8">
        <w:t>’</w:t>
      </w:r>
      <w:r w:rsidRPr="00EF0015" w:rsidR="007B69E1">
        <w:t>s joint occupation of Iraq was to transfer authority as soon as possible to a representative Iraqi administration. In keeping with this purpose, the occupation lasted for only just over a year.</w:t>
      </w:r>
    </w:p>
    <w:p w:rsidRPr="00EF0015" w:rsidR="003C740E" w:rsidP="007B69E1" w:rsidRDefault="00577A77">
      <w:pPr>
        <w:pStyle w:val="JuPara"/>
      </w:pPr>
      <w:r w:rsidRPr="00EF0015">
        <w:fldChar w:fldCharType="begin"/>
      </w:r>
      <w:r w:rsidRPr="00EF0015">
        <w:instrText xml:space="preserve"> SEQ level0 \*arabic </w:instrText>
      </w:r>
      <w:r w:rsidRPr="00EF0015">
        <w:fldChar w:fldCharType="separate"/>
      </w:r>
      <w:r w:rsidR="00524A6D">
        <w:rPr>
          <w:noProof/>
        </w:rPr>
        <w:t>114</w:t>
      </w:r>
      <w:r w:rsidRPr="00EF0015">
        <w:fldChar w:fldCharType="end"/>
      </w:r>
      <w:r w:rsidRPr="00EF0015">
        <w:t>.  </w:t>
      </w:r>
      <w:r w:rsidRPr="00EF0015" w:rsidR="005025CA">
        <w:t>In the Government</w:t>
      </w:r>
      <w:r w:rsidR="008570E8">
        <w:t>’</w:t>
      </w:r>
      <w:r w:rsidRPr="00EF0015" w:rsidR="005025CA">
        <w:t>s submission, t</w:t>
      </w:r>
      <w:r w:rsidR="00334356">
        <w:t xml:space="preserve">he fact that between May </w:t>
      </w:r>
      <w:r w:rsidRPr="00EF0015">
        <w:t xml:space="preserve">2003 and June </w:t>
      </w:r>
      <w:r w:rsidR="00EF101C">
        <w:t>2004 the United Kingdom was an Occupying P</w:t>
      </w:r>
      <w:r w:rsidRPr="00EF0015">
        <w:t>ower within the meani</w:t>
      </w:r>
      <w:r w:rsidRPr="00EF0015" w:rsidR="00AA2D9D">
        <w:t>ng of the Hague R</w:t>
      </w:r>
      <w:r w:rsidRPr="00EF0015">
        <w:t>egulations (see paragraph</w:t>
      </w:r>
      <w:r w:rsidRPr="00EF0015" w:rsidR="00784E48">
        <w:t xml:space="preserve"> </w:t>
      </w:r>
      <w:r w:rsidR="00323CF9">
        <w:t>89</w:t>
      </w:r>
      <w:r w:rsidRPr="00EF0015">
        <w:t xml:space="preserve"> above) did not, in itself, give rise to an obligation to secure the Convention rights and freedoms to the inhabitants of </w:t>
      </w:r>
      <w:r w:rsidR="008F262F">
        <w:t>s</w:t>
      </w:r>
      <w:r w:rsidR="00EF101C">
        <w:t>outh</w:t>
      </w:r>
      <w:r w:rsidR="008F262F">
        <w:t>-e</w:t>
      </w:r>
      <w:r w:rsidR="00EF101C">
        <w:t>ast Iraq. As an Occupying P</w:t>
      </w:r>
      <w:r w:rsidRPr="00EF0015">
        <w:t xml:space="preserve">ower the United Kingdom did not have sovereignty over Iraq and was not entitled to treat the area under its occupation as its own territory or as a colony subject to its complete power and authority. The Hague Regulations did not confer on the United Kingdom the power to amend the laws and </w:t>
      </w:r>
      <w:r w:rsidR="008F262F">
        <w:t>C</w:t>
      </w:r>
      <w:r w:rsidRPr="00EF0015">
        <w:t>onstitution of Iraq so as to conform to the United Kingdom</w:t>
      </w:r>
      <w:r w:rsidR="008570E8">
        <w:t>’</w:t>
      </w:r>
      <w:r w:rsidRPr="00EF0015">
        <w:t>s own domestic law or regional multilateral international obligat</w:t>
      </w:r>
      <w:r w:rsidR="00127CF4">
        <w:t xml:space="preserve">ions such as the Convention. On </w:t>
      </w:r>
      <w:r w:rsidRPr="00EF0015">
        <w:t xml:space="preserve">the contrary, the </w:t>
      </w:r>
      <w:r w:rsidRPr="00EF0015" w:rsidR="002345B9">
        <w:t xml:space="preserve">Hague </w:t>
      </w:r>
      <w:r w:rsidRPr="00EF0015">
        <w:t>Regulations set limits on the United Kingdom</w:t>
      </w:r>
      <w:r w:rsidR="008570E8">
        <w:t>’</w:t>
      </w:r>
      <w:r w:rsidRPr="00EF0015">
        <w:t xml:space="preserve">s powers, notably the obligation to respect the laws in force in Iraq </w:t>
      </w:r>
      <w:r w:rsidR="008F262F">
        <w:t>“</w:t>
      </w:r>
      <w:r w:rsidRPr="00EF0015">
        <w:t xml:space="preserve">unless absolutely prevented”. Moreover, the </w:t>
      </w:r>
      <w:r w:rsidR="00B04CE6">
        <w:t>r</w:t>
      </w:r>
      <w:r w:rsidRPr="00EF0015">
        <w:t xml:space="preserve">esolutions passed by the </w:t>
      </w:r>
      <w:r w:rsidRPr="00EF0015" w:rsidR="00F12FE2">
        <w:t xml:space="preserve">United Nations Security Council </w:t>
      </w:r>
      <w:r w:rsidRPr="00EF0015">
        <w:t xml:space="preserve">recognised that governing authority in Iraq during the occupation was to be exercised by the </w:t>
      </w:r>
      <w:r w:rsidR="008F262F">
        <w:t>CPA</w:t>
      </w:r>
      <w:r w:rsidRPr="00EF0015">
        <w:t xml:space="preserve"> and that the aim of the occupation was to transfer authority as soon as possible to a representative Iraqi administration.</w:t>
      </w:r>
      <w:r w:rsidRPr="00EF0015" w:rsidR="00024632">
        <w:t xml:space="preserve"> It followed that the international legal framework, far from establishing that the United Kingdom was obliged to secure Convention rights in Iraq, established instead that the United Kingdom would have been acting contrary to its international obligations if it had sough</w:t>
      </w:r>
      <w:r w:rsidRPr="00EF0015" w:rsidR="002345B9">
        <w:t>t</w:t>
      </w:r>
      <w:r w:rsidRPr="00EF0015" w:rsidR="00024632">
        <w:t xml:space="preserve"> to modify the </w:t>
      </w:r>
      <w:r w:rsidR="008F262F">
        <w:t>C</w:t>
      </w:r>
      <w:r w:rsidRPr="00EF0015" w:rsidR="00024632">
        <w:t>onstitution of Iraq so as to comply with the Convention. In any event, the Court</w:t>
      </w:r>
      <w:r w:rsidR="008570E8">
        <w:t>’</w:t>
      </w:r>
      <w:r w:rsidRPr="00EF0015" w:rsidR="00024632">
        <w:t xml:space="preserve">s case-law demonstrated that it approached the question whether a State exercised jurisdiction extraterritorially as one of fact, informed by the particular nature and history of the Convention. The obligations imposed by the </w:t>
      </w:r>
      <w:r w:rsidRPr="00EF0015" w:rsidR="00C53BEE">
        <w:t>F</w:t>
      </w:r>
      <w:r w:rsidRPr="00EF0015" w:rsidR="00024632">
        <w:t>ourth Geneva Convention and the Hague</w:t>
      </w:r>
      <w:r w:rsidRPr="00EF0015" w:rsidR="00C53BEE">
        <w:t xml:space="preserve"> R</w:t>
      </w:r>
      <w:r w:rsidRPr="00EF0015" w:rsidR="00024632">
        <w:t>egulations were carefully tailor</w:t>
      </w:r>
      <w:r w:rsidRPr="00EF0015" w:rsidR="00C53BEE">
        <w:t>e</w:t>
      </w:r>
      <w:r w:rsidRPr="00EF0015" w:rsidR="00024632">
        <w:t xml:space="preserve">d to the circumstances of occupation and could not </w:t>
      </w:r>
      <w:r w:rsidRPr="00EF0015" w:rsidR="00C53BEE">
        <w:t>in themselves have consequences for the very different issue of jurisdiction under the Convention.</w:t>
      </w:r>
    </w:p>
    <w:p w:rsidRPr="00EF0015" w:rsidR="00CB2691" w:rsidP="007B69E1" w:rsidRDefault="00FB3FB8">
      <w:pPr>
        <w:pStyle w:val="JuPara"/>
        <w:rPr>
          <w:lang w:eastAsia="en-US"/>
        </w:rPr>
      </w:pPr>
      <w:r w:rsidRPr="00EF0015">
        <w:fldChar w:fldCharType="begin"/>
      </w:r>
      <w:r w:rsidRPr="00EF0015">
        <w:instrText xml:space="preserve"> SEQ level0 \*arabic </w:instrText>
      </w:r>
      <w:r w:rsidRPr="00EF0015">
        <w:fldChar w:fldCharType="separate"/>
      </w:r>
      <w:r w:rsidR="00524A6D">
        <w:rPr>
          <w:noProof/>
        </w:rPr>
        <w:t>115</w:t>
      </w:r>
      <w:r w:rsidRPr="00EF0015">
        <w:fldChar w:fldCharType="end"/>
      </w:r>
      <w:r w:rsidRPr="00EF0015">
        <w:t>.  </w:t>
      </w:r>
      <w:r w:rsidRPr="00EF0015" w:rsidR="00DC0FFE">
        <w:t xml:space="preserve">The Government accepted that it was possible to identify from the case-law a number of other exceptional categories where jurisdiction could be exercised by a State outside its territory and outside the Convention region. In </w:t>
      </w:r>
      <w:r w:rsidRPr="00EF0015" w:rsidR="00DC0FFE">
        <w:rPr>
          <w:i/>
        </w:rPr>
        <w:t>Banković</w:t>
      </w:r>
      <w:r w:rsidR="00035A69">
        <w:rPr>
          <w:i/>
        </w:rPr>
        <w:t xml:space="preserve"> and Others</w:t>
      </w:r>
      <w:r w:rsidRPr="00EF0015" w:rsidR="00DC0FFE">
        <w:rPr>
          <w:i/>
        </w:rPr>
        <w:t xml:space="preserve"> </w:t>
      </w:r>
      <w:r w:rsidR="00EF101C">
        <w:t xml:space="preserve">(cited above) </w:t>
      </w:r>
      <w:r w:rsidRPr="00EF0015" w:rsidR="00DC0FFE">
        <w:t>the Grand Chamber referred to other cases involving the activities of diplomatic or consular agents abroad and on board craft and vessel</w:t>
      </w:r>
      <w:r w:rsidR="00B91A49">
        <w:t>s</w:t>
      </w:r>
      <w:r w:rsidRPr="00EF0015" w:rsidR="00DC0FFE">
        <w:t xml:space="preserve"> registered in or flying the flag of the State. </w:t>
      </w:r>
      <w:r w:rsidRPr="00EF0015" w:rsidR="00063922">
        <w:t xml:space="preserve">In </w:t>
      </w:r>
      <w:r w:rsidRPr="00EF0015" w:rsidR="00063922">
        <w:rPr>
          <w:i/>
        </w:rPr>
        <w:t>Banković</w:t>
      </w:r>
      <w:r w:rsidR="00035A69">
        <w:rPr>
          <w:i/>
        </w:rPr>
        <w:t xml:space="preserve"> and Others</w:t>
      </w:r>
      <w:r w:rsidR="00B91A49">
        <w:t>,</w:t>
      </w:r>
      <w:r w:rsidRPr="00EF0015" w:rsidR="00063922">
        <w:rPr>
          <w:i/>
        </w:rPr>
        <w:t xml:space="preserve"> </w:t>
      </w:r>
      <w:r w:rsidRPr="00EF0015" w:rsidR="00063922">
        <w:t>t</w:t>
      </w:r>
      <w:r w:rsidRPr="00EF0015" w:rsidR="00DC0FFE">
        <w:t xml:space="preserve">he Court also cited as an example </w:t>
      </w:r>
      <w:r w:rsidRPr="00EF0015" w:rsidR="00DC0FFE">
        <w:rPr>
          <w:i/>
          <w:lang w:eastAsia="en-US"/>
        </w:rPr>
        <w:t>Drozd and Janousek v. France and Spain</w:t>
      </w:r>
      <w:r w:rsidRPr="00EF0015" w:rsidR="00DC0FFE">
        <w:rPr>
          <w:lang w:eastAsia="en-US"/>
        </w:rPr>
        <w:t xml:space="preserve"> </w:t>
      </w:r>
      <w:r w:rsidR="00B91A49">
        <w:rPr>
          <w:lang w:eastAsia="en-US"/>
        </w:rPr>
        <w:t>(</w:t>
      </w:r>
      <w:r w:rsidRPr="00EF0015" w:rsidR="00DC0FFE">
        <w:rPr>
          <w:lang w:eastAsia="en-US"/>
        </w:rPr>
        <w:t>26 June 1992, Series A no. 240</w:t>
      </w:r>
      <w:r w:rsidR="00B91A49">
        <w:rPr>
          <w:lang w:eastAsia="en-US"/>
        </w:rPr>
        <w:t>)</w:t>
      </w:r>
      <w:r w:rsidRPr="00EF0015" w:rsidR="00DC0FFE">
        <w:rPr>
          <w:lang w:eastAsia="en-US"/>
        </w:rPr>
        <w:t xml:space="preserve">, which demonstrated that jurisdiction could be exercised by a State if it brought an individual before its own court, sitting outside its territory, to apply its own criminal law. </w:t>
      </w:r>
      <w:r w:rsidRPr="00EF0015" w:rsidR="00063922">
        <w:rPr>
          <w:lang w:eastAsia="en-US"/>
        </w:rPr>
        <w:t xml:space="preserve">In </w:t>
      </w:r>
      <w:r w:rsidR="00B91A49">
        <w:rPr>
          <w:lang w:eastAsia="en-US"/>
        </w:rPr>
        <w:t xml:space="preserve">its judgment in </w:t>
      </w:r>
      <w:r w:rsidRPr="00EF0015" w:rsidR="00063922">
        <w:rPr>
          <w:i/>
          <w:lang w:eastAsia="en-US"/>
        </w:rPr>
        <w:t xml:space="preserve">Öcalan </w:t>
      </w:r>
      <w:r w:rsidR="00B91A49">
        <w:rPr>
          <w:lang w:eastAsia="en-US"/>
        </w:rPr>
        <w:t xml:space="preserve">(cited above, § 91), </w:t>
      </w:r>
      <w:r w:rsidRPr="00EF0015" w:rsidR="00063922">
        <w:rPr>
          <w:lang w:eastAsia="en-US"/>
        </w:rPr>
        <w:t xml:space="preserve">the Grand Chamber held that Turkey had exercised jurisdiction over the applicant when he was “arrested by members of the Turkish security forces </w:t>
      </w:r>
      <w:r w:rsidR="00B91A49">
        <w:rPr>
          <w:lang w:eastAsia="en-US"/>
        </w:rPr>
        <w:t>inside</w:t>
      </w:r>
      <w:r w:rsidRPr="00EF0015" w:rsidR="00063922">
        <w:rPr>
          <w:lang w:eastAsia="en-US"/>
        </w:rPr>
        <w:t xml:space="preserve"> an aircraft registered in Turkey in the international zone of Nairobi </w:t>
      </w:r>
      <w:r w:rsidR="00B91A49">
        <w:rPr>
          <w:lang w:eastAsia="en-US"/>
        </w:rPr>
        <w:t>A</w:t>
      </w:r>
      <w:r w:rsidRPr="00EF0015" w:rsidR="00063922">
        <w:rPr>
          <w:lang w:eastAsia="en-US"/>
        </w:rPr>
        <w:t>irport” and “physically forced to return to Turkey by Turkish officials and was under their authority and control following his arrest and return to Turkey”.</w:t>
      </w:r>
      <w:r w:rsidRPr="00EF0015" w:rsidR="00093D5D">
        <w:rPr>
          <w:lang w:eastAsia="en-US"/>
        </w:rPr>
        <w:t xml:space="preserve"> In the Government</w:t>
      </w:r>
      <w:r w:rsidR="008570E8">
        <w:rPr>
          <w:lang w:eastAsia="en-US"/>
        </w:rPr>
        <w:t>’</w:t>
      </w:r>
      <w:r w:rsidRPr="00EF0015" w:rsidR="00093D5D">
        <w:rPr>
          <w:lang w:eastAsia="en-US"/>
        </w:rPr>
        <w:t>s submission, none of these exceptions applied in the first, second, third and fourth applicants</w:t>
      </w:r>
      <w:r w:rsidR="008570E8">
        <w:rPr>
          <w:lang w:eastAsia="en-US"/>
        </w:rPr>
        <w:t>’</w:t>
      </w:r>
      <w:r w:rsidRPr="00EF0015" w:rsidR="00093D5D">
        <w:rPr>
          <w:lang w:eastAsia="en-US"/>
        </w:rPr>
        <w:t xml:space="preserve"> cases.</w:t>
      </w:r>
    </w:p>
    <w:p w:rsidRPr="00EF0015" w:rsidR="00CB4373" w:rsidP="007B69E1" w:rsidRDefault="00093D5D">
      <w:pPr>
        <w:pStyle w:val="JuPara"/>
        <w:rPr>
          <w:lang w:eastAsia="en-US"/>
        </w:rPr>
      </w:pPr>
      <w:r w:rsidRPr="00EF0015">
        <w:rPr>
          <w:lang w:eastAsia="en-US"/>
        </w:rPr>
        <w:fldChar w:fldCharType="begin"/>
      </w:r>
      <w:r w:rsidRPr="00EF0015">
        <w:rPr>
          <w:lang w:eastAsia="en-US"/>
        </w:rPr>
        <w:instrText xml:space="preserve"> SEQ level0 \*arabic </w:instrText>
      </w:r>
      <w:r w:rsidRPr="00EF0015">
        <w:rPr>
          <w:lang w:eastAsia="en-US"/>
        </w:rPr>
        <w:fldChar w:fldCharType="separate"/>
      </w:r>
      <w:r w:rsidR="00524A6D">
        <w:rPr>
          <w:noProof/>
          <w:lang w:eastAsia="en-US"/>
        </w:rPr>
        <w:t>116</w:t>
      </w:r>
      <w:r w:rsidRPr="00EF0015">
        <w:rPr>
          <w:lang w:eastAsia="en-US"/>
        </w:rPr>
        <w:fldChar w:fldCharType="end"/>
      </w:r>
      <w:r w:rsidRPr="00EF0015">
        <w:rPr>
          <w:lang w:eastAsia="en-US"/>
        </w:rPr>
        <w:t xml:space="preserve">.  The </w:t>
      </w:r>
      <w:r w:rsidRPr="00EF0015" w:rsidR="005025CA">
        <w:rPr>
          <w:lang w:eastAsia="en-US"/>
        </w:rPr>
        <w:t xml:space="preserve">Government contended that the </w:t>
      </w:r>
      <w:r w:rsidRPr="00EF0015">
        <w:rPr>
          <w:lang w:eastAsia="en-US"/>
        </w:rPr>
        <w:t>applicants</w:t>
      </w:r>
      <w:r w:rsidR="008570E8">
        <w:rPr>
          <w:lang w:eastAsia="en-US"/>
        </w:rPr>
        <w:t>’</w:t>
      </w:r>
      <w:r w:rsidRPr="00EF0015">
        <w:rPr>
          <w:lang w:eastAsia="en-US"/>
        </w:rPr>
        <w:t xml:space="preserve"> submission </w:t>
      </w:r>
      <w:r w:rsidRPr="00EF0015" w:rsidR="00E02FAC">
        <w:rPr>
          <w:lang w:eastAsia="en-US"/>
        </w:rPr>
        <w:t xml:space="preserve">that, in shooting </w:t>
      </w:r>
      <w:r w:rsidRPr="00EF0015" w:rsidR="008718DF">
        <w:rPr>
          <w:lang w:eastAsia="en-US"/>
        </w:rPr>
        <w:t>their</w:t>
      </w:r>
      <w:r w:rsidRPr="00EF0015" w:rsidR="00E02FAC">
        <w:rPr>
          <w:lang w:eastAsia="en-US"/>
        </w:rPr>
        <w:t xml:space="preserve"> relatives, the United Kingdom soldiers exercised “authority and control” over the deceased, so as to bring them within the United Kingdom</w:t>
      </w:r>
      <w:r w:rsidR="008570E8">
        <w:rPr>
          <w:lang w:eastAsia="en-US"/>
        </w:rPr>
        <w:t>’</w:t>
      </w:r>
      <w:r w:rsidRPr="00EF0015" w:rsidR="00E02FAC">
        <w:rPr>
          <w:lang w:eastAsia="en-US"/>
        </w:rPr>
        <w:t xml:space="preserve">s jurisdiction, was directly contrary to the decision in </w:t>
      </w:r>
      <w:r w:rsidRPr="00EF0015" w:rsidR="00E02FAC">
        <w:rPr>
          <w:i/>
          <w:lang w:eastAsia="en-US"/>
        </w:rPr>
        <w:t>Banković</w:t>
      </w:r>
      <w:r w:rsidR="00035A69">
        <w:rPr>
          <w:i/>
          <w:lang w:eastAsia="en-US"/>
        </w:rPr>
        <w:t xml:space="preserve"> and Others</w:t>
      </w:r>
      <w:r w:rsidR="00EF101C">
        <w:rPr>
          <w:i/>
          <w:lang w:eastAsia="en-US"/>
        </w:rPr>
        <w:t xml:space="preserve"> </w:t>
      </w:r>
      <w:r w:rsidRPr="00EF0015" w:rsidR="00EF101C">
        <w:t xml:space="preserve">(cited above). </w:t>
      </w:r>
      <w:r w:rsidRPr="00EF0015" w:rsidR="00E02FAC">
        <w:rPr>
          <w:lang w:eastAsia="en-US"/>
        </w:rPr>
        <w:t xml:space="preserve">In </w:t>
      </w:r>
      <w:r w:rsidRPr="00EF0015" w:rsidR="00E02FAC">
        <w:rPr>
          <w:i/>
          <w:lang w:eastAsia="en-US"/>
        </w:rPr>
        <w:t>Banković</w:t>
      </w:r>
      <w:r w:rsidR="00035A69">
        <w:rPr>
          <w:i/>
          <w:lang w:eastAsia="en-US"/>
        </w:rPr>
        <w:t xml:space="preserve"> and Others</w:t>
      </w:r>
      <w:r w:rsidR="00537A20">
        <w:rPr>
          <w:lang w:eastAsia="en-US"/>
        </w:rPr>
        <w:t>,</w:t>
      </w:r>
      <w:r w:rsidRPr="00EF0015" w:rsidR="00E02FAC">
        <w:rPr>
          <w:i/>
          <w:lang w:eastAsia="en-US"/>
        </w:rPr>
        <w:t xml:space="preserve"> </w:t>
      </w:r>
      <w:r w:rsidRPr="00EF0015" w:rsidR="00E02FAC">
        <w:rPr>
          <w:lang w:eastAsia="en-US"/>
        </w:rPr>
        <w:t>the Grand Chamber considered the applicability of the Convention to extraterritorial military operations generally, having regard</w:t>
      </w:r>
      <w:r w:rsidR="00537A20">
        <w:rPr>
          <w:lang w:eastAsia="en-US"/>
        </w:rPr>
        <w:t>,</w:t>
      </w:r>
      <w:r w:rsidRPr="00EF0015" w:rsidR="00E02FAC">
        <w:rPr>
          <w:lang w:eastAsia="en-US"/>
        </w:rPr>
        <w:t xml:space="preserve"> </w:t>
      </w:r>
      <w:r w:rsidRPr="00EF0015" w:rsidR="00E02FAC">
        <w:rPr>
          <w:i/>
          <w:lang w:eastAsia="en-US"/>
        </w:rPr>
        <w:t>inter alia</w:t>
      </w:r>
      <w:r w:rsidRPr="00D8100E" w:rsidR="00537A20">
        <w:rPr>
          <w:lang w:eastAsia="en-US"/>
        </w:rPr>
        <w:t>,</w:t>
      </w:r>
      <w:r w:rsidRPr="00EF0015" w:rsidR="00E02FAC">
        <w:rPr>
          <w:i/>
          <w:lang w:eastAsia="en-US"/>
        </w:rPr>
        <w:t xml:space="preserve"> </w:t>
      </w:r>
      <w:r w:rsidR="00334356">
        <w:rPr>
          <w:lang w:eastAsia="en-US"/>
        </w:rPr>
        <w:t>to State practice and Article </w:t>
      </w:r>
      <w:r w:rsidRPr="00EF0015" w:rsidR="00E02FAC">
        <w:rPr>
          <w:lang w:eastAsia="en-US"/>
        </w:rPr>
        <w:t>15</w:t>
      </w:r>
      <w:r w:rsidR="00EF101C">
        <w:rPr>
          <w:lang w:eastAsia="en-US"/>
        </w:rPr>
        <w:t xml:space="preserve"> of the Convention</w:t>
      </w:r>
      <w:r w:rsidRPr="00EF0015" w:rsidR="00E02FAC">
        <w:rPr>
          <w:lang w:eastAsia="en-US"/>
        </w:rPr>
        <w:t>, and concluded that the Convention did not apply to the military action of the respondent States which resulted in th</w:t>
      </w:r>
      <w:r w:rsidRPr="00EF0015" w:rsidR="008718DF">
        <w:rPr>
          <w:lang w:eastAsia="en-US"/>
        </w:rPr>
        <w:t>os</w:t>
      </w:r>
      <w:r w:rsidRPr="00EF0015" w:rsidR="00E02FAC">
        <w:rPr>
          <w:lang w:eastAsia="en-US"/>
        </w:rPr>
        <w:t>e applicants</w:t>
      </w:r>
      <w:r w:rsidR="008570E8">
        <w:rPr>
          <w:lang w:eastAsia="en-US"/>
        </w:rPr>
        <w:t>’</w:t>
      </w:r>
      <w:r w:rsidRPr="00EF0015" w:rsidR="00E02FAC">
        <w:rPr>
          <w:lang w:eastAsia="en-US"/>
        </w:rPr>
        <w:t xml:space="preserve"> relatives</w:t>
      </w:r>
      <w:r w:rsidR="008570E8">
        <w:rPr>
          <w:lang w:eastAsia="en-US"/>
        </w:rPr>
        <w:t>’</w:t>
      </w:r>
      <w:r w:rsidRPr="00EF0015" w:rsidR="00E02FAC">
        <w:rPr>
          <w:lang w:eastAsia="en-US"/>
        </w:rPr>
        <w:t xml:space="preserve"> deaths.</w:t>
      </w:r>
      <w:r w:rsidRPr="00EF0015" w:rsidR="00CB4373">
        <w:rPr>
          <w:lang w:eastAsia="en-US"/>
        </w:rPr>
        <w:t xml:space="preserve"> Equally, in the present case, the military action of United Kingdom soldiers in shooting the applicants</w:t>
      </w:r>
      <w:r w:rsidR="008570E8">
        <w:rPr>
          <w:lang w:eastAsia="en-US"/>
        </w:rPr>
        <w:t>’</w:t>
      </w:r>
      <w:r w:rsidRPr="00EF0015" w:rsidR="00CB4373">
        <w:rPr>
          <w:lang w:eastAsia="en-US"/>
        </w:rPr>
        <w:t xml:space="preserve"> relatives whil</w:t>
      </w:r>
      <w:r w:rsidR="00537A20">
        <w:rPr>
          <w:lang w:eastAsia="en-US"/>
        </w:rPr>
        <w:t>e</w:t>
      </w:r>
      <w:r w:rsidRPr="00EF0015" w:rsidR="00CB4373">
        <w:rPr>
          <w:lang w:eastAsia="en-US"/>
        </w:rPr>
        <w:t xml:space="preserve"> carrying out military security operations in Iraq did not constitute an exercise of jurisdiction over them. No distinction could be drawn in this respect between a death resulting from a bombing and one resulting from a shooting in the course of a ground operation.</w:t>
      </w:r>
    </w:p>
    <w:p w:rsidRPr="00EF0015" w:rsidR="00093D5D" w:rsidP="007B69E1" w:rsidRDefault="00CB4373">
      <w:pPr>
        <w:pStyle w:val="JuPara"/>
        <w:rPr>
          <w:lang w:eastAsia="en-US"/>
        </w:rPr>
      </w:pPr>
      <w:r w:rsidRPr="00EF0015">
        <w:rPr>
          <w:lang w:eastAsia="en-US"/>
        </w:rPr>
        <w:fldChar w:fldCharType="begin"/>
      </w:r>
      <w:r w:rsidRPr="00EF0015">
        <w:rPr>
          <w:lang w:eastAsia="en-US"/>
        </w:rPr>
        <w:instrText xml:space="preserve"> SEQ level0 \*arabic </w:instrText>
      </w:r>
      <w:r w:rsidRPr="00EF0015">
        <w:rPr>
          <w:lang w:eastAsia="en-US"/>
        </w:rPr>
        <w:fldChar w:fldCharType="separate"/>
      </w:r>
      <w:r w:rsidR="00524A6D">
        <w:rPr>
          <w:noProof/>
          <w:lang w:eastAsia="en-US"/>
        </w:rPr>
        <w:t>117</w:t>
      </w:r>
      <w:r w:rsidRPr="00EF0015">
        <w:rPr>
          <w:lang w:eastAsia="en-US"/>
        </w:rPr>
        <w:fldChar w:fldCharType="end"/>
      </w:r>
      <w:r w:rsidRPr="00EF0015">
        <w:rPr>
          <w:lang w:eastAsia="en-US"/>
        </w:rPr>
        <w:t>.  The Government rejected the applicants</w:t>
      </w:r>
      <w:r w:rsidR="008570E8">
        <w:rPr>
          <w:lang w:eastAsia="en-US"/>
        </w:rPr>
        <w:t>’</w:t>
      </w:r>
      <w:r w:rsidRPr="00EF0015">
        <w:rPr>
          <w:lang w:eastAsia="en-US"/>
        </w:rPr>
        <w:t xml:space="preserve"> argument that a jurisdictional link existed because the United Kingdom soldiers were exercising “legal authority” over the deceased, derived from the obligation under the Hague Regulations to ensure “public order and safety” in the occupied territory. The meaning of Article 1 of the Convention was autonomous and could not be determined by reference to wholly distinct provisions of international humanitarian law. </w:t>
      </w:r>
      <w:r w:rsidRPr="00EF0015" w:rsidR="00EE2C6C">
        <w:rPr>
          <w:lang w:eastAsia="en-US"/>
        </w:rPr>
        <w:t xml:space="preserve">Moreover, the duty relied on was owed to every Iraqi citizen within the occupied territory and, if the applicants were correct, the United Kingdom would have been required to secure Convention rights to </w:t>
      </w:r>
      <w:r w:rsidR="00EF101C">
        <w:rPr>
          <w:lang w:eastAsia="en-US"/>
        </w:rPr>
        <w:t xml:space="preserve">them </w:t>
      </w:r>
      <w:r w:rsidRPr="00EF0015" w:rsidR="00EE2C6C">
        <w:rPr>
          <w:lang w:eastAsia="en-US"/>
        </w:rPr>
        <w:t xml:space="preserve">all. Nor could it be said that United Kingdom troops at the relevant time were exercising “public </w:t>
      </w:r>
      <w:r w:rsidR="00E15FF5">
        <w:rPr>
          <w:lang w:eastAsia="en-US"/>
        </w:rPr>
        <w:t>powers</w:t>
      </w:r>
      <w:r w:rsidRPr="00EF0015" w:rsidR="00EE2C6C">
        <w:rPr>
          <w:lang w:eastAsia="en-US"/>
        </w:rPr>
        <w:t xml:space="preserve">” pursuant to treaty arrangements (see </w:t>
      </w:r>
      <w:r w:rsidRPr="00EF0015" w:rsidR="00EE2C6C">
        <w:rPr>
          <w:i/>
          <w:lang w:eastAsia="en-US"/>
        </w:rPr>
        <w:t>Banković</w:t>
      </w:r>
      <w:r w:rsidR="00035A69">
        <w:rPr>
          <w:i/>
          <w:lang w:eastAsia="en-US"/>
        </w:rPr>
        <w:t xml:space="preserve"> and Others</w:t>
      </w:r>
      <w:r w:rsidRPr="00EF0015" w:rsidR="00EE2C6C">
        <w:rPr>
          <w:lang w:eastAsia="en-US"/>
        </w:rPr>
        <w:t xml:space="preserve">, </w:t>
      </w:r>
      <w:r w:rsidRPr="00EF0015" w:rsidR="00EF101C">
        <w:t>cited above</w:t>
      </w:r>
      <w:r w:rsidR="00EF101C">
        <w:t>,</w:t>
      </w:r>
      <w:r w:rsidRPr="00EF0015" w:rsidR="00EF101C">
        <w:t xml:space="preserve"> </w:t>
      </w:r>
      <w:r w:rsidRPr="00EF0015" w:rsidR="00EE2C6C">
        <w:rPr>
          <w:lang w:eastAsia="en-US"/>
        </w:rPr>
        <w:t>§</w:t>
      </w:r>
      <w:r w:rsidR="00035A69">
        <w:rPr>
          <w:lang w:eastAsia="en-US"/>
        </w:rPr>
        <w:t> </w:t>
      </w:r>
      <w:r w:rsidRPr="00EF0015" w:rsidR="00EE2C6C">
        <w:rPr>
          <w:lang w:eastAsia="en-US"/>
        </w:rPr>
        <w:t>73). In fact, United Kingdom troops were exercising military power in an effort to create a situation in which government</w:t>
      </w:r>
      <w:r w:rsidR="0071765A">
        <w:rPr>
          <w:lang w:eastAsia="en-US"/>
        </w:rPr>
        <w:t>al</w:t>
      </w:r>
      <w:r w:rsidRPr="00EF0015" w:rsidR="00EE2C6C">
        <w:rPr>
          <w:lang w:eastAsia="en-US"/>
        </w:rPr>
        <w:t xml:space="preserve"> functions could be exercised and the rule of law could properly operate. No sensible distinction could be drawn between </w:t>
      </w:r>
      <w:r w:rsidR="0071765A">
        <w:rPr>
          <w:lang w:eastAsia="en-US"/>
        </w:rPr>
        <w:t xml:space="preserve">the </w:t>
      </w:r>
      <w:r w:rsidRPr="00EF0015" w:rsidR="00EE2C6C">
        <w:rPr>
          <w:lang w:eastAsia="en-US"/>
        </w:rPr>
        <w:t xml:space="preserve">different types of military </w:t>
      </w:r>
      <w:r w:rsidRPr="00EF0015" w:rsidR="00A53593">
        <w:rPr>
          <w:lang w:eastAsia="en-US"/>
        </w:rPr>
        <w:t>operation undertaken by them. There was no basis for concluding that the applicability of the Convention should turn upon the particular activity that a soldier was engaged in at the time of the alleged violation, whether street patrol, ground offensive or aerial bombardment.</w:t>
      </w:r>
    </w:p>
    <w:p w:rsidRPr="00EF0015" w:rsidR="00F2731E" w:rsidP="00F2731E" w:rsidRDefault="00A53593">
      <w:pPr>
        <w:pStyle w:val="JuPara"/>
      </w:pPr>
      <w:r w:rsidRPr="00EF0015">
        <w:rPr>
          <w:lang w:eastAsia="en-US"/>
        </w:rPr>
        <w:fldChar w:fldCharType="begin"/>
      </w:r>
      <w:r w:rsidRPr="00EF0015">
        <w:rPr>
          <w:lang w:eastAsia="en-US"/>
        </w:rPr>
        <w:instrText xml:space="preserve"> SEQ level0 \*arabic </w:instrText>
      </w:r>
      <w:r w:rsidRPr="00EF0015">
        <w:rPr>
          <w:lang w:eastAsia="en-US"/>
        </w:rPr>
        <w:fldChar w:fldCharType="separate"/>
      </w:r>
      <w:r w:rsidR="00524A6D">
        <w:rPr>
          <w:noProof/>
          <w:lang w:eastAsia="en-US"/>
        </w:rPr>
        <w:t>118</w:t>
      </w:r>
      <w:r w:rsidRPr="00EF0015">
        <w:rPr>
          <w:lang w:eastAsia="en-US"/>
        </w:rPr>
        <w:fldChar w:fldCharType="end"/>
      </w:r>
      <w:r w:rsidRPr="00EF0015">
        <w:rPr>
          <w:lang w:eastAsia="en-US"/>
        </w:rPr>
        <w:t xml:space="preserve">.  In conclusion, the Government submitted that the domestic courts </w:t>
      </w:r>
      <w:r w:rsidRPr="00EF0015" w:rsidR="00934D62">
        <w:rPr>
          <w:lang w:eastAsia="en-US"/>
        </w:rPr>
        <w:t>were correct that the United Kingdom</w:t>
      </w:r>
      <w:r w:rsidR="00C976AF">
        <w:rPr>
          <w:lang w:eastAsia="en-US"/>
        </w:rPr>
        <w:t xml:space="preserve"> did not exercise any Article </w:t>
      </w:r>
      <w:r w:rsidRPr="00EF0015" w:rsidR="00934D62">
        <w:rPr>
          <w:lang w:eastAsia="en-US"/>
        </w:rPr>
        <w:t xml:space="preserve">1 jurisdiction over the relatives of the first to fourth applicants at the time of their deaths. The cases could not be distinguished from that of the </w:t>
      </w:r>
      <w:r w:rsidRPr="00EF0015" w:rsidR="008718DF">
        <w:rPr>
          <w:lang w:eastAsia="en-US"/>
        </w:rPr>
        <w:t xml:space="preserve">deceased </w:t>
      </w:r>
      <w:r w:rsidRPr="00EF0015" w:rsidR="00934D62">
        <w:rPr>
          <w:lang w:eastAsia="en-US"/>
        </w:rPr>
        <w:t xml:space="preserve">in </w:t>
      </w:r>
      <w:r w:rsidRPr="00EF0015" w:rsidR="00934D62">
        <w:rPr>
          <w:i/>
          <w:lang w:eastAsia="en-US"/>
        </w:rPr>
        <w:t>Banković</w:t>
      </w:r>
      <w:r w:rsidR="00035A69">
        <w:rPr>
          <w:i/>
          <w:lang w:eastAsia="en-US"/>
        </w:rPr>
        <w:t xml:space="preserve"> and Others</w:t>
      </w:r>
      <w:r w:rsidR="0071765A">
        <w:rPr>
          <w:i/>
          <w:lang w:eastAsia="en-US"/>
        </w:rPr>
        <w:t xml:space="preserve"> </w:t>
      </w:r>
      <w:r w:rsidRPr="00EF0015" w:rsidR="0071765A">
        <w:t>(cited above).</w:t>
      </w:r>
      <w:r w:rsidR="00127CF4">
        <w:rPr>
          <w:lang w:eastAsia="en-US"/>
        </w:rPr>
        <w:t xml:space="preserve"> </w:t>
      </w:r>
      <w:r w:rsidRPr="00EF0015" w:rsidR="008718DF">
        <w:rPr>
          <w:lang w:eastAsia="en-US"/>
        </w:rPr>
        <w:t>Nor were the</w:t>
      </w:r>
      <w:r w:rsidRPr="00EF0015" w:rsidR="00934D62">
        <w:rPr>
          <w:lang w:eastAsia="en-US"/>
        </w:rPr>
        <w:t xml:space="preserve"> facts </w:t>
      </w:r>
      <w:r w:rsidRPr="00EF0015" w:rsidR="00F460C7">
        <w:rPr>
          <w:lang w:eastAsia="en-US"/>
        </w:rPr>
        <w:t xml:space="preserve">of </w:t>
      </w:r>
      <w:r w:rsidRPr="00EF0015" w:rsidR="008718DF">
        <w:rPr>
          <w:lang w:eastAsia="en-US"/>
        </w:rPr>
        <w:t>the fifth applicant</w:t>
      </w:r>
      <w:r w:rsidR="008570E8">
        <w:rPr>
          <w:lang w:eastAsia="en-US"/>
        </w:rPr>
        <w:t>’</w:t>
      </w:r>
      <w:r w:rsidRPr="00EF0015" w:rsidR="008718DF">
        <w:rPr>
          <w:lang w:eastAsia="en-US"/>
        </w:rPr>
        <w:t>s</w:t>
      </w:r>
      <w:r w:rsidRPr="00EF0015" w:rsidR="00F460C7">
        <w:rPr>
          <w:lang w:eastAsia="en-US"/>
        </w:rPr>
        <w:t xml:space="preserve"> case </w:t>
      </w:r>
      <w:r w:rsidRPr="00EF0015" w:rsidR="00934D62">
        <w:rPr>
          <w:lang w:eastAsia="en-US"/>
        </w:rPr>
        <w:t>sufficient to distinguish it in this respect from th</w:t>
      </w:r>
      <w:r w:rsidRPr="00EF0015" w:rsidR="00F460C7">
        <w:rPr>
          <w:lang w:eastAsia="en-US"/>
        </w:rPr>
        <w:t>ose</w:t>
      </w:r>
      <w:r w:rsidRPr="00EF0015" w:rsidR="00934D62">
        <w:rPr>
          <w:lang w:eastAsia="en-US"/>
        </w:rPr>
        <w:t xml:space="preserve"> of the first to fourth applicants. </w:t>
      </w:r>
      <w:r w:rsidRPr="00EF0015" w:rsidR="00F460C7">
        <w:rPr>
          <w:lang w:eastAsia="en-US"/>
        </w:rPr>
        <w:t>The fifth applicant</w:t>
      </w:r>
      <w:r w:rsidR="008570E8">
        <w:rPr>
          <w:lang w:eastAsia="en-US"/>
        </w:rPr>
        <w:t>’</w:t>
      </w:r>
      <w:r w:rsidRPr="00EF0015" w:rsidR="00F460C7">
        <w:rPr>
          <w:lang w:eastAsia="en-US"/>
        </w:rPr>
        <w:t xml:space="preserve">s son was not arrested in circumstances similar to those which founded jurisdiction in </w:t>
      </w:r>
      <w:r w:rsidRPr="00EF0015" w:rsidR="00F460C7">
        <w:rPr>
          <w:i/>
          <w:lang w:eastAsia="en-US"/>
        </w:rPr>
        <w:t>Öcalan</w:t>
      </w:r>
      <w:r w:rsidR="0071765A">
        <w:rPr>
          <w:i/>
          <w:lang w:eastAsia="en-US"/>
        </w:rPr>
        <w:t xml:space="preserve"> </w:t>
      </w:r>
      <w:r w:rsidRPr="00EF0015" w:rsidR="0071765A">
        <w:t xml:space="preserve">(cited above). </w:t>
      </w:r>
      <w:r w:rsidRPr="00EF0015" w:rsidR="00F460C7">
        <w:rPr>
          <w:lang w:eastAsia="en-US"/>
        </w:rPr>
        <w:t xml:space="preserve">As a suspected looter, in the situation of extreme public disorder in the immediate aftermath of the cessation of major combat activities, he was physically required by United Kingdom soldiers to move from the place of looting to another location. The acts of </w:t>
      </w:r>
      <w:r w:rsidR="0071765A">
        <w:rPr>
          <w:lang w:eastAsia="en-US"/>
        </w:rPr>
        <w:t xml:space="preserve">the </w:t>
      </w:r>
      <w:r w:rsidRPr="00EF0015" w:rsidR="00F460C7">
        <w:rPr>
          <w:lang w:eastAsia="en-US"/>
        </w:rPr>
        <w:t>United Kingdom soldiers involved an assertion of military power over the fifth applicant</w:t>
      </w:r>
      <w:r w:rsidR="008570E8">
        <w:rPr>
          <w:lang w:eastAsia="en-US"/>
        </w:rPr>
        <w:t>’</w:t>
      </w:r>
      <w:r w:rsidR="00FA6DEC">
        <w:rPr>
          <w:lang w:eastAsia="en-US"/>
        </w:rPr>
        <w:t>s son</w:t>
      </w:r>
      <w:r w:rsidRPr="00EF0015" w:rsidR="008718DF">
        <w:rPr>
          <w:lang w:eastAsia="en-US"/>
        </w:rPr>
        <w:t>,</w:t>
      </w:r>
      <w:r w:rsidR="00127CF4">
        <w:rPr>
          <w:lang w:eastAsia="en-US"/>
        </w:rPr>
        <w:t xml:space="preserve"> but no more. </w:t>
      </w:r>
      <w:r w:rsidRPr="00EF0015" w:rsidR="00F2731E">
        <w:rPr>
          <w:lang w:eastAsia="en-US"/>
        </w:rPr>
        <w:t>The</w:t>
      </w:r>
      <w:r w:rsidRPr="00EF0015" w:rsidR="008379A7">
        <w:rPr>
          <w:lang w:eastAsia="en-US"/>
        </w:rPr>
        <w:t xml:space="preserve"> Government accepted that </w:t>
      </w:r>
      <w:r w:rsidRPr="00EF0015" w:rsidR="00F2731E">
        <w:rPr>
          <w:lang w:eastAsia="en-US"/>
        </w:rPr>
        <w:t>the sixth applicant</w:t>
      </w:r>
      <w:r w:rsidR="008570E8">
        <w:rPr>
          <w:lang w:eastAsia="en-US"/>
        </w:rPr>
        <w:t>’</w:t>
      </w:r>
      <w:r w:rsidRPr="00EF0015" w:rsidR="00F2731E">
        <w:rPr>
          <w:lang w:eastAsia="en-US"/>
        </w:rPr>
        <w:t>s son was within United Kingdom jurisdiction when he died, but only on the basis found by the Divisional Court and subsequently by Lord Brown, with whom Lords Ro</w:t>
      </w:r>
      <w:r w:rsidR="0033762E">
        <w:rPr>
          <w:lang w:eastAsia="en-US"/>
        </w:rPr>
        <w:t>d</w:t>
      </w:r>
      <w:r w:rsidRPr="00EF0015" w:rsidR="00F2731E">
        <w:rPr>
          <w:lang w:eastAsia="en-US"/>
        </w:rPr>
        <w:t>ger and Carswell and Baroness Hale agreed, namely that jurisdiction was established when the deceased was detained in a United Kingdom-run military detention facility located in a United Kingdom base, essentially by analogy with the extraterritorial exception made for embassies. At the hearing before the Court, counsel for the Government confirmed that it was the Government</w:t>
      </w:r>
      <w:r w:rsidR="008570E8">
        <w:rPr>
          <w:lang w:eastAsia="en-US"/>
        </w:rPr>
        <w:t>’</w:t>
      </w:r>
      <w:r w:rsidRPr="00EF0015" w:rsidR="00F2731E">
        <w:rPr>
          <w:lang w:eastAsia="en-US"/>
        </w:rPr>
        <w:t xml:space="preserve">s position </w:t>
      </w:r>
      <w:r w:rsidRPr="00EF0015" w:rsidR="00F2731E">
        <w:t xml:space="preserve">that, for example, an individual being taken to a </w:t>
      </w:r>
      <w:r w:rsidR="00900F90">
        <w:t xml:space="preserve">British </w:t>
      </w:r>
      <w:r w:rsidRPr="00EF0015" w:rsidR="00F2731E">
        <w:t xml:space="preserve">detention facility </w:t>
      </w:r>
      <w:r w:rsidR="0030658D">
        <w:t xml:space="preserve">on foreign soil </w:t>
      </w:r>
      <w:r w:rsidRPr="00EF0015" w:rsidR="00F2731E">
        <w:t xml:space="preserve">in a </w:t>
      </w:r>
      <w:r w:rsidR="00900F90">
        <w:t>British</w:t>
      </w:r>
      <w:r w:rsidRPr="00EF0015" w:rsidR="00F2731E">
        <w:t xml:space="preserve"> military vehicle would not fall within the United Kingdom</w:t>
      </w:r>
      <w:r w:rsidR="008570E8">
        <w:t>’</w:t>
      </w:r>
      <w:r w:rsidRPr="00EF0015" w:rsidR="00F2731E">
        <w:t>s jurisdiction</w:t>
      </w:r>
      <w:r w:rsidR="0071765A">
        <w:t xml:space="preserve"> until</w:t>
      </w:r>
      <w:r w:rsidRPr="00EF0015" w:rsidR="00F2731E">
        <w:t xml:space="preserve"> the moment the vehicle and individual passed within the perimeter of the facility</w:t>
      </w:r>
      <w:r w:rsidR="0071765A">
        <w:t>.</w:t>
      </w:r>
    </w:p>
    <w:p w:rsidRPr="00EF0015" w:rsidR="00F80653" w:rsidP="00F80653" w:rsidRDefault="00F80653">
      <w:pPr>
        <w:pStyle w:val="JuPara"/>
      </w:pPr>
      <w:r w:rsidRPr="00EF0015">
        <w:fldChar w:fldCharType="begin"/>
      </w:r>
      <w:r w:rsidRPr="00EF0015">
        <w:instrText xml:space="preserve"> SEQ level0 \*arabic </w:instrText>
      </w:r>
      <w:r w:rsidRPr="00EF0015">
        <w:fldChar w:fldCharType="separate"/>
      </w:r>
      <w:r w:rsidR="00524A6D">
        <w:rPr>
          <w:noProof/>
        </w:rPr>
        <w:t>119</w:t>
      </w:r>
      <w:r w:rsidRPr="00EF0015">
        <w:fldChar w:fldCharType="end"/>
      </w:r>
      <w:r w:rsidRPr="00EF0015">
        <w:t xml:space="preserve">.  This did not mean that United Kingdom troops were free to act with impunity in Iraq. As Lord Bingham observed in his </w:t>
      </w:r>
      <w:r w:rsidR="007E20F4">
        <w:t>opinion</w:t>
      </w:r>
      <w:r w:rsidRPr="00EF0015">
        <w:t xml:space="preserve"> in the House of Lords, the acts of the United Kingdom forces were subject to and regulated by international humanitarian law. United Kingdom soldiers in Iraq were also subject to United Kingdom domestic criminal law and could be prosecuted in the national courts. The International Criminal Court had jurisdiction to prosecute war crimes where the State was unwilling or unable to prosecute. Civil claims in tort could also be brought in the United Kingdom courts against United Kingdom agents and authorities alleged to have caused injury to individuals in Iraq.</w:t>
      </w:r>
    </w:p>
    <w:p w:rsidRPr="00EF0015" w:rsidR="00840913" w:rsidP="00BC2347" w:rsidRDefault="00127CF4">
      <w:pPr>
        <w:pStyle w:val="JuHi"/>
      </w:pPr>
      <w:bookmarkStart w:name="_Toc275785591" w:id="136"/>
      <w:bookmarkStart w:name="_Toc289765889" w:id="137"/>
      <w:bookmarkStart w:name="_Toc289868978" w:id="138"/>
      <w:r>
        <w:t>(</w:t>
      </w:r>
      <w:r w:rsidRPr="00EF0015" w:rsidR="00BC2347">
        <w:t>ii</w:t>
      </w:r>
      <w:r>
        <w:t>)  </w:t>
      </w:r>
      <w:r w:rsidRPr="00EF0015" w:rsidR="00840913">
        <w:t>The applicants</w:t>
      </w:r>
      <w:bookmarkEnd w:id="136"/>
      <w:bookmarkEnd w:id="137"/>
      <w:bookmarkEnd w:id="138"/>
    </w:p>
    <w:p w:rsidRPr="00EF0015" w:rsidR="00A71A7D" w:rsidP="00840913" w:rsidRDefault="00F2731E">
      <w:pPr>
        <w:pStyle w:val="JuPara"/>
      </w:pPr>
      <w:r w:rsidRPr="00EF0015">
        <w:fldChar w:fldCharType="begin"/>
      </w:r>
      <w:r w:rsidRPr="00EF0015">
        <w:instrText xml:space="preserve"> SEQ level0 \*arabic </w:instrText>
      </w:r>
      <w:r w:rsidRPr="00EF0015">
        <w:fldChar w:fldCharType="separate"/>
      </w:r>
      <w:r w:rsidR="00524A6D">
        <w:rPr>
          <w:noProof/>
        </w:rPr>
        <w:t>120</w:t>
      </w:r>
      <w:r w:rsidRPr="00EF0015">
        <w:fldChar w:fldCharType="end"/>
      </w:r>
      <w:r w:rsidRPr="00EF0015">
        <w:t>.  </w:t>
      </w:r>
      <w:r w:rsidRPr="00EF0015" w:rsidR="00A3549E">
        <w:t xml:space="preserve">The applicants accepted that jurisdiction under Article 1 was essentially territorial. However, </w:t>
      </w:r>
      <w:r w:rsidRPr="00EF0015" w:rsidR="006448AC">
        <w:t xml:space="preserve">they underlined that </w:t>
      </w:r>
      <w:r w:rsidRPr="00EF0015" w:rsidR="00A3549E">
        <w:t xml:space="preserve">it was not exclusively so and </w:t>
      </w:r>
      <w:r w:rsidRPr="00EF0015" w:rsidR="006448AC">
        <w:t xml:space="preserve">that </w:t>
      </w:r>
      <w:r w:rsidRPr="00EF0015" w:rsidR="00A3549E">
        <w:t xml:space="preserve">it was possible for a Contracting State to exercise jurisdiction extraterritorially. </w:t>
      </w:r>
      <w:r w:rsidRPr="00EF0015" w:rsidR="006448AC">
        <w:t xml:space="preserve">The </w:t>
      </w:r>
      <w:r w:rsidRPr="00EF0015" w:rsidR="00404439">
        <w:t>procedure</w:t>
      </w:r>
      <w:r w:rsidRPr="00EF0015" w:rsidR="006448AC">
        <w:t xml:space="preserve"> under Article 56 allowed States to extend the reach of the Convention to other territories, with due regard to local requirements, by means of a notified declaration. However, it was clear from the case-law that Article 56 was not </w:t>
      </w:r>
      <w:r w:rsidRPr="00EF0015" w:rsidR="00404439">
        <w:t>an exclusive mechanism</w:t>
      </w:r>
      <w:r w:rsidR="00C01416">
        <w:t xml:space="preserve"> for extra</w:t>
      </w:r>
      <w:r w:rsidRPr="00EF0015" w:rsidR="006448AC">
        <w:t xml:space="preserve">territorial </w:t>
      </w:r>
      <w:r w:rsidRPr="00EF0015" w:rsidR="00404439">
        <w:t>applicability</w:t>
      </w:r>
      <w:r w:rsidRPr="00EF0015" w:rsidR="00A71A7D">
        <w:t>.</w:t>
      </w:r>
    </w:p>
    <w:p w:rsidR="00C81668" w:rsidP="00840913" w:rsidRDefault="00400394">
      <w:pPr>
        <w:pStyle w:val="JuPara"/>
        <w:rPr>
          <w:snapToGrid w:val="0"/>
          <w:lang w:eastAsia="en-US"/>
        </w:rPr>
      </w:pPr>
      <w:r w:rsidRPr="00EF0015">
        <w:fldChar w:fldCharType="begin"/>
      </w:r>
      <w:r w:rsidRPr="00EF0015">
        <w:instrText xml:space="preserve"> SEQ level0 \*arabic </w:instrText>
      </w:r>
      <w:r w:rsidRPr="00EF0015">
        <w:fldChar w:fldCharType="separate"/>
      </w:r>
      <w:r w:rsidR="00524A6D">
        <w:rPr>
          <w:noProof/>
        </w:rPr>
        <w:t>121</w:t>
      </w:r>
      <w:r w:rsidRPr="00EF0015">
        <w:fldChar w:fldCharType="end"/>
      </w:r>
      <w:r w:rsidRPr="00EF0015">
        <w:t>.  </w:t>
      </w:r>
      <w:r w:rsidRPr="00EF0015" w:rsidR="005B0E34">
        <w:t xml:space="preserve">The applicants submitted that the case-law of the Court and Commission recognised the exercise </w:t>
      </w:r>
      <w:r w:rsidR="00C01416">
        <w:t>by States of jurisdiction extra</w:t>
      </w:r>
      <w:r w:rsidRPr="00EF0015" w:rsidR="005B0E34">
        <w:t>territorially through the principle</w:t>
      </w:r>
      <w:r w:rsidRPr="00EF0015" w:rsidR="005A4ECD">
        <w:t>s</w:t>
      </w:r>
      <w:r w:rsidRPr="00EF0015" w:rsidR="005B0E34">
        <w:t xml:space="preserve"> of </w:t>
      </w:r>
      <w:r w:rsidRPr="00EF0015" w:rsidR="005A4ECD">
        <w:t xml:space="preserve">both </w:t>
      </w:r>
      <w:r w:rsidRPr="00EF0015" w:rsidR="005B0E34">
        <w:t>“State agent authority” and “effective control of an area”.</w:t>
      </w:r>
      <w:r w:rsidRPr="00EF0015" w:rsidR="005A4ECD">
        <w:t xml:space="preserve"> </w:t>
      </w:r>
      <w:r w:rsidRPr="00EF0015" w:rsidR="00F411DC">
        <w:t>The first reference to “State agent authority” jurisdiction was in the Commission</w:t>
      </w:r>
      <w:r w:rsidR="008570E8">
        <w:t>’</w:t>
      </w:r>
      <w:r w:rsidRPr="00EF0015" w:rsidR="00F411DC">
        <w:t xml:space="preserve">s </w:t>
      </w:r>
      <w:r w:rsidRPr="00EF0015" w:rsidR="005A4ECD">
        <w:t xml:space="preserve">admissibility decision in </w:t>
      </w:r>
      <w:r w:rsidRPr="00EF0015" w:rsidR="005A4ECD">
        <w:rPr>
          <w:i/>
        </w:rPr>
        <w:t>Cyprus v</w:t>
      </w:r>
      <w:r w:rsidR="007167CD">
        <w:rPr>
          <w:i/>
        </w:rPr>
        <w:t>. </w:t>
      </w:r>
      <w:r w:rsidRPr="00EF0015" w:rsidR="001228E9">
        <w:rPr>
          <w:i/>
        </w:rPr>
        <w:t xml:space="preserve">Turkey </w:t>
      </w:r>
      <w:r w:rsidR="003F1157">
        <w:t>(</w:t>
      </w:r>
      <w:r w:rsidRPr="00EF0015" w:rsidR="001228E9">
        <w:t xml:space="preserve">nos. 6780/74 and 6950/75, Commission decision of 26 May 1975, </w:t>
      </w:r>
      <w:r w:rsidR="003F1157">
        <w:t>DR</w:t>
      </w:r>
      <w:r w:rsidRPr="00EF0015" w:rsidR="001228E9">
        <w:t xml:space="preserve"> 2</w:t>
      </w:r>
      <w:r w:rsidR="003F1157">
        <w:t>,</w:t>
      </w:r>
      <w:r w:rsidRPr="00EF0015" w:rsidR="001228E9">
        <w:t xml:space="preserve"> p</w:t>
      </w:r>
      <w:r w:rsidR="00334356">
        <w:t xml:space="preserve">. </w:t>
      </w:r>
      <w:r w:rsidRPr="00EF0015" w:rsidR="001228E9">
        <w:t>125, a</w:t>
      </w:r>
      <w:r w:rsidRPr="00EF0015" w:rsidR="005A4ECD">
        <w:t>t p. 136</w:t>
      </w:r>
      <w:r w:rsidR="003F1157">
        <w:t>)</w:t>
      </w:r>
      <w:r w:rsidRPr="00EF0015" w:rsidR="005A4ECD">
        <w:t xml:space="preserve">, </w:t>
      </w:r>
      <w:r w:rsidRPr="00EF0015" w:rsidR="00F411DC">
        <w:t xml:space="preserve">when </w:t>
      </w:r>
      <w:r w:rsidRPr="00EF0015" w:rsidR="005A4ECD">
        <w:t xml:space="preserve">the </w:t>
      </w:r>
      <w:r w:rsidRPr="00EF0015" w:rsidR="001228E9">
        <w:t xml:space="preserve">Commission </w:t>
      </w:r>
      <w:r w:rsidRPr="00EF0015" w:rsidR="00F411DC">
        <w:t>observed</w:t>
      </w:r>
      <w:r w:rsidRPr="00EF0015" w:rsidR="005A4ECD">
        <w:t xml:space="preserve"> that</w:t>
      </w:r>
      <w:r w:rsidRPr="00EF0015" w:rsidR="001228E9">
        <w:t xml:space="preserve"> </w:t>
      </w:r>
      <w:r w:rsidRPr="00EF0015" w:rsidR="005A4ECD">
        <w:t xml:space="preserve">“authorised agents of the State </w:t>
      </w:r>
      <w:r w:rsidR="00E07594">
        <w:t>...</w:t>
      </w:r>
      <w:r w:rsidRPr="00EF0015" w:rsidR="005A4ECD">
        <w:t xml:space="preserve"> not only remain under its jurisdiction when abroad but bring any other persons or property </w:t>
      </w:r>
      <w:r w:rsidR="008570E8">
        <w:t>‘</w:t>
      </w:r>
      <w:r w:rsidRPr="00EF0015" w:rsidR="005A4ECD">
        <w:t>within the jurisdiction</w:t>
      </w:r>
      <w:r w:rsidR="008570E8">
        <w:t>’</w:t>
      </w:r>
      <w:r w:rsidRPr="00EF0015" w:rsidR="005A4ECD">
        <w:t xml:space="preserve"> of that State, to the extent that they exercise authority over such persons or property”.</w:t>
      </w:r>
      <w:r w:rsidRPr="00EF0015" w:rsidR="001228E9">
        <w:t xml:space="preserve"> </w:t>
      </w:r>
      <w:r w:rsidRPr="00EF0015" w:rsidR="005A4ECD">
        <w:t xml:space="preserve">This principle was </w:t>
      </w:r>
      <w:r w:rsidRPr="00EF0015" w:rsidR="001228E9">
        <w:t xml:space="preserve">subsequently </w:t>
      </w:r>
      <w:r w:rsidRPr="00EF0015" w:rsidR="005A4ECD">
        <w:t xml:space="preserve">applied in </w:t>
      </w:r>
      <w:r w:rsidR="005221CF">
        <w:rPr>
          <w:i/>
        </w:rPr>
        <w:t>Cyprus v. </w:t>
      </w:r>
      <w:r w:rsidRPr="00EF0015" w:rsidR="005A4ECD">
        <w:rPr>
          <w:i/>
        </w:rPr>
        <w:t xml:space="preserve">Turkey </w:t>
      </w:r>
      <w:r w:rsidR="006E7A6A">
        <w:t>(</w:t>
      </w:r>
      <w:r w:rsidRPr="00EF0015" w:rsidR="005A4ECD">
        <w:t>nos. 6780/74 and 6950/75, Commission</w:t>
      </w:r>
      <w:r w:rsidR="008570E8">
        <w:t>’</w:t>
      </w:r>
      <w:r w:rsidR="006E7A6A">
        <w:t>s</w:t>
      </w:r>
      <w:r w:rsidRPr="00EF0015" w:rsidR="005A4ECD">
        <w:t xml:space="preserve"> </w:t>
      </w:r>
      <w:r w:rsidR="006E7A6A">
        <w:t>r</w:t>
      </w:r>
      <w:r w:rsidRPr="00EF0015" w:rsidR="005A4ECD">
        <w:t>eport of 10 July 1976</w:t>
      </w:r>
      <w:r w:rsidR="006E7A6A">
        <w:t>)</w:t>
      </w:r>
      <w:r w:rsidRPr="00EF0015" w:rsidR="005A4ECD">
        <w:t xml:space="preserve">, when the Commission found </w:t>
      </w:r>
      <w:r w:rsidR="005221CF">
        <w:t xml:space="preserve">that </w:t>
      </w:r>
      <w:r w:rsidRPr="00EF0015" w:rsidR="005A4ECD">
        <w:t>the actions of Turkish soldiers in Cyprus</w:t>
      </w:r>
      <w:r w:rsidRPr="00EF0015" w:rsidR="002A5C12">
        <w:t xml:space="preserve"> </w:t>
      </w:r>
      <w:r w:rsidRPr="00EF0015" w:rsidR="003842A7">
        <w:t>involv</w:t>
      </w:r>
      <w:r w:rsidRPr="00EF0015" w:rsidR="002A5C12">
        <w:t xml:space="preserve">ed </w:t>
      </w:r>
      <w:r w:rsidRPr="00EF0015" w:rsidR="003842A7">
        <w:t xml:space="preserve">the exercise of </w:t>
      </w:r>
      <w:r w:rsidRPr="00EF0015" w:rsidR="002A5C12">
        <w:t xml:space="preserve">Turkish jurisdiction. These actions </w:t>
      </w:r>
      <w:r w:rsidRPr="00EF0015" w:rsidR="00423A1B">
        <w:t>compris</w:t>
      </w:r>
      <w:r w:rsidRPr="00EF0015" w:rsidR="002A5C12">
        <w:t>ed</w:t>
      </w:r>
      <w:r w:rsidRPr="00EF0015" w:rsidR="005A4ECD">
        <w:t xml:space="preserve"> the killing of civilians</w:t>
      </w:r>
      <w:r w:rsidRPr="00EF0015" w:rsidR="002A5C12">
        <w:t xml:space="preserve">, including </w:t>
      </w:r>
      <w:r w:rsidRPr="00EF0015" w:rsidR="007F4C6A">
        <w:t xml:space="preserve">individuals </w:t>
      </w:r>
      <w:r w:rsidRPr="00EF0015" w:rsidR="002A5C12">
        <w:t xml:space="preserve">subject to the order of an officer and others </w:t>
      </w:r>
      <w:r w:rsidRPr="00EF0015" w:rsidR="007F4C6A">
        <w:t xml:space="preserve">shot while </w:t>
      </w:r>
      <w:r w:rsidRPr="00EF0015" w:rsidR="002A5C12">
        <w:t>attempting to recover possessions from property under Turkish control; the rape of</w:t>
      </w:r>
      <w:r w:rsidR="00C81668">
        <w:t xml:space="preserve"> </w:t>
      </w:r>
      <w:r w:rsidRPr="00EF0015" w:rsidR="002A5C12">
        <w:t xml:space="preserve">women in </w:t>
      </w:r>
      <w:r w:rsidRPr="00EF0015" w:rsidR="00F411DC">
        <w:t xml:space="preserve">empty </w:t>
      </w:r>
      <w:r w:rsidRPr="00EF0015" w:rsidR="002A5C12">
        <w:t xml:space="preserve">houses and on the street; the arbitrary detention of civilians; cruelty to detainees; </w:t>
      </w:r>
      <w:r w:rsidR="006E7A6A">
        <w:t xml:space="preserve">the </w:t>
      </w:r>
      <w:r w:rsidRPr="00EF0015" w:rsidR="002A5C12">
        <w:t>displacement of civilians</w:t>
      </w:r>
      <w:r w:rsidRPr="00EF0015" w:rsidR="007F4C6A">
        <w:t>;</w:t>
      </w:r>
      <w:r w:rsidRPr="00EF0015" w:rsidR="002A5C12">
        <w:t xml:space="preserve"> and </w:t>
      </w:r>
      <w:r w:rsidR="006E7A6A">
        <w:t xml:space="preserve">the </w:t>
      </w:r>
      <w:r w:rsidRPr="00EF0015" w:rsidR="002A5C12">
        <w:t xml:space="preserve">military confiscation of property. </w:t>
      </w:r>
      <w:r w:rsidRPr="00EF0015" w:rsidR="001228E9">
        <w:t>Since Turkey did not accept the Court</w:t>
      </w:r>
      <w:r w:rsidR="008570E8">
        <w:t>’</w:t>
      </w:r>
      <w:r w:rsidRPr="00EF0015" w:rsidR="001228E9">
        <w:t xml:space="preserve">s jurisdiction until 1990, the case was never examined by the Court. </w:t>
      </w:r>
      <w:r w:rsidRPr="00EF0015" w:rsidR="00B8212C">
        <w:t>T</w:t>
      </w:r>
      <w:r w:rsidRPr="00EF0015" w:rsidR="00B8212C">
        <w:rPr>
          <w:snapToGrid w:val="0"/>
          <w:lang w:eastAsia="en-US"/>
        </w:rPr>
        <w:t>he Commission</w:t>
      </w:r>
      <w:r w:rsidR="008570E8">
        <w:rPr>
          <w:snapToGrid w:val="0"/>
          <w:lang w:eastAsia="en-US"/>
        </w:rPr>
        <w:t>’</w:t>
      </w:r>
      <w:r w:rsidRPr="00EF0015" w:rsidR="00B8212C">
        <w:rPr>
          <w:snapToGrid w:val="0"/>
          <w:lang w:eastAsia="en-US"/>
        </w:rPr>
        <w:t>s report</w:t>
      </w:r>
      <w:r w:rsidRPr="00EF0015" w:rsidR="001228E9">
        <w:rPr>
          <w:snapToGrid w:val="0"/>
          <w:lang w:eastAsia="en-US"/>
        </w:rPr>
        <w:t xml:space="preserve">, however, </w:t>
      </w:r>
      <w:r w:rsidR="00525C94">
        <w:rPr>
          <w:snapToGrid w:val="0"/>
          <w:lang w:eastAsia="en-US"/>
        </w:rPr>
        <w:t>did not support</w:t>
      </w:r>
      <w:r w:rsidRPr="00EF0015" w:rsidR="00B8212C">
        <w:rPr>
          <w:snapToGrid w:val="0"/>
          <w:lang w:eastAsia="en-US"/>
        </w:rPr>
        <w:t xml:space="preserve"> the suggestion that military custodial authority alone constituted a relationship of sufficient authority and control.</w:t>
      </w:r>
    </w:p>
    <w:p w:rsidRPr="00EF0015" w:rsidR="00D70B6C" w:rsidP="00D70B6C" w:rsidRDefault="00F411DC">
      <w:pPr>
        <w:pStyle w:val="JuPara"/>
        <w:rPr>
          <w:lang w:eastAsia="en-US"/>
        </w:rPr>
      </w:pPr>
      <w:r w:rsidRPr="00EF0015">
        <w:fldChar w:fldCharType="begin"/>
      </w:r>
      <w:r w:rsidRPr="00EF0015">
        <w:instrText xml:space="preserve"> SEQ level0 \*arabic </w:instrText>
      </w:r>
      <w:r w:rsidRPr="00EF0015">
        <w:fldChar w:fldCharType="separate"/>
      </w:r>
      <w:r w:rsidR="00524A6D">
        <w:rPr>
          <w:noProof/>
        </w:rPr>
        <w:t>122</w:t>
      </w:r>
      <w:r w:rsidRPr="00EF0015">
        <w:fldChar w:fldCharType="end"/>
      </w:r>
      <w:r w:rsidRPr="00EF0015">
        <w:t>.  </w:t>
      </w:r>
      <w:r w:rsidRPr="00EF0015" w:rsidR="007B2220">
        <w:t>The applicants pointed out that i</w:t>
      </w:r>
      <w:r w:rsidRPr="00EF0015">
        <w:t xml:space="preserve">n the </w:t>
      </w:r>
      <w:r w:rsidRPr="00EF0015" w:rsidR="000A153A">
        <w:t xml:space="preserve">later </w:t>
      </w:r>
      <w:r w:rsidRPr="00EF0015">
        <w:t xml:space="preserve">cases against Turkey concerning northern Cyprus which were examined by the Commission and </w:t>
      </w:r>
      <w:r w:rsidRPr="00EF0015" w:rsidR="00F8161D">
        <w:t xml:space="preserve">the </w:t>
      </w:r>
      <w:r w:rsidRPr="00EF0015">
        <w:t>Court during the 1990s, Turkey ac</w:t>
      </w:r>
      <w:r w:rsidRPr="00EF0015" w:rsidR="000A153A">
        <w:t>cepted</w:t>
      </w:r>
      <w:r w:rsidRPr="00EF0015">
        <w:t xml:space="preserve"> that </w:t>
      </w:r>
      <w:r w:rsidRPr="00EF0015" w:rsidR="000A153A">
        <w:t>its jurisdiction under A</w:t>
      </w:r>
      <w:r w:rsidRPr="00EF0015">
        <w:t>rticle</w:t>
      </w:r>
      <w:r w:rsidR="00C976AF">
        <w:t> </w:t>
      </w:r>
      <w:r w:rsidRPr="00EF0015">
        <w:t xml:space="preserve">1 </w:t>
      </w:r>
      <w:r w:rsidRPr="00EF0015" w:rsidR="000A153A">
        <w:t>would be engaged in respect of</w:t>
      </w:r>
      <w:r w:rsidRPr="00EF0015">
        <w:t xml:space="preserve"> </w:t>
      </w:r>
      <w:r w:rsidR="007E20F4">
        <w:t xml:space="preserve">the </w:t>
      </w:r>
      <w:r w:rsidRPr="00EF0015">
        <w:t xml:space="preserve">direct acts of Turkish military personnel. However, </w:t>
      </w:r>
      <w:r w:rsidRPr="00EF0015" w:rsidR="000A153A">
        <w:t xml:space="preserve">the </w:t>
      </w:r>
      <w:r w:rsidRPr="00EF0015">
        <w:t>Turk</w:t>
      </w:r>
      <w:r w:rsidRPr="00EF0015" w:rsidR="000A153A">
        <w:t xml:space="preserve">ish Government shifted ground and </w:t>
      </w:r>
      <w:r w:rsidRPr="00EF0015">
        <w:t xml:space="preserve">argued that it did not have jurisdiction because the acts in question were </w:t>
      </w:r>
      <w:r w:rsidRPr="00EF0015" w:rsidR="000A153A">
        <w:t xml:space="preserve">not committed by Turkish agents but were instead </w:t>
      </w:r>
      <w:r w:rsidRPr="00EF0015">
        <w:t xml:space="preserve">attributable to an autonomous local administration installed in 1983, the “TRNC”. </w:t>
      </w:r>
      <w:r w:rsidRPr="00EF0015" w:rsidR="00F65D87">
        <w:t>The Court</w:t>
      </w:r>
      <w:r w:rsidR="006E7A6A">
        <w:t>,</w:t>
      </w:r>
      <w:r w:rsidRPr="00EF0015" w:rsidR="00F65D87">
        <w:t xml:space="preserve"> in </w:t>
      </w:r>
      <w:r w:rsidRPr="00EF0015" w:rsidR="00F65D87">
        <w:rPr>
          <w:i/>
          <w:lang w:eastAsia="en-US"/>
        </w:rPr>
        <w:t xml:space="preserve">Loizidou </w:t>
      </w:r>
      <w:r w:rsidRPr="00EF0015" w:rsidR="00F65D87">
        <w:rPr>
          <w:lang w:eastAsia="en-US"/>
        </w:rPr>
        <w:t xml:space="preserve">(preliminary objections) and in </w:t>
      </w:r>
      <w:r w:rsidRPr="00EF0015" w:rsidR="00F65D87">
        <w:rPr>
          <w:i/>
          <w:lang w:eastAsia="en-US"/>
        </w:rPr>
        <w:t>Cyprus v. Turkey</w:t>
      </w:r>
      <w:r w:rsidRPr="00EF0015" w:rsidR="00F65D87">
        <w:rPr>
          <w:lang w:eastAsia="en-US"/>
        </w:rPr>
        <w:t xml:space="preserve"> </w:t>
      </w:r>
      <w:r w:rsidR="006E7A6A">
        <w:rPr>
          <w:lang w:eastAsia="en-US"/>
        </w:rPr>
        <w:t>(</w:t>
      </w:r>
      <w:r w:rsidRPr="00EF0015" w:rsidR="00F65D87">
        <w:rPr>
          <w:lang w:eastAsia="en-US"/>
        </w:rPr>
        <w:t>both cited above</w:t>
      </w:r>
      <w:r w:rsidR="006E7A6A">
        <w:rPr>
          <w:lang w:eastAsia="en-US"/>
        </w:rPr>
        <w:t>)</w:t>
      </w:r>
      <w:r w:rsidRPr="00EF0015" w:rsidR="00F65D87">
        <w:rPr>
          <w:lang w:eastAsia="en-US"/>
        </w:rPr>
        <w:t>, countered this argument by elaborating the principle of “effective control of an area”, which applied</w:t>
      </w:r>
      <w:r w:rsidRPr="00EF0015" w:rsidR="00D70B6C">
        <w:rPr>
          <w:lang w:eastAsia="en-US"/>
        </w:rPr>
        <w:t xml:space="preserve"> (</w:t>
      </w:r>
      <w:r w:rsidRPr="00EF0015" w:rsidR="009F2045">
        <w:rPr>
          <w:lang w:eastAsia="en-US"/>
        </w:rPr>
        <w:t xml:space="preserve">see </w:t>
      </w:r>
      <w:r w:rsidRPr="00EF0015" w:rsidR="00D70B6C">
        <w:rPr>
          <w:i/>
          <w:lang w:eastAsia="en-US"/>
        </w:rPr>
        <w:t xml:space="preserve">Loizidou </w:t>
      </w:r>
      <w:r w:rsidRPr="00EF0015" w:rsidR="00D70B6C">
        <w:rPr>
          <w:lang w:eastAsia="en-US"/>
        </w:rPr>
        <w:t>(preliminary objections)</w:t>
      </w:r>
      <w:r w:rsidR="005E1067">
        <w:rPr>
          <w:lang w:eastAsia="en-US"/>
        </w:rPr>
        <w:t>,</w:t>
      </w:r>
      <w:r w:rsidR="00334356">
        <w:rPr>
          <w:lang w:eastAsia="en-US"/>
        </w:rPr>
        <w:t xml:space="preserve"> § </w:t>
      </w:r>
      <w:r w:rsidRPr="00EF0015" w:rsidR="00D70B6C">
        <w:rPr>
          <w:lang w:eastAsia="en-US"/>
        </w:rPr>
        <w:t>62</w:t>
      </w:r>
      <w:r w:rsidRPr="00EF0015" w:rsidR="009F2045">
        <w:rPr>
          <w:lang w:eastAsia="en-US"/>
        </w:rPr>
        <w:t>)</w:t>
      </w:r>
      <w:r w:rsidRPr="00EF0015" w:rsidR="00D70B6C">
        <w:rPr>
          <w:lang w:eastAsia="en-US"/>
        </w:rPr>
        <w:t>:</w:t>
      </w:r>
    </w:p>
    <w:p w:rsidRPr="00EF0015" w:rsidR="00D70B6C" w:rsidP="00D70B6C" w:rsidRDefault="00D70B6C">
      <w:pPr>
        <w:pStyle w:val="JuQuot"/>
        <w:rPr>
          <w:lang w:eastAsia="en-US"/>
        </w:rPr>
      </w:pPr>
      <w:r w:rsidRPr="00EF0015">
        <w:rPr>
          <w:lang w:eastAsia="en-US"/>
        </w:rPr>
        <w:t xml:space="preserve">“when as a consequence of military action </w:t>
      </w:r>
      <w:r w:rsidR="00860299">
        <w:rPr>
          <w:lang w:eastAsia="en-US"/>
        </w:rPr>
        <w:t>–</w:t>
      </w:r>
      <w:r w:rsidRPr="00EF0015">
        <w:rPr>
          <w:lang w:eastAsia="en-US"/>
        </w:rPr>
        <w:t xml:space="preserve"> </w:t>
      </w:r>
      <w:r w:rsidR="00127CF4">
        <w:rPr>
          <w:lang w:eastAsia="en-US"/>
        </w:rPr>
        <w:t xml:space="preserve">whether lawful or unlawful – [a </w:t>
      </w:r>
      <w:r w:rsidRPr="00EF0015">
        <w:rPr>
          <w:lang w:eastAsia="en-US"/>
        </w:rPr>
        <w:t>Contracting State] exercises effective control of an area outside its national territory. The obligation to secure, in such an area, the rights and freedoms set out in the Convention derives from the fact of such control whether it be exercised directly, through its armed forces, or through a subordinate local administration.</w:t>
      </w:r>
      <w:r w:rsidR="007167CD">
        <w:rPr>
          <w:lang w:eastAsia="en-US"/>
        </w:rPr>
        <w:t>”</w:t>
      </w:r>
    </w:p>
    <w:p w:rsidRPr="00EF0015" w:rsidR="00D35731" w:rsidP="00840913" w:rsidRDefault="00D70B6C">
      <w:pPr>
        <w:pStyle w:val="JuPara"/>
        <w:rPr>
          <w:lang w:eastAsia="en-US"/>
        </w:rPr>
      </w:pPr>
      <w:r w:rsidRPr="00EF0015">
        <w:rPr>
          <w:lang w:eastAsia="en-US"/>
        </w:rPr>
        <w:t>In these cases</w:t>
      </w:r>
      <w:r w:rsidR="00860299">
        <w:rPr>
          <w:lang w:eastAsia="en-US"/>
        </w:rPr>
        <w:t>,</w:t>
      </w:r>
      <w:r w:rsidRPr="00EF0015">
        <w:rPr>
          <w:lang w:eastAsia="en-US"/>
        </w:rPr>
        <w:t xml:space="preserve"> t</w:t>
      </w:r>
      <w:r w:rsidRPr="00EF0015" w:rsidR="00F65D87">
        <w:rPr>
          <w:lang w:eastAsia="en-US"/>
        </w:rPr>
        <w:t>he Court did not give any indication that the “State agent authority” principle had been supplanted</w:t>
      </w:r>
      <w:r w:rsidRPr="00EF0015" w:rsidR="00D35731">
        <w:rPr>
          <w:lang w:eastAsia="en-US"/>
        </w:rPr>
        <w:t>. I</w:t>
      </w:r>
      <w:r w:rsidRPr="00EF0015" w:rsidR="00F65D87">
        <w:rPr>
          <w:lang w:eastAsia="en-US"/>
        </w:rPr>
        <w:t xml:space="preserve">n fact, in </w:t>
      </w:r>
      <w:r w:rsidRPr="00EF0015" w:rsidR="00F65D87">
        <w:rPr>
          <w:i/>
          <w:lang w:eastAsia="en-US"/>
        </w:rPr>
        <w:t>Loizidou</w:t>
      </w:r>
      <w:r w:rsidRPr="00EF0015" w:rsidR="00F65D87">
        <w:rPr>
          <w:lang w:eastAsia="en-US"/>
        </w:rPr>
        <w:t xml:space="preserve"> (preliminary objections)</w:t>
      </w:r>
      <w:r w:rsidRPr="00EF0015" w:rsidR="00D35731">
        <w:rPr>
          <w:lang w:eastAsia="en-US"/>
        </w:rPr>
        <w:t>, before setting out the principle of “effective control of an area” jurisdiction, the Court observed (§ 6</w:t>
      </w:r>
      <w:r w:rsidRPr="00EF0015">
        <w:rPr>
          <w:lang w:eastAsia="en-US"/>
        </w:rPr>
        <w:t>2</w:t>
      </w:r>
      <w:r w:rsidRPr="00EF0015" w:rsidR="00D35731">
        <w:rPr>
          <w:lang w:eastAsia="en-US"/>
        </w:rPr>
        <w:t>) that:</w:t>
      </w:r>
    </w:p>
    <w:p w:rsidRPr="00EF0015" w:rsidR="00D35731" w:rsidP="00D35731" w:rsidRDefault="00D35731">
      <w:pPr>
        <w:pStyle w:val="JuQuot"/>
        <w:rPr>
          <w:lang w:eastAsia="en-US"/>
        </w:rPr>
      </w:pPr>
      <w:r w:rsidRPr="00EF0015">
        <w:rPr>
          <w:lang w:eastAsia="en-US"/>
        </w:rPr>
        <w:t xml:space="preserve">“In addition, the responsibility of Contracting Parties can be involved because of acts of their authorities, whether performed within or outside national boundaries, which produce effects outside their own territory (see the </w:t>
      </w:r>
      <w:r w:rsidR="00C01416">
        <w:rPr>
          <w:i/>
          <w:lang w:eastAsia="en-US"/>
        </w:rPr>
        <w:t>Drozd and Janousek v. </w:t>
      </w:r>
      <w:r w:rsidRPr="00EF0015">
        <w:rPr>
          <w:i/>
          <w:lang w:eastAsia="en-US"/>
        </w:rPr>
        <w:t>France and Spain</w:t>
      </w:r>
      <w:r w:rsidRPr="00EF0015">
        <w:rPr>
          <w:lang w:eastAsia="en-US"/>
        </w:rPr>
        <w:t xml:space="preserve"> judgment of 26 June 1992, Series A no. 240, p. 29, </w:t>
      </w:r>
      <w:r w:rsidR="00860299">
        <w:rPr>
          <w:lang w:eastAsia="en-US"/>
        </w:rPr>
        <w:t>§</w:t>
      </w:r>
      <w:r w:rsidRPr="00EF0015">
        <w:rPr>
          <w:lang w:eastAsia="en-US"/>
        </w:rPr>
        <w:t xml:space="preserve"> 91).</w:t>
      </w:r>
      <w:r w:rsidR="00A376AD">
        <w:rPr>
          <w:lang w:eastAsia="en-US"/>
        </w:rPr>
        <w:t>”</w:t>
      </w:r>
    </w:p>
    <w:p w:rsidRPr="00EF0015" w:rsidR="00D70B6C" w:rsidP="00840913" w:rsidRDefault="00D70B6C">
      <w:pPr>
        <w:pStyle w:val="JuPara"/>
        <w:rPr>
          <w:lang w:eastAsia="en-US"/>
        </w:rPr>
      </w:pPr>
      <w:r w:rsidRPr="00EF0015">
        <w:rPr>
          <w:lang w:eastAsia="en-US"/>
        </w:rPr>
        <w:t>Furthermore, its conclusion on the question whether the alleged violation was capable of falling within Turkish jurisdiction relied on bo</w:t>
      </w:r>
      <w:r w:rsidRPr="00EF0015" w:rsidR="00F65D87">
        <w:rPr>
          <w:lang w:eastAsia="en-US"/>
        </w:rPr>
        <w:t>th</w:t>
      </w:r>
      <w:r w:rsidRPr="00EF0015">
        <w:rPr>
          <w:lang w:eastAsia="en-US"/>
        </w:rPr>
        <w:t xml:space="preserve"> grounds equally (§ 63):</w:t>
      </w:r>
    </w:p>
    <w:p w:rsidRPr="00EF0015" w:rsidR="00D70B6C" w:rsidP="00D70B6C" w:rsidRDefault="00D70B6C">
      <w:pPr>
        <w:pStyle w:val="JuQuot"/>
        <w:rPr>
          <w:lang w:eastAsia="en-US"/>
        </w:rPr>
      </w:pPr>
      <w:r w:rsidRPr="00EF0015">
        <w:rPr>
          <w:lang w:eastAsia="en-US"/>
        </w:rPr>
        <w:t>“In this connection the respondent Government have acknowledged that the applicant</w:t>
      </w:r>
      <w:r w:rsidR="008570E8">
        <w:rPr>
          <w:lang w:eastAsia="en-US"/>
        </w:rPr>
        <w:t>’</w:t>
      </w:r>
      <w:r w:rsidRPr="00EF0015">
        <w:rPr>
          <w:lang w:eastAsia="en-US"/>
        </w:rPr>
        <w:t xml:space="preserve">s loss of control of her property stems from the occupation of the northern part of Cyprus by Turkish troops and the establishment there of the </w:t>
      </w:r>
      <w:r w:rsidR="008570E8">
        <w:rPr>
          <w:lang w:eastAsia="en-US"/>
        </w:rPr>
        <w:t>‘</w:t>
      </w:r>
      <w:r w:rsidRPr="00EF0015">
        <w:rPr>
          <w:lang w:eastAsia="en-US"/>
        </w:rPr>
        <w:t>TRNC</w:t>
      </w:r>
      <w:r w:rsidR="008570E8">
        <w:rPr>
          <w:lang w:eastAsia="en-US"/>
        </w:rPr>
        <w:t>’</w:t>
      </w:r>
      <w:r w:rsidRPr="00EF0015">
        <w:rPr>
          <w:lang w:eastAsia="en-US"/>
        </w:rPr>
        <w:t>. Furthermore, it has not been disputed that the applicant was prevented by Turkish troops from gaining access to her property.”</w:t>
      </w:r>
    </w:p>
    <w:p w:rsidRPr="00EF0015" w:rsidR="00B8212C" w:rsidP="00840913" w:rsidRDefault="00357F1A">
      <w:pPr>
        <w:pStyle w:val="JuPara"/>
        <w:rPr>
          <w:snapToGrid w:val="0"/>
          <w:lang w:eastAsia="en-US"/>
        </w:rPr>
      </w:pPr>
      <w:r w:rsidRPr="00EF0015">
        <w:t>In the Court</w:t>
      </w:r>
      <w:r w:rsidR="008570E8">
        <w:t>’</w:t>
      </w:r>
      <w:r w:rsidRPr="00EF0015">
        <w:t>s subsequent case-law, the two principles had continued to be placed side</w:t>
      </w:r>
      <w:r w:rsidR="005E5764">
        <w:t xml:space="preserve"> </w:t>
      </w:r>
      <w:r w:rsidRPr="00EF0015">
        <w:t>by</w:t>
      </w:r>
      <w:r w:rsidR="005E5764">
        <w:t xml:space="preserve"> </w:t>
      </w:r>
      <w:r w:rsidRPr="00EF0015">
        <w:t xml:space="preserve">side (see </w:t>
      </w:r>
      <w:r w:rsidRPr="00EF0015">
        <w:rPr>
          <w:i/>
        </w:rPr>
        <w:t>Banković</w:t>
      </w:r>
      <w:r w:rsidR="00035A69">
        <w:rPr>
          <w:i/>
        </w:rPr>
        <w:t xml:space="preserve"> and Others</w:t>
      </w:r>
      <w:r w:rsidR="005E5764">
        <w:t>, cited above,</w:t>
      </w:r>
      <w:r w:rsidRPr="00EF0015">
        <w:rPr>
          <w:i/>
        </w:rPr>
        <w:t xml:space="preserve"> </w:t>
      </w:r>
      <w:r w:rsidRPr="00EF0015">
        <w:t>§§ 69-73;</w:t>
      </w:r>
      <w:r w:rsidRPr="00EF0015">
        <w:rPr>
          <w:i/>
        </w:rPr>
        <w:t xml:space="preserve"> Issa</w:t>
      </w:r>
      <w:r w:rsidR="00F64C9A">
        <w:rPr>
          <w:i/>
        </w:rPr>
        <w:t xml:space="preserve"> and Others</w:t>
      </w:r>
      <w:r w:rsidR="005E5764">
        <w:t>, cited above,</w:t>
      </w:r>
      <w:r w:rsidRPr="00EF0015">
        <w:rPr>
          <w:i/>
        </w:rPr>
        <w:t xml:space="preserve"> </w:t>
      </w:r>
      <w:r w:rsidRPr="00EF0015">
        <w:t>§§ 69-71</w:t>
      </w:r>
      <w:r w:rsidR="005E5764">
        <w:t>;</w:t>
      </w:r>
      <w:r w:rsidR="00127CF4">
        <w:t xml:space="preserve"> </w:t>
      </w:r>
      <w:r w:rsidRPr="00EF0015">
        <w:rPr>
          <w:i/>
          <w:lang w:eastAsia="en-US"/>
        </w:rPr>
        <w:t xml:space="preserve">Andreou v. Turkey </w:t>
      </w:r>
      <w:r w:rsidRPr="00EF0015">
        <w:rPr>
          <w:lang w:eastAsia="en-US"/>
        </w:rPr>
        <w:t>(dec.), no.</w:t>
      </w:r>
      <w:r w:rsidR="00334356">
        <w:rPr>
          <w:lang w:eastAsia="en-US"/>
        </w:rPr>
        <w:t xml:space="preserve"> </w:t>
      </w:r>
      <w:r w:rsidRPr="00EF0015">
        <w:rPr>
          <w:lang w:eastAsia="en-US"/>
        </w:rPr>
        <w:t>45653/99</w:t>
      </w:r>
      <w:r w:rsidRPr="00EF0015">
        <w:rPr>
          <w:snapToGrid w:val="0"/>
          <w:lang w:eastAsia="en-US"/>
        </w:rPr>
        <w:t xml:space="preserve">, </w:t>
      </w:r>
      <w:r w:rsidR="005E5764">
        <w:rPr>
          <w:snapToGrid w:val="0"/>
          <w:lang w:eastAsia="en-US"/>
        </w:rPr>
        <w:t>3</w:t>
      </w:r>
      <w:r w:rsidRPr="00EF0015">
        <w:rPr>
          <w:snapToGrid w:val="0"/>
          <w:lang w:eastAsia="en-US"/>
        </w:rPr>
        <w:t xml:space="preserve"> June 2008; </w:t>
      </w:r>
      <w:r w:rsidR="005E5764">
        <w:rPr>
          <w:snapToGrid w:val="0"/>
          <w:lang w:eastAsia="en-US"/>
        </w:rPr>
        <w:t xml:space="preserve">and </w:t>
      </w:r>
      <w:r w:rsidRPr="00EF0015">
        <w:rPr>
          <w:i/>
          <w:lang w:eastAsia="en-US"/>
        </w:rPr>
        <w:t>Solomou and Others v. Turkey</w:t>
      </w:r>
      <w:r w:rsidR="00334356">
        <w:rPr>
          <w:lang w:eastAsia="en-US"/>
        </w:rPr>
        <w:t xml:space="preserve">, no. </w:t>
      </w:r>
      <w:r w:rsidR="005E5764">
        <w:rPr>
          <w:lang w:eastAsia="en-US"/>
        </w:rPr>
        <w:t xml:space="preserve">36832/97, §§ </w:t>
      </w:r>
      <w:r w:rsidR="00334356">
        <w:rPr>
          <w:lang w:eastAsia="en-US"/>
        </w:rPr>
        <w:t>44-45, 24 </w:t>
      </w:r>
      <w:r w:rsidRPr="00EF0015">
        <w:rPr>
          <w:lang w:eastAsia="en-US"/>
        </w:rPr>
        <w:t>June 2008</w:t>
      </w:r>
      <w:r w:rsidRPr="00EF0015">
        <w:rPr>
          <w:snapToGrid w:val="0"/>
          <w:lang w:eastAsia="en-US"/>
        </w:rPr>
        <w:t xml:space="preserve">). There was no </w:t>
      </w:r>
      <w:r w:rsidR="00323CF9">
        <w:rPr>
          <w:snapToGrid w:val="0"/>
          <w:lang w:eastAsia="en-US"/>
        </w:rPr>
        <w:t>precedent of the Co</w:t>
      </w:r>
      <w:r w:rsidRPr="00EF0015">
        <w:rPr>
          <w:snapToGrid w:val="0"/>
          <w:lang w:eastAsia="en-US"/>
        </w:rPr>
        <w:t xml:space="preserve">urt to suggest that </w:t>
      </w:r>
      <w:r w:rsidR="007E20F4">
        <w:rPr>
          <w:snapToGrid w:val="0"/>
          <w:lang w:eastAsia="en-US"/>
        </w:rPr>
        <w:t>“</w:t>
      </w:r>
      <w:r w:rsidRPr="00EF0015">
        <w:rPr>
          <w:snapToGrid w:val="0"/>
          <w:lang w:eastAsia="en-US"/>
        </w:rPr>
        <w:t>State agent authority</w:t>
      </w:r>
      <w:r w:rsidR="007E20F4">
        <w:rPr>
          <w:snapToGrid w:val="0"/>
          <w:lang w:eastAsia="en-US"/>
        </w:rPr>
        <w:t>”</w:t>
      </w:r>
      <w:r w:rsidRPr="00EF0015">
        <w:rPr>
          <w:snapToGrid w:val="0"/>
          <w:lang w:eastAsia="en-US"/>
        </w:rPr>
        <w:t xml:space="preserve"> jurisdiction was inapt as a means of analysing </w:t>
      </w:r>
      <w:r w:rsidRPr="00EF0015" w:rsidR="00B8212C">
        <w:rPr>
          <w:snapToGrid w:val="0"/>
          <w:lang w:eastAsia="en-US"/>
        </w:rPr>
        <w:t>direct actions by military State agents exercising authority.</w:t>
      </w:r>
    </w:p>
    <w:p w:rsidRPr="00EF0015" w:rsidR="00A85E16" w:rsidP="00840913" w:rsidRDefault="007538CC">
      <w:pPr>
        <w:pStyle w:val="JuPara"/>
      </w:pPr>
      <w:r w:rsidRPr="00EF0015">
        <w:rPr>
          <w:snapToGrid w:val="0"/>
          <w:lang w:eastAsia="en-US"/>
        </w:rPr>
        <w:fldChar w:fldCharType="begin"/>
      </w:r>
      <w:r w:rsidRPr="00EF0015">
        <w:rPr>
          <w:snapToGrid w:val="0"/>
          <w:lang w:eastAsia="en-US"/>
        </w:rPr>
        <w:instrText xml:space="preserve"> SEQ level0 \*arabic </w:instrText>
      </w:r>
      <w:r w:rsidRPr="00EF0015">
        <w:rPr>
          <w:snapToGrid w:val="0"/>
          <w:lang w:eastAsia="en-US"/>
        </w:rPr>
        <w:fldChar w:fldCharType="separate"/>
      </w:r>
      <w:r w:rsidR="00524A6D">
        <w:rPr>
          <w:noProof/>
          <w:snapToGrid w:val="0"/>
          <w:lang w:eastAsia="en-US"/>
        </w:rPr>
        <w:t>123</w:t>
      </w:r>
      <w:r w:rsidRPr="00EF0015">
        <w:rPr>
          <w:snapToGrid w:val="0"/>
          <w:lang w:eastAsia="en-US"/>
        </w:rPr>
        <w:fldChar w:fldCharType="end"/>
      </w:r>
      <w:r w:rsidRPr="00EF0015">
        <w:rPr>
          <w:snapToGrid w:val="0"/>
          <w:lang w:eastAsia="en-US"/>
        </w:rPr>
        <w:t xml:space="preserve">.  The applicants </w:t>
      </w:r>
      <w:r w:rsidRPr="00EF0015" w:rsidR="00A3549E">
        <w:t xml:space="preserve">argued that their dead family members </w:t>
      </w:r>
      <w:r w:rsidRPr="00EF0015" w:rsidR="00840913">
        <w:t>fell within the United Kingdom</w:t>
      </w:r>
      <w:r w:rsidR="008570E8">
        <w:t>’</w:t>
      </w:r>
      <w:r w:rsidRPr="00EF0015" w:rsidR="00840913">
        <w:t xml:space="preserve">s jurisdiction </w:t>
      </w:r>
      <w:r w:rsidRPr="00EF0015">
        <w:t xml:space="preserve">under the </w:t>
      </w:r>
      <w:r w:rsidR="007E20F4">
        <w:t>“</w:t>
      </w:r>
      <w:r w:rsidRPr="00EF0015" w:rsidR="00840913">
        <w:t>State agent authority</w:t>
      </w:r>
      <w:r w:rsidR="007E20F4">
        <w:t>”</w:t>
      </w:r>
      <w:r w:rsidRPr="00EF0015">
        <w:t xml:space="preserve"> principle. </w:t>
      </w:r>
      <w:r w:rsidRPr="00EF0015" w:rsidR="004D7C7D">
        <w:t>The Government had accepted, in respect of the sixth applicant</w:t>
      </w:r>
      <w:r w:rsidR="008570E8">
        <w:t>’</w:t>
      </w:r>
      <w:r w:rsidRPr="00EF0015" w:rsidR="004D7C7D">
        <w:t>s son, that the exercise of authority and control by British military personnel in Iraq was capable of engaging the United Kingdom</w:t>
      </w:r>
      <w:r w:rsidR="008570E8">
        <w:t>’</w:t>
      </w:r>
      <w:r w:rsidRPr="00EF0015" w:rsidR="004D7C7D">
        <w:t xml:space="preserve">s extraterritorial jurisdiction. </w:t>
      </w:r>
      <w:r w:rsidRPr="00EF0015" w:rsidR="00D11EFE">
        <w:t>Howe</w:t>
      </w:r>
      <w:r w:rsidRPr="00EF0015" w:rsidR="00A85E16">
        <w:t>ver, jurisdiction in extraterritorial detention cases did not rest on the idea of a military prison as a quasi-territorial enclave. Jurisdiction in respect of the sixth applicant</w:t>
      </w:r>
      <w:r w:rsidR="008570E8">
        <w:t>’</w:t>
      </w:r>
      <w:r w:rsidRPr="00EF0015" w:rsidR="00A85E16">
        <w:t xml:space="preserve">s son would </w:t>
      </w:r>
      <w:r w:rsidR="007E20F4">
        <w:t xml:space="preserve">equally </w:t>
      </w:r>
      <w:r w:rsidRPr="00EF0015" w:rsidR="00A85E16">
        <w:t>have arisen had he been tortured and killed while under arrest at the hotel where he worked or in a locked army vehicle parked outside.</w:t>
      </w:r>
      <w:r w:rsidRPr="00EF0015" w:rsidR="00D11EFE">
        <w:t xml:space="preserve"> Moreover, the authority and control exercised by military person</w:t>
      </w:r>
      <w:r w:rsidR="0033762E">
        <w:t>nel</w:t>
      </w:r>
      <w:r w:rsidRPr="00EF0015" w:rsidR="00D11EFE">
        <w:t xml:space="preserve"> was not limited in principle to actions as custodians, even if the arrest and detention of persons outside State territory could be seen as a classic instan</w:t>
      </w:r>
      <w:r w:rsidR="00127CF4">
        <w:t xml:space="preserve">ce of State agent authority (as </w:t>
      </w:r>
      <w:r w:rsidRPr="00EF0015" w:rsidR="00D11EFE">
        <w:t xml:space="preserve">was argued by the respondent Governments in </w:t>
      </w:r>
      <w:r w:rsidRPr="00EF0015" w:rsidR="00D11EFE">
        <w:rPr>
          <w:i/>
        </w:rPr>
        <w:t>Banković</w:t>
      </w:r>
      <w:r w:rsidR="00035A69">
        <w:rPr>
          <w:i/>
        </w:rPr>
        <w:t xml:space="preserve"> and Others</w:t>
      </w:r>
      <w:r w:rsidRPr="00D8100E" w:rsidR="00D11EFE">
        <w:t>,</w:t>
      </w:r>
      <w:r w:rsidRPr="00EF0015" w:rsidR="00D11EFE">
        <w:rPr>
          <w:i/>
        </w:rPr>
        <w:t xml:space="preserve"> </w:t>
      </w:r>
      <w:r w:rsidR="00334356">
        <w:t xml:space="preserve">cited above, § </w:t>
      </w:r>
      <w:r w:rsidRPr="00EF0015" w:rsidR="00D11EFE">
        <w:t>37).</w:t>
      </w:r>
    </w:p>
    <w:p w:rsidRPr="00EF0015" w:rsidR="00840913" w:rsidP="00840913" w:rsidRDefault="00F05DAD">
      <w:pPr>
        <w:pStyle w:val="JuPara"/>
      </w:pPr>
      <w:r w:rsidRPr="00EF0015">
        <w:fldChar w:fldCharType="begin"/>
      </w:r>
      <w:r w:rsidRPr="00EF0015">
        <w:instrText xml:space="preserve"> SEQ level0 \*arabic </w:instrText>
      </w:r>
      <w:r w:rsidRPr="00EF0015">
        <w:fldChar w:fldCharType="separate"/>
      </w:r>
      <w:r w:rsidR="00524A6D">
        <w:rPr>
          <w:noProof/>
        </w:rPr>
        <w:t>124</w:t>
      </w:r>
      <w:r w:rsidRPr="00EF0015">
        <w:fldChar w:fldCharType="end"/>
      </w:r>
      <w:r w:rsidRPr="00EF0015">
        <w:t>.  </w:t>
      </w:r>
      <w:r w:rsidRPr="00EF0015" w:rsidR="00840913">
        <w:t>The</w:t>
      </w:r>
      <w:r w:rsidRPr="00EF0015">
        <w:t xml:space="preserve"> applicants</w:t>
      </w:r>
      <w:r w:rsidRPr="00EF0015" w:rsidR="00840913">
        <w:t xml:space="preserve"> </w:t>
      </w:r>
      <w:r w:rsidRPr="00EF0015" w:rsidR="00D140E6">
        <w:t xml:space="preserve">submitted that the deceased relatives of all six applicants fell within </w:t>
      </w:r>
      <w:r w:rsidRPr="00EF0015" w:rsidR="002846C2">
        <w:t>United Kingdom jurisdiction by virtue of the authority and control exercise</w:t>
      </w:r>
      <w:r w:rsidRPr="00EF0015" w:rsidR="00F15EE0">
        <w:t>d</w:t>
      </w:r>
      <w:r w:rsidRPr="00EF0015" w:rsidR="002846C2">
        <w:t xml:space="preserve"> over them by United Kingdom State agents. They </w:t>
      </w:r>
      <w:r w:rsidRPr="00EF0015" w:rsidR="00840913">
        <w:t>emphasise</w:t>
      </w:r>
      <w:r w:rsidRPr="00EF0015" w:rsidR="007538CC">
        <w:t>d</w:t>
      </w:r>
      <w:r w:rsidRPr="00EF0015" w:rsidR="00840913">
        <w:t xml:space="preserve"> that British armed forces had responsibility for public order in Iraq, maintaining the safety and security of</w:t>
      </w:r>
      <w:r w:rsidR="00C81668">
        <w:t xml:space="preserve"> </w:t>
      </w:r>
      <w:r w:rsidRPr="00EF0015" w:rsidR="00840913">
        <w:t>local civilians and supporting the civil administration. In performing these functions, the British armed forces were operating within the wider context of the United Kingdom</w:t>
      </w:r>
      <w:r w:rsidR="008570E8">
        <w:t>’</w:t>
      </w:r>
      <w:r w:rsidRPr="00EF0015" w:rsidR="00840913">
        <w:t>s occupat</w:t>
      </w:r>
      <w:r w:rsidR="007E20F4">
        <w:t xml:space="preserve">ion of </w:t>
      </w:r>
      <w:r w:rsidR="0060744D">
        <w:t>s</w:t>
      </w:r>
      <w:r w:rsidRPr="00EF0015" w:rsidR="00840913">
        <w:t>outh</w:t>
      </w:r>
      <w:r w:rsidR="0060744D">
        <w:t>-e</w:t>
      </w:r>
      <w:r w:rsidR="004D7126">
        <w:t>ast</w:t>
      </w:r>
      <w:r w:rsidRPr="00EF0015" w:rsidR="00840913">
        <w:t xml:space="preserve"> Iraq</w:t>
      </w:r>
      <w:r w:rsidRPr="00EF0015" w:rsidR="00D140E6">
        <w:t>. T</w:t>
      </w:r>
      <w:r w:rsidRPr="00EF0015" w:rsidR="00840913">
        <w:t xml:space="preserve">he control and authority </w:t>
      </w:r>
      <w:r w:rsidRPr="00EF0015" w:rsidR="00D140E6">
        <w:t>was</w:t>
      </w:r>
      <w:r w:rsidRPr="00EF0015" w:rsidR="00840913">
        <w:t xml:space="preserve"> </w:t>
      </w:r>
      <w:r w:rsidRPr="00EF0015" w:rsidR="002846C2">
        <w:t xml:space="preserve">also </w:t>
      </w:r>
      <w:r w:rsidR="007E20F4">
        <w:t xml:space="preserve">exercised through </w:t>
      </w:r>
      <w:r w:rsidR="0060744D">
        <w:t xml:space="preserve">the </w:t>
      </w:r>
      <w:r w:rsidR="007E20F4">
        <w:t>CPA South Regional O</w:t>
      </w:r>
      <w:r w:rsidRPr="00EF0015" w:rsidR="00840913">
        <w:t xml:space="preserve">ffice, which was staffed primarily by British personnel. The individuals killed were civilians to whom the British armed forces owed the duty of safety and security. There was </w:t>
      </w:r>
      <w:r w:rsidRPr="00EF0015" w:rsidR="007958BF">
        <w:t xml:space="preserve">thus </w:t>
      </w:r>
      <w:r w:rsidRPr="00EF0015" w:rsidR="00840913">
        <w:t>a particular relationship of authority and control between the soldiers and the civilians killed. To find that these individuals fell within the authority of the United Kingdom armed forces would not requi</w:t>
      </w:r>
      <w:r w:rsidR="00C01416">
        <w:t>re the acceptance of the impact</w:t>
      </w:r>
      <w:r w:rsidR="00C01416">
        <w:noBreakHyphen/>
      </w:r>
      <w:r w:rsidRPr="00EF0015" w:rsidR="00840913">
        <w:t xml:space="preserve">based approach to jurisdiction which was rejected in </w:t>
      </w:r>
      <w:r w:rsidRPr="00EF0015" w:rsidR="007958BF">
        <w:rPr>
          <w:i/>
        </w:rPr>
        <w:t>Banković</w:t>
      </w:r>
      <w:r w:rsidR="00035A69">
        <w:rPr>
          <w:i/>
        </w:rPr>
        <w:t xml:space="preserve"> and Others</w:t>
      </w:r>
      <w:r w:rsidR="004D7126">
        <w:rPr>
          <w:i/>
        </w:rPr>
        <w:t xml:space="preserve"> </w:t>
      </w:r>
      <w:r w:rsidR="00127CF4">
        <w:t xml:space="preserve">(cited </w:t>
      </w:r>
      <w:r w:rsidR="004D7126">
        <w:t>above)</w:t>
      </w:r>
      <w:r w:rsidRPr="00D8100E" w:rsidR="007958BF">
        <w:t>,</w:t>
      </w:r>
      <w:r w:rsidRPr="00EF0015" w:rsidR="007958BF">
        <w:rPr>
          <w:i/>
        </w:rPr>
        <w:t xml:space="preserve"> </w:t>
      </w:r>
      <w:r w:rsidRPr="00EF0015" w:rsidR="007958BF">
        <w:t>but would instead rest on a particular relationship of authority and control.</w:t>
      </w:r>
      <w:r w:rsidR="00C976AF">
        <w:t xml:space="preserve"> </w:t>
      </w:r>
      <w:r w:rsidRPr="00EF0015" w:rsidR="00840913">
        <w:t>In the alternative, the applicants argue</w:t>
      </w:r>
      <w:r w:rsidRPr="00EF0015" w:rsidR="00243EC1">
        <w:t>d</w:t>
      </w:r>
      <w:r w:rsidRPr="00EF0015" w:rsidR="00840913">
        <w:t xml:space="preserve"> that</w:t>
      </w:r>
      <w:r w:rsidR="004D7126">
        <w:t>,</w:t>
      </w:r>
      <w:r w:rsidRPr="00EF0015" w:rsidR="00840913">
        <w:t xml:space="preserve"> at least in respect of the </w:t>
      </w:r>
      <w:r w:rsidRPr="00EF0015" w:rsidR="00D140E6">
        <w:t>deceased relatives of the second, fourth, fifth and sixth applicants</w:t>
      </w:r>
      <w:r w:rsidR="004D7126">
        <w:t>,</w:t>
      </w:r>
      <w:r w:rsidRPr="00EF0015" w:rsidR="00D140E6">
        <w:t xml:space="preserve"> </w:t>
      </w:r>
      <w:r w:rsidRPr="00EF0015" w:rsidR="00840913">
        <w:t>the British soldiers exercised sufficient authority and control to bring the victims within the United Kingdom</w:t>
      </w:r>
      <w:r w:rsidR="008570E8">
        <w:t>’</w:t>
      </w:r>
      <w:r w:rsidRPr="00EF0015" w:rsidR="00840913">
        <w:t>s jurisdiction.</w:t>
      </w:r>
    </w:p>
    <w:p w:rsidR="00C81668" w:rsidP="00840913" w:rsidRDefault="00EE1D78">
      <w:pPr>
        <w:pStyle w:val="JuPara"/>
      </w:pPr>
      <w:r w:rsidRPr="00EF0015">
        <w:fldChar w:fldCharType="begin"/>
      </w:r>
      <w:r w:rsidRPr="00EF0015">
        <w:instrText xml:space="preserve"> SEQ level0 \*arabic </w:instrText>
      </w:r>
      <w:r w:rsidRPr="00EF0015">
        <w:fldChar w:fldCharType="separate"/>
      </w:r>
      <w:r w:rsidR="00524A6D">
        <w:rPr>
          <w:noProof/>
        </w:rPr>
        <w:t>125</w:t>
      </w:r>
      <w:r w:rsidRPr="00EF0015">
        <w:fldChar w:fldCharType="end"/>
      </w:r>
      <w:r w:rsidRPr="00EF0015">
        <w:t xml:space="preserve">.  The applicants further contended that their dead </w:t>
      </w:r>
      <w:r w:rsidR="004D7126">
        <w:t>relatives</w:t>
      </w:r>
      <w:r w:rsidRPr="00EF0015">
        <w:t xml:space="preserve"> fell within United Kingdom jurisdiction because, at the relevant time, the United Kingdom was in effective control of </w:t>
      </w:r>
      <w:r w:rsidR="00284513">
        <w:t>s</w:t>
      </w:r>
      <w:r w:rsidR="004D7126">
        <w:t>outh</w:t>
      </w:r>
      <w:r w:rsidR="00284513">
        <w:t>-e</w:t>
      </w:r>
      <w:r w:rsidR="004D7126">
        <w:t>ast</w:t>
      </w:r>
      <w:r w:rsidRPr="00EF0015">
        <w:t xml:space="preserve"> Iraq. It was their case that where, as a matter of international law, territory</w:t>
      </w:r>
      <w:r w:rsidR="004D7126">
        <w:t xml:space="preserve"> was occupied by a State as an Occupying P</w:t>
      </w:r>
      <w:r w:rsidRPr="00EF0015">
        <w:t>ower, because that territory was actually placed under the authority of that State</w:t>
      </w:r>
      <w:r w:rsidR="008570E8">
        <w:t>’</w:t>
      </w:r>
      <w:r w:rsidRPr="00EF0015">
        <w:t>s hostile army</w:t>
      </w:r>
      <w:r w:rsidRPr="00EF0015" w:rsidR="00CB317A">
        <w:t xml:space="preserve"> (see Article 42 of the Hague </w:t>
      </w:r>
      <w:r w:rsidRPr="00EF0015" w:rsidR="009F2045">
        <w:t>R</w:t>
      </w:r>
      <w:r w:rsidRPr="00EF0015" w:rsidR="00CB317A">
        <w:t>egulations</w:t>
      </w:r>
      <w:r w:rsidR="00284513">
        <w:t>;</w:t>
      </w:r>
      <w:r w:rsidRPr="00EF0015" w:rsidR="00CB317A">
        <w:t xml:space="preserve"> paragraph </w:t>
      </w:r>
      <w:r w:rsidR="006507F2">
        <w:t>89</w:t>
      </w:r>
      <w:r w:rsidRPr="00EF0015" w:rsidR="00CB317A">
        <w:t xml:space="preserve"> above)</w:t>
      </w:r>
      <w:r w:rsidRPr="00EF0015">
        <w:t>, that was</w:t>
      </w:r>
      <w:r w:rsidR="008D39A8">
        <w:t xml:space="preserve"> sufficient to constitute extra</w:t>
      </w:r>
      <w:r w:rsidRPr="00EF0015">
        <w:t>territorial jurisdiction under Article 1 of the Convention.</w:t>
      </w:r>
      <w:r w:rsidRPr="00EF0015" w:rsidR="00813FB4">
        <w:t xml:space="preserve"> This consequence of </w:t>
      </w:r>
      <w:r w:rsidRPr="00EF0015" w:rsidR="009F2045">
        <w:t>belligerent</w:t>
      </w:r>
      <w:r w:rsidRPr="00EF0015" w:rsidR="00813FB4">
        <w:t xml:space="preserve"> occupation reflected the approach in international law, both as regards extrater</w:t>
      </w:r>
      <w:r w:rsidR="008D39A8">
        <w:t>ritorial jurisdiction and extra</w:t>
      </w:r>
      <w:r w:rsidRPr="00EF0015" w:rsidR="00813FB4">
        <w:t>territorial application of human rights based on “jurisdiction”.</w:t>
      </w:r>
    </w:p>
    <w:p w:rsidRPr="00EF0015" w:rsidR="00840913" w:rsidP="00840913" w:rsidRDefault="00813FB4">
      <w:pPr>
        <w:pStyle w:val="JuPara"/>
      </w:pPr>
      <w:r w:rsidRPr="00EF0015">
        <w:fldChar w:fldCharType="begin"/>
      </w:r>
      <w:r w:rsidRPr="00EF0015">
        <w:instrText xml:space="preserve"> SEQ level0 \*arabic </w:instrText>
      </w:r>
      <w:r w:rsidRPr="00EF0015">
        <w:fldChar w:fldCharType="separate"/>
      </w:r>
      <w:r w:rsidR="00524A6D">
        <w:rPr>
          <w:noProof/>
        </w:rPr>
        <w:t>126</w:t>
      </w:r>
      <w:r w:rsidRPr="00EF0015">
        <w:fldChar w:fldCharType="end"/>
      </w:r>
      <w:r w:rsidRPr="00EF0015">
        <w:t>.  </w:t>
      </w:r>
      <w:r w:rsidRPr="00EF0015" w:rsidR="00840913">
        <w:t>The</w:t>
      </w:r>
      <w:r w:rsidRPr="00EF0015" w:rsidR="00EE1D78">
        <w:t xml:space="preserve">y </w:t>
      </w:r>
      <w:r w:rsidRPr="00EF0015" w:rsidR="00840913">
        <w:t>reject</w:t>
      </w:r>
      <w:r w:rsidRPr="00EF0015" w:rsidR="00EE1D78">
        <w:t>ed</w:t>
      </w:r>
      <w:r w:rsidRPr="00EF0015" w:rsidR="00840913">
        <w:t xml:space="preserve"> the idea that the “effective control of an area” basis of jurisdiction </w:t>
      </w:r>
      <w:r w:rsidRPr="00EF0015">
        <w:t>could</w:t>
      </w:r>
      <w:r w:rsidRPr="00EF0015" w:rsidR="00840913">
        <w:t xml:space="preserve"> apply only within the legal space</w:t>
      </w:r>
      <w:r w:rsidR="0058110A">
        <w:t xml:space="preserve"> of the Convention</w:t>
      </w:r>
      <w:r w:rsidRPr="00EF0015" w:rsidR="00840913">
        <w:t>. Furthermore, they reason</w:t>
      </w:r>
      <w:r w:rsidRPr="00EF0015" w:rsidR="00EE1D78">
        <w:t>ed</w:t>
      </w:r>
      <w:r w:rsidRPr="00EF0015" w:rsidR="00840913">
        <w:t xml:space="preserve"> that to require a State to exert complete control, similar to that exercised within its own territory, would lead to the perverse position whereby facts disclosing a violation of the Convention would, instead of entitling the victim to a remedy, form the evidential basis for a finding that the State did not exercise jurisdiction. Similarly, defining the existence of control over an area by reference to troop numbers alone </w:t>
      </w:r>
      <w:r w:rsidRPr="00EF0015" w:rsidR="009C4EEF">
        <w:t>would be uncertain, allow</w:t>
      </w:r>
      <w:r w:rsidRPr="00EF0015" w:rsidR="00840913">
        <w:t xml:space="preserve"> evasion of responsibility and promote arbitrariness. The application of the Convention should influence the actions of the Contracting States, prompting careful consideration of military intervention and ensuring sufficient troop numbers to meet </w:t>
      </w:r>
      <w:r w:rsidR="005E1067">
        <w:t>their</w:t>
      </w:r>
      <w:r w:rsidRPr="00EF0015" w:rsidR="00840913">
        <w:t xml:space="preserve"> international obligations. The applicants endorse</w:t>
      </w:r>
      <w:r w:rsidRPr="00EF0015" w:rsidR="00EE1D78">
        <w:t>d</w:t>
      </w:r>
      <w:r w:rsidRPr="00EF0015" w:rsidR="00840913">
        <w:t xml:space="preserve"> the approach suggested by Sedley LJ in the Court of Appeal</w:t>
      </w:r>
      <w:r w:rsidR="00CD3603">
        <w:t xml:space="preserve"> (see paragraph </w:t>
      </w:r>
      <w:r w:rsidR="006507F2">
        <w:t>80</w:t>
      </w:r>
      <w:r w:rsidR="00CD3603">
        <w:t xml:space="preserve"> above)</w:t>
      </w:r>
      <w:r w:rsidRPr="00EF0015" w:rsidR="00840913">
        <w:t xml:space="preserve">, that a Contracting State in military occupation </w:t>
      </w:r>
      <w:r w:rsidRPr="00EF0015" w:rsidR="009C4EEF">
        <w:t>was</w:t>
      </w:r>
      <w:r w:rsidRPr="00EF0015" w:rsidR="00840913">
        <w:t xml:space="preserve"> under a duty to </w:t>
      </w:r>
      <w:r w:rsidRPr="00EF0015" w:rsidR="009C4EEF">
        <w:t>do everything</w:t>
      </w:r>
      <w:r w:rsidRPr="00EF0015" w:rsidR="00840913">
        <w:t xml:space="preserve"> possible to keep order and protect essential civil rights. While the Court</w:t>
      </w:r>
      <w:r w:rsidR="008570E8">
        <w:t>’</w:t>
      </w:r>
      <w:r w:rsidRPr="00EF0015" w:rsidR="00840913">
        <w:t xml:space="preserve">s case-law (the northern Cyprus cases and </w:t>
      </w:r>
      <w:r w:rsidR="00CD3603">
        <w:rPr>
          <w:i/>
        </w:rPr>
        <w:t>Ilaşcu</w:t>
      </w:r>
      <w:r w:rsidR="00F64C9A">
        <w:rPr>
          <w:i/>
        </w:rPr>
        <w:t xml:space="preserve"> and Others</w:t>
      </w:r>
      <w:r w:rsidRPr="00D8100E" w:rsidR="00CD3603">
        <w:t>,</w:t>
      </w:r>
      <w:r w:rsidR="00CD3603">
        <w:rPr>
          <w:i/>
        </w:rPr>
        <w:t xml:space="preserve"> </w:t>
      </w:r>
      <w:r w:rsidR="00CD3603">
        <w:t>cited above</w:t>
      </w:r>
      <w:r w:rsidRPr="00EF0015" w:rsidR="009C4EEF">
        <w:t>) included</w:t>
      </w:r>
      <w:r w:rsidRPr="00EF0015" w:rsidR="00840913">
        <w:t xml:space="preserve"> </w:t>
      </w:r>
      <w:r w:rsidRPr="00EF0015" w:rsidR="009C4EEF">
        <w:t xml:space="preserve">details of </w:t>
      </w:r>
      <w:r w:rsidRPr="00EF0015" w:rsidR="00840913">
        <w:t xml:space="preserve">numbers of military personnel deployed, this </w:t>
      </w:r>
      <w:r w:rsidRPr="00EF0015" w:rsidR="009C4EEF">
        <w:t>was</w:t>
      </w:r>
      <w:r w:rsidRPr="00EF0015" w:rsidR="00840913">
        <w:t xml:space="preserve"> relevant to </w:t>
      </w:r>
      <w:r w:rsidRPr="00EF0015" w:rsidR="009C4EEF">
        <w:t>establishing whether a territory had</w:t>
      </w:r>
      <w:r w:rsidRPr="00EF0015" w:rsidR="00840913">
        <w:t xml:space="preserve"> actually been placed under the authority of a hostile army</w:t>
      </w:r>
      <w:r w:rsidRPr="00EF0015" w:rsidR="009C4EEF">
        <w:t xml:space="preserve">, in cases where the respondent States (Turkey and Russia) denied being in occupation. </w:t>
      </w:r>
      <w:r w:rsidRPr="00EF0015" w:rsidR="00840913">
        <w:t xml:space="preserve">Where, as </w:t>
      </w:r>
      <w:r w:rsidRPr="00EF0015" w:rsidR="009C4EEF">
        <w:t>in the present case</w:t>
      </w:r>
      <w:r w:rsidRPr="00EF0015" w:rsidR="00840913">
        <w:t>, the respondent State accept</w:t>
      </w:r>
      <w:r w:rsidRPr="00EF0015" w:rsidR="009C4EEF">
        <w:t>ed</w:t>
      </w:r>
      <w:r w:rsidRPr="00EF0015" w:rsidR="00840913">
        <w:t xml:space="preserve"> that it was in occupation of the territory, such an assessment </w:t>
      </w:r>
      <w:r w:rsidRPr="00EF0015" w:rsidR="009C4EEF">
        <w:t>was</w:t>
      </w:r>
      <w:r w:rsidRPr="00EF0015" w:rsidR="00840913">
        <w:t xml:space="preserve"> unnecessary.</w:t>
      </w:r>
    </w:p>
    <w:p w:rsidR="00C81668" w:rsidP="009C4EEF" w:rsidRDefault="009C4EEF">
      <w:pPr>
        <w:pStyle w:val="JuPara"/>
      </w:pPr>
      <w:r w:rsidRPr="00EF0015">
        <w:fldChar w:fldCharType="begin"/>
      </w:r>
      <w:r w:rsidRPr="00EF0015">
        <w:instrText xml:space="preserve"> SEQ level0 \*arabic </w:instrText>
      </w:r>
      <w:r w:rsidRPr="00EF0015">
        <w:fldChar w:fldCharType="separate"/>
      </w:r>
      <w:r w:rsidR="00524A6D">
        <w:rPr>
          <w:noProof/>
        </w:rPr>
        <w:t>127</w:t>
      </w:r>
      <w:r w:rsidRPr="00EF0015">
        <w:fldChar w:fldCharType="end"/>
      </w:r>
      <w:r w:rsidRPr="00EF0015">
        <w:t>.  </w:t>
      </w:r>
      <w:r w:rsidRPr="00EF0015" w:rsidR="00840913">
        <w:t>The applicants argue</w:t>
      </w:r>
      <w:r w:rsidRPr="00EF0015">
        <w:t>d</w:t>
      </w:r>
      <w:r w:rsidRPr="00EF0015" w:rsidR="00840913">
        <w:t xml:space="preserve"> that the </w:t>
      </w:r>
      <w:r w:rsidRPr="00EF0015" w:rsidR="00CE002B">
        <w:t xml:space="preserve">duty </w:t>
      </w:r>
      <w:r w:rsidR="00AA4A60">
        <w:t>of</w:t>
      </w:r>
      <w:r w:rsidRPr="00EF0015" w:rsidR="00CE002B">
        <w:t xml:space="preserve"> an occupying State under</w:t>
      </w:r>
      <w:r w:rsidRPr="00EF0015" w:rsidR="00840913">
        <w:t xml:space="preserve"> international humanitarian law</w:t>
      </w:r>
      <w:r w:rsidRPr="00EF0015" w:rsidR="00CE002B">
        <w:t xml:space="preserve"> </w:t>
      </w:r>
      <w:r w:rsidRPr="00EF0015" w:rsidR="00840913">
        <w:t xml:space="preserve">to apply the domestic law of the territorial State and not to impose its own law </w:t>
      </w:r>
      <w:r w:rsidRPr="00EF0015" w:rsidR="00CE002B">
        <w:t>could not be used to evade jurisdiction under the Convention</w:t>
      </w:r>
      <w:r w:rsidRPr="00EF0015" w:rsidR="00840913">
        <w:t>, since the “effective control of an are</w:t>
      </w:r>
      <w:r w:rsidRPr="00EF0015" w:rsidR="00CE002B">
        <w:t>a” basis of jurisdiction applied</w:t>
      </w:r>
      <w:r w:rsidRPr="00EF0015" w:rsidR="00840913">
        <w:t xml:space="preserve"> also to unlawful occupation. They refer</w:t>
      </w:r>
      <w:r w:rsidRPr="00EF0015" w:rsidR="00CE002B">
        <w:t>red</w:t>
      </w:r>
      <w:r w:rsidRPr="00EF0015" w:rsidR="00840913">
        <w:t xml:space="preserve"> to the judgment of the </w:t>
      </w:r>
      <w:r w:rsidRPr="00EF0015" w:rsidR="00A957EC">
        <w:t>International Court of Justice</w:t>
      </w:r>
      <w:r w:rsidRPr="00EF0015" w:rsidR="00CE002B">
        <w:t xml:space="preserve"> in</w:t>
      </w:r>
      <w:r w:rsidRPr="00EF0015" w:rsidR="00840913">
        <w:t xml:space="preserve"> </w:t>
      </w:r>
      <w:r w:rsidRPr="00EF0015" w:rsidR="00840913">
        <w:rPr>
          <w:i/>
        </w:rPr>
        <w:t xml:space="preserve">Armed Activities on the Territory of the Congo </w:t>
      </w:r>
      <w:r w:rsidRPr="00EF0015" w:rsidR="00840913">
        <w:t xml:space="preserve">and </w:t>
      </w:r>
      <w:r w:rsidRPr="00EF0015" w:rsidR="00CE002B">
        <w:t xml:space="preserve">its Advisory Opinion </w:t>
      </w:r>
      <w:r w:rsidRPr="00EF0015" w:rsidR="00840913">
        <w:rPr>
          <w:i/>
        </w:rPr>
        <w:t>Legal Consequences of the Construction of a Wall in the Occupied Palestinian Territory</w:t>
      </w:r>
      <w:r w:rsidRPr="00EF0015" w:rsidR="00CE002B">
        <w:rPr>
          <w:i/>
        </w:rPr>
        <w:t xml:space="preserve"> </w:t>
      </w:r>
      <w:r w:rsidR="00127CF4">
        <w:t xml:space="preserve">(see </w:t>
      </w:r>
      <w:r w:rsidR="00C976AF">
        <w:t>paragraphs </w:t>
      </w:r>
      <w:r w:rsidRPr="00EF0015" w:rsidR="00AA2D9D">
        <w:t>9</w:t>
      </w:r>
      <w:r w:rsidR="00023C22">
        <w:t>0</w:t>
      </w:r>
      <w:r w:rsidRPr="00EF0015" w:rsidR="00AA2D9D">
        <w:t>-</w:t>
      </w:r>
      <w:r w:rsidRPr="00EF0015" w:rsidR="00784E48">
        <w:t>9</w:t>
      </w:r>
      <w:r w:rsidR="00023C22">
        <w:t>1</w:t>
      </w:r>
      <w:r w:rsidRPr="00EF0015" w:rsidR="00CE002B">
        <w:t xml:space="preserve"> above)</w:t>
      </w:r>
      <w:r w:rsidRPr="00EF0015" w:rsidR="00840913">
        <w:t xml:space="preserve">, where </w:t>
      </w:r>
      <w:r w:rsidR="00E95FEC">
        <w:t>it</w:t>
      </w:r>
      <w:r w:rsidRPr="00EF0015" w:rsidR="00A957EC">
        <w:t xml:space="preserve"> </w:t>
      </w:r>
      <w:r w:rsidRPr="00EF0015" w:rsidR="00CE002B">
        <w:t>found that the occupying State was</w:t>
      </w:r>
      <w:r w:rsidRPr="00EF0015" w:rsidR="00840913">
        <w:t xml:space="preserve"> under a duty to apply international human rights law. The clear principle emerging from these cases was that belligerent occupation in international law </w:t>
      </w:r>
      <w:r w:rsidRPr="00EF0015" w:rsidR="00CE002B">
        <w:t>was</w:t>
      </w:r>
      <w:r w:rsidRPr="00EF0015" w:rsidR="00840913">
        <w:t xml:space="preserve"> a bas</w:t>
      </w:r>
      <w:r w:rsidR="00C01416">
        <w:t>is for the recognition of extra</w:t>
      </w:r>
      <w:r w:rsidRPr="00EF0015" w:rsidR="00840913">
        <w:t>territorial human rights jurisdiction.</w:t>
      </w:r>
    </w:p>
    <w:p w:rsidRPr="00EF0015" w:rsidR="00840913" w:rsidP="00BC2347" w:rsidRDefault="00446190">
      <w:pPr>
        <w:pStyle w:val="JuHi"/>
      </w:pPr>
      <w:bookmarkStart w:name="_Toc275785592" w:id="139"/>
      <w:bookmarkStart w:name="_Toc289765890" w:id="140"/>
      <w:bookmarkStart w:name="_Toc289868979" w:id="141"/>
      <w:r>
        <w:t>(</w:t>
      </w:r>
      <w:r w:rsidRPr="00EF0015" w:rsidR="00BC2347">
        <w:t>iii</w:t>
      </w:r>
      <w:r>
        <w:t>)  </w:t>
      </w:r>
      <w:r w:rsidRPr="00EF0015" w:rsidR="00CE002B">
        <w:t>The third</w:t>
      </w:r>
      <w:r w:rsidR="00E95FEC">
        <w:t>-</w:t>
      </w:r>
      <w:r w:rsidRPr="00EF0015" w:rsidR="00CE002B">
        <w:t>part</w:t>
      </w:r>
      <w:r w:rsidR="00E95FEC">
        <w:t>y</w:t>
      </w:r>
      <w:bookmarkEnd w:id="139"/>
      <w:bookmarkEnd w:id="140"/>
      <w:bookmarkEnd w:id="141"/>
      <w:r w:rsidR="00E95FEC">
        <w:t xml:space="preserve"> interveners</w:t>
      </w:r>
    </w:p>
    <w:p w:rsidR="00C81668" w:rsidP="007E2780" w:rsidRDefault="007E2780">
      <w:pPr>
        <w:pStyle w:val="JuPara"/>
      </w:pPr>
      <w:r w:rsidRPr="00EF0015">
        <w:fldChar w:fldCharType="begin"/>
      </w:r>
      <w:r w:rsidRPr="00EF0015">
        <w:instrText xml:space="preserve"> SEQ level0 \*arabic </w:instrText>
      </w:r>
      <w:r w:rsidRPr="00EF0015">
        <w:fldChar w:fldCharType="separate"/>
      </w:r>
      <w:r w:rsidR="00524A6D">
        <w:rPr>
          <w:noProof/>
        </w:rPr>
        <w:t>128</w:t>
      </w:r>
      <w:r w:rsidRPr="00EF0015">
        <w:fldChar w:fldCharType="end"/>
      </w:r>
      <w:r w:rsidRPr="00EF0015">
        <w:t xml:space="preserve">.  The </w:t>
      </w:r>
      <w:r w:rsidR="00E95FEC">
        <w:t xml:space="preserve">third-party </w:t>
      </w:r>
      <w:r w:rsidRPr="00EF0015">
        <w:t xml:space="preserve">interveners (see paragraph </w:t>
      </w:r>
      <w:r w:rsidRPr="00EF0015" w:rsidR="00AA2D9D">
        <w:t>6</w:t>
      </w:r>
      <w:r w:rsidRPr="00EF0015">
        <w:t xml:space="preserve"> above) </w:t>
      </w:r>
      <w:r w:rsidRPr="00EF0015" w:rsidR="00C05359">
        <w:t>emphasised that the Convention was adopted in the aftermath of the events in Europe of the 1930s and 1940s, when appalling human rights abuses were carried out by military forces in occupied territories. It was inconceivable that the drafters of the Convention should have considered that the prospective responsibilities of States should be confined to violations perpetrated on their own territories. Moreover, public international law required that the concept of “jurisdiction” be interpreted in the light of the object and purpose of the particular treaty. The Court had repeatedly had regard to the Convention</w:t>
      </w:r>
      <w:r w:rsidR="008570E8">
        <w:t>’</w:t>
      </w:r>
      <w:r w:rsidRPr="00EF0015" w:rsidR="00C05359">
        <w:t>s special character as an instrument for human rights protection.</w:t>
      </w:r>
      <w:r w:rsidRPr="00EF0015" w:rsidR="0021778E">
        <w:t xml:space="preserve"> It was relevant that </w:t>
      </w:r>
      <w:r w:rsidRPr="00EF0015" w:rsidR="001C6A69">
        <w:t>one of the guiding principles under international human rights law, which had been applied by the U</w:t>
      </w:r>
      <w:r w:rsidRPr="00EF0015" w:rsidR="00784E48">
        <w:t xml:space="preserve">nited </w:t>
      </w:r>
      <w:r w:rsidRPr="00EF0015" w:rsidR="001C6A69">
        <w:t>N</w:t>
      </w:r>
      <w:r w:rsidRPr="00EF0015" w:rsidR="00784E48">
        <w:t>ations</w:t>
      </w:r>
      <w:r w:rsidRPr="00EF0015" w:rsidR="001C6A69">
        <w:t xml:space="preserve"> Human Rights Committee and the </w:t>
      </w:r>
      <w:r w:rsidRPr="00EF0015" w:rsidR="00A957EC">
        <w:t xml:space="preserve">International Court of Justice </w:t>
      </w:r>
      <w:r w:rsidRPr="00EF0015" w:rsidR="0021778E">
        <w:t>when considering the conduct of States outside their territory,</w:t>
      </w:r>
      <w:r w:rsidRPr="00EF0015" w:rsidR="001C6A69">
        <w:t xml:space="preserve"> was the need to avoid unconscionable double standards, by allowing a State to perpetrate violations on foreign territory which would not be permitted on its own territory.</w:t>
      </w:r>
    </w:p>
    <w:p w:rsidRPr="00EF0015" w:rsidR="007A3324" w:rsidP="007E2780" w:rsidRDefault="0021778E">
      <w:pPr>
        <w:pStyle w:val="JuPara"/>
      </w:pPr>
      <w:r w:rsidRPr="00EF0015">
        <w:fldChar w:fldCharType="begin"/>
      </w:r>
      <w:r w:rsidRPr="00EF0015">
        <w:instrText xml:space="preserve"> SEQ level0 \*arabic </w:instrText>
      </w:r>
      <w:r w:rsidRPr="00EF0015">
        <w:fldChar w:fldCharType="separate"/>
      </w:r>
      <w:r w:rsidR="00524A6D">
        <w:rPr>
          <w:noProof/>
        </w:rPr>
        <w:t>129</w:t>
      </w:r>
      <w:r w:rsidRPr="00EF0015">
        <w:fldChar w:fldCharType="end"/>
      </w:r>
      <w:r w:rsidRPr="00EF0015">
        <w:t>.  </w:t>
      </w:r>
      <w:r w:rsidRPr="00EF0015" w:rsidR="007B2220">
        <w:t xml:space="preserve">The </w:t>
      </w:r>
      <w:r w:rsidR="00F13A1C">
        <w:t xml:space="preserve">third-party </w:t>
      </w:r>
      <w:r w:rsidRPr="00EF0015" w:rsidR="007B2220">
        <w:t>interveners further emphasised that i</w:t>
      </w:r>
      <w:r w:rsidRPr="00EF0015">
        <w:t>t was common ground between the international and regional courts and human rights bodies that, when determining whether the acts or omissions of a State</w:t>
      </w:r>
      <w:r w:rsidR="008570E8">
        <w:t>’</w:t>
      </w:r>
      <w:r w:rsidRPr="00EF0015">
        <w:t>s agents abroad fall within its “jurisdiction”, regard must be had to the existence of control, authority or power of that State over the individual</w:t>
      </w:r>
      <w:r w:rsidR="00FE67C3">
        <w:t xml:space="preserve"> in question</w:t>
      </w:r>
      <w:r w:rsidRPr="00EF0015">
        <w:t>. When the agents of the State exercised such control, authority or power over an individual outside its territory, that State</w:t>
      </w:r>
      <w:r w:rsidR="008570E8">
        <w:t>’</w:t>
      </w:r>
      <w:r w:rsidRPr="00EF0015">
        <w:t xml:space="preserve">s obligation to respect human rights continued. This was a factual test, to be determined </w:t>
      </w:r>
      <w:r w:rsidR="00FE67C3">
        <w:t>with regard to</w:t>
      </w:r>
      <w:r w:rsidRPr="00EF0015">
        <w:t xml:space="preserve"> the circumstances of the particular act or omission of the State agents. Certain situations, such as military occupations, created a strong presumption that individuals were under the control, authority or power of the occupying State</w:t>
      </w:r>
      <w:r w:rsidRPr="00EF0015" w:rsidR="007C401A">
        <w:t xml:space="preserve">. Indeed, one principle </w:t>
      </w:r>
      <w:r w:rsidRPr="00EF0015" w:rsidR="00D52065">
        <w:t xml:space="preserve">which emerged from the case-law of the </w:t>
      </w:r>
      <w:r w:rsidRPr="00EF0015" w:rsidR="00A957EC">
        <w:t>International Court of Justice</w:t>
      </w:r>
      <w:r w:rsidR="00F13A1C">
        <w:t>,</w:t>
      </w:r>
      <w:r w:rsidRPr="00EF0015" w:rsidR="00D52065">
        <w:t xml:space="preserve"> </w:t>
      </w:r>
      <w:r w:rsidRPr="00EF0015" w:rsidR="00D52065">
        <w:rPr>
          <w:i/>
        </w:rPr>
        <w:t>inter alia</w:t>
      </w:r>
      <w:r w:rsidR="00AC0F22">
        <w:t xml:space="preserve"> (see paragraphs </w:t>
      </w:r>
      <w:r w:rsidR="00023C22">
        <w:t>90-91</w:t>
      </w:r>
      <w:r w:rsidRPr="00EF0015" w:rsidR="00D52065">
        <w:t xml:space="preserve"> above), was that once a situation was qualified as an occupation within the meaning of </w:t>
      </w:r>
      <w:r w:rsidRPr="00EF0015" w:rsidR="00DB5662">
        <w:t>international humanitarian law</w:t>
      </w:r>
      <w:r w:rsidRPr="00EF0015" w:rsidR="00D52065">
        <w:t>, there was a strong presumption of “jurisdiction” for the purposes of the application of human rights law.</w:t>
      </w:r>
    </w:p>
    <w:p w:rsidRPr="00EF0015" w:rsidR="0078471B" w:rsidP="0078471B" w:rsidRDefault="00127CF4">
      <w:pPr>
        <w:pStyle w:val="JuHa"/>
      </w:pPr>
      <w:bookmarkStart w:name="_Toc289765891" w:id="142"/>
      <w:bookmarkStart w:name="_Toc289868980" w:id="143"/>
      <w:r>
        <w:t>(b)  </w:t>
      </w:r>
      <w:r w:rsidRPr="00EF0015" w:rsidR="0078471B">
        <w:t>The Court</w:t>
      </w:r>
      <w:r w:rsidR="008570E8">
        <w:t>’</w:t>
      </w:r>
      <w:r w:rsidRPr="00EF0015" w:rsidR="0078471B">
        <w:t>s assessment</w:t>
      </w:r>
      <w:bookmarkEnd w:id="142"/>
      <w:bookmarkEnd w:id="143"/>
    </w:p>
    <w:p w:rsidRPr="00EF0015" w:rsidR="0078471B" w:rsidP="0078471B" w:rsidRDefault="00127CF4">
      <w:pPr>
        <w:pStyle w:val="JuHi"/>
      </w:pPr>
      <w:bookmarkStart w:name="_Toc289765892" w:id="144"/>
      <w:bookmarkStart w:name="_Toc289868981" w:id="145"/>
      <w:r>
        <w:t>(i)  </w:t>
      </w:r>
      <w:r w:rsidRPr="00EF0015" w:rsidR="0078471B">
        <w:t>General principles</w:t>
      </w:r>
      <w:r w:rsidR="00B71337">
        <w:t xml:space="preserve"> relevant to jurisdiction under Article 1 of the Convention</w:t>
      </w:r>
      <w:bookmarkEnd w:id="144"/>
      <w:bookmarkEnd w:id="145"/>
    </w:p>
    <w:p w:rsidRPr="00EF0015" w:rsidR="0078471B" w:rsidP="0078471B" w:rsidRDefault="0078471B">
      <w:pPr>
        <w:pStyle w:val="JuPara"/>
      </w:pPr>
      <w:r w:rsidRPr="00EF0015">
        <w:fldChar w:fldCharType="begin"/>
      </w:r>
      <w:r w:rsidRPr="00EF0015">
        <w:instrText xml:space="preserve"> SEQ level0 \*arabic </w:instrText>
      </w:r>
      <w:r w:rsidRPr="00EF0015">
        <w:fldChar w:fldCharType="separate"/>
      </w:r>
      <w:r w:rsidR="00524A6D">
        <w:rPr>
          <w:noProof/>
        </w:rPr>
        <w:t>130</w:t>
      </w:r>
      <w:r w:rsidRPr="00EF0015">
        <w:fldChar w:fldCharType="end"/>
      </w:r>
      <w:r w:rsidRPr="00EF0015">
        <w:t>.  Article 1 of the Convention reads as follows:</w:t>
      </w:r>
    </w:p>
    <w:p w:rsidRPr="00EF0015" w:rsidR="0078471B" w:rsidP="0078471B" w:rsidRDefault="0078471B">
      <w:pPr>
        <w:pStyle w:val="JuQuot"/>
      </w:pPr>
      <w:r w:rsidRPr="00EF0015">
        <w:t>“The High Contracting Parties shall secure to everyone within their jurisdiction the rights and freedoms defined in Section I of [the] Convention.”</w:t>
      </w:r>
    </w:p>
    <w:p w:rsidR="00C81668" w:rsidP="0078471B" w:rsidRDefault="0078471B">
      <w:pPr>
        <w:pStyle w:val="JuPara"/>
      </w:pPr>
      <w:r w:rsidRPr="00EF0015">
        <w:t>As provided by this Article, the engagement undertaken by a Contracting State is confined to “securing” (“</w:t>
      </w:r>
      <w:r w:rsidRPr="00EF0015">
        <w:rPr>
          <w:i/>
        </w:rPr>
        <w:t>reconna</w:t>
      </w:r>
      <w:r w:rsidR="00DE504F">
        <w:rPr>
          <w:i/>
        </w:rPr>
        <w:t>î</w:t>
      </w:r>
      <w:r w:rsidRPr="00EF0015">
        <w:rPr>
          <w:i/>
        </w:rPr>
        <w:t>tre</w:t>
      </w:r>
      <w:r w:rsidRPr="00EF0015">
        <w:t xml:space="preserve">” in the French text) the listed rights and freedoms to persons within its own “jurisdiction” (see </w:t>
      </w:r>
      <w:r w:rsidR="00F92A1F">
        <w:rPr>
          <w:i/>
          <w:lang w:eastAsia="en-US"/>
        </w:rPr>
        <w:t>Soering v. </w:t>
      </w:r>
      <w:r w:rsidRPr="00EF0015">
        <w:rPr>
          <w:i/>
          <w:lang w:eastAsia="en-US"/>
        </w:rPr>
        <w:t>the United Kingdom</w:t>
      </w:r>
      <w:r w:rsidR="00C976AF">
        <w:rPr>
          <w:lang w:eastAsia="en-US"/>
        </w:rPr>
        <w:t xml:space="preserve">, 7 </w:t>
      </w:r>
      <w:r w:rsidRPr="00EF0015">
        <w:rPr>
          <w:lang w:eastAsia="en-US"/>
        </w:rPr>
        <w:t>July 1989, § 8</w:t>
      </w:r>
      <w:r w:rsidR="00182BD9">
        <w:rPr>
          <w:lang w:eastAsia="en-US"/>
        </w:rPr>
        <w:t>6</w:t>
      </w:r>
      <w:r w:rsidRPr="00EF0015">
        <w:rPr>
          <w:lang w:eastAsia="en-US"/>
        </w:rPr>
        <w:t>, Series A no. 161</w:t>
      </w:r>
      <w:r w:rsidR="008B0844">
        <w:rPr>
          <w:lang w:eastAsia="en-US"/>
        </w:rPr>
        <w:t>, and</w:t>
      </w:r>
      <w:r w:rsidRPr="00EF0015">
        <w:rPr>
          <w:lang w:eastAsia="en-US"/>
        </w:rPr>
        <w:t xml:space="preserve"> </w:t>
      </w:r>
      <w:r w:rsidR="00DE504F">
        <w:rPr>
          <w:i/>
        </w:rPr>
        <w:t>Banković</w:t>
      </w:r>
      <w:r w:rsidR="00035A69">
        <w:rPr>
          <w:i/>
        </w:rPr>
        <w:t xml:space="preserve"> and Others</w:t>
      </w:r>
      <w:r w:rsidR="00201891">
        <w:t>, cited above,</w:t>
      </w:r>
      <w:r w:rsidR="00370C2D">
        <w:t xml:space="preserve"> § 66</w:t>
      </w:r>
      <w:r w:rsidR="008B0844">
        <w:t>).</w:t>
      </w:r>
      <w:r w:rsidRPr="00EF0015">
        <w:t xml:space="preserve"> “Jurisdiction” under Article 1 is a threshold criterion. The exercise of jurisdiction is a necessary condition for a Contracting State to be able to be held responsible for acts or omissions imputable to it which give rise to an allegation of the infringement of rights and freedoms set forth in the Convention (see </w:t>
      </w:r>
      <w:r w:rsidRPr="00EF0015">
        <w:rPr>
          <w:i/>
          <w:lang w:eastAsia="en-US"/>
        </w:rPr>
        <w:t>Ilaşcu and Others</w:t>
      </w:r>
      <w:r w:rsidRPr="00D8100E" w:rsidR="00D76F95">
        <w:rPr>
          <w:lang w:eastAsia="en-US"/>
        </w:rPr>
        <w:t>,</w:t>
      </w:r>
      <w:r w:rsidRPr="00EF0015">
        <w:rPr>
          <w:i/>
          <w:lang w:eastAsia="en-US"/>
        </w:rPr>
        <w:t xml:space="preserve"> </w:t>
      </w:r>
      <w:r w:rsidRPr="00D8100E" w:rsidR="006C1C06">
        <w:rPr>
          <w:lang w:eastAsia="en-US"/>
        </w:rPr>
        <w:t>cited above,</w:t>
      </w:r>
      <w:r w:rsidRPr="00EF0015">
        <w:rPr>
          <w:lang w:eastAsia="en-US"/>
        </w:rPr>
        <w:t xml:space="preserve"> § 311</w:t>
      </w:r>
      <w:r w:rsidR="006C1C06">
        <w:rPr>
          <w:lang w:eastAsia="en-US"/>
        </w:rPr>
        <w:t>).</w:t>
      </w:r>
    </w:p>
    <w:p w:rsidRPr="00EF0015" w:rsidR="0078471B" w:rsidP="00127CF4" w:rsidRDefault="00127CF4">
      <w:pPr>
        <w:pStyle w:val="JuHalpha"/>
      </w:pPr>
      <w:bookmarkStart w:name="_Toc289765893" w:id="146"/>
      <w:bookmarkStart w:name="_Toc289868982" w:id="147"/>
      <w:r>
        <w:t>(α)  </w:t>
      </w:r>
      <w:r w:rsidRPr="00EF0015" w:rsidR="0078471B">
        <w:t>The territorial principle</w:t>
      </w:r>
      <w:bookmarkEnd w:id="146"/>
      <w:bookmarkEnd w:id="147"/>
    </w:p>
    <w:p w:rsidR="00C81668" w:rsidP="0078471B" w:rsidRDefault="0078471B">
      <w:pPr>
        <w:pStyle w:val="JuPara"/>
      </w:pPr>
      <w:r w:rsidRPr="00EF0015">
        <w:fldChar w:fldCharType="begin"/>
      </w:r>
      <w:r w:rsidRPr="00EF0015">
        <w:instrText xml:space="preserve"> SEQ level0 \*arabic </w:instrText>
      </w:r>
      <w:r w:rsidRPr="00EF0015">
        <w:fldChar w:fldCharType="separate"/>
      </w:r>
      <w:r w:rsidR="00524A6D">
        <w:rPr>
          <w:noProof/>
        </w:rPr>
        <w:t>131</w:t>
      </w:r>
      <w:r w:rsidRPr="00EF0015">
        <w:fldChar w:fldCharType="end"/>
      </w:r>
      <w:r w:rsidRPr="00EF0015">
        <w:t>.  A State</w:t>
      </w:r>
      <w:r w:rsidR="008570E8">
        <w:t>’</w:t>
      </w:r>
      <w:r w:rsidRPr="00EF0015">
        <w:t xml:space="preserve">s jurisdictional competence under Article 1 is primarily territorial (see </w:t>
      </w:r>
      <w:r w:rsidRPr="00EF0015">
        <w:rPr>
          <w:i/>
        </w:rPr>
        <w:t>Soering</w:t>
      </w:r>
      <w:r w:rsidRPr="00D8100E">
        <w:t>,</w:t>
      </w:r>
      <w:r w:rsidRPr="00EF0015">
        <w:rPr>
          <w:i/>
        </w:rPr>
        <w:t xml:space="preserve"> </w:t>
      </w:r>
      <w:r w:rsidRPr="00EF0015">
        <w:t>cited above, § 8</w:t>
      </w:r>
      <w:r w:rsidR="00182BD9">
        <w:t>6</w:t>
      </w:r>
      <w:r w:rsidRPr="00EF0015">
        <w:t xml:space="preserve">; </w:t>
      </w:r>
      <w:r w:rsidRPr="00EF0015">
        <w:rPr>
          <w:i/>
        </w:rPr>
        <w:t>Banković</w:t>
      </w:r>
      <w:r w:rsidR="00035A69">
        <w:rPr>
          <w:i/>
        </w:rPr>
        <w:t xml:space="preserve"> and Others</w:t>
      </w:r>
      <w:r w:rsidR="00127CF4">
        <w:t>, cited above, §§ 61 and</w:t>
      </w:r>
      <w:r w:rsidR="00AC0F22">
        <w:t xml:space="preserve"> </w:t>
      </w:r>
      <w:r w:rsidRPr="00EF0015">
        <w:t xml:space="preserve">67; </w:t>
      </w:r>
      <w:r w:rsidR="006C1C06">
        <w:t xml:space="preserve">and </w:t>
      </w:r>
      <w:r w:rsidRPr="00EF0015">
        <w:rPr>
          <w:i/>
        </w:rPr>
        <w:t>Ilaşcu</w:t>
      </w:r>
      <w:r w:rsidR="00F64C9A">
        <w:rPr>
          <w:i/>
        </w:rPr>
        <w:t xml:space="preserve"> and Others</w:t>
      </w:r>
      <w:r w:rsidRPr="00D8100E">
        <w:t>,</w:t>
      </w:r>
      <w:r w:rsidRPr="00EF0015">
        <w:rPr>
          <w:i/>
        </w:rPr>
        <w:t xml:space="preserve"> </w:t>
      </w:r>
      <w:r w:rsidRPr="00EF0015">
        <w:t>cited above, § 312). Jurisdiction is presumed to be exercised normally throughout the State</w:t>
      </w:r>
      <w:r w:rsidR="008570E8">
        <w:t>’</w:t>
      </w:r>
      <w:r w:rsidRPr="00EF0015">
        <w:t>s territory (</w:t>
      </w:r>
      <w:r w:rsidR="006C1C06">
        <w:t xml:space="preserve">see </w:t>
      </w:r>
      <w:r w:rsidRPr="00EF0015">
        <w:rPr>
          <w:i/>
        </w:rPr>
        <w:t>Ilaşcu</w:t>
      </w:r>
      <w:r w:rsidR="00F64C9A">
        <w:rPr>
          <w:i/>
        </w:rPr>
        <w:t xml:space="preserve"> and Others</w:t>
      </w:r>
      <w:r w:rsidRPr="00D8100E">
        <w:t>,</w:t>
      </w:r>
      <w:r w:rsidRPr="00EF0015">
        <w:rPr>
          <w:i/>
        </w:rPr>
        <w:t xml:space="preserve"> </w:t>
      </w:r>
      <w:r w:rsidR="00AC0F22">
        <w:t xml:space="preserve">cited above, § </w:t>
      </w:r>
      <w:r w:rsidRPr="00EF0015">
        <w:t>312</w:t>
      </w:r>
      <w:r w:rsidR="006C1C06">
        <w:t>,</w:t>
      </w:r>
      <w:r w:rsidRPr="00EF0015">
        <w:t xml:space="preserve"> </w:t>
      </w:r>
      <w:r w:rsidR="006C1C06">
        <w:t xml:space="preserve">and </w:t>
      </w:r>
      <w:r w:rsidRPr="00EF0015">
        <w:rPr>
          <w:i/>
          <w:lang w:eastAsia="en-US"/>
        </w:rPr>
        <w:t xml:space="preserve">Assanidze v. Georgia </w:t>
      </w:r>
      <w:r w:rsidR="00AC0F22">
        <w:rPr>
          <w:lang w:eastAsia="en-US"/>
        </w:rPr>
        <w:t>[GC], no. </w:t>
      </w:r>
      <w:r w:rsidRPr="00EF0015">
        <w:rPr>
          <w:lang w:eastAsia="en-US"/>
        </w:rPr>
        <w:t>71503/01, § 139, ECHR 2004</w:t>
      </w:r>
      <w:r w:rsidRPr="00EF0015">
        <w:rPr>
          <w:lang w:eastAsia="en-US"/>
        </w:rPr>
        <w:noBreakHyphen/>
        <w:t>II</w:t>
      </w:r>
      <w:r w:rsidRPr="00EF0015">
        <w:t>). Conversely, acts of the Contracting States performed, or producing effects, outside their territories can constitute an exercise of jurisdictio</w:t>
      </w:r>
      <w:r w:rsidR="00AC0F22">
        <w:t xml:space="preserve">n within the meaning of Article </w:t>
      </w:r>
      <w:r w:rsidRPr="00EF0015">
        <w:t>1 only in exceptional cases (</w:t>
      </w:r>
      <w:r w:rsidR="006C1C06">
        <w:t xml:space="preserve">see </w:t>
      </w:r>
      <w:r w:rsidRPr="00EF0015">
        <w:rPr>
          <w:i/>
        </w:rPr>
        <w:t>Banković</w:t>
      </w:r>
      <w:r w:rsidR="00035A69">
        <w:rPr>
          <w:i/>
        </w:rPr>
        <w:t xml:space="preserve"> and Others</w:t>
      </w:r>
      <w:r w:rsidRPr="00D8100E">
        <w:t>,</w:t>
      </w:r>
      <w:r w:rsidRPr="00EF0015">
        <w:rPr>
          <w:i/>
        </w:rPr>
        <w:t xml:space="preserve"> </w:t>
      </w:r>
      <w:r w:rsidR="0084401D">
        <w:t xml:space="preserve">cited above, </w:t>
      </w:r>
      <w:r w:rsidRPr="00EF0015">
        <w:t>§</w:t>
      </w:r>
      <w:r w:rsidR="00AC0F22">
        <w:t xml:space="preserve"> </w:t>
      </w:r>
      <w:r w:rsidRPr="00EF0015">
        <w:t>67).</w:t>
      </w:r>
    </w:p>
    <w:p w:rsidRPr="00EF0015" w:rsidR="0078471B" w:rsidP="0078471B" w:rsidRDefault="0078471B">
      <w:pPr>
        <w:pStyle w:val="JuPara"/>
      </w:pPr>
      <w:r w:rsidRPr="00EF0015">
        <w:fldChar w:fldCharType="begin"/>
      </w:r>
      <w:r w:rsidRPr="00EF0015">
        <w:instrText xml:space="preserve"> SEQ level0 \*arabic </w:instrText>
      </w:r>
      <w:r w:rsidRPr="00EF0015">
        <w:fldChar w:fldCharType="separate"/>
      </w:r>
      <w:r w:rsidR="00524A6D">
        <w:rPr>
          <w:noProof/>
        </w:rPr>
        <w:t>132</w:t>
      </w:r>
      <w:r w:rsidRPr="00EF0015">
        <w:fldChar w:fldCharType="end"/>
      </w:r>
      <w:r w:rsidRPr="00EF0015">
        <w:t>.  To date, the Court in its case-law has recognised a number of exceptional circumstances capable of giving rise to the exercise of jurisdiction by a Contracting State outside its own territorial boundaries. In each case, the question whether exceptional circumstances exist which require and justify a finding by the Court that the State was exercising jurisdiction extraterritorially must be determined with reference to the particular facts.</w:t>
      </w:r>
    </w:p>
    <w:p w:rsidRPr="00EF0015" w:rsidR="0078471B" w:rsidP="0078471B" w:rsidRDefault="007C08A3">
      <w:pPr>
        <w:pStyle w:val="JuHalpha"/>
      </w:pPr>
      <w:bookmarkStart w:name="_Toc289765894" w:id="148"/>
      <w:bookmarkStart w:name="_Toc289868983" w:id="149"/>
      <w:r>
        <w:t>(β)  </w:t>
      </w:r>
      <w:r w:rsidRPr="00EF0015" w:rsidR="0078471B">
        <w:t>State agent authority and control</w:t>
      </w:r>
      <w:bookmarkEnd w:id="148"/>
      <w:bookmarkEnd w:id="149"/>
    </w:p>
    <w:p w:rsidRPr="00EF0015" w:rsidR="0078471B" w:rsidP="0084401D" w:rsidRDefault="0078471B">
      <w:pPr>
        <w:pStyle w:val="JuPara"/>
        <w:rPr>
          <w:lang w:eastAsia="en-US"/>
        </w:rPr>
      </w:pPr>
      <w:r w:rsidRPr="00EF0015">
        <w:fldChar w:fldCharType="begin"/>
      </w:r>
      <w:r w:rsidRPr="00EF0015">
        <w:instrText xml:space="preserve"> SEQ level0 \*arabic </w:instrText>
      </w:r>
      <w:r w:rsidRPr="00EF0015">
        <w:fldChar w:fldCharType="separate"/>
      </w:r>
      <w:r w:rsidR="00524A6D">
        <w:rPr>
          <w:noProof/>
        </w:rPr>
        <w:t>133</w:t>
      </w:r>
      <w:r w:rsidRPr="00EF0015">
        <w:fldChar w:fldCharType="end"/>
      </w:r>
      <w:r w:rsidRPr="00EF0015">
        <w:t>.  </w:t>
      </w:r>
      <w:r w:rsidRPr="00EF0015" w:rsidR="00F858AC">
        <w:t>The Court has recognised in its case-law that, as an exception to the principle of territoriality, a</w:t>
      </w:r>
      <w:r w:rsidRPr="00EF0015">
        <w:t xml:space="preserve"> Contracting State</w:t>
      </w:r>
      <w:r w:rsidR="008570E8">
        <w:t>’</w:t>
      </w:r>
      <w:r w:rsidRPr="00EF0015">
        <w:t xml:space="preserve">s jurisdiction under Article 1 may extend to acts of its authorities which produce effects outside its own territory (see </w:t>
      </w:r>
      <w:r w:rsidRPr="00EF0015">
        <w:rPr>
          <w:i/>
        </w:rPr>
        <w:t>Drozd and Janousek</w:t>
      </w:r>
      <w:r w:rsidR="006C1C06">
        <w:t>, cited above,</w:t>
      </w:r>
      <w:r w:rsidRPr="00EF0015">
        <w:rPr>
          <w:i/>
        </w:rPr>
        <w:t xml:space="preserve"> </w:t>
      </w:r>
      <w:r w:rsidRPr="00EF0015">
        <w:t xml:space="preserve">§ 91; </w:t>
      </w:r>
      <w:r w:rsidRPr="0084401D" w:rsidR="0084401D">
        <w:rPr>
          <w:i/>
          <w:lang w:eastAsia="en-US"/>
        </w:rPr>
        <w:t xml:space="preserve">Loizidou </w:t>
      </w:r>
      <w:r w:rsidRPr="0084401D" w:rsidR="0084401D">
        <w:rPr>
          <w:lang w:eastAsia="en-US"/>
        </w:rPr>
        <w:t xml:space="preserve">(preliminary objections), </w:t>
      </w:r>
      <w:r w:rsidR="00844EDD">
        <w:rPr>
          <w:lang w:eastAsia="en-US"/>
        </w:rPr>
        <w:t xml:space="preserve">cited above, </w:t>
      </w:r>
      <w:r w:rsidRPr="0084401D" w:rsidR="0084401D">
        <w:rPr>
          <w:lang w:eastAsia="en-US"/>
        </w:rPr>
        <w:t xml:space="preserve">§ </w:t>
      </w:r>
      <w:r w:rsidR="0084401D">
        <w:rPr>
          <w:lang w:eastAsia="en-US"/>
        </w:rPr>
        <w:t>62</w:t>
      </w:r>
      <w:r w:rsidR="005E1067">
        <w:rPr>
          <w:lang w:eastAsia="en-US"/>
        </w:rPr>
        <w:t>;</w:t>
      </w:r>
      <w:r w:rsidRPr="00EF0015">
        <w:t xml:space="preserve"> </w:t>
      </w:r>
      <w:r w:rsidR="00AC0F22">
        <w:rPr>
          <w:i/>
          <w:lang w:eastAsia="en-US"/>
        </w:rPr>
        <w:t xml:space="preserve">Loizidou v. </w:t>
      </w:r>
      <w:r w:rsidRPr="0084401D" w:rsidR="0084401D">
        <w:rPr>
          <w:i/>
          <w:lang w:eastAsia="en-US"/>
        </w:rPr>
        <w:t>Turkey</w:t>
      </w:r>
      <w:r w:rsidRPr="0084401D" w:rsidR="0084401D">
        <w:rPr>
          <w:lang w:eastAsia="en-US"/>
        </w:rPr>
        <w:t xml:space="preserve"> (merits), 18 December 1996, § </w:t>
      </w:r>
      <w:r w:rsidR="0084401D">
        <w:rPr>
          <w:lang w:eastAsia="en-US"/>
        </w:rPr>
        <w:t>52</w:t>
      </w:r>
      <w:r w:rsidRPr="0084401D" w:rsidR="0084401D">
        <w:rPr>
          <w:lang w:eastAsia="en-US"/>
        </w:rPr>
        <w:t xml:space="preserve">, </w:t>
      </w:r>
      <w:r w:rsidRPr="0084401D" w:rsidR="0084401D">
        <w:rPr>
          <w:i/>
          <w:lang w:eastAsia="en-US"/>
        </w:rPr>
        <w:t>Reports of Judgments and Decisions</w:t>
      </w:r>
      <w:r w:rsidRPr="0084401D" w:rsidR="0084401D">
        <w:rPr>
          <w:lang w:eastAsia="en-US"/>
        </w:rPr>
        <w:t xml:space="preserve"> 1996</w:t>
      </w:r>
      <w:r w:rsidRPr="0084401D" w:rsidR="0084401D">
        <w:rPr>
          <w:lang w:eastAsia="en-US"/>
        </w:rPr>
        <w:noBreakHyphen/>
        <w:t>VI</w:t>
      </w:r>
      <w:r w:rsidR="0084401D">
        <w:rPr>
          <w:lang w:eastAsia="en-US"/>
        </w:rPr>
        <w:t xml:space="preserve">; </w:t>
      </w:r>
      <w:r w:rsidRPr="00EF0015">
        <w:t xml:space="preserve">and </w:t>
      </w:r>
      <w:r w:rsidRPr="00EF0015">
        <w:rPr>
          <w:i/>
        </w:rPr>
        <w:t>Banković</w:t>
      </w:r>
      <w:r w:rsidR="00035A69">
        <w:rPr>
          <w:i/>
        </w:rPr>
        <w:t xml:space="preserve"> and Others</w:t>
      </w:r>
      <w:r w:rsidRPr="00D8100E">
        <w:t>,</w:t>
      </w:r>
      <w:r w:rsidRPr="006C1C06" w:rsidR="0084401D">
        <w:t xml:space="preserve"> </w:t>
      </w:r>
      <w:r w:rsidR="0084401D">
        <w:t>cited above,</w:t>
      </w:r>
      <w:r w:rsidRPr="00EF0015">
        <w:rPr>
          <w:i/>
        </w:rPr>
        <w:t xml:space="preserve"> </w:t>
      </w:r>
      <w:r w:rsidR="006C1C06">
        <w:t>§</w:t>
      </w:r>
      <w:r w:rsidR="00844EDD">
        <w:t> </w:t>
      </w:r>
      <w:r w:rsidR="007C08A3">
        <w:t xml:space="preserve">69). </w:t>
      </w:r>
      <w:r w:rsidRPr="00EF0015">
        <w:t xml:space="preserve">The statement of principle, as it appears in </w:t>
      </w:r>
      <w:r w:rsidRPr="00EF0015">
        <w:rPr>
          <w:i/>
        </w:rPr>
        <w:t xml:space="preserve">Drozd and Janousek </w:t>
      </w:r>
      <w:r w:rsidRPr="00EF0015">
        <w:t>and the other cases</w:t>
      </w:r>
      <w:r w:rsidR="00FE730D">
        <w:t xml:space="preserve"> just </w:t>
      </w:r>
      <w:r w:rsidRPr="00EF0015" w:rsidR="00FE730D">
        <w:t>cited</w:t>
      </w:r>
      <w:r w:rsidR="00FE730D">
        <w:t>,</w:t>
      </w:r>
      <w:r w:rsidRPr="00EF0015">
        <w:t xml:space="preserve"> is very broad: the Court states merely that the Contracting Party</w:t>
      </w:r>
      <w:r w:rsidR="008570E8">
        <w:t>’</w:t>
      </w:r>
      <w:r w:rsidRPr="00EF0015">
        <w:t>s responsibility “can be involved” in these circumstances. It is necessary to examine the Court</w:t>
      </w:r>
      <w:r w:rsidR="008570E8">
        <w:t>’</w:t>
      </w:r>
      <w:r w:rsidRPr="00EF0015">
        <w:t>s case-law to identify the defining principles.</w:t>
      </w:r>
    </w:p>
    <w:p w:rsidR="00C81668" w:rsidP="0078471B" w:rsidRDefault="0078471B">
      <w:pPr>
        <w:pStyle w:val="JuPara"/>
      </w:pPr>
      <w:r w:rsidRPr="00EF0015">
        <w:fldChar w:fldCharType="begin"/>
      </w:r>
      <w:r w:rsidRPr="00EF0015">
        <w:instrText xml:space="preserve"> SEQ level0 \*arabic </w:instrText>
      </w:r>
      <w:r w:rsidRPr="00EF0015">
        <w:fldChar w:fldCharType="separate"/>
      </w:r>
      <w:r w:rsidR="00524A6D">
        <w:rPr>
          <w:noProof/>
        </w:rPr>
        <w:t>134</w:t>
      </w:r>
      <w:r w:rsidRPr="00EF0015">
        <w:fldChar w:fldCharType="end"/>
      </w:r>
      <w:r w:rsidR="0058785B">
        <w:t>.</w:t>
      </w:r>
      <w:r w:rsidR="00EC3FA6">
        <w:t>  </w:t>
      </w:r>
      <w:r w:rsidRPr="00EF0015">
        <w:t>First</w:t>
      </w:r>
      <w:r w:rsidR="00396A27">
        <w:t>ly</w:t>
      </w:r>
      <w:r w:rsidRPr="00EF0015">
        <w:t>, it is clear that the acts of diplomatic and consular agents, who are present on foreign territory in accordance with provisions of international law, may amount to an ex</w:t>
      </w:r>
      <w:r w:rsidR="00FE730D">
        <w:t>ercise of jurisdiction when these agents</w:t>
      </w:r>
      <w:r w:rsidRPr="00EF0015">
        <w:t xml:space="preserve"> exert authority and control over others (</w:t>
      </w:r>
      <w:r w:rsidR="002C7805">
        <w:t xml:space="preserve">see </w:t>
      </w:r>
      <w:r w:rsidRPr="00EF0015">
        <w:rPr>
          <w:i/>
        </w:rPr>
        <w:t>Banković</w:t>
      </w:r>
      <w:r w:rsidR="00035A69">
        <w:rPr>
          <w:i/>
        </w:rPr>
        <w:t xml:space="preserve"> and Others</w:t>
      </w:r>
      <w:r w:rsidRPr="00D8100E" w:rsidR="002A4477">
        <w:t>,</w:t>
      </w:r>
      <w:r w:rsidR="002A4477">
        <w:rPr>
          <w:i/>
        </w:rPr>
        <w:t xml:space="preserve"> </w:t>
      </w:r>
      <w:r w:rsidR="002A4477">
        <w:t>cited above,</w:t>
      </w:r>
      <w:r w:rsidRPr="00EF0015">
        <w:rPr>
          <w:i/>
        </w:rPr>
        <w:t xml:space="preserve"> </w:t>
      </w:r>
      <w:r w:rsidR="00AC0F22">
        <w:t xml:space="preserve">§ </w:t>
      </w:r>
      <w:r w:rsidRPr="00EF0015">
        <w:t xml:space="preserve">73; see also </w:t>
      </w:r>
      <w:r w:rsidRPr="00EF0015">
        <w:rPr>
          <w:rStyle w:val="ju-005fpara-002cleft-002cfirst-0020line-003a-0020-00200-0020cm--char"/>
          <w:i/>
          <w:iCs/>
        </w:rPr>
        <w:t>X</w:t>
      </w:r>
      <w:r w:rsidR="002C7805">
        <w:rPr>
          <w:rStyle w:val="ju-005fpara-002cleft-002cfirst-0020line-003a-0020-00200-0020cm--char"/>
          <w:i/>
          <w:iCs/>
        </w:rPr>
        <w:t>.</w:t>
      </w:r>
      <w:r w:rsidRPr="00EF0015">
        <w:rPr>
          <w:rStyle w:val="ju-005fpara-002cleft-002cfirst-0020line-003a-0020-00200-0020cm--char"/>
          <w:i/>
          <w:iCs/>
        </w:rPr>
        <w:t xml:space="preserve"> v. Germany</w:t>
      </w:r>
      <w:r w:rsidR="00F057DC">
        <w:t>, no. </w:t>
      </w:r>
      <w:r w:rsidRPr="00EF0015">
        <w:t>1611/62, Commission decision of 25 September 1965, Yearbook 8, p.</w:t>
      </w:r>
      <w:r w:rsidR="00537151">
        <w:t> </w:t>
      </w:r>
      <w:r w:rsidRPr="00EF0015">
        <w:t xml:space="preserve">158; </w:t>
      </w:r>
      <w:r w:rsidRPr="00EF0015">
        <w:rPr>
          <w:rStyle w:val="ju-005fpara-002cleft-002cfirst-0020line-003a-0020-00200-0020cm--char"/>
          <w:i/>
          <w:iCs/>
        </w:rPr>
        <w:t>X</w:t>
      </w:r>
      <w:r w:rsidR="002C7805">
        <w:rPr>
          <w:rStyle w:val="ju-005fpara-002cleft-002cfirst-0020line-003a-0020-00200-0020cm--char"/>
          <w:i/>
          <w:iCs/>
        </w:rPr>
        <w:t>.</w:t>
      </w:r>
      <w:r w:rsidRPr="00EF0015">
        <w:rPr>
          <w:rStyle w:val="ju-005fpara-002cleft-002cfirst-0020line-003a-0020-00200-0020cm--char"/>
          <w:i/>
          <w:iCs/>
        </w:rPr>
        <w:t xml:space="preserve"> v. the United Kingdom</w:t>
      </w:r>
      <w:r w:rsidRPr="00EF0015">
        <w:t>, no.</w:t>
      </w:r>
      <w:r w:rsidR="00AC0F22">
        <w:t xml:space="preserve"> </w:t>
      </w:r>
      <w:r w:rsidRPr="00EF0015">
        <w:t>7547/76,</w:t>
      </w:r>
      <w:r w:rsidR="00D04491">
        <w:t xml:space="preserve"> Commission decision of 15 </w:t>
      </w:r>
      <w:r w:rsidRPr="00EF0015">
        <w:t>December 1977</w:t>
      </w:r>
      <w:r w:rsidR="002A2885">
        <w:t>, DR 12, p. 73</w:t>
      </w:r>
      <w:r w:rsidRPr="00EF0015">
        <w:t xml:space="preserve">; </w:t>
      </w:r>
      <w:r w:rsidR="002C7805">
        <w:t xml:space="preserve">and </w:t>
      </w:r>
      <w:r w:rsidRPr="00EF0015">
        <w:rPr>
          <w:rStyle w:val="ju-005fpara-002cleft-002cfirst-0020line-003a-0020-00200-0020cm--char"/>
          <w:i/>
          <w:iCs/>
        </w:rPr>
        <w:t>M</w:t>
      </w:r>
      <w:r w:rsidR="002C7805">
        <w:rPr>
          <w:rStyle w:val="ju-005fpara-002cleft-002cfirst-0020line-003a-0020-00200-0020cm--char"/>
          <w:i/>
          <w:iCs/>
        </w:rPr>
        <w:t>.</w:t>
      </w:r>
      <w:r w:rsidRPr="00EF0015">
        <w:rPr>
          <w:rStyle w:val="ju-005fpara-002cleft-002cfirst-0020line-003a-0020-00200-0020cm--char"/>
          <w:i/>
          <w:iCs/>
        </w:rPr>
        <w:t xml:space="preserve"> v. Denmark</w:t>
      </w:r>
      <w:r w:rsidR="007A26CE">
        <w:t>, no. </w:t>
      </w:r>
      <w:r w:rsidRPr="00EF0015">
        <w:t>17392/90, Commission decision of 14 October 199</w:t>
      </w:r>
      <w:r w:rsidR="002C7805">
        <w:t>2</w:t>
      </w:r>
      <w:r w:rsidR="001D0BDB">
        <w:t>, DR 73, p. 193</w:t>
      </w:r>
      <w:r w:rsidRPr="00EF0015">
        <w:t>).</w:t>
      </w:r>
    </w:p>
    <w:p w:rsidR="00C81668" w:rsidP="0078471B" w:rsidRDefault="0078471B">
      <w:pPr>
        <w:pStyle w:val="JuPara"/>
      </w:pPr>
      <w:r w:rsidRPr="00EF0015">
        <w:fldChar w:fldCharType="begin"/>
      </w:r>
      <w:r w:rsidRPr="00EF0015">
        <w:instrText xml:space="preserve"> SEQ level0 \*arabic </w:instrText>
      </w:r>
      <w:r w:rsidRPr="00EF0015">
        <w:fldChar w:fldCharType="separate"/>
      </w:r>
      <w:r w:rsidR="00524A6D">
        <w:rPr>
          <w:noProof/>
        </w:rPr>
        <w:t>135</w:t>
      </w:r>
      <w:r w:rsidRPr="00EF0015">
        <w:fldChar w:fldCharType="end"/>
      </w:r>
      <w:r w:rsidRPr="00EF0015">
        <w:t>.  </w:t>
      </w:r>
      <w:r w:rsidR="00B16C62">
        <w:t>Secondly, the Court has recognised the exercise of extraterritorial jurisdiction by a Contracting State when, through the consent, invitation or acquiescence of the Government of that territory, it exercises all or some of the public powers normally to be exercised by that Government (</w:t>
      </w:r>
      <w:r w:rsidR="002C7805">
        <w:t xml:space="preserve">see </w:t>
      </w:r>
      <w:r w:rsidR="00B16C62">
        <w:rPr>
          <w:i/>
        </w:rPr>
        <w:t>Banković</w:t>
      </w:r>
      <w:r w:rsidR="00035A69">
        <w:rPr>
          <w:i/>
        </w:rPr>
        <w:t xml:space="preserve"> and Others</w:t>
      </w:r>
      <w:r w:rsidRPr="00D8100E" w:rsidR="00B16C62">
        <w:t>,</w:t>
      </w:r>
      <w:r w:rsidR="00B16C62">
        <w:rPr>
          <w:i/>
        </w:rPr>
        <w:t xml:space="preserve"> </w:t>
      </w:r>
      <w:r w:rsidR="00B16C62">
        <w:t>cited above, § 71). Thus</w:t>
      </w:r>
      <w:r w:rsidR="002C7805">
        <w:t>,</w:t>
      </w:r>
      <w:r w:rsidR="00B16C62">
        <w:t xml:space="preserve"> where, </w:t>
      </w:r>
      <w:r w:rsidRPr="00EF0015">
        <w:t xml:space="preserve">in accordance with </w:t>
      </w:r>
      <w:r w:rsidRPr="00EF0015" w:rsidR="00F34C5D">
        <w:t xml:space="preserve">custom, </w:t>
      </w:r>
      <w:r w:rsidRPr="00EF0015">
        <w:t xml:space="preserve">treaty or other agreement, </w:t>
      </w:r>
      <w:r w:rsidR="00B16C62">
        <w:t xml:space="preserve">authorities of the Contracting State </w:t>
      </w:r>
      <w:r w:rsidRPr="00EF0015">
        <w:t xml:space="preserve">carry out executive or judicial functions on the territory of another State, </w:t>
      </w:r>
      <w:r w:rsidR="00EC3D1B">
        <w:t xml:space="preserve">the Contracting State may be responsible for breaches of the Convention thereby incurred, </w:t>
      </w:r>
      <w:r w:rsidRPr="00EF0015">
        <w:t>as long as the acts in question are attributable to it rather</w:t>
      </w:r>
      <w:r w:rsidRPr="00EF0015" w:rsidR="00F34C5D">
        <w:t xml:space="preserve"> than to the territorial State (</w:t>
      </w:r>
      <w:r w:rsidRPr="00EF0015">
        <w:t xml:space="preserve">see </w:t>
      </w:r>
      <w:r w:rsidRPr="00EF0015">
        <w:rPr>
          <w:i/>
        </w:rPr>
        <w:t>Drozd and Janousek</w:t>
      </w:r>
      <w:r w:rsidR="00E46566">
        <w:t>, cited above</w:t>
      </w:r>
      <w:r w:rsidRPr="00D8100E">
        <w:t>;</w:t>
      </w:r>
      <w:r w:rsidRPr="00EF0015">
        <w:rPr>
          <w:i/>
        </w:rPr>
        <w:t xml:space="preserve"> </w:t>
      </w:r>
      <w:r w:rsidRPr="00EF0015">
        <w:rPr>
          <w:rStyle w:val="ju-005fpara-002cleft-002cfirst-0020line-003a-0020-00200-0020cm--char"/>
          <w:i/>
          <w:iCs/>
        </w:rPr>
        <w:t>Gentilhomme</w:t>
      </w:r>
      <w:r w:rsidR="002F016B">
        <w:rPr>
          <w:rStyle w:val="ju-005fpara-002cleft-002cfirst-0020line-003a-0020-00200-0020cm--char"/>
          <w:i/>
          <w:iCs/>
        </w:rPr>
        <w:t xml:space="preserve"> and Others </w:t>
      </w:r>
      <w:r w:rsidRPr="00EF0015">
        <w:rPr>
          <w:rStyle w:val="ju-005fpara-002cleft-002cfirst-0020line-003a-0020-00200-0020cm--char"/>
          <w:i/>
          <w:iCs/>
        </w:rPr>
        <w:t>v. France</w:t>
      </w:r>
      <w:r w:rsidR="00AC0F22">
        <w:t xml:space="preserve">, nos. </w:t>
      </w:r>
      <w:r w:rsidRPr="00EF0015">
        <w:t>48205/99, 48207/99 and 48209/99, 14 May 2002;</w:t>
      </w:r>
      <w:r w:rsidRPr="00EF0015">
        <w:rPr>
          <w:i/>
        </w:rPr>
        <w:t xml:space="preserve"> </w:t>
      </w:r>
      <w:r w:rsidRPr="00EF0015">
        <w:t xml:space="preserve">and </w:t>
      </w:r>
      <w:r w:rsidRPr="00EF0015">
        <w:rPr>
          <w:i/>
        </w:rPr>
        <w:t>X</w:t>
      </w:r>
      <w:r w:rsidR="008F54E1">
        <w:rPr>
          <w:i/>
        </w:rPr>
        <w:t>.</w:t>
      </w:r>
      <w:r w:rsidRPr="00EF0015">
        <w:rPr>
          <w:i/>
        </w:rPr>
        <w:t xml:space="preserve"> and Y</w:t>
      </w:r>
      <w:r w:rsidR="008F54E1">
        <w:rPr>
          <w:i/>
        </w:rPr>
        <w:t>.</w:t>
      </w:r>
      <w:r w:rsidRPr="00EF0015">
        <w:rPr>
          <w:i/>
        </w:rPr>
        <w:t xml:space="preserve"> v. Switzerland</w:t>
      </w:r>
      <w:r w:rsidRPr="00D8100E">
        <w:t>,</w:t>
      </w:r>
      <w:r w:rsidRPr="00EF0015">
        <w:rPr>
          <w:i/>
        </w:rPr>
        <w:t xml:space="preserve"> </w:t>
      </w:r>
      <w:r w:rsidR="0021502F">
        <w:t>nos. </w:t>
      </w:r>
      <w:r w:rsidRPr="00EF0015">
        <w:t>7289/75 and 7349/76, Commission dec</w:t>
      </w:r>
      <w:r w:rsidR="0021502F">
        <w:t>ision of 14 July 1977, DR 9, p. </w:t>
      </w:r>
      <w:r w:rsidRPr="00EF0015">
        <w:t>57).</w:t>
      </w:r>
    </w:p>
    <w:p w:rsidR="00517406" w:rsidP="0078471B" w:rsidRDefault="0078471B">
      <w:pPr>
        <w:pStyle w:val="JuPara"/>
      </w:pPr>
      <w:r w:rsidRPr="00EF0015">
        <w:fldChar w:fldCharType="begin"/>
      </w:r>
      <w:r w:rsidRPr="00EF0015">
        <w:instrText xml:space="preserve"> SEQ level0 \*arabic </w:instrText>
      </w:r>
      <w:r w:rsidRPr="00EF0015">
        <w:fldChar w:fldCharType="separate"/>
      </w:r>
      <w:r w:rsidR="00524A6D">
        <w:rPr>
          <w:noProof/>
        </w:rPr>
        <w:t>136</w:t>
      </w:r>
      <w:r w:rsidRPr="00EF0015">
        <w:fldChar w:fldCharType="end"/>
      </w:r>
      <w:r w:rsidRPr="00EF0015">
        <w:t xml:space="preserve">.  In addition, the </w:t>
      </w:r>
      <w:r w:rsidR="00A473B2">
        <w:t>Court</w:t>
      </w:r>
      <w:r w:rsidR="008570E8">
        <w:t>’</w:t>
      </w:r>
      <w:r w:rsidR="00A473B2">
        <w:t xml:space="preserve">s </w:t>
      </w:r>
      <w:r w:rsidRPr="00EF0015">
        <w:t>case-law demonstrates that, in certain circumstances, the use of force by a State</w:t>
      </w:r>
      <w:r w:rsidR="008570E8">
        <w:t>’</w:t>
      </w:r>
      <w:r w:rsidRPr="00EF0015">
        <w:t>s agents operating outside its territory may bring the individual thereby brought under the control of the State</w:t>
      </w:r>
      <w:r w:rsidR="008570E8">
        <w:t>’</w:t>
      </w:r>
      <w:r w:rsidRPr="00EF0015">
        <w:t>s authorities into the State</w:t>
      </w:r>
      <w:r w:rsidR="008570E8">
        <w:t>’</w:t>
      </w:r>
      <w:r w:rsidRPr="00EF0015">
        <w:t xml:space="preserve">s Article 1 jurisdiction. This principle has been applied where an individual is taken into the custody of State agents abroad. For example, in </w:t>
      </w:r>
      <w:r w:rsidRPr="00EF0015">
        <w:rPr>
          <w:i/>
        </w:rPr>
        <w:t>Öcalan</w:t>
      </w:r>
      <w:r w:rsidR="00CD1CB7">
        <w:t xml:space="preserve"> (cited above,</w:t>
      </w:r>
      <w:r w:rsidR="007A26CE">
        <w:t xml:space="preserve"> </w:t>
      </w:r>
      <w:r w:rsidR="00AC0F22">
        <w:t xml:space="preserve">§ </w:t>
      </w:r>
      <w:r w:rsidR="008D39A8">
        <w:t>91</w:t>
      </w:r>
      <w:r w:rsidR="00CD1CB7">
        <w:t>)</w:t>
      </w:r>
      <w:r w:rsidR="008D39A8">
        <w:t xml:space="preserve">, </w:t>
      </w:r>
      <w:r w:rsidRPr="00EF0015">
        <w:t xml:space="preserve">the Court held that “directly after being handed over to the Turkish officials by the Kenyan officials, the applicant was effectively under Turkish authority and therefore within the </w:t>
      </w:r>
      <w:r w:rsidR="008570E8">
        <w:t>‘</w:t>
      </w:r>
      <w:r w:rsidRPr="00EF0015">
        <w:t>jurisdiction</w:t>
      </w:r>
      <w:r w:rsidR="008570E8">
        <w:t>’</w:t>
      </w:r>
      <w:r w:rsidRPr="00EF0015">
        <w:t xml:space="preserve"> of that State for the purposes of Article 1 of the Convention, even though in this instance Turkey exercised its authority outside its territory”. In </w:t>
      </w:r>
      <w:r w:rsidR="00F92A1F">
        <w:rPr>
          <w:i/>
          <w:szCs w:val="24"/>
          <w:lang w:eastAsia="en-US"/>
        </w:rPr>
        <w:t xml:space="preserve">Issa and Others </w:t>
      </w:r>
      <w:r w:rsidR="00CD1CB7">
        <w:rPr>
          <w:szCs w:val="24"/>
          <w:lang w:eastAsia="en-US"/>
        </w:rPr>
        <w:t>(cited above)</w:t>
      </w:r>
      <w:r w:rsidRPr="00EF0015">
        <w:rPr>
          <w:szCs w:val="24"/>
          <w:lang w:eastAsia="en-US"/>
        </w:rPr>
        <w:t>, the Court indicated that, had it been established that Turkish soldiers had taken the applicants</w:t>
      </w:r>
      <w:r w:rsidR="008570E8">
        <w:rPr>
          <w:szCs w:val="24"/>
          <w:lang w:eastAsia="en-US"/>
        </w:rPr>
        <w:t>’</w:t>
      </w:r>
      <w:r w:rsidRPr="00EF0015">
        <w:rPr>
          <w:szCs w:val="24"/>
          <w:lang w:eastAsia="en-US"/>
        </w:rPr>
        <w:t xml:space="preserve"> relatives into custody in </w:t>
      </w:r>
      <w:r w:rsidR="00CD1CB7">
        <w:rPr>
          <w:szCs w:val="24"/>
          <w:lang w:eastAsia="en-US"/>
        </w:rPr>
        <w:t>n</w:t>
      </w:r>
      <w:r w:rsidRPr="00EF0015">
        <w:rPr>
          <w:szCs w:val="24"/>
          <w:lang w:eastAsia="en-US"/>
        </w:rPr>
        <w:t>orthern Iraq, taken them to a nearby cave and executed them, the deceased would have been within Turkish jurisdiction by virtue of the soldiers</w:t>
      </w:r>
      <w:r w:rsidR="008570E8">
        <w:rPr>
          <w:szCs w:val="24"/>
          <w:lang w:eastAsia="en-US"/>
        </w:rPr>
        <w:t>’</w:t>
      </w:r>
      <w:r w:rsidRPr="00EF0015">
        <w:rPr>
          <w:szCs w:val="24"/>
          <w:lang w:eastAsia="en-US"/>
        </w:rPr>
        <w:t xml:space="preserve"> authority and control over them. </w:t>
      </w:r>
      <w:r w:rsidRPr="00EF0015">
        <w:t xml:space="preserve">In </w:t>
      </w:r>
      <w:r w:rsidR="00AC0F22">
        <w:rPr>
          <w:i/>
        </w:rPr>
        <w:t xml:space="preserve">Al-Saadoon and Mufdhi v. </w:t>
      </w:r>
      <w:r w:rsidRPr="00EF0015">
        <w:rPr>
          <w:i/>
        </w:rPr>
        <w:t xml:space="preserve">the United Kingdom </w:t>
      </w:r>
      <w:r w:rsidR="00CD1CB7">
        <w:t>(</w:t>
      </w:r>
      <w:r w:rsidRPr="00EF0015">
        <w:t>(dec.), no. 61498/08, §§ 86-89, 30 June 2009</w:t>
      </w:r>
      <w:r w:rsidR="00CD1CB7">
        <w:t>)</w:t>
      </w:r>
      <w:r w:rsidRPr="00EF0015">
        <w:t xml:space="preserve">, the Court held that two Iraqi nationals detained in British-controlled military prisons in Iraq fell within the jurisdiction of the United Kingdom, since the United Kingdom exercised total and exclusive control over the prisons and the individuals detained in them. Finally, in </w:t>
      </w:r>
      <w:r w:rsidRPr="00EF0015">
        <w:rPr>
          <w:i/>
          <w:lang w:eastAsia="en-US"/>
        </w:rPr>
        <w:t>Medvedyev and Others</w:t>
      </w:r>
      <w:r w:rsidRPr="00EF0015">
        <w:rPr>
          <w:lang w:eastAsia="en-US"/>
        </w:rPr>
        <w:t xml:space="preserve"> </w:t>
      </w:r>
      <w:r w:rsidR="00F92A1F">
        <w:rPr>
          <w:i/>
          <w:lang w:eastAsia="en-US"/>
        </w:rPr>
        <w:t>v. </w:t>
      </w:r>
      <w:r w:rsidRPr="00EF0015">
        <w:rPr>
          <w:i/>
          <w:lang w:eastAsia="en-US"/>
        </w:rPr>
        <w:t>France</w:t>
      </w:r>
      <w:r w:rsidRPr="00EF0015">
        <w:rPr>
          <w:lang w:eastAsia="en-US"/>
        </w:rPr>
        <w:t xml:space="preserve"> </w:t>
      </w:r>
      <w:r w:rsidR="00CD1CB7">
        <w:rPr>
          <w:lang w:eastAsia="en-US"/>
        </w:rPr>
        <w:t>(</w:t>
      </w:r>
      <w:r w:rsidRPr="00EF0015">
        <w:rPr>
          <w:lang w:eastAsia="en-US"/>
        </w:rPr>
        <w:t xml:space="preserve">[GC], </w:t>
      </w:r>
      <w:r w:rsidRPr="00EF0015">
        <w:rPr>
          <w:lang w:val="pt-BR" w:eastAsia="en-US"/>
        </w:rPr>
        <w:t>no. 3394/03</w:t>
      </w:r>
      <w:r w:rsidRPr="00EF0015">
        <w:rPr>
          <w:snapToGrid w:val="0"/>
          <w:lang w:val="pt-BR" w:eastAsia="en-US"/>
        </w:rPr>
        <w:t xml:space="preserve">, </w:t>
      </w:r>
      <w:r w:rsidR="007A26CE">
        <w:t xml:space="preserve">§ </w:t>
      </w:r>
      <w:r w:rsidRPr="00EF0015">
        <w:rPr>
          <w:snapToGrid w:val="0"/>
          <w:lang w:val="pt-BR" w:eastAsia="en-US"/>
        </w:rPr>
        <w:t>67, ECHR 2010</w:t>
      </w:r>
      <w:r w:rsidR="00CD1CB7">
        <w:rPr>
          <w:snapToGrid w:val="0"/>
          <w:lang w:val="pt-BR" w:eastAsia="en-US"/>
        </w:rPr>
        <w:t>),</w:t>
      </w:r>
      <w:r w:rsidRPr="00EF0015">
        <w:rPr>
          <w:snapToGrid w:val="0"/>
          <w:lang w:val="pt-BR" w:eastAsia="en-US"/>
        </w:rPr>
        <w:t xml:space="preserve"> the Court held that the applicants were within French jurisdiction </w:t>
      </w:r>
      <w:r w:rsidR="00E15FF5">
        <w:t>for the purposes of Article 1 of the Convention</w:t>
      </w:r>
      <w:r w:rsidRPr="00EF0015" w:rsidR="00E15FF5">
        <w:rPr>
          <w:snapToGrid w:val="0"/>
          <w:lang w:val="pt-BR" w:eastAsia="en-US"/>
        </w:rPr>
        <w:t xml:space="preserve"> </w:t>
      </w:r>
      <w:r w:rsidRPr="00EF0015">
        <w:rPr>
          <w:snapToGrid w:val="0"/>
          <w:lang w:val="pt-BR" w:eastAsia="en-US"/>
        </w:rPr>
        <w:t xml:space="preserve">by virtue of the exercise by French agents of full and exclusive control over </w:t>
      </w:r>
      <w:r w:rsidR="00A473B2">
        <w:rPr>
          <w:snapToGrid w:val="0"/>
          <w:lang w:val="pt-BR" w:eastAsia="en-US"/>
        </w:rPr>
        <w:t>a</w:t>
      </w:r>
      <w:r w:rsidRPr="00EF0015">
        <w:rPr>
          <w:snapToGrid w:val="0"/>
          <w:lang w:val="pt-BR" w:eastAsia="en-US"/>
        </w:rPr>
        <w:t xml:space="preserve"> ship and its crew from the time of its interception in international waters.</w:t>
      </w:r>
      <w:r w:rsidR="00446190">
        <w:t xml:space="preserve"> </w:t>
      </w:r>
      <w:r w:rsidRPr="00EF0015">
        <w:t>The Court does not consider that jurisdiction in the above cases arose solely from the control exercised by the Contracting State over the buildings, aircraft or ship in which the individuals were held. What is decisive in such cases is the exercise of physical power and control</w:t>
      </w:r>
      <w:r w:rsidR="00FE730D">
        <w:t xml:space="preserve"> over the person in question.</w:t>
      </w:r>
    </w:p>
    <w:p w:rsidRPr="00E46566" w:rsidR="0078471B" w:rsidP="0078471B" w:rsidRDefault="0078471B">
      <w:pPr>
        <w:pStyle w:val="JuPara"/>
      </w:pPr>
      <w:r w:rsidRPr="00EF0015">
        <w:fldChar w:fldCharType="begin"/>
      </w:r>
      <w:r w:rsidRPr="00EF0015">
        <w:instrText xml:space="preserve"> SEQ level0 \*arabic </w:instrText>
      </w:r>
      <w:r w:rsidRPr="00EF0015">
        <w:fldChar w:fldCharType="separate"/>
      </w:r>
      <w:r w:rsidR="00524A6D">
        <w:rPr>
          <w:noProof/>
        </w:rPr>
        <w:t>137</w:t>
      </w:r>
      <w:r w:rsidRPr="00EF0015">
        <w:fldChar w:fldCharType="end"/>
      </w:r>
      <w:r w:rsidRPr="00EF0015">
        <w:t>.  It is clear that, whenever the State</w:t>
      </w:r>
      <w:r w:rsidR="00EE197E">
        <w:t>,</w:t>
      </w:r>
      <w:r w:rsidRPr="00EF0015">
        <w:t xml:space="preserve"> through its agents</w:t>
      </w:r>
      <w:r w:rsidR="00EE197E">
        <w:t>,</w:t>
      </w:r>
      <w:r w:rsidRPr="00EF0015">
        <w:t xml:space="preserve"> exercises control and authority</w:t>
      </w:r>
      <w:r w:rsidR="00D75C08">
        <w:t xml:space="preserve"> </w:t>
      </w:r>
      <w:r w:rsidRPr="00EF0015" w:rsidR="00D75C08">
        <w:t>over an individual</w:t>
      </w:r>
      <w:r w:rsidRPr="00EF0015">
        <w:t xml:space="preserve">, and thus jurisdiction, the State is under an obligation under Article 1 to secure to that individual the rights and freedoms under Section </w:t>
      </w:r>
      <w:r w:rsidR="00EE197E">
        <w:t>I</w:t>
      </w:r>
      <w:r w:rsidRPr="00EF0015">
        <w:t xml:space="preserve"> of the Convention that are relevant to the situation of that individual. In this sense, therefore, the Convention right</w:t>
      </w:r>
      <w:r w:rsidR="00E46566">
        <w:t xml:space="preserve">s can be “divided and tailored” (compare </w:t>
      </w:r>
      <w:r w:rsidR="00E46566">
        <w:rPr>
          <w:i/>
        </w:rPr>
        <w:t>Banković</w:t>
      </w:r>
      <w:r w:rsidR="00035A69">
        <w:rPr>
          <w:i/>
        </w:rPr>
        <w:t xml:space="preserve"> and Others</w:t>
      </w:r>
      <w:r w:rsidRPr="00D8100E" w:rsidR="00E46566">
        <w:t>,</w:t>
      </w:r>
      <w:r w:rsidR="00E46566">
        <w:rPr>
          <w:i/>
        </w:rPr>
        <w:t xml:space="preserve"> </w:t>
      </w:r>
      <w:r w:rsidR="00035A69">
        <w:t>cited above, § </w:t>
      </w:r>
      <w:r w:rsidR="00E46566">
        <w:t>75).</w:t>
      </w:r>
    </w:p>
    <w:p w:rsidRPr="00EF0015" w:rsidR="00F858AC" w:rsidP="00F858AC" w:rsidRDefault="007C08A3">
      <w:pPr>
        <w:pStyle w:val="JuHalpha"/>
      </w:pPr>
      <w:bookmarkStart w:name="_Toc289765895" w:id="150"/>
      <w:bookmarkStart w:name="_Toc289868984" w:id="151"/>
      <w:r>
        <w:t>(γ)  </w:t>
      </w:r>
      <w:r w:rsidRPr="00EF0015" w:rsidR="00F858AC">
        <w:t>Effective control over an area</w:t>
      </w:r>
      <w:bookmarkEnd w:id="150"/>
      <w:bookmarkEnd w:id="151"/>
    </w:p>
    <w:p w:rsidRPr="00EF0015" w:rsidR="00F858AC" w:rsidP="00F858AC" w:rsidRDefault="00F858AC">
      <w:pPr>
        <w:pStyle w:val="JuPara"/>
      </w:pPr>
      <w:r w:rsidRPr="00EF0015">
        <w:fldChar w:fldCharType="begin"/>
      </w:r>
      <w:r w:rsidRPr="00EF0015">
        <w:instrText xml:space="preserve"> SEQ level0 \*arabic </w:instrText>
      </w:r>
      <w:r w:rsidRPr="00EF0015">
        <w:fldChar w:fldCharType="separate"/>
      </w:r>
      <w:r w:rsidR="00524A6D">
        <w:rPr>
          <w:noProof/>
        </w:rPr>
        <w:t>138</w:t>
      </w:r>
      <w:r w:rsidRPr="00EF0015">
        <w:fldChar w:fldCharType="end"/>
      </w:r>
      <w:r w:rsidRPr="00EF0015">
        <w:t>.  </w:t>
      </w:r>
      <w:r w:rsidRPr="00EF0015" w:rsidR="003E34E5">
        <w:t>Another</w:t>
      </w:r>
      <w:r w:rsidRPr="00EF0015">
        <w:t xml:space="preserve"> exception to the principle </w:t>
      </w:r>
      <w:r w:rsidR="00AC0F22">
        <w:t xml:space="preserve">that jurisdiction under Article </w:t>
      </w:r>
      <w:r w:rsidRPr="00EF0015">
        <w:t>1 is limited to a State</w:t>
      </w:r>
      <w:r w:rsidR="008570E8">
        <w:t>’</w:t>
      </w:r>
      <w:r w:rsidRPr="00EF0015">
        <w:t>s own territory occurs when</w:t>
      </w:r>
      <w:r w:rsidRPr="00EF0015">
        <w:rPr>
          <w:lang w:eastAsia="en-US"/>
        </w:rPr>
        <w:t>, as a consequence of lawful or unlawful military action, a Contracting State exercises effective control of an area outside that national territory. The obligation to secure, in such an area, the rights and freedoms set out in the Convention, derives from the fact of such control, whether it be exercised directly, through the Contracting State</w:t>
      </w:r>
      <w:r w:rsidR="008570E8">
        <w:rPr>
          <w:lang w:eastAsia="en-US"/>
        </w:rPr>
        <w:t>’</w:t>
      </w:r>
      <w:r w:rsidRPr="00EF0015">
        <w:rPr>
          <w:lang w:eastAsia="en-US"/>
        </w:rPr>
        <w:t>s own armed forces, or through a subordinate local administration</w:t>
      </w:r>
      <w:r w:rsidRPr="00EF0015">
        <w:t xml:space="preserve"> (</w:t>
      </w:r>
      <w:r w:rsidR="004C55BC">
        <w:t xml:space="preserve">see </w:t>
      </w:r>
      <w:r w:rsidRPr="00EF0015">
        <w:rPr>
          <w:i/>
        </w:rPr>
        <w:t xml:space="preserve">Loizidou </w:t>
      </w:r>
      <w:r w:rsidRPr="00EF0015">
        <w:t xml:space="preserve">(preliminary objections), cited above, § 62; </w:t>
      </w:r>
      <w:r w:rsidR="00AC0F22">
        <w:rPr>
          <w:i/>
          <w:lang w:eastAsia="en-US"/>
        </w:rPr>
        <w:t xml:space="preserve">Cyprus v. </w:t>
      </w:r>
      <w:r w:rsidRPr="00EF0015">
        <w:rPr>
          <w:i/>
          <w:lang w:eastAsia="en-US"/>
        </w:rPr>
        <w:t>Turkey</w:t>
      </w:r>
      <w:r w:rsidRPr="00EF0015">
        <w:rPr>
          <w:lang w:eastAsia="en-US"/>
        </w:rPr>
        <w:t>,</w:t>
      </w:r>
      <w:r w:rsidR="004C55BC">
        <w:rPr>
          <w:lang w:eastAsia="en-US"/>
        </w:rPr>
        <w:t xml:space="preserve"> cited above,</w:t>
      </w:r>
      <w:r w:rsidRPr="00EF0015">
        <w:rPr>
          <w:lang w:eastAsia="en-US"/>
        </w:rPr>
        <w:t xml:space="preserve"> § 76</w:t>
      </w:r>
      <w:r w:rsidR="004C55BC">
        <w:rPr>
          <w:lang w:eastAsia="en-US"/>
        </w:rPr>
        <w:t>;</w:t>
      </w:r>
      <w:r w:rsidRPr="00EF0015">
        <w:t xml:space="preserve"> </w:t>
      </w:r>
      <w:r w:rsidRPr="00EF0015">
        <w:rPr>
          <w:i/>
        </w:rPr>
        <w:t>Banković</w:t>
      </w:r>
      <w:r w:rsidR="00035A69">
        <w:rPr>
          <w:i/>
        </w:rPr>
        <w:t xml:space="preserve"> and Others</w:t>
      </w:r>
      <w:r w:rsidRPr="00D8100E">
        <w:t>,</w:t>
      </w:r>
      <w:r w:rsidRPr="00EF0015">
        <w:rPr>
          <w:i/>
        </w:rPr>
        <w:t xml:space="preserve"> </w:t>
      </w:r>
      <w:r w:rsidR="007D4971">
        <w:t xml:space="preserve">cited above, </w:t>
      </w:r>
      <w:r w:rsidR="00AC0F22">
        <w:t>§ </w:t>
      </w:r>
      <w:r w:rsidRPr="00EF0015">
        <w:t xml:space="preserve">70; </w:t>
      </w:r>
      <w:r w:rsidRPr="00EF0015">
        <w:rPr>
          <w:i/>
        </w:rPr>
        <w:t>Ilaşcu</w:t>
      </w:r>
      <w:r w:rsidR="00F64C9A">
        <w:rPr>
          <w:i/>
        </w:rPr>
        <w:t xml:space="preserve"> and Others</w:t>
      </w:r>
      <w:r w:rsidR="007D4971">
        <w:t>, cited above,</w:t>
      </w:r>
      <w:r w:rsidRPr="00EF0015">
        <w:rPr>
          <w:i/>
        </w:rPr>
        <w:t xml:space="preserve"> </w:t>
      </w:r>
      <w:r w:rsidRPr="00EF0015">
        <w:t xml:space="preserve">§§ 314-16; </w:t>
      </w:r>
      <w:r w:rsidR="004C55BC">
        <w:t xml:space="preserve">and </w:t>
      </w:r>
      <w:r w:rsidRPr="00EF0015">
        <w:rPr>
          <w:i/>
        </w:rPr>
        <w:t xml:space="preserve">Loizidou </w:t>
      </w:r>
      <w:r w:rsidRPr="00EF0015">
        <w:t>(merits)</w:t>
      </w:r>
      <w:r w:rsidR="007D4971">
        <w:t>, cited above,</w:t>
      </w:r>
      <w:r w:rsidRPr="00EF0015">
        <w:t xml:space="preserve"> § 52). Where the fact of such domination over the territory is established, it is not necessary to determine whether the Contracting State exercises detailed control over the policies and actions of the subordinate local administration. The fact that the local administration survives as a result of</w:t>
      </w:r>
      <w:r w:rsidR="00C81668">
        <w:t xml:space="preserve"> </w:t>
      </w:r>
      <w:r w:rsidRPr="00EF0015">
        <w:t>the Contracting State</w:t>
      </w:r>
      <w:r w:rsidR="008570E8">
        <w:t>’</w:t>
      </w:r>
      <w:r w:rsidRPr="00EF0015">
        <w:t>s military and other support entails that State</w:t>
      </w:r>
      <w:r w:rsidR="008570E8">
        <w:t>’</w:t>
      </w:r>
      <w:r w:rsidRPr="00EF0015">
        <w:t>s responsibilit</w:t>
      </w:r>
      <w:r w:rsidR="007A26CE">
        <w:t xml:space="preserve">y for its policies and actions. </w:t>
      </w:r>
      <w:r w:rsidRPr="00EF0015">
        <w:t>The controlling State has the responsibility under Article 1 to secure, within the area under its control, the entire range of substantive rights set out in the Convention and those additional Protocols which it has ratified. It will be liable for any violations of those rights (</w:t>
      </w:r>
      <w:r w:rsidR="004C55BC">
        <w:t xml:space="preserve">see </w:t>
      </w:r>
      <w:r w:rsidRPr="00EF0015">
        <w:rPr>
          <w:i/>
        </w:rPr>
        <w:t>Cyprus v. Turkey</w:t>
      </w:r>
      <w:r w:rsidRPr="00EF0015">
        <w:t>, cited above, §</w:t>
      </w:r>
      <w:r w:rsidR="00D20C64">
        <w:t>§ 76-</w:t>
      </w:r>
      <w:r w:rsidRPr="00EF0015">
        <w:t>77).</w:t>
      </w:r>
    </w:p>
    <w:p w:rsidR="00517406" w:rsidP="00F858AC" w:rsidRDefault="00F858AC">
      <w:pPr>
        <w:pStyle w:val="JuPara"/>
      </w:pPr>
      <w:r w:rsidRPr="00EF0015">
        <w:fldChar w:fldCharType="begin"/>
      </w:r>
      <w:r w:rsidRPr="00EF0015">
        <w:instrText xml:space="preserve"> SEQ level0 \*arabic </w:instrText>
      </w:r>
      <w:r w:rsidRPr="00EF0015">
        <w:fldChar w:fldCharType="separate"/>
      </w:r>
      <w:r w:rsidR="00524A6D">
        <w:rPr>
          <w:noProof/>
        </w:rPr>
        <w:t>139</w:t>
      </w:r>
      <w:r w:rsidRPr="00EF0015">
        <w:fldChar w:fldCharType="end"/>
      </w:r>
      <w:r w:rsidRPr="00EF0015">
        <w:t>.  It is a question of fact whether a Contracting State exercises effective control over an area outside its own territory. In determining whether effective control exists, the Court will primarily have reference to the strength of the State</w:t>
      </w:r>
      <w:r w:rsidR="008570E8">
        <w:t>’</w:t>
      </w:r>
      <w:r w:rsidRPr="00EF0015">
        <w:t xml:space="preserve">s military presence in the area (see </w:t>
      </w:r>
      <w:r w:rsidRPr="00EF0015">
        <w:rPr>
          <w:i/>
        </w:rPr>
        <w:t xml:space="preserve">Loizidou </w:t>
      </w:r>
      <w:r w:rsidRPr="00EF0015">
        <w:t>(merits), cited above, §§ 16 and 56</w:t>
      </w:r>
      <w:r w:rsidR="0079138A">
        <w:t>, and</w:t>
      </w:r>
      <w:r w:rsidRPr="00EF0015">
        <w:t xml:space="preserve"> </w:t>
      </w:r>
      <w:r w:rsidRPr="00EF0015">
        <w:rPr>
          <w:i/>
        </w:rPr>
        <w:t>Ilaşcu</w:t>
      </w:r>
      <w:r w:rsidR="00F64C9A">
        <w:rPr>
          <w:i/>
        </w:rPr>
        <w:t xml:space="preserve"> and Others</w:t>
      </w:r>
      <w:r w:rsidRPr="00D8100E">
        <w:t>,</w:t>
      </w:r>
      <w:r w:rsidRPr="00EF0015">
        <w:rPr>
          <w:i/>
        </w:rPr>
        <w:t xml:space="preserve"> </w:t>
      </w:r>
      <w:r w:rsidR="00AC0F22">
        <w:t>cited above, § </w:t>
      </w:r>
      <w:r w:rsidRPr="00EF0015">
        <w:t xml:space="preserve">387). Other indicators may also be relevant, such as the extent to which its military, economic and political support for the local subordinate administration provides it with influence and control over the region (see </w:t>
      </w:r>
      <w:r w:rsidRPr="00EF0015">
        <w:rPr>
          <w:i/>
        </w:rPr>
        <w:t>Ilaşcu</w:t>
      </w:r>
      <w:r w:rsidR="00F64C9A">
        <w:rPr>
          <w:i/>
        </w:rPr>
        <w:t xml:space="preserve"> and Others</w:t>
      </w:r>
      <w:r w:rsidRPr="00EF0015">
        <w:t xml:space="preserve">, </w:t>
      </w:r>
      <w:r w:rsidR="007D4971">
        <w:t xml:space="preserve">cited above, </w:t>
      </w:r>
      <w:r w:rsidRPr="00EF0015">
        <w:t>§§ 388-94).</w:t>
      </w:r>
    </w:p>
    <w:p w:rsidRPr="00EF0015" w:rsidR="00121666" w:rsidP="00121666" w:rsidRDefault="00121666">
      <w:pPr>
        <w:pStyle w:val="JuPara"/>
      </w:pPr>
      <w:r w:rsidRPr="00EF0015">
        <w:fldChar w:fldCharType="begin"/>
      </w:r>
      <w:r w:rsidRPr="00EF0015">
        <w:instrText xml:space="preserve"> SEQ level0 \*arabic </w:instrText>
      </w:r>
      <w:r w:rsidRPr="00EF0015">
        <w:fldChar w:fldCharType="separate"/>
      </w:r>
      <w:r w:rsidR="00524A6D">
        <w:rPr>
          <w:noProof/>
        </w:rPr>
        <w:t>140</w:t>
      </w:r>
      <w:r w:rsidRPr="00EF0015">
        <w:fldChar w:fldCharType="end"/>
      </w:r>
      <w:r w:rsidRPr="00EF0015">
        <w:t xml:space="preserve">.  The “effective control” principle of jurisdiction set out above does not replace the system of declarations under Article 56 of the Convention </w:t>
      </w:r>
      <w:r w:rsidR="00D20C64">
        <w:t xml:space="preserve">(formerly Article 63) </w:t>
      </w:r>
      <w:r w:rsidRPr="00EF0015">
        <w:t xml:space="preserve">which the States decided, when drafting the Convention, to apply to territories overseas for whose international relations they were responsible. Article 56 § 1 provides a mechanism whereby any State may decide to extend the application of the Convention, “with due regard </w:t>
      </w:r>
      <w:r w:rsidR="00E07594">
        <w:t>...</w:t>
      </w:r>
      <w:r w:rsidRPr="00EF0015">
        <w:t xml:space="preserve"> to local requirements</w:t>
      </w:r>
      <w:r w:rsidR="00B85F66">
        <w:t>”</w:t>
      </w:r>
      <w:r w:rsidRPr="00EF0015">
        <w:t>, to all or any of the territories for whose international relations it is responsible. The existence of this mechanism, which was included in the Convention for historical reasons, cannot be interpreted in present conditions as limiting the scope of the</w:t>
      </w:r>
      <w:r w:rsidR="007A26CE">
        <w:t xml:space="preserve"> term “jurisdiction” in Article </w:t>
      </w:r>
      <w:r w:rsidRPr="00EF0015">
        <w:t xml:space="preserve">1. </w:t>
      </w:r>
      <w:r w:rsidRPr="00CF0F05" w:rsidR="00CF0F05">
        <w:t xml:space="preserve">The situations covered by the “effective control” principle are clearly separate and distinct from circumstances where a Contracting State has not, through a declaration under Article 56, extended the Convention or any of its Protocols to an overseas territory for whose international relations it is responsible (see </w:t>
      </w:r>
      <w:r w:rsidRPr="00CF0F05" w:rsidR="00CF0F05">
        <w:rPr>
          <w:i/>
        </w:rPr>
        <w:t xml:space="preserve">Loizidou </w:t>
      </w:r>
      <w:r w:rsidRPr="00CF0F05" w:rsidR="00CF0F05">
        <w:t>(preliminary objections), cited above, §§ 86-89</w:t>
      </w:r>
      <w:r w:rsidR="00B85F66">
        <w:t>,</w:t>
      </w:r>
      <w:r w:rsidRPr="00CF0F05" w:rsidR="00CF0F05">
        <w:t xml:space="preserve"> and </w:t>
      </w:r>
      <w:r w:rsidRPr="00CF0F05" w:rsidR="00CF0F05">
        <w:rPr>
          <w:i/>
        </w:rPr>
        <w:t>Quark Fishing Ltd</w:t>
      </w:r>
      <w:r w:rsidR="00B85F66">
        <w:t>, cited above).</w:t>
      </w:r>
    </w:p>
    <w:p w:rsidRPr="00EF0015" w:rsidR="00121666" w:rsidP="00121666" w:rsidRDefault="007C08A3">
      <w:pPr>
        <w:pStyle w:val="JuHalpha"/>
      </w:pPr>
      <w:bookmarkStart w:name="_Toc289765896" w:id="152"/>
      <w:bookmarkStart w:name="_Toc289868985" w:id="153"/>
      <w:r>
        <w:t>(δ)  </w:t>
      </w:r>
      <w:r w:rsidRPr="00EF0015" w:rsidR="00121666">
        <w:t>The legal space</w:t>
      </w:r>
      <w:r w:rsidR="001A7AF3">
        <w:t xml:space="preserve"> </w:t>
      </w:r>
      <w:r w:rsidRPr="00EF0015" w:rsidR="00121666">
        <w:t>(“</w:t>
      </w:r>
      <w:r w:rsidRPr="007D4971" w:rsidR="007D4971">
        <w:rPr>
          <w:i/>
        </w:rPr>
        <w:t>e</w:t>
      </w:r>
      <w:r w:rsidRPr="00EF0015" w:rsidR="00121666">
        <w:rPr>
          <w:i/>
        </w:rPr>
        <w:t>space juridique</w:t>
      </w:r>
      <w:r w:rsidRPr="00EF0015" w:rsidR="00121666">
        <w:t>”)</w:t>
      </w:r>
      <w:bookmarkEnd w:id="152"/>
      <w:bookmarkEnd w:id="153"/>
      <w:r w:rsidR="001A7AF3">
        <w:t xml:space="preserve"> of the Convention</w:t>
      </w:r>
    </w:p>
    <w:p w:rsidR="00C81668" w:rsidP="00121666" w:rsidRDefault="00121666">
      <w:pPr>
        <w:pStyle w:val="JuPara"/>
      </w:pPr>
      <w:r w:rsidRPr="00EF0015">
        <w:fldChar w:fldCharType="begin"/>
      </w:r>
      <w:r w:rsidRPr="00EF0015">
        <w:instrText xml:space="preserve"> SEQ level0 \*arabic </w:instrText>
      </w:r>
      <w:r w:rsidRPr="00EF0015">
        <w:fldChar w:fldCharType="separate"/>
      </w:r>
      <w:r w:rsidR="00524A6D">
        <w:rPr>
          <w:noProof/>
        </w:rPr>
        <w:t>141</w:t>
      </w:r>
      <w:r w:rsidRPr="00EF0015">
        <w:fldChar w:fldCharType="end"/>
      </w:r>
      <w:r w:rsidRPr="00EF0015">
        <w:t>.  The Convention is a</w:t>
      </w:r>
      <w:r w:rsidR="00DE2B97">
        <w:t xml:space="preserve"> co</w:t>
      </w:r>
      <w:r w:rsidRPr="00EF0015">
        <w:t>n</w:t>
      </w:r>
      <w:r w:rsidR="00DE2B97">
        <w:t>stitutional</w:t>
      </w:r>
      <w:r w:rsidRPr="00EF0015">
        <w:t xml:space="preserve"> instrument of </w:t>
      </w:r>
      <w:r w:rsidRPr="00EF0015">
        <w:rPr>
          <w:bCs/>
        </w:rPr>
        <w:t>European</w:t>
      </w:r>
      <w:r w:rsidRPr="00EF0015">
        <w:t xml:space="preserve"> </w:t>
      </w:r>
      <w:r w:rsidRPr="00EF0015">
        <w:rPr>
          <w:bCs/>
        </w:rPr>
        <w:t>public</w:t>
      </w:r>
      <w:r w:rsidRPr="00EF0015">
        <w:t xml:space="preserve"> </w:t>
      </w:r>
      <w:r w:rsidRPr="00EF0015">
        <w:rPr>
          <w:bCs/>
        </w:rPr>
        <w:t>order</w:t>
      </w:r>
      <w:r w:rsidRPr="00EF0015">
        <w:t xml:space="preserve"> (see </w:t>
      </w:r>
      <w:r w:rsidRPr="00EF0015">
        <w:rPr>
          <w:rStyle w:val="ju-005fpara--char"/>
          <w:i/>
          <w:iCs/>
        </w:rPr>
        <w:t xml:space="preserve">Loizidou </w:t>
      </w:r>
      <w:r w:rsidRPr="00EF0015">
        <w:t>(preliminary obje</w:t>
      </w:r>
      <w:r w:rsidR="007A26CE">
        <w:t xml:space="preserve">ctions), cited above, § 75). It </w:t>
      </w:r>
      <w:r w:rsidRPr="00EF0015">
        <w:t xml:space="preserve">does not govern the actions of States not Parties to it, nor does it purport to be a means of requiring the Contracting States to impose Convention standards on other States (see </w:t>
      </w:r>
      <w:r w:rsidRPr="00EF0015">
        <w:rPr>
          <w:i/>
        </w:rPr>
        <w:t>Soering</w:t>
      </w:r>
      <w:r w:rsidRPr="00EF0015">
        <w:t>, cited above, § 86).</w:t>
      </w:r>
    </w:p>
    <w:p w:rsidR="00C81668" w:rsidP="00121666" w:rsidRDefault="00121666">
      <w:pPr>
        <w:pStyle w:val="JuPara"/>
      </w:pPr>
      <w:r w:rsidRPr="00EF0015">
        <w:fldChar w:fldCharType="begin"/>
      </w:r>
      <w:r w:rsidRPr="00EF0015">
        <w:instrText xml:space="preserve"> SEQ level0 \*arabic </w:instrText>
      </w:r>
      <w:r w:rsidRPr="00EF0015">
        <w:fldChar w:fldCharType="separate"/>
      </w:r>
      <w:r w:rsidR="00524A6D">
        <w:rPr>
          <w:noProof/>
        </w:rPr>
        <w:t>142</w:t>
      </w:r>
      <w:r w:rsidRPr="00EF0015">
        <w:fldChar w:fldCharType="end"/>
      </w:r>
      <w:r w:rsidRPr="00EF0015">
        <w:t>.  The Court has emphasised that, where the territory of one Convention State is occupied by the armed forces of another, the occupying State should in principle be held accountable under the Convention for breaches of human rights within the occupied territory, because to hold otherwise would be to deprive the population of that territory of the rights and freedoms hitherto enjoyed and would result in a “vacuum” of protection within the “legal space</w:t>
      </w:r>
      <w:r w:rsidR="006A7DDB">
        <w:t xml:space="preserve"> of the Convention</w:t>
      </w:r>
      <w:r w:rsidRPr="00EF0015">
        <w:t xml:space="preserve">” (see </w:t>
      </w:r>
      <w:r w:rsidR="00D8100E">
        <w:rPr>
          <w:i/>
        </w:rPr>
        <w:t>Cyprus v. Turkey</w:t>
      </w:r>
      <w:r w:rsidRPr="00EF0015">
        <w:t>, cited above, §</w:t>
      </w:r>
      <w:r w:rsidR="007A26CE">
        <w:t> </w:t>
      </w:r>
      <w:r w:rsidRPr="00EF0015">
        <w:t>78</w:t>
      </w:r>
      <w:r w:rsidR="00B85F66">
        <w:t>, and</w:t>
      </w:r>
      <w:r w:rsidRPr="00EF0015">
        <w:t xml:space="preserve"> </w:t>
      </w:r>
      <w:r w:rsidRPr="00EF0015">
        <w:rPr>
          <w:i/>
        </w:rPr>
        <w:t>Banković</w:t>
      </w:r>
      <w:r w:rsidR="00035A69">
        <w:rPr>
          <w:i/>
        </w:rPr>
        <w:t xml:space="preserve"> and Others</w:t>
      </w:r>
      <w:r w:rsidRPr="00D8100E">
        <w:t>,</w:t>
      </w:r>
      <w:r w:rsidRPr="00EF0015">
        <w:rPr>
          <w:i/>
        </w:rPr>
        <w:t xml:space="preserve"> </w:t>
      </w:r>
      <w:r w:rsidRPr="00EF0015">
        <w:t>cited above, § 80). However, the importance of establishing the occupying State</w:t>
      </w:r>
      <w:r w:rsidR="008570E8">
        <w:t>’</w:t>
      </w:r>
      <w:r w:rsidRPr="00EF0015">
        <w:t xml:space="preserve">s jurisdiction in such cases does not imply, </w:t>
      </w:r>
      <w:r w:rsidRPr="00EF0015">
        <w:rPr>
          <w:i/>
        </w:rPr>
        <w:t>a contrario</w:t>
      </w:r>
      <w:r w:rsidRPr="00EF0015">
        <w:t xml:space="preserve">, that jurisdiction under Article 1 of the Convention can never exist outside the territory covered by the Council of Europe </w:t>
      </w:r>
      <w:r w:rsidR="00D30F57">
        <w:t>m</w:t>
      </w:r>
      <w:r w:rsidRPr="00EF0015">
        <w:t>ember States. The Court has not in its case-law applied any such restriction (see</w:t>
      </w:r>
      <w:r w:rsidR="00D30F57">
        <w:t>,</w:t>
      </w:r>
      <w:r w:rsidR="00023C22">
        <w:t xml:space="preserve"> among other </w:t>
      </w:r>
      <w:r w:rsidRPr="00EF0015">
        <w:t>example</w:t>
      </w:r>
      <w:r w:rsidR="00023C22">
        <w:t>s</w:t>
      </w:r>
      <w:r w:rsidR="00D30F57">
        <w:t>,</w:t>
      </w:r>
      <w:r w:rsidR="00023C22">
        <w:t xml:space="preserve"> </w:t>
      </w:r>
      <w:r w:rsidR="007D4971">
        <w:rPr>
          <w:i/>
        </w:rPr>
        <w:t>Ö</w:t>
      </w:r>
      <w:r w:rsidRPr="00EF0015">
        <w:rPr>
          <w:i/>
        </w:rPr>
        <w:t>calan</w:t>
      </w:r>
      <w:r w:rsidRPr="00D8100E" w:rsidR="00D30F57">
        <w:t>;</w:t>
      </w:r>
      <w:r w:rsidRPr="00EF0015">
        <w:rPr>
          <w:i/>
        </w:rPr>
        <w:t xml:space="preserve"> Issa</w:t>
      </w:r>
      <w:r w:rsidR="006F7333">
        <w:rPr>
          <w:i/>
        </w:rPr>
        <w:t xml:space="preserve"> and Others</w:t>
      </w:r>
      <w:r w:rsidRPr="00D8100E" w:rsidR="00D30F57">
        <w:t>;</w:t>
      </w:r>
      <w:r w:rsidRPr="00EF0015">
        <w:rPr>
          <w:i/>
        </w:rPr>
        <w:t xml:space="preserve"> Al</w:t>
      </w:r>
      <w:r w:rsidR="00D82724">
        <w:rPr>
          <w:i/>
        </w:rPr>
        <w:noBreakHyphen/>
      </w:r>
      <w:r w:rsidRPr="00EF0015">
        <w:rPr>
          <w:i/>
        </w:rPr>
        <w:t>Saadoon and Mufdhi</w:t>
      </w:r>
      <w:r w:rsidRPr="00D8100E" w:rsidR="00D30F57">
        <w:t>; and</w:t>
      </w:r>
      <w:r w:rsidRPr="00EF0015">
        <w:rPr>
          <w:i/>
        </w:rPr>
        <w:t xml:space="preserve"> Medvedyev</w:t>
      </w:r>
      <w:r w:rsidR="006F7333">
        <w:rPr>
          <w:i/>
        </w:rPr>
        <w:t xml:space="preserve"> and Others</w:t>
      </w:r>
      <w:r w:rsidRPr="00D8100E">
        <w:t>,</w:t>
      </w:r>
      <w:r w:rsidRPr="00EF0015">
        <w:rPr>
          <w:i/>
        </w:rPr>
        <w:t xml:space="preserve"> </w:t>
      </w:r>
      <w:r w:rsidRPr="00EF0015">
        <w:t>all cited above).</w:t>
      </w:r>
    </w:p>
    <w:p w:rsidRPr="00EF0015" w:rsidR="0078471B" w:rsidP="0078471B" w:rsidRDefault="0058147B">
      <w:pPr>
        <w:pStyle w:val="JuHi"/>
        <w:rPr>
          <w:lang w:eastAsia="en-US"/>
        </w:rPr>
      </w:pPr>
      <w:bookmarkStart w:name="_Toc289765897" w:id="154"/>
      <w:bookmarkStart w:name="_Toc289868986" w:id="155"/>
      <w:r>
        <w:rPr>
          <w:lang w:eastAsia="en-US"/>
        </w:rPr>
        <w:t>(ii)  </w:t>
      </w:r>
      <w:r w:rsidRPr="00EF0015" w:rsidR="0078471B">
        <w:rPr>
          <w:lang w:eastAsia="en-US"/>
        </w:rPr>
        <w:t>Application of these principles to the facts of the case</w:t>
      </w:r>
      <w:bookmarkEnd w:id="154"/>
      <w:bookmarkEnd w:id="155"/>
    </w:p>
    <w:p w:rsidR="00C81668" w:rsidP="00093A41" w:rsidRDefault="00D04C12">
      <w:pPr>
        <w:pStyle w:val="JuPara"/>
      </w:pPr>
      <w:r w:rsidRPr="00EF0015">
        <w:fldChar w:fldCharType="begin"/>
      </w:r>
      <w:r w:rsidRPr="00EF0015">
        <w:instrText xml:space="preserve"> SEQ level0 \*arabic </w:instrText>
      </w:r>
      <w:r w:rsidRPr="00EF0015">
        <w:fldChar w:fldCharType="separate"/>
      </w:r>
      <w:r w:rsidR="00524A6D">
        <w:rPr>
          <w:noProof/>
        </w:rPr>
        <w:t>143</w:t>
      </w:r>
      <w:r w:rsidRPr="00EF0015">
        <w:fldChar w:fldCharType="end"/>
      </w:r>
      <w:r w:rsidRPr="00EF0015">
        <w:t>.  </w:t>
      </w:r>
      <w:r w:rsidR="0001492A">
        <w:t>In determining</w:t>
      </w:r>
      <w:r w:rsidR="00312F35">
        <w:t xml:space="preserve"> whether the United Kingdom had jurisdiction over any of the applicants</w:t>
      </w:r>
      <w:r w:rsidR="008570E8">
        <w:t>’</w:t>
      </w:r>
      <w:r w:rsidR="00312F35">
        <w:t xml:space="preserve"> relatives</w:t>
      </w:r>
      <w:r w:rsidR="006D07E8">
        <w:t xml:space="preserve"> </w:t>
      </w:r>
      <w:r w:rsidR="00631554">
        <w:t>when they died</w:t>
      </w:r>
      <w:r w:rsidR="0001492A">
        <w:t>, the Court takes as its starting</w:t>
      </w:r>
      <w:r w:rsidR="00C844D6">
        <w:t>-</w:t>
      </w:r>
      <w:r w:rsidR="0001492A">
        <w:t>point that</w:t>
      </w:r>
      <w:r w:rsidR="00631554">
        <w:t>,</w:t>
      </w:r>
      <w:r w:rsidR="0001492A">
        <w:t xml:space="preserve"> </w:t>
      </w:r>
      <w:r w:rsidR="005967F9">
        <w:t>on 20 March 2003</w:t>
      </w:r>
      <w:r w:rsidR="0001492A">
        <w:t>,</w:t>
      </w:r>
      <w:r w:rsidR="005967F9">
        <w:t xml:space="preserve"> </w:t>
      </w:r>
      <w:r w:rsidR="00974E56">
        <w:t xml:space="preserve">the United Kingdom together with </w:t>
      </w:r>
      <w:r w:rsidR="005967F9">
        <w:t xml:space="preserve">the United States of America and </w:t>
      </w:r>
      <w:r w:rsidR="00974E56">
        <w:t xml:space="preserve">their </w:t>
      </w:r>
      <w:r w:rsidR="00B032B5">
        <w:t>C</w:t>
      </w:r>
      <w:r w:rsidR="00974E56">
        <w:t xml:space="preserve">oalition partners, </w:t>
      </w:r>
      <w:r w:rsidR="00631554">
        <w:t>th</w:t>
      </w:r>
      <w:r w:rsidR="0033762E">
        <w:t>r</w:t>
      </w:r>
      <w:r w:rsidR="00631554">
        <w:t xml:space="preserve">ough their armed forces, </w:t>
      </w:r>
      <w:r w:rsidR="00974E56">
        <w:t xml:space="preserve">entered Iraq with the aim of displacing the </w:t>
      </w:r>
      <w:r w:rsidR="0001492A">
        <w:t>Ba</w:t>
      </w:r>
      <w:r w:rsidR="008570E8">
        <w:t>’</w:t>
      </w:r>
      <w:r w:rsidR="0001492A">
        <w:t xml:space="preserve">ath </w:t>
      </w:r>
      <w:r w:rsidR="00974E56">
        <w:t xml:space="preserve">regime then in power. </w:t>
      </w:r>
      <w:r w:rsidR="0001492A">
        <w:t xml:space="preserve">This aim was achieved by </w:t>
      </w:r>
      <w:r w:rsidRPr="00EF0015" w:rsidR="00FE518D">
        <w:t>1 May 2003</w:t>
      </w:r>
      <w:r w:rsidR="0001492A">
        <w:t xml:space="preserve">, when major combat operations were declared to be complete and the United States </w:t>
      </w:r>
      <w:r w:rsidR="00B032B5">
        <w:t xml:space="preserve">of America </w:t>
      </w:r>
      <w:r w:rsidR="0001492A">
        <w:t xml:space="preserve">and </w:t>
      </w:r>
      <w:r w:rsidR="00631554">
        <w:t xml:space="preserve">the </w:t>
      </w:r>
      <w:r w:rsidR="00507EEC">
        <w:t>United Kingdom became Occupying P</w:t>
      </w:r>
      <w:r w:rsidR="0001492A">
        <w:t xml:space="preserve">owers </w:t>
      </w:r>
      <w:r w:rsidRPr="00EF0015" w:rsidR="007A3381">
        <w:t>within the meaning of Article</w:t>
      </w:r>
      <w:r w:rsidR="00631554">
        <w:t> </w:t>
      </w:r>
      <w:r w:rsidRPr="00EF0015" w:rsidR="007A3381">
        <w:t>42</w:t>
      </w:r>
      <w:r w:rsidRPr="00EF0015" w:rsidR="00FE518D">
        <w:t xml:space="preserve"> of the Hague Regulations</w:t>
      </w:r>
      <w:r w:rsidRPr="00EF0015" w:rsidR="007A3381">
        <w:t xml:space="preserve"> (see paragraph </w:t>
      </w:r>
      <w:r w:rsidR="001B6C3A">
        <w:t>89</w:t>
      </w:r>
      <w:r w:rsidRPr="00EF0015" w:rsidR="007A3381">
        <w:t xml:space="preserve"> above)</w:t>
      </w:r>
      <w:r w:rsidR="005967F9">
        <w:t>.</w:t>
      </w:r>
    </w:p>
    <w:p w:rsidR="0052553D" w:rsidP="00093A41" w:rsidRDefault="0052553D">
      <w:pPr>
        <w:pStyle w:val="JuPara"/>
      </w:pPr>
      <w:r>
        <w:fldChar w:fldCharType="begin"/>
      </w:r>
      <w:r>
        <w:instrText xml:space="preserve"> SEQ level0 \*arabic </w:instrText>
      </w:r>
      <w:r>
        <w:fldChar w:fldCharType="separate"/>
      </w:r>
      <w:r w:rsidR="00524A6D">
        <w:rPr>
          <w:noProof/>
        </w:rPr>
        <w:t>144</w:t>
      </w:r>
      <w:r>
        <w:fldChar w:fldCharType="end"/>
      </w:r>
      <w:r>
        <w:t>.  </w:t>
      </w:r>
      <w:r w:rsidR="00E31139">
        <w:t xml:space="preserve">As explained in the letter dated </w:t>
      </w:r>
      <w:r w:rsidR="008749C2">
        <w:t xml:space="preserve">8 May 2003 </w:t>
      </w:r>
      <w:r w:rsidR="00E31139">
        <w:t xml:space="preserve">sent jointly by </w:t>
      </w:r>
      <w:r w:rsidR="008749C2">
        <w:t xml:space="preserve">the Permanent Representatives of the United Kingdom and the United States </w:t>
      </w:r>
      <w:r w:rsidR="00B032B5">
        <w:t xml:space="preserve">of America </w:t>
      </w:r>
      <w:r w:rsidR="008749C2">
        <w:t xml:space="preserve">to the President of the </w:t>
      </w:r>
      <w:r w:rsidR="00631554">
        <w:t xml:space="preserve">United Nations </w:t>
      </w:r>
      <w:r w:rsidR="008749C2">
        <w:t>Security Council</w:t>
      </w:r>
      <w:r w:rsidR="00E31139">
        <w:t xml:space="preserve"> (see paragraph 11 above), </w:t>
      </w:r>
      <w:r w:rsidR="003D317D">
        <w:t xml:space="preserve">the United States </w:t>
      </w:r>
      <w:r w:rsidR="00B032B5">
        <w:t xml:space="preserve">of America </w:t>
      </w:r>
      <w:r w:rsidR="003D317D">
        <w:t>and the United Kingdom</w:t>
      </w:r>
      <w:r>
        <w:t xml:space="preserve">, having displaced the previous regime, </w:t>
      </w:r>
      <w:r w:rsidR="003D317D">
        <w:t xml:space="preserve">created the </w:t>
      </w:r>
      <w:r w:rsidR="00DD62F8">
        <w:t xml:space="preserve">CPA </w:t>
      </w:r>
      <w:r w:rsidR="003D317D">
        <w:t xml:space="preserve">“to exercise powers of government temporarily”. One of the powers of government </w:t>
      </w:r>
      <w:r w:rsidR="00631554">
        <w:t xml:space="preserve">specifically referred to in the letter of 8 May 2003 </w:t>
      </w:r>
      <w:r w:rsidR="003D317D">
        <w:t xml:space="preserve">to be exercised by the </w:t>
      </w:r>
      <w:r>
        <w:t xml:space="preserve">United States </w:t>
      </w:r>
      <w:r w:rsidR="00B032B5">
        <w:t xml:space="preserve">of America </w:t>
      </w:r>
      <w:r>
        <w:t xml:space="preserve">and the United Kingdom </w:t>
      </w:r>
      <w:r w:rsidR="00631554">
        <w:t xml:space="preserve">through the </w:t>
      </w:r>
      <w:r w:rsidR="00B032B5">
        <w:t>CPA</w:t>
      </w:r>
      <w:r w:rsidR="00631554">
        <w:t xml:space="preserve"> </w:t>
      </w:r>
      <w:r w:rsidR="0097099F">
        <w:t>was the provision of security</w:t>
      </w:r>
      <w:r>
        <w:t xml:space="preserve"> in Iraq</w:t>
      </w:r>
      <w:r w:rsidR="0097099F">
        <w:t xml:space="preserve">, including the maintenance of civil law and order. </w:t>
      </w:r>
      <w:r w:rsidR="00D947FF">
        <w:t xml:space="preserve">The letter further stated that </w:t>
      </w:r>
      <w:r w:rsidR="007A141D">
        <w:t>“</w:t>
      </w:r>
      <w:r w:rsidR="00B032B5">
        <w:t>[t]</w:t>
      </w:r>
      <w:r w:rsidRPr="00EF0015" w:rsidR="007A141D">
        <w:t>he United States, the United Kingdom and Coalition partners, working through the Coalition Provisional Authority, shall</w:t>
      </w:r>
      <w:r w:rsidR="00B032B5">
        <w:t>,</w:t>
      </w:r>
      <w:r w:rsidRPr="00EF0015" w:rsidR="007A141D">
        <w:t xml:space="preserve"> </w:t>
      </w:r>
      <w:r w:rsidRPr="00EF0015" w:rsidR="007A141D">
        <w:rPr>
          <w:i/>
        </w:rPr>
        <w:t>inter alia</w:t>
      </w:r>
      <w:r w:rsidRPr="00EF0015" w:rsidR="007A141D">
        <w:t>, provide for security in and for the provisional administration of Iraq, including by</w:t>
      </w:r>
      <w:r w:rsidR="007A141D">
        <w:t xml:space="preserve"> ... </w:t>
      </w:r>
      <w:r w:rsidRPr="00EF0015" w:rsidR="00D947FF">
        <w:t>assuming immediate control of Iraqi institutions responsible for military and security matters</w:t>
      </w:r>
      <w:r w:rsidR="007A141D">
        <w:t>”.</w:t>
      </w:r>
    </w:p>
    <w:p w:rsidRPr="00307BA0" w:rsidR="002D7136" w:rsidP="006867DE" w:rsidRDefault="002D7136">
      <w:pPr>
        <w:pStyle w:val="JuPara"/>
        <w:tabs>
          <w:tab w:val="left" w:pos="7088"/>
        </w:tabs>
      </w:pPr>
      <w:r>
        <w:fldChar w:fldCharType="begin"/>
      </w:r>
      <w:r>
        <w:instrText xml:space="preserve"> SEQ level0 \*arabic </w:instrText>
      </w:r>
      <w:r>
        <w:fldChar w:fldCharType="separate"/>
      </w:r>
      <w:r w:rsidR="00524A6D">
        <w:rPr>
          <w:noProof/>
        </w:rPr>
        <w:t>145</w:t>
      </w:r>
      <w:r>
        <w:fldChar w:fldCharType="end"/>
      </w:r>
      <w:r>
        <w:t xml:space="preserve">.  In its first legislative act, </w:t>
      </w:r>
      <w:r w:rsidR="007A26CE">
        <w:t xml:space="preserve">CPA Regulation No. </w:t>
      </w:r>
      <w:r w:rsidRPr="00EF0015">
        <w:t>1</w:t>
      </w:r>
      <w:r>
        <w:t xml:space="preserve"> of</w:t>
      </w:r>
      <w:r w:rsidRPr="00EF0015">
        <w:t xml:space="preserve"> 16 May 2003, </w:t>
      </w:r>
      <w:r>
        <w:t xml:space="preserve">the </w:t>
      </w:r>
      <w:r w:rsidR="003E0D08">
        <w:t>CPA</w:t>
      </w:r>
      <w:r>
        <w:t xml:space="preserve"> declared that it would</w:t>
      </w:r>
      <w:r w:rsidRPr="00307BA0">
        <w:t xml:space="preserve"> </w:t>
      </w:r>
      <w:r>
        <w:t>“</w:t>
      </w:r>
      <w:r w:rsidRPr="00307BA0">
        <w:t>exercise powers of government temporarily in order to provide for the effective administration of Iraq during the period of transitional administration, to restore conditions of security and stability</w:t>
      </w:r>
      <w:r w:rsidR="003E0D08">
        <w:t>”</w:t>
      </w:r>
      <w:r w:rsidR="001B6C3A">
        <w:t xml:space="preserve"> (see paragraph 12 above)</w:t>
      </w:r>
      <w:r>
        <w:t>.</w:t>
      </w:r>
    </w:p>
    <w:p w:rsidRPr="00EF0015" w:rsidR="00093A41" w:rsidP="00093A41" w:rsidRDefault="0052553D">
      <w:pPr>
        <w:pStyle w:val="JuPara"/>
      </w:pPr>
      <w:r>
        <w:fldChar w:fldCharType="begin"/>
      </w:r>
      <w:r>
        <w:instrText xml:space="preserve"> SEQ level0 \*arabic </w:instrText>
      </w:r>
      <w:r>
        <w:fldChar w:fldCharType="separate"/>
      </w:r>
      <w:r w:rsidR="00524A6D">
        <w:rPr>
          <w:noProof/>
        </w:rPr>
        <w:t>146</w:t>
      </w:r>
      <w:r>
        <w:fldChar w:fldCharType="end"/>
      </w:r>
      <w:r>
        <w:t>.  </w:t>
      </w:r>
      <w:r w:rsidR="00872E93">
        <w:t xml:space="preserve">The contents of the letter </w:t>
      </w:r>
      <w:r>
        <w:t xml:space="preserve">of 8 May 2003 </w:t>
      </w:r>
      <w:r w:rsidR="00872E93">
        <w:t>were noted by the Security Council in Resolution 1483, adopted on 22 May 2003</w:t>
      </w:r>
      <w:r w:rsidR="00507EEC">
        <w:t>. This Resolution</w:t>
      </w:r>
      <w:r w:rsidR="00872E93">
        <w:rPr>
          <w:i/>
        </w:rPr>
        <w:t xml:space="preserve"> </w:t>
      </w:r>
      <w:r w:rsidR="00872E93">
        <w:t xml:space="preserve">gave further recognition to the security role which had been assumed by the United States </w:t>
      </w:r>
      <w:r w:rsidR="003E0D08">
        <w:t xml:space="preserve">of America </w:t>
      </w:r>
      <w:r w:rsidR="00872E93">
        <w:t xml:space="preserve">and the United Kingdom when, in paragraph 4, it </w:t>
      </w:r>
      <w:r w:rsidRPr="00EF0015" w:rsidR="00093A41">
        <w:t xml:space="preserve">called upon the </w:t>
      </w:r>
      <w:r w:rsidR="00507EEC">
        <w:t>O</w:t>
      </w:r>
      <w:r w:rsidRPr="00EF0015" w:rsidR="00093A41">
        <w:t xml:space="preserve">ccupying </w:t>
      </w:r>
      <w:r w:rsidR="00507EEC">
        <w:t>P</w:t>
      </w:r>
      <w:r w:rsidRPr="00EF0015" w:rsidR="00093A41">
        <w:t>owers “to promote the welfare of the Iraqi people through the effective administration of the territory, including in particular working towards the restoration of conditions of security and stability</w:t>
      </w:r>
      <w:r w:rsidR="003E0D08">
        <w:t>”</w:t>
      </w:r>
      <w:r w:rsidR="007A26CE">
        <w:t xml:space="preserve"> (see </w:t>
      </w:r>
      <w:r w:rsidRPr="00EF0015" w:rsidR="009C68BD">
        <w:t xml:space="preserve">paragraph </w:t>
      </w:r>
      <w:r w:rsidRPr="00EF0015" w:rsidR="0040034E">
        <w:t>14</w:t>
      </w:r>
      <w:r w:rsidRPr="00EF0015" w:rsidR="009C68BD">
        <w:t xml:space="preserve"> above)</w:t>
      </w:r>
      <w:r w:rsidRPr="00EF0015" w:rsidR="00093A41">
        <w:t>.</w:t>
      </w:r>
    </w:p>
    <w:p w:rsidR="00F04F3B" w:rsidP="0078471B" w:rsidRDefault="003C0ADE">
      <w:pPr>
        <w:pStyle w:val="JuPara"/>
      </w:pPr>
      <w:r w:rsidRPr="00EF0015">
        <w:fldChar w:fldCharType="begin"/>
      </w:r>
      <w:r w:rsidRPr="00EF0015">
        <w:instrText xml:space="preserve"> SEQ level0 \*arabic </w:instrText>
      </w:r>
      <w:r w:rsidRPr="00EF0015">
        <w:fldChar w:fldCharType="separate"/>
      </w:r>
      <w:r w:rsidR="00524A6D">
        <w:rPr>
          <w:noProof/>
        </w:rPr>
        <w:t>147</w:t>
      </w:r>
      <w:r w:rsidRPr="00EF0015">
        <w:fldChar w:fldCharType="end"/>
      </w:r>
      <w:r w:rsidRPr="00EF0015">
        <w:t>.  </w:t>
      </w:r>
      <w:r w:rsidR="001B6C3A">
        <w:t>During this period</w:t>
      </w:r>
      <w:r w:rsidR="003E0D08">
        <w:t>,</w:t>
      </w:r>
      <w:r w:rsidRPr="00EF0015">
        <w:t xml:space="preserve"> the United Kingdom </w:t>
      </w:r>
      <w:r w:rsidR="0052553D">
        <w:t>had</w:t>
      </w:r>
      <w:r w:rsidRPr="00EF0015">
        <w:t xml:space="preserve"> command of the </w:t>
      </w:r>
      <w:r w:rsidR="001B6C3A">
        <w:t xml:space="preserve">military division </w:t>
      </w:r>
      <w:r w:rsidRPr="00EF0015">
        <w:t>Multinational Division (South</w:t>
      </w:r>
      <w:r w:rsidR="004F5D45">
        <w:t>-</w:t>
      </w:r>
      <w:r w:rsidRPr="00EF0015">
        <w:t>East), which included the province of Al-Basra, where the applicants</w:t>
      </w:r>
      <w:r w:rsidR="008570E8">
        <w:t>’</w:t>
      </w:r>
      <w:r w:rsidR="0058147B">
        <w:t xml:space="preserve"> relatives died. From 1 May </w:t>
      </w:r>
      <w:r w:rsidRPr="00EF0015">
        <w:t xml:space="preserve">2003 onwards </w:t>
      </w:r>
      <w:r w:rsidR="0052553D">
        <w:t xml:space="preserve">the </w:t>
      </w:r>
      <w:r w:rsidRPr="00EF0015">
        <w:t xml:space="preserve">British forces in Al-Basra </w:t>
      </w:r>
      <w:r w:rsidR="001121F3">
        <w:t>took</w:t>
      </w:r>
      <w:r w:rsidR="00C81668">
        <w:t xml:space="preserve"> </w:t>
      </w:r>
      <w:r w:rsidR="0052553D">
        <w:t xml:space="preserve">responsibility for </w:t>
      </w:r>
      <w:r w:rsidRPr="00EF0015">
        <w:t>maintain</w:t>
      </w:r>
      <w:r w:rsidRPr="00EF0015" w:rsidR="00F04F3B">
        <w:t>ing</w:t>
      </w:r>
      <w:r w:rsidRPr="00EF0015">
        <w:t xml:space="preserve"> security </w:t>
      </w:r>
      <w:r w:rsidRPr="00EF0015" w:rsidR="00F04F3B">
        <w:t>and supporting the civil administration. Among the United Kingdom</w:t>
      </w:r>
      <w:r w:rsidR="008570E8">
        <w:t>’</w:t>
      </w:r>
      <w:r w:rsidRPr="00EF0015" w:rsidR="00F04F3B">
        <w:t xml:space="preserve">s security tasks were </w:t>
      </w:r>
      <w:r w:rsidRPr="00EF0015">
        <w:t>patrols, arrests, anti-terrorist operations, policing of civil demonstrations, protection of essential utilities and infrastructure and protecting police stations</w:t>
      </w:r>
      <w:r w:rsidRPr="00EF0015" w:rsidR="00F04F3B">
        <w:t xml:space="preserve"> (see paragraph </w:t>
      </w:r>
      <w:r w:rsidR="001B6C3A">
        <w:t>21</w:t>
      </w:r>
      <w:r w:rsidRPr="00EF0015" w:rsidR="00F04F3B">
        <w:t xml:space="preserve"> above).</w:t>
      </w:r>
    </w:p>
    <w:p w:rsidR="00E63759" w:rsidP="00E63759" w:rsidRDefault="00311B2D">
      <w:pPr>
        <w:pStyle w:val="JuPara"/>
      </w:pPr>
      <w:r>
        <w:fldChar w:fldCharType="begin"/>
      </w:r>
      <w:r>
        <w:instrText xml:space="preserve"> SEQ level0 \*arabic </w:instrText>
      </w:r>
      <w:r>
        <w:fldChar w:fldCharType="separate"/>
      </w:r>
      <w:r w:rsidR="00524A6D">
        <w:rPr>
          <w:noProof/>
        </w:rPr>
        <w:t>148</w:t>
      </w:r>
      <w:r>
        <w:fldChar w:fldCharType="end"/>
      </w:r>
      <w:r>
        <w:t xml:space="preserve">.  In July 2003 the Governing Council of Iraq was established. The </w:t>
      </w:r>
      <w:r w:rsidR="004F5D45">
        <w:t>CPA</w:t>
      </w:r>
      <w:r>
        <w:t xml:space="preserve"> remained in power, although it was required to consult with the Governing Counc</w:t>
      </w:r>
      <w:r w:rsidR="0058147B">
        <w:t xml:space="preserve">il (see paragraph 15 above). In </w:t>
      </w:r>
      <w:r w:rsidR="007A26CE">
        <w:t>Resol</w:t>
      </w:r>
      <w:r w:rsidR="00AC0F22">
        <w:t xml:space="preserve">ution </w:t>
      </w:r>
      <w:r>
        <w:t xml:space="preserve">1511, adopted on 16 October 2003, the United Nations Security Council underscored the temporary nature of the exercise by the </w:t>
      </w:r>
      <w:r w:rsidR="004F5D45">
        <w:t>CPA</w:t>
      </w:r>
      <w:r>
        <w:t xml:space="preserve"> </w:t>
      </w:r>
      <w:r w:rsidR="00351555">
        <w:t>of the authorities and respons</w:t>
      </w:r>
      <w:r w:rsidR="007A26CE">
        <w:t>ibilities set out in Resolution</w:t>
      </w:r>
      <w:r w:rsidR="00AC0F22">
        <w:t xml:space="preserve"> </w:t>
      </w:r>
      <w:r w:rsidR="00351555">
        <w:t>1483</w:t>
      </w:r>
      <w:r w:rsidR="009C79F7">
        <w:t xml:space="preserve">. It also authorised “a </w:t>
      </w:r>
      <w:r w:rsidR="004F5D45">
        <w:t>M</w:t>
      </w:r>
      <w:r w:rsidR="009C79F7">
        <w:t xml:space="preserve">ultinational </w:t>
      </w:r>
      <w:r w:rsidR="004F5D45">
        <w:t>F</w:t>
      </w:r>
      <w:r w:rsidR="009C79F7">
        <w:t>orce under unified command to take all necessary measures to contribute to the maintenance of security and stability in Iraq”</w:t>
      </w:r>
      <w:r w:rsidR="00351555">
        <w:t xml:space="preserve"> (see paragraph 16 above). </w:t>
      </w:r>
      <w:r w:rsidR="009D56F5">
        <w:t xml:space="preserve">United Nations Security Council Resolution 1546, adopted on 8 June 2004, endorsed “the formation of a sovereign </w:t>
      </w:r>
      <w:r w:rsidR="004F5D45">
        <w:t>i</w:t>
      </w:r>
      <w:r w:rsidR="009D56F5">
        <w:t xml:space="preserve">nterim </w:t>
      </w:r>
      <w:r w:rsidR="004F5D45">
        <w:t>g</w:t>
      </w:r>
      <w:r w:rsidR="009D56F5">
        <w:t xml:space="preserve">overnment of Iraq </w:t>
      </w:r>
      <w:r w:rsidR="00E07594">
        <w:t>...</w:t>
      </w:r>
      <w:r w:rsidR="009D56F5">
        <w:t xml:space="preserve"> which will assume full responsibility and authority by 30 Jun</w:t>
      </w:r>
      <w:r w:rsidR="00737C75">
        <w:t xml:space="preserve">e 2004 for governing Iraq” (see </w:t>
      </w:r>
      <w:r w:rsidR="00AC0F22">
        <w:t xml:space="preserve">paragraph </w:t>
      </w:r>
      <w:r w:rsidR="009D56F5">
        <w:t xml:space="preserve">18 above). In the event, the </w:t>
      </w:r>
      <w:r w:rsidR="008D39A8">
        <w:t>occupation came to an end on 28</w:t>
      </w:r>
      <w:r w:rsidR="00AC0F22">
        <w:t xml:space="preserve"> </w:t>
      </w:r>
      <w:r w:rsidR="009D56F5">
        <w:t xml:space="preserve">June 2004, when full authority for governing Iraq passed </w:t>
      </w:r>
      <w:r w:rsidR="00507EEC">
        <w:t xml:space="preserve">to the </w:t>
      </w:r>
      <w:r w:rsidR="004F5D45">
        <w:t>i</w:t>
      </w:r>
      <w:r w:rsidR="00507EEC">
        <w:t xml:space="preserve">nterim Iraqi </w:t>
      </w:r>
      <w:r w:rsidR="004F5D45">
        <w:t>g</w:t>
      </w:r>
      <w:r w:rsidR="00507EEC">
        <w:t xml:space="preserve">overnment </w:t>
      </w:r>
      <w:r w:rsidR="009D56F5">
        <w:t xml:space="preserve">from the </w:t>
      </w:r>
      <w:r w:rsidR="004F5D45">
        <w:t>CPA,</w:t>
      </w:r>
      <w:r w:rsidR="009D56F5">
        <w:t xml:space="preserve"> which </w:t>
      </w:r>
      <w:r w:rsidR="00507EEC">
        <w:t xml:space="preserve">then </w:t>
      </w:r>
      <w:r w:rsidR="009D56F5">
        <w:t xml:space="preserve">ceased to exist </w:t>
      </w:r>
      <w:r w:rsidR="00E45CE3">
        <w:t xml:space="preserve">(see paragraph </w:t>
      </w:r>
      <w:r w:rsidR="00051327">
        <w:t>19</w:t>
      </w:r>
      <w:r w:rsidR="00E45CE3">
        <w:t xml:space="preserve"> above).</w:t>
      </w:r>
    </w:p>
    <w:p w:rsidR="00452745" w:rsidP="00452745" w:rsidRDefault="00737C75">
      <w:pPr>
        <w:pStyle w:val="JuHi"/>
      </w:pPr>
      <w:r>
        <w:t>(iii)  </w:t>
      </w:r>
      <w:r w:rsidR="00452745">
        <w:t>Conclusion as regards jurisdiction</w:t>
      </w:r>
    </w:p>
    <w:p w:rsidR="00C81668" w:rsidP="00E63759" w:rsidRDefault="00E63759">
      <w:pPr>
        <w:pStyle w:val="JuPara"/>
      </w:pPr>
      <w:r>
        <w:fldChar w:fldCharType="begin"/>
      </w:r>
      <w:r>
        <w:instrText xml:space="preserve"> SEQ level0 \*arabic </w:instrText>
      </w:r>
      <w:r>
        <w:fldChar w:fldCharType="separate"/>
      </w:r>
      <w:r w:rsidR="00524A6D">
        <w:rPr>
          <w:noProof/>
        </w:rPr>
        <w:t>149</w:t>
      </w:r>
      <w:r>
        <w:fldChar w:fldCharType="end"/>
      </w:r>
      <w:r>
        <w:t>.  </w:t>
      </w:r>
      <w:r w:rsidRPr="00E63759">
        <w:t>It can be seen, therefore, that following the removal from power of the Ba</w:t>
      </w:r>
      <w:r w:rsidR="008570E8">
        <w:t>’</w:t>
      </w:r>
      <w:r w:rsidRPr="00E63759">
        <w:t xml:space="preserve">ath regime and until the accession of the </w:t>
      </w:r>
      <w:r w:rsidR="00530A32">
        <w:t>i</w:t>
      </w:r>
      <w:r w:rsidRPr="00E63759">
        <w:t xml:space="preserve">nterim </w:t>
      </w:r>
      <w:r w:rsidR="00530A32">
        <w:t>Iraqi g</w:t>
      </w:r>
      <w:r w:rsidRPr="00E63759">
        <w:t>overnment, the United Kingdom (together with the United States</w:t>
      </w:r>
      <w:r w:rsidR="00530A32">
        <w:t xml:space="preserve"> of America</w:t>
      </w:r>
      <w:r w:rsidRPr="00E63759">
        <w:t>) assumed in Iraq the exercise of some of the public powers normally to be exercised by a sovereign government</w:t>
      </w:r>
      <w:r w:rsidR="00452745">
        <w:t>.</w:t>
      </w:r>
      <w:r w:rsidRPr="00E63759">
        <w:t xml:space="preserve"> In particular, the United Kingdom assumed authority and responsibility for the maintenance of security in </w:t>
      </w:r>
      <w:r w:rsidR="00530A32">
        <w:t>s</w:t>
      </w:r>
      <w:r w:rsidRPr="00E63759">
        <w:t>outh</w:t>
      </w:r>
      <w:r w:rsidR="00530A32">
        <w:t>-e</w:t>
      </w:r>
      <w:r w:rsidRPr="00E63759">
        <w:t xml:space="preserve">ast Iraq. </w:t>
      </w:r>
      <w:bookmarkStart w:name="_Toc289765898" w:id="156"/>
      <w:r w:rsidR="00AC0F22">
        <w:t xml:space="preserve">In </w:t>
      </w:r>
      <w:r w:rsidRPr="00E63759">
        <w:t xml:space="preserve">these exceptional circumstances, the Court considers that the United Kingdom, through its soldiers engaged in security operations in Basra during </w:t>
      </w:r>
      <w:r w:rsidR="00051327">
        <w:t>the period in question,</w:t>
      </w:r>
      <w:r w:rsidRPr="00E63759">
        <w:t xml:space="preserve"> exercised authority and control over individuals killed in the course of such security operations, so as to establish a jurisdictional link between the deceased and the United Kingdom for the purposes of Article 1 of the Convention.</w:t>
      </w:r>
      <w:bookmarkEnd w:id="156"/>
    </w:p>
    <w:bookmarkStart w:name="_Toc289765900" w:id="157"/>
    <w:p w:rsidR="00C81668" w:rsidP="00E63759" w:rsidRDefault="00E63759">
      <w:pPr>
        <w:pStyle w:val="JuPara"/>
      </w:pPr>
      <w:r>
        <w:fldChar w:fldCharType="begin"/>
      </w:r>
      <w:r>
        <w:instrText xml:space="preserve"> SEQ level0 \*arabic </w:instrText>
      </w:r>
      <w:r>
        <w:fldChar w:fldCharType="separate"/>
      </w:r>
      <w:r w:rsidR="00524A6D">
        <w:rPr>
          <w:noProof/>
        </w:rPr>
        <w:t>150</w:t>
      </w:r>
      <w:r>
        <w:fldChar w:fldCharType="end"/>
      </w:r>
      <w:r>
        <w:t>.  </w:t>
      </w:r>
      <w:r w:rsidRPr="00E63759">
        <w:t xml:space="preserve">Against this background, the Court recalls that the deaths at issue in the present case occurred during the </w:t>
      </w:r>
      <w:r w:rsidR="00A2410D">
        <w:t xml:space="preserve">relevant </w:t>
      </w:r>
      <w:r w:rsidRPr="00E63759">
        <w:t>period: the fifth applicant</w:t>
      </w:r>
      <w:r w:rsidR="008570E8">
        <w:t>’</w:t>
      </w:r>
      <w:r w:rsidRPr="00E63759">
        <w:t>s son died on 8 May 2003; the first and fourth applicants</w:t>
      </w:r>
      <w:r w:rsidR="008570E8">
        <w:t>’</w:t>
      </w:r>
      <w:r w:rsidRPr="00E63759">
        <w:t xml:space="preserve"> brothers died in August 2003; the sixth applicant</w:t>
      </w:r>
      <w:r w:rsidR="008570E8">
        <w:t>’</w:t>
      </w:r>
      <w:r w:rsidRPr="00E63759">
        <w:t xml:space="preserve">s son died in September 2003; and the </w:t>
      </w:r>
      <w:r w:rsidR="00452745">
        <w:t>spouses</w:t>
      </w:r>
      <w:r w:rsidRPr="00E63759">
        <w:t xml:space="preserve"> of the second and third applicants died in November 2003. It is not disputed that the deaths of the first, second, fourth, fifth and sixth</w:t>
      </w:r>
      <w:r w:rsidR="00C81668">
        <w:t xml:space="preserve"> </w:t>
      </w:r>
      <w:r w:rsidRPr="00E63759">
        <w:t>applicants</w:t>
      </w:r>
      <w:r w:rsidR="008570E8">
        <w:t>’</w:t>
      </w:r>
      <w:r w:rsidRPr="00E63759">
        <w:t xml:space="preserve"> relatives were caused by the acts of British soldiers during the course of or contiguous to security operations carried out by British forces in various parts of Basra City. I</w:t>
      </w:r>
      <w:r w:rsidR="00125F45">
        <w:t>t</w:t>
      </w:r>
      <w:r w:rsidRPr="00E63759">
        <w:t xml:space="preserve"> follows that in all these cases there was a jurisdictional link for the purposes of Article 1 of the Convention between the United Kingdom and the deceased. The third applicant</w:t>
      </w:r>
      <w:r w:rsidR="008570E8">
        <w:t>’</w:t>
      </w:r>
      <w:r w:rsidRPr="00E63759">
        <w:t>s wife was killed during an exchange of fire between a patrol of British soldiers and unidentified gunmen and it is not known which side fired the fatal bullet. The Court considers that, since the death occurred in the course of a United Kingdom security operation, when British soldiers carried out a patrol in the vicinity of the applicant</w:t>
      </w:r>
      <w:r w:rsidR="008570E8">
        <w:t>’</w:t>
      </w:r>
      <w:r w:rsidRPr="00E63759">
        <w:t xml:space="preserve">s home and </w:t>
      </w:r>
      <w:r w:rsidR="00211EC8">
        <w:t>joined</w:t>
      </w:r>
      <w:r w:rsidRPr="00E63759">
        <w:t xml:space="preserve"> in the </w:t>
      </w:r>
      <w:r>
        <w:t xml:space="preserve">fatal </w:t>
      </w:r>
      <w:r w:rsidRPr="00E63759">
        <w:t>exchange of fire</w:t>
      </w:r>
      <w:r>
        <w:t>,</w:t>
      </w:r>
      <w:r w:rsidRPr="00E63759">
        <w:t xml:space="preserve"> there was a jurisdictional link between the United Kingdom and this deceased also.</w:t>
      </w:r>
      <w:bookmarkEnd w:id="157"/>
    </w:p>
    <w:p w:rsidRPr="00EF0015" w:rsidR="00B11FF5" w:rsidP="00EE6BF2" w:rsidRDefault="00EE6BF2">
      <w:pPr>
        <w:pStyle w:val="JuH1"/>
      </w:pPr>
      <w:bookmarkStart w:name="_Toc289868987" w:id="158"/>
      <w:bookmarkStart w:name="_Toc297210672" w:id="159"/>
      <w:r>
        <w:t>2</w:t>
      </w:r>
      <w:r w:rsidR="00737C75">
        <w:t>.  </w:t>
      </w:r>
      <w:r w:rsidRPr="00EF0015" w:rsidR="00B11FF5">
        <w:t>Alleged breach of the investigative duty under Article 2</w:t>
      </w:r>
      <w:bookmarkEnd w:id="158"/>
      <w:bookmarkEnd w:id="159"/>
      <w:r w:rsidR="00161782">
        <w:t xml:space="preserve"> of the Convention</w:t>
      </w:r>
    </w:p>
    <w:p w:rsidR="00C81668" w:rsidP="00B11FF5" w:rsidRDefault="00B11FF5">
      <w:pPr>
        <w:pStyle w:val="JuPara"/>
      </w:pPr>
      <w:r w:rsidRPr="00EF0015">
        <w:fldChar w:fldCharType="begin"/>
      </w:r>
      <w:r w:rsidRPr="00EF0015">
        <w:instrText xml:space="preserve"> SEQ level0 \*arabic </w:instrText>
      </w:r>
      <w:r w:rsidRPr="00EF0015">
        <w:fldChar w:fldCharType="separate"/>
      </w:r>
      <w:r w:rsidR="00524A6D">
        <w:rPr>
          <w:noProof/>
        </w:rPr>
        <w:t>151</w:t>
      </w:r>
      <w:r w:rsidRPr="00EF0015">
        <w:fldChar w:fldCharType="end"/>
      </w:r>
      <w:r w:rsidRPr="00EF0015">
        <w:t>.  The applicants did not complain before the Court of any substantive breach of the right to life under Article 2. Instead they complained that the Government had not fulfilled its procedural duty to carry out an effective investigation into the killings.</w:t>
      </w:r>
    </w:p>
    <w:p w:rsidRPr="00EF0015" w:rsidR="00B11FF5" w:rsidP="00B11FF5" w:rsidRDefault="00B11FF5">
      <w:pPr>
        <w:pStyle w:val="JuPara"/>
      </w:pPr>
      <w:r w:rsidRPr="00EF0015">
        <w:t>Article 2 of the Convention provides as follows:</w:t>
      </w:r>
    </w:p>
    <w:p w:rsidRPr="00EF0015" w:rsidR="00B11FF5" w:rsidP="00B11FF5" w:rsidRDefault="00737C75">
      <w:pPr>
        <w:pStyle w:val="JuQuot"/>
      </w:pPr>
      <w:r>
        <w:t>“1.  </w:t>
      </w:r>
      <w:r w:rsidRPr="00EF0015" w:rsidR="00B11FF5">
        <w:t>Everyone</w:t>
      </w:r>
      <w:r w:rsidR="008570E8">
        <w:t>’</w:t>
      </w:r>
      <w:r w:rsidRPr="00EF0015" w:rsidR="00B11FF5">
        <w:t>s right to life shall be protected by law. No one shall be deprived of his life intentionally save in the execution of a sentence of a court following his conviction of a crime for which this penalty is provided by law.</w:t>
      </w:r>
    </w:p>
    <w:p w:rsidRPr="00EF0015" w:rsidR="00B11FF5" w:rsidP="00B11FF5" w:rsidRDefault="00737C75">
      <w:pPr>
        <w:pStyle w:val="JuQuot"/>
      </w:pPr>
      <w:r>
        <w:t>2.  </w:t>
      </w:r>
      <w:r w:rsidRPr="00EF0015" w:rsidR="00B11FF5">
        <w:t xml:space="preserve">Deprivation of life shall not be regarded as inflicted in contravention of this </w:t>
      </w:r>
      <w:r w:rsidR="00D82C73">
        <w:t>A</w:t>
      </w:r>
      <w:r w:rsidRPr="00EF0015" w:rsidR="00B11FF5">
        <w:t>rticle when it results from the use of force which is no more than absolutely necessary:</w:t>
      </w:r>
    </w:p>
    <w:p w:rsidRPr="00EF0015" w:rsidR="00B11FF5" w:rsidP="00B11FF5" w:rsidRDefault="00737C75">
      <w:pPr>
        <w:pStyle w:val="JuQuot"/>
      </w:pPr>
      <w:r>
        <w:t>(a)  </w:t>
      </w:r>
      <w:r w:rsidRPr="00EF0015" w:rsidR="00B11FF5">
        <w:t>in defence of any person from unlawful violence;</w:t>
      </w:r>
    </w:p>
    <w:p w:rsidRPr="00EF0015" w:rsidR="00B11FF5" w:rsidP="00B11FF5" w:rsidRDefault="00737C75">
      <w:pPr>
        <w:pStyle w:val="JuQuot"/>
      </w:pPr>
      <w:r>
        <w:t>(b)  </w:t>
      </w:r>
      <w:r w:rsidRPr="00EF0015" w:rsidR="00B11FF5">
        <w:t>in order to effect a lawful arrest or to prevent the escape of a person lawfully detained;</w:t>
      </w:r>
    </w:p>
    <w:p w:rsidRPr="00EF0015" w:rsidR="00B11FF5" w:rsidP="00B11FF5" w:rsidRDefault="00737C75">
      <w:pPr>
        <w:pStyle w:val="JuQuot"/>
      </w:pPr>
      <w:r>
        <w:t>(c)  </w:t>
      </w:r>
      <w:r w:rsidRPr="00EF0015" w:rsidR="00B11FF5">
        <w:t>in action lawfully taken for the purpose of quelling a riot or insurrection.”</w:t>
      </w:r>
    </w:p>
    <w:p w:rsidRPr="00EF0015" w:rsidR="00B11FF5" w:rsidP="00EE6BF2" w:rsidRDefault="00737C75">
      <w:pPr>
        <w:pStyle w:val="JuHa"/>
      </w:pPr>
      <w:bookmarkStart w:name="_Toc289765902" w:id="160"/>
      <w:bookmarkStart w:name="_Toc289868988" w:id="161"/>
      <w:r>
        <w:t>(</w:t>
      </w:r>
      <w:r w:rsidR="00EE6BF2">
        <w:t>a</w:t>
      </w:r>
      <w:r>
        <w:t>)  </w:t>
      </w:r>
      <w:r w:rsidRPr="00EF0015" w:rsidR="00B11FF5">
        <w:t>The parties</w:t>
      </w:r>
      <w:r w:rsidR="008570E8">
        <w:t>’</w:t>
      </w:r>
      <w:r w:rsidRPr="00EF0015" w:rsidR="00B11FF5">
        <w:t xml:space="preserve"> </w:t>
      </w:r>
      <w:bookmarkEnd w:id="160"/>
      <w:bookmarkEnd w:id="161"/>
      <w:r w:rsidR="00E15FF5">
        <w:t>submissions</w:t>
      </w:r>
    </w:p>
    <w:p w:rsidRPr="00EF0015" w:rsidR="00B12CF5" w:rsidP="009C1CD5" w:rsidRDefault="00737C75">
      <w:pPr>
        <w:pStyle w:val="JuHi"/>
      </w:pPr>
      <w:bookmarkStart w:name="_Toc289765903" w:id="162"/>
      <w:bookmarkStart w:name="_Toc289868989" w:id="163"/>
      <w:r>
        <w:t>(</w:t>
      </w:r>
      <w:r w:rsidR="009C1CD5">
        <w:t>i</w:t>
      </w:r>
      <w:r>
        <w:t>)  </w:t>
      </w:r>
      <w:r w:rsidRPr="00EF0015" w:rsidR="00B12CF5">
        <w:t>The Government</w:t>
      </w:r>
      <w:bookmarkEnd w:id="162"/>
      <w:bookmarkEnd w:id="163"/>
    </w:p>
    <w:p w:rsidRPr="00EF0015" w:rsidR="00B12CF5" w:rsidP="00B12CF5" w:rsidRDefault="00B12CF5">
      <w:pPr>
        <w:pStyle w:val="JuPara"/>
      </w:pPr>
      <w:r w:rsidRPr="00EF0015">
        <w:fldChar w:fldCharType="begin"/>
      </w:r>
      <w:r w:rsidRPr="00EF0015">
        <w:instrText xml:space="preserve"> SEQ level0 \*arabic </w:instrText>
      </w:r>
      <w:r w:rsidRPr="00EF0015">
        <w:fldChar w:fldCharType="separate"/>
      </w:r>
      <w:r w:rsidR="00524A6D">
        <w:rPr>
          <w:noProof/>
        </w:rPr>
        <w:t>152</w:t>
      </w:r>
      <w:r w:rsidRPr="00EF0015">
        <w:fldChar w:fldCharType="end"/>
      </w:r>
      <w:r w:rsidRPr="00EF0015">
        <w:t>.  The Government reasoned that the procedural duty under Article 2 had to be interpreted in harmony with the relevant principles of international law. Moreover, any implied duty should not be interpreted in such a way as to place an impossible or disproportionate burden on a Contracting State. The United Kingdom did not have full control over the territory of Iraq and, in particular, did not have legislative, administrative or judicial competence. If the investigative duty were to apply extraterritorially, it had to take account of these circumstances, and also of the very difficult security conditions in which British personnel were operating.</w:t>
      </w:r>
    </w:p>
    <w:p w:rsidR="00C81668" w:rsidP="00B12CF5" w:rsidRDefault="00B12CF5">
      <w:pPr>
        <w:pStyle w:val="JuPara"/>
      </w:pPr>
      <w:r w:rsidRPr="00EF0015">
        <w:fldChar w:fldCharType="begin"/>
      </w:r>
      <w:r w:rsidRPr="00EF0015">
        <w:instrText xml:space="preserve"> SEQ level0 \*arabic </w:instrText>
      </w:r>
      <w:r w:rsidRPr="00EF0015">
        <w:fldChar w:fldCharType="separate"/>
      </w:r>
      <w:r w:rsidR="00524A6D">
        <w:rPr>
          <w:noProof/>
        </w:rPr>
        <w:t>153</w:t>
      </w:r>
      <w:r w:rsidRPr="00EF0015">
        <w:fldChar w:fldCharType="end"/>
      </w:r>
      <w:r w:rsidRPr="00EF0015">
        <w:t>.  The Government accepted that the investigations into the deaths of the first</w:t>
      </w:r>
      <w:r w:rsidRPr="00EF0015" w:rsidR="00C14D72">
        <w:t>,</w:t>
      </w:r>
      <w:r w:rsidRPr="00EF0015">
        <w:t xml:space="preserve"> second </w:t>
      </w:r>
      <w:r w:rsidRPr="00EF0015" w:rsidR="00C14D72">
        <w:t xml:space="preserve">and third </w:t>
      </w:r>
      <w:r w:rsidRPr="00EF0015">
        <w:t>applicants</w:t>
      </w:r>
      <w:r w:rsidR="008570E8">
        <w:t>’</w:t>
      </w:r>
      <w:r w:rsidRPr="00EF0015">
        <w:t xml:space="preserve"> relatives </w:t>
      </w:r>
      <w:r w:rsidR="00AD2FDE">
        <w:t xml:space="preserve">were not sufficiently independent </w:t>
      </w:r>
      <w:r w:rsidR="00CB383E">
        <w:t>for the purposes of</w:t>
      </w:r>
      <w:r w:rsidRPr="00EF0015">
        <w:t xml:space="preserve"> Article 2, since </w:t>
      </w:r>
      <w:r w:rsidR="00AD2FDE">
        <w:t>in</w:t>
      </w:r>
      <w:r w:rsidRPr="00EF0015">
        <w:t xml:space="preserve"> each case the investigation was carried out solely by the Commanding Officers of the soldiers alleged to be responsible. However, they submitted that the investigations</w:t>
      </w:r>
      <w:r w:rsidRPr="00EF0015" w:rsidR="00AC282B">
        <w:t xml:space="preserve"> carried out in respect of the </w:t>
      </w:r>
      <w:r w:rsidR="002A4EB1">
        <w:t xml:space="preserve">deaths of the </w:t>
      </w:r>
      <w:r w:rsidRPr="00EF0015">
        <w:t>fourth and fifth applicants</w:t>
      </w:r>
      <w:r w:rsidR="008570E8">
        <w:t>’</w:t>
      </w:r>
      <w:r w:rsidR="002A4EB1">
        <w:t xml:space="preserve"> relatives</w:t>
      </w:r>
      <w:r w:rsidRPr="00EF0015">
        <w:t xml:space="preserve"> complied with Article 2. Nor had there been any violation of the investigative duty in respect of the sixth applicant; indeed, he did not allege that the investigation in his case had failed to comply with </w:t>
      </w:r>
      <w:r w:rsidR="00AD2FDE">
        <w:t>Article 2</w:t>
      </w:r>
      <w:r w:rsidRPr="00EF0015">
        <w:t>.</w:t>
      </w:r>
    </w:p>
    <w:p w:rsidRPr="00EF0015" w:rsidR="00B12CF5" w:rsidP="00B12CF5" w:rsidRDefault="00AD2FDE">
      <w:pPr>
        <w:pStyle w:val="JuPara"/>
        <w:rPr>
          <w:lang w:eastAsia="en-US"/>
        </w:rPr>
      </w:pPr>
      <w:r>
        <w:fldChar w:fldCharType="begin"/>
      </w:r>
      <w:r>
        <w:instrText xml:space="preserve"> SEQ level0 \*arabic </w:instrText>
      </w:r>
      <w:r>
        <w:fldChar w:fldCharType="separate"/>
      </w:r>
      <w:r w:rsidR="00524A6D">
        <w:rPr>
          <w:noProof/>
        </w:rPr>
        <w:t>154</w:t>
      </w:r>
      <w:r>
        <w:fldChar w:fldCharType="end"/>
      </w:r>
      <w:r>
        <w:t>.  The Government</w:t>
      </w:r>
      <w:r w:rsidRPr="00EF0015" w:rsidR="00B12CF5">
        <w:t xml:space="preserve"> emphasised, generally, that the Royal Military Police investigators were institutionally independent of the armed forces. The</w:t>
      </w:r>
      <w:r w:rsidR="00AF180C">
        <w:t>y submitted that the</w:t>
      </w:r>
      <w:r w:rsidRPr="00EF0015" w:rsidR="00B12CF5">
        <w:t xml:space="preserve"> Court of Appeal </w:t>
      </w:r>
      <w:r w:rsidR="00AF180C">
        <w:t xml:space="preserve">had been </w:t>
      </w:r>
      <w:r w:rsidRPr="00EF0015" w:rsidR="00B12CF5">
        <w:t>correct</w:t>
      </w:r>
      <w:r w:rsidR="00AF180C">
        <w:t xml:space="preserve"> in</w:t>
      </w:r>
      <w:r w:rsidRPr="00EF0015" w:rsidR="00B12CF5">
        <w:t xml:space="preserve"> conclud</w:t>
      </w:r>
      <w:r w:rsidR="00AF180C">
        <w:t>ing</w:t>
      </w:r>
      <w:r w:rsidRPr="00EF0015" w:rsidR="00B12CF5">
        <w:t xml:space="preserve"> that the </w:t>
      </w:r>
      <w:r w:rsidRPr="00EF0015" w:rsidR="00C14D72">
        <w:t>Special Investigation Branch of the Royal Military Police</w:t>
      </w:r>
      <w:r w:rsidRPr="00EF0015" w:rsidR="00B12CF5">
        <w:t xml:space="preserve"> was capable of conducting independent investigations (see paragraph 8</w:t>
      </w:r>
      <w:r w:rsidR="009C1CD5">
        <w:t>2</w:t>
      </w:r>
      <w:r w:rsidRPr="00EF0015" w:rsidR="00B12CF5">
        <w:t xml:space="preserve"> above)</w:t>
      </w:r>
      <w:r w:rsidR="00915937">
        <w:t xml:space="preserve">, although Brooke LJ had also </w:t>
      </w:r>
      <w:r w:rsidRPr="00EF0015" w:rsidR="00B12CF5">
        <w:t xml:space="preserve">commented that the task of investigating loss of life “must be completely taken away from the military chain of command and vested in the </w:t>
      </w:r>
      <w:r w:rsidRPr="00EF0015" w:rsidR="002606C8">
        <w:t>[Royal Military Police]</w:t>
      </w:r>
      <w:r w:rsidRPr="00EF0015" w:rsidR="00B12CF5">
        <w:t xml:space="preserve">”. The role of the </w:t>
      </w:r>
      <w:r w:rsidRPr="00EF0015" w:rsidR="00C14D72">
        <w:t xml:space="preserve">military </w:t>
      </w:r>
      <w:r w:rsidRPr="00EF0015" w:rsidR="00B12CF5">
        <w:t xml:space="preserve">chain of command in notifying the Special Investigation Branch of an incident requiring investigation, and its subsequent role in referring cases investigated by </w:t>
      </w:r>
      <w:r w:rsidR="00356C6C">
        <w:t xml:space="preserve">the </w:t>
      </w:r>
      <w:r w:rsidRPr="00EF0015" w:rsidR="00E506FC">
        <w:t xml:space="preserve">Special Investigation Branch </w:t>
      </w:r>
      <w:r w:rsidRPr="00EF0015" w:rsidR="00B12CF5">
        <w:t xml:space="preserve">to the </w:t>
      </w:r>
      <w:r w:rsidRPr="00EF0015" w:rsidR="00C14D72">
        <w:t>Army P</w:t>
      </w:r>
      <w:r w:rsidRPr="00EF0015" w:rsidR="00B12CF5">
        <w:t xml:space="preserve">rosecuting </w:t>
      </w:r>
      <w:r w:rsidRPr="00EF0015" w:rsidR="00C14D72">
        <w:t>A</w:t>
      </w:r>
      <w:r w:rsidRPr="00EF0015" w:rsidR="00B12CF5">
        <w:t xml:space="preserve">uthority did not, however, mean that those investigations lacked independence as required by Articles 2 or 3 (see </w:t>
      </w:r>
      <w:r w:rsidRPr="00EF0015" w:rsidR="00B12CF5">
        <w:rPr>
          <w:i/>
          <w:lang w:eastAsia="en-US"/>
        </w:rPr>
        <w:t xml:space="preserve">Cooper v. the United Kingdom </w:t>
      </w:r>
      <w:r w:rsidRPr="00EF0015" w:rsidR="00B12CF5">
        <w:rPr>
          <w:lang w:eastAsia="en-US"/>
        </w:rPr>
        <w:t xml:space="preserve">[GC], no. 48843/99, </w:t>
      </w:r>
      <w:r w:rsidRPr="00EF0015" w:rsidR="002A4EB1">
        <w:rPr>
          <w:lang w:eastAsia="en-US"/>
        </w:rPr>
        <w:t xml:space="preserve">§§ 108-15, </w:t>
      </w:r>
      <w:r w:rsidRPr="00EF0015" w:rsidR="00B12CF5">
        <w:rPr>
          <w:lang w:eastAsia="en-US"/>
        </w:rPr>
        <w:t>ECHR 2003</w:t>
      </w:r>
      <w:r w:rsidRPr="00EF0015" w:rsidR="00B12CF5">
        <w:rPr>
          <w:lang w:eastAsia="en-US"/>
        </w:rPr>
        <w:noBreakHyphen/>
        <w:t xml:space="preserve">XII; </w:t>
      </w:r>
      <w:r w:rsidR="00AC0F22">
        <w:rPr>
          <w:i/>
          <w:lang w:eastAsia="en-US"/>
        </w:rPr>
        <w:t xml:space="preserve">McKerr v. </w:t>
      </w:r>
      <w:r w:rsidRPr="00EF0015" w:rsidR="00B12CF5">
        <w:rPr>
          <w:i/>
          <w:lang w:eastAsia="en-US"/>
        </w:rPr>
        <w:t>the</w:t>
      </w:r>
      <w:r w:rsidR="007A26CE">
        <w:rPr>
          <w:i/>
          <w:lang w:eastAsia="en-US"/>
        </w:rPr>
        <w:t xml:space="preserve"> </w:t>
      </w:r>
      <w:r w:rsidRPr="00EF0015" w:rsidR="00B12CF5">
        <w:rPr>
          <w:i/>
          <w:lang w:eastAsia="en-US"/>
        </w:rPr>
        <w:t>United Kingdom</w:t>
      </w:r>
      <w:r w:rsidRPr="00EF0015" w:rsidR="00B12CF5">
        <w:rPr>
          <w:lang w:eastAsia="en-US"/>
        </w:rPr>
        <w:t>, no. 28883/95, ECHR 2001</w:t>
      </w:r>
      <w:r w:rsidRPr="00EF0015" w:rsidR="00B12CF5">
        <w:rPr>
          <w:lang w:eastAsia="en-US"/>
        </w:rPr>
        <w:noBreakHyphen/>
        <w:t xml:space="preserve">III; </w:t>
      </w:r>
      <w:r w:rsidR="009C3050">
        <w:rPr>
          <w:lang w:eastAsia="en-US"/>
        </w:rPr>
        <w:t xml:space="preserve">and </w:t>
      </w:r>
      <w:r w:rsidR="007A26CE">
        <w:rPr>
          <w:i/>
          <w:lang w:eastAsia="en-US"/>
        </w:rPr>
        <w:t>Paul and Audrey Edwards v.</w:t>
      </w:r>
      <w:r w:rsidR="00AC0F22">
        <w:rPr>
          <w:i/>
          <w:lang w:eastAsia="en-US"/>
        </w:rPr>
        <w:t xml:space="preserve"> </w:t>
      </w:r>
      <w:r w:rsidRPr="00EF0015" w:rsidR="00B12CF5">
        <w:rPr>
          <w:i/>
          <w:lang w:eastAsia="en-US"/>
        </w:rPr>
        <w:t>the United Kingdom</w:t>
      </w:r>
      <w:r w:rsidRPr="00EF0015" w:rsidR="00B12CF5">
        <w:rPr>
          <w:lang w:eastAsia="en-US"/>
        </w:rPr>
        <w:t>, no. 46477/99, ECHR 2002</w:t>
      </w:r>
      <w:r w:rsidRPr="00EF0015" w:rsidR="00B12CF5">
        <w:rPr>
          <w:lang w:eastAsia="en-US"/>
        </w:rPr>
        <w:noBreakHyphen/>
        <w:t>II). The A</w:t>
      </w:r>
      <w:r w:rsidRPr="00EF0015" w:rsidR="004F05F5">
        <w:rPr>
          <w:lang w:eastAsia="en-US"/>
        </w:rPr>
        <w:t xml:space="preserve">rmy </w:t>
      </w:r>
      <w:r w:rsidRPr="00EF0015" w:rsidR="00B12CF5">
        <w:rPr>
          <w:lang w:eastAsia="en-US"/>
        </w:rPr>
        <w:t>P</w:t>
      </w:r>
      <w:r w:rsidRPr="00EF0015" w:rsidR="004F05F5">
        <w:rPr>
          <w:lang w:eastAsia="en-US"/>
        </w:rPr>
        <w:t xml:space="preserve">rosecuting </w:t>
      </w:r>
      <w:r w:rsidRPr="00EF0015" w:rsidR="00B12CF5">
        <w:rPr>
          <w:lang w:eastAsia="en-US"/>
        </w:rPr>
        <w:t>A</w:t>
      </w:r>
      <w:r w:rsidRPr="00EF0015" w:rsidR="004F05F5">
        <w:rPr>
          <w:lang w:eastAsia="en-US"/>
        </w:rPr>
        <w:t>uthority</w:t>
      </w:r>
      <w:r w:rsidRPr="00EF0015" w:rsidR="00B12CF5">
        <w:rPr>
          <w:lang w:eastAsia="en-US"/>
        </w:rPr>
        <w:t xml:space="preserve"> was staffed by legally qualified officers. It was wholly independent from the military chain of command in relation to its prosecuting function. Its independence had been recognised by the Court in </w:t>
      </w:r>
      <w:r w:rsidRPr="00EF0015" w:rsidR="00B12CF5">
        <w:rPr>
          <w:i/>
          <w:lang w:eastAsia="en-US"/>
        </w:rPr>
        <w:t xml:space="preserve">Cooper </w:t>
      </w:r>
      <w:r w:rsidRPr="00EF0015" w:rsidR="00B12CF5">
        <w:rPr>
          <w:lang w:eastAsia="en-US"/>
        </w:rPr>
        <w:t>(cited above).</w:t>
      </w:r>
    </w:p>
    <w:p w:rsidR="00C81668" w:rsidP="00B12CF5" w:rsidRDefault="00B12CF5">
      <w:pPr>
        <w:pStyle w:val="JuPara"/>
      </w:pPr>
      <w:r w:rsidRPr="00EF0015">
        <w:fldChar w:fldCharType="begin"/>
      </w:r>
      <w:r w:rsidRPr="00EF0015">
        <w:instrText xml:space="preserve"> SEQ level0 \*arabic </w:instrText>
      </w:r>
      <w:r w:rsidRPr="00EF0015">
        <w:fldChar w:fldCharType="separate"/>
      </w:r>
      <w:r w:rsidR="00524A6D">
        <w:rPr>
          <w:noProof/>
        </w:rPr>
        <w:t>155</w:t>
      </w:r>
      <w:r w:rsidRPr="00EF0015">
        <w:fldChar w:fldCharType="end"/>
      </w:r>
      <w:r w:rsidRPr="00EF0015">
        <w:t>.  </w:t>
      </w:r>
      <w:r w:rsidR="00915937">
        <w:t>The Government pointed out that a</w:t>
      </w:r>
      <w:r w:rsidRPr="00EF0015">
        <w:t>n investigation into the fourth applicant</w:t>
      </w:r>
      <w:r w:rsidR="008570E8">
        <w:t>’</w:t>
      </w:r>
      <w:r w:rsidRPr="00EF0015">
        <w:t>s brother</w:t>
      </w:r>
      <w:r w:rsidR="008570E8">
        <w:t>’</w:t>
      </w:r>
      <w:r w:rsidRPr="00EF0015">
        <w:t xml:space="preserve">s death was commenced by the </w:t>
      </w:r>
      <w:r w:rsidRPr="00EF0015" w:rsidR="00E506FC">
        <w:t xml:space="preserve">Special Investigation Branch </w:t>
      </w:r>
      <w:r w:rsidRPr="00EF0015">
        <w:t xml:space="preserve">on 29 August 2003, five days after the shooting on 14 August. </w:t>
      </w:r>
      <w:r w:rsidRPr="00EF0015" w:rsidR="00E506FC">
        <w:t xml:space="preserve">The Special Investigation Branch </w:t>
      </w:r>
      <w:r w:rsidRPr="00EF0015">
        <w:t>recovered fragments of bullet</w:t>
      </w:r>
      <w:r w:rsidR="00AF7328">
        <w:t>s</w:t>
      </w:r>
      <w:r w:rsidRPr="00EF0015">
        <w:t xml:space="preserve">, empty bullet cases </w:t>
      </w:r>
      <w:r w:rsidR="00885D7F">
        <w:t xml:space="preserve">and </w:t>
      </w:r>
      <w:r w:rsidRPr="00EF0015">
        <w:t>the vehicle</w:t>
      </w:r>
      <w:r w:rsidR="00885D7F">
        <w:t>,</w:t>
      </w:r>
      <w:r w:rsidRPr="00EF0015">
        <w:t xml:space="preserve"> and </w:t>
      </w:r>
      <w:r w:rsidR="00885D7F">
        <w:t xml:space="preserve">took </w:t>
      </w:r>
      <w:r w:rsidRPr="00EF0015">
        <w:t xml:space="preserve">digital photographs of the scene. They interviewed the doctors who treated the deceased and took statements. Nine military witnesses involved in the incident were interviewed and had statements taken and four further witnesses were interviewed but had no evidence to offer. The investigation was discontinued on 17 September 2003 after the Brigade Commander expressed the view that the shooting fell within the </w:t>
      </w:r>
      <w:r w:rsidR="00885D7F">
        <w:t>r</w:t>
      </w:r>
      <w:r w:rsidRPr="00EF0015">
        <w:t xml:space="preserve">ules of </w:t>
      </w:r>
      <w:r w:rsidR="00885D7F">
        <w:t>e</w:t>
      </w:r>
      <w:r w:rsidRPr="00EF0015">
        <w:t xml:space="preserve">ngagement and was lawful. However, the decision to discontinue was taken by </w:t>
      </w:r>
      <w:r w:rsidRPr="00EF0015" w:rsidR="00C14D72">
        <w:t>a</w:t>
      </w:r>
      <w:r w:rsidRPr="00EF0015">
        <w:t xml:space="preserve"> </w:t>
      </w:r>
      <w:r w:rsidRPr="00EF0015" w:rsidR="00E506FC">
        <w:t xml:space="preserve">Special Investigation Branch </w:t>
      </w:r>
      <w:r w:rsidRPr="00EF0015">
        <w:t>senior investigating officer, who was independent of the military chain of command. The investigation was reopened on 7 June 2004 and completed on 3 December 2004, despite the difficult security conditions in Iraq at that time. The case was then referred to the A</w:t>
      </w:r>
      <w:r w:rsidRPr="00EF0015" w:rsidR="004F05F5">
        <w:t xml:space="preserve">rmy </w:t>
      </w:r>
      <w:r w:rsidRPr="00EF0015">
        <w:t>P</w:t>
      </w:r>
      <w:r w:rsidRPr="00EF0015" w:rsidR="004F05F5">
        <w:t xml:space="preserve">rosecuting </w:t>
      </w:r>
      <w:r w:rsidRPr="00EF0015">
        <w:t>A</w:t>
      </w:r>
      <w:r w:rsidRPr="00EF0015" w:rsidR="004F05F5">
        <w:t>uthority</w:t>
      </w:r>
      <w:r w:rsidRPr="00EF0015">
        <w:t>, which decided not to bring criminal charges as there was no realistic prospect of proving that the soldier who shot the fourth applicant</w:t>
      </w:r>
      <w:r w:rsidR="008570E8">
        <w:t>’</w:t>
      </w:r>
      <w:r w:rsidRPr="00EF0015">
        <w:t>s brother had not been acting in self</w:t>
      </w:r>
      <w:r w:rsidR="00D272B7">
        <w:noBreakHyphen/>
      </w:r>
      <w:r w:rsidRPr="00EF0015">
        <w:t>defence. The Attorney</w:t>
      </w:r>
      <w:r w:rsidR="001A2A93">
        <w:t xml:space="preserve"> </w:t>
      </w:r>
      <w:r w:rsidRPr="00EF0015">
        <w:t>General was notified and he decided not to exercise his jurisdiction to order a prosecution. In the Government</w:t>
      </w:r>
      <w:r w:rsidR="008570E8">
        <w:t>’</w:t>
      </w:r>
      <w:r w:rsidRPr="00EF0015">
        <w:t>s submission, the investigation was effective, in that it identified the person responsible for the death and established that the laws governing the use of force had been followed. The investigation was reasonably prompt, in particular when regard was had to the extreme difficulty of investigating in the extraterritorial context. If the halting of the initial investigation gave rise to any lack of independence, this was cured by the subsequent investigation and the involvement of the A</w:t>
      </w:r>
      <w:r w:rsidRPr="00EF0015" w:rsidR="004F05F5">
        <w:t xml:space="preserve">rmy </w:t>
      </w:r>
      <w:r w:rsidRPr="00EF0015">
        <w:t>P</w:t>
      </w:r>
      <w:r w:rsidRPr="00EF0015" w:rsidR="004F05F5">
        <w:t xml:space="preserve">rosecuting </w:t>
      </w:r>
      <w:r w:rsidRPr="00EF0015">
        <w:t>A</w:t>
      </w:r>
      <w:r w:rsidRPr="00EF0015" w:rsidR="004F05F5">
        <w:t>uthority</w:t>
      </w:r>
      <w:r w:rsidRPr="00EF0015">
        <w:t xml:space="preserve"> and the Attorney</w:t>
      </w:r>
      <w:r w:rsidR="001A2A93">
        <w:t xml:space="preserve"> </w:t>
      </w:r>
      <w:r w:rsidRPr="00EF0015">
        <w:t xml:space="preserve">General (see </w:t>
      </w:r>
      <w:r w:rsidRPr="00EF0015">
        <w:rPr>
          <w:i/>
          <w:lang w:eastAsia="en-US"/>
        </w:rPr>
        <w:t>Gül v. Turkey</w:t>
      </w:r>
      <w:r w:rsidRPr="00EF0015">
        <w:rPr>
          <w:lang w:eastAsia="en-US"/>
        </w:rPr>
        <w:t xml:space="preserve">, </w:t>
      </w:r>
      <w:r w:rsidR="00885D7F">
        <w:rPr>
          <w:lang w:eastAsia="en-US"/>
        </w:rPr>
        <w:t>no. 22676/93, §§</w:t>
      </w:r>
      <w:r w:rsidR="007D77FE">
        <w:rPr>
          <w:lang w:eastAsia="en-US"/>
        </w:rPr>
        <w:t> </w:t>
      </w:r>
      <w:r w:rsidRPr="00EF0015">
        <w:rPr>
          <w:lang w:eastAsia="en-US"/>
        </w:rPr>
        <w:t>9</w:t>
      </w:r>
      <w:r w:rsidR="00737C75">
        <w:rPr>
          <w:lang w:eastAsia="en-US"/>
        </w:rPr>
        <w:t xml:space="preserve">2-95, </w:t>
      </w:r>
      <w:r w:rsidR="00AC0F22">
        <w:rPr>
          <w:lang w:eastAsia="en-US"/>
        </w:rPr>
        <w:t xml:space="preserve">14 </w:t>
      </w:r>
      <w:r w:rsidR="00737C75">
        <w:rPr>
          <w:lang w:eastAsia="en-US"/>
        </w:rPr>
        <w:t xml:space="preserve">December </w:t>
      </w:r>
      <w:r w:rsidRPr="00EF0015">
        <w:rPr>
          <w:lang w:eastAsia="en-US"/>
        </w:rPr>
        <w:t xml:space="preserve">2000; see also </w:t>
      </w:r>
      <w:r w:rsidRPr="00EF0015">
        <w:rPr>
          <w:i/>
          <w:lang w:eastAsia="en-US"/>
        </w:rPr>
        <w:t>McCann and Othe</w:t>
      </w:r>
      <w:r w:rsidR="00AC0F22">
        <w:rPr>
          <w:i/>
          <w:lang w:eastAsia="en-US"/>
        </w:rPr>
        <w:t xml:space="preserve">rs v. </w:t>
      </w:r>
      <w:r w:rsidRPr="00EF0015">
        <w:rPr>
          <w:i/>
          <w:lang w:eastAsia="en-US"/>
        </w:rPr>
        <w:t>the United Kingdom</w:t>
      </w:r>
      <w:r w:rsidR="00AC0F22">
        <w:rPr>
          <w:lang w:eastAsia="en-US"/>
        </w:rPr>
        <w:t xml:space="preserve">, 27 </w:t>
      </w:r>
      <w:r w:rsidRPr="00EF0015">
        <w:rPr>
          <w:lang w:eastAsia="en-US"/>
        </w:rPr>
        <w:t>September 1995, §§</w:t>
      </w:r>
      <w:r w:rsidR="00AC0F22">
        <w:rPr>
          <w:lang w:eastAsia="en-US"/>
        </w:rPr>
        <w:t> </w:t>
      </w:r>
      <w:r w:rsidRPr="00EF0015">
        <w:rPr>
          <w:lang w:eastAsia="en-US"/>
        </w:rPr>
        <w:t>157 and 162-</w:t>
      </w:r>
      <w:r w:rsidR="007D77FE">
        <w:rPr>
          <w:lang w:eastAsia="en-US"/>
        </w:rPr>
        <w:t>64, Series A no. </w:t>
      </w:r>
      <w:r w:rsidRPr="00EF0015">
        <w:rPr>
          <w:lang w:eastAsia="en-US"/>
        </w:rPr>
        <w:t>324).</w:t>
      </w:r>
    </w:p>
    <w:p w:rsidRPr="00EF0015" w:rsidR="00B12CF5" w:rsidP="00B12CF5" w:rsidRDefault="00B12CF5">
      <w:pPr>
        <w:pStyle w:val="JuPara"/>
      </w:pPr>
      <w:r w:rsidRPr="00EF0015">
        <w:fldChar w:fldCharType="begin"/>
      </w:r>
      <w:r w:rsidRPr="00EF0015">
        <w:instrText xml:space="preserve"> SEQ level0 \*arabic </w:instrText>
      </w:r>
      <w:r w:rsidRPr="00EF0015">
        <w:fldChar w:fldCharType="separate"/>
      </w:r>
      <w:r w:rsidR="00524A6D">
        <w:rPr>
          <w:noProof/>
        </w:rPr>
        <w:t>156</w:t>
      </w:r>
      <w:r w:rsidRPr="00EF0015">
        <w:fldChar w:fldCharType="end"/>
      </w:r>
      <w:r w:rsidRPr="00EF0015">
        <w:t>.  The Government submitted that there was no evidence, in the fifth applicant</w:t>
      </w:r>
      <w:r w:rsidR="008570E8">
        <w:t>’</w:t>
      </w:r>
      <w:r w:rsidRPr="00EF0015">
        <w:t>s case, that the military chain of command interfered with the S</w:t>
      </w:r>
      <w:r w:rsidRPr="00EF0015" w:rsidR="002606C8">
        <w:t xml:space="preserve">pecial </w:t>
      </w:r>
      <w:r w:rsidRPr="00EF0015">
        <w:t>I</w:t>
      </w:r>
      <w:r w:rsidRPr="00EF0015" w:rsidR="002606C8">
        <w:t xml:space="preserve">nvestigation </w:t>
      </w:r>
      <w:r w:rsidRPr="00EF0015">
        <w:t>B</w:t>
      </w:r>
      <w:r w:rsidRPr="00EF0015" w:rsidR="002606C8">
        <w:t>ranch</w:t>
      </w:r>
      <w:r w:rsidRPr="00EF0015">
        <w:t xml:space="preserve"> investigation so as to compromise its independence. On the contrary, after receiving the investigation report the military chain of command referred the case to the A</w:t>
      </w:r>
      <w:r w:rsidRPr="00EF0015" w:rsidR="004F05F5">
        <w:t xml:space="preserve">rmy </w:t>
      </w:r>
      <w:r w:rsidRPr="00EF0015">
        <w:t>P</w:t>
      </w:r>
      <w:r w:rsidRPr="00EF0015" w:rsidR="004F05F5">
        <w:t xml:space="preserve">rosecuting </w:t>
      </w:r>
      <w:r w:rsidRPr="00EF0015">
        <w:t>A</w:t>
      </w:r>
      <w:r w:rsidRPr="00EF0015" w:rsidR="004F05F5">
        <w:t>uthority</w:t>
      </w:r>
      <w:r w:rsidRPr="00EF0015">
        <w:t xml:space="preserve"> who in turn referred it for independent criminal trial. There was no undue delay in the investigation, in particular having regard to the difficulties faced by United Kingdom investigators investigating an incident which took place in Iraq eight days after the cessation of major combat operations. The fifth applicant was fully and sufficiently involved in the investigation. His participation culminated in the United Kingdom authorities flying him to England so that he could attend the co</w:t>
      </w:r>
      <w:r w:rsidR="00737C75">
        <w:t>urt</w:t>
      </w:r>
      <w:r w:rsidR="000D7094">
        <w:t xml:space="preserve"> </w:t>
      </w:r>
      <w:r w:rsidR="00737C75">
        <w:t xml:space="preserve">martial and give evidence. </w:t>
      </w:r>
      <w:r w:rsidRPr="00EF0015">
        <w:t xml:space="preserve">In addition to the </w:t>
      </w:r>
      <w:r w:rsidRPr="00EF0015" w:rsidR="00E506FC">
        <w:t xml:space="preserve">Special Investigation Branch </w:t>
      </w:r>
      <w:r w:rsidRPr="00EF0015">
        <w:t xml:space="preserve">investigation and the criminal proceedings against the four soldiers, the fifth applicant brought civil proceedings in the </w:t>
      </w:r>
      <w:r w:rsidRPr="00EF0015" w:rsidR="004F05F5">
        <w:t xml:space="preserve">United Kingdom </w:t>
      </w:r>
      <w:r w:rsidRPr="00EF0015">
        <w:t>domestic courts, claiming damages for battery and assault, negligence and misfeasance in public office. In those proceedings</w:t>
      </w:r>
      <w:r w:rsidR="000D7094">
        <w:t>,</w:t>
      </w:r>
      <w:r w:rsidRPr="00EF0015">
        <w:t xml:space="preserve"> he gave an account of his son</w:t>
      </w:r>
      <w:r w:rsidR="008570E8">
        <w:t>’</w:t>
      </w:r>
      <w:r w:rsidRPr="00EF0015">
        <w:t xml:space="preserve">s death and the investigation which followed it. The proceedings were settled when the Ministry of Defence admitted </w:t>
      </w:r>
      <w:r w:rsidR="007A26CE">
        <w:t xml:space="preserve">liability and agreed to pay GBP </w:t>
      </w:r>
      <w:r w:rsidRPr="00EF0015">
        <w:t xml:space="preserve">115,000 by way of compensation. </w:t>
      </w:r>
      <w:r w:rsidR="00332943">
        <w:t>Moreover</w:t>
      </w:r>
      <w:r w:rsidRPr="00EF0015">
        <w:t xml:space="preserve">, on 20 February 2009 Major General Cubitt wrote to the fifth applicant and formally apologised on behalf of the British </w:t>
      </w:r>
      <w:r w:rsidR="000D7094">
        <w:t>a</w:t>
      </w:r>
      <w:r w:rsidRPr="00EF0015">
        <w:t>rmy for its role in the death of his son. In these circumstances, the fifth applicant could no longer claim to be a victim of a violation of the Convention within the meaning of Article</w:t>
      </w:r>
      <w:r w:rsidR="00737C75">
        <w:t xml:space="preserve"> </w:t>
      </w:r>
      <w:r w:rsidRPr="00EF0015">
        <w:t>34. Further, or in the alternative, it was no longer justified to continue the examinat</w:t>
      </w:r>
      <w:r w:rsidR="007A26CE">
        <w:t>ion of the application (Article </w:t>
      </w:r>
      <w:r w:rsidRPr="00EF0015">
        <w:t>37 § 1</w:t>
      </w:r>
      <w:r w:rsidR="00BD012E">
        <w:t xml:space="preserve"> </w:t>
      </w:r>
      <w:r w:rsidRPr="00EF0015">
        <w:t>(c) of the Convention).</w:t>
      </w:r>
    </w:p>
    <w:p w:rsidR="00381696" w:rsidP="00B12CF5" w:rsidRDefault="00B12CF5">
      <w:pPr>
        <w:pStyle w:val="JuPara"/>
      </w:pPr>
      <w:r w:rsidRPr="00EF0015">
        <w:fldChar w:fldCharType="begin"/>
      </w:r>
      <w:r w:rsidRPr="00EF0015">
        <w:instrText xml:space="preserve"> SEQ level0 \*arabic </w:instrText>
      </w:r>
      <w:r w:rsidRPr="00EF0015">
        <w:fldChar w:fldCharType="separate"/>
      </w:r>
      <w:r w:rsidR="00524A6D">
        <w:rPr>
          <w:noProof/>
        </w:rPr>
        <w:t>157</w:t>
      </w:r>
      <w:r w:rsidRPr="00EF0015">
        <w:fldChar w:fldCharType="end"/>
      </w:r>
      <w:r w:rsidRPr="00EF0015">
        <w:t>.  The Government further emphasised that the sixth applicant had expressly confirmed that he did not claim before the Court that the Government had violated his Convention rights. This reflected the fact that, in relation to his son</w:t>
      </w:r>
      <w:r w:rsidR="008570E8">
        <w:t>’</w:t>
      </w:r>
      <w:r w:rsidRPr="00EF0015">
        <w:t>s death, there had been</w:t>
      </w:r>
    </w:p>
    <w:p w:rsidR="008570E8" w:rsidP="00B12CF5" w:rsidRDefault="00B12CF5">
      <w:pPr>
        <w:pStyle w:val="JuPara"/>
      </w:pPr>
      <w:r w:rsidRPr="00EF0015">
        <w:t>(</w:t>
      </w:r>
      <w:r w:rsidR="005207B6">
        <w:t>a</w:t>
      </w:r>
      <w:r w:rsidRPr="00EF0015">
        <w:t xml:space="preserve">) a full investigation by the </w:t>
      </w:r>
      <w:r w:rsidRPr="00EF0015" w:rsidR="00E506FC">
        <w:t>Special Investigation Branch</w:t>
      </w:r>
      <w:r w:rsidRPr="00EF0015">
        <w:t>, leading to the bringing of criminal charges against six soldiers, one of whom was convicted;</w:t>
      </w:r>
    </w:p>
    <w:p w:rsidR="008570E8" w:rsidP="00B12CF5" w:rsidRDefault="00B12CF5">
      <w:pPr>
        <w:pStyle w:val="JuPara"/>
      </w:pPr>
      <w:r w:rsidRPr="00EF0015">
        <w:t>(</w:t>
      </w:r>
      <w:r w:rsidR="00381696">
        <w:t>b</w:t>
      </w:r>
      <w:r w:rsidRPr="00EF0015">
        <w:t>) civil proceedings brought by the applicant, which were settled when the Government admitted liability for the mistreatment and death of the applicant</w:t>
      </w:r>
      <w:r w:rsidR="008570E8">
        <w:t>’</w:t>
      </w:r>
      <w:r w:rsidRPr="00EF0015">
        <w:t>s son and paid damages of GBP 575,000;</w:t>
      </w:r>
    </w:p>
    <w:p w:rsidR="008570E8" w:rsidP="00B12CF5" w:rsidRDefault="00B12CF5">
      <w:pPr>
        <w:pStyle w:val="JuPara"/>
      </w:pPr>
      <w:r w:rsidRPr="00EF0015">
        <w:t>(</w:t>
      </w:r>
      <w:r w:rsidR="00381696">
        <w:t>c</w:t>
      </w:r>
      <w:r w:rsidRPr="00EF0015">
        <w:t>) a formal public acknowledgement by the Government of the breach of the applicant</w:t>
      </w:r>
      <w:r w:rsidR="008570E8">
        <w:t>’</w:t>
      </w:r>
      <w:r w:rsidRPr="00EF0015">
        <w:t>s son</w:t>
      </w:r>
      <w:r w:rsidR="008570E8">
        <w:t>’</w:t>
      </w:r>
      <w:r w:rsidR="007A26CE">
        <w:t>s rights under Articles 2 and </w:t>
      </w:r>
      <w:r w:rsidRPr="00EF0015">
        <w:t>3;</w:t>
      </w:r>
    </w:p>
    <w:p w:rsidR="008570E8" w:rsidP="00B12CF5" w:rsidRDefault="00B12CF5">
      <w:pPr>
        <w:pStyle w:val="JuPara"/>
      </w:pPr>
      <w:r w:rsidRPr="00EF0015">
        <w:t>(</w:t>
      </w:r>
      <w:r w:rsidR="00381696">
        <w:t>d</w:t>
      </w:r>
      <w:r w:rsidRPr="00EF0015">
        <w:t xml:space="preserve">) judicial review proceedings, in which the applicant complained of a breach of his procedural rights under Articles 2 and 3 and in which it was agreed by the parties and ordered by the House of Lords that the question whether there had been a breach of the procedural obligation should be remitted to the Divisional Court; </w:t>
      </w:r>
      <w:r w:rsidR="00F05418">
        <w:t>and</w:t>
      </w:r>
    </w:p>
    <w:p w:rsidR="008570E8" w:rsidP="00B12CF5" w:rsidRDefault="00B12CF5">
      <w:pPr>
        <w:pStyle w:val="JuPara"/>
      </w:pPr>
      <w:r w:rsidRPr="00EF0015">
        <w:t>(</w:t>
      </w:r>
      <w:r w:rsidR="00381696">
        <w:t>e</w:t>
      </w:r>
      <w:r w:rsidRPr="00EF0015">
        <w:t>) a public inquiry, which was ongoing.</w:t>
      </w:r>
    </w:p>
    <w:p w:rsidRPr="00EF0015" w:rsidR="00B12CF5" w:rsidP="00B12CF5" w:rsidRDefault="00B12CF5">
      <w:pPr>
        <w:pStyle w:val="JuPara"/>
      </w:pPr>
      <w:r w:rsidRPr="00EF0015">
        <w:t>In these circumstances, the applicant could no longer claim to be a victim for the purposes of Article 34 of the Convention.</w:t>
      </w:r>
    </w:p>
    <w:p w:rsidRPr="00EF0015" w:rsidR="00B12CF5" w:rsidP="009C1CD5" w:rsidRDefault="00075E40">
      <w:pPr>
        <w:pStyle w:val="JuHi"/>
      </w:pPr>
      <w:bookmarkStart w:name="_Toc289765904" w:id="164"/>
      <w:bookmarkStart w:name="_Toc289868990" w:id="165"/>
      <w:r>
        <w:t>(</w:t>
      </w:r>
      <w:r w:rsidR="009C1CD5">
        <w:t>ii</w:t>
      </w:r>
      <w:r>
        <w:t>)  </w:t>
      </w:r>
      <w:r w:rsidRPr="00EF0015" w:rsidR="00B12CF5">
        <w:t>The applicants</w:t>
      </w:r>
      <w:bookmarkEnd w:id="164"/>
      <w:bookmarkEnd w:id="165"/>
    </w:p>
    <w:p w:rsidR="00C81668" w:rsidP="00B12CF5" w:rsidRDefault="00B12CF5">
      <w:pPr>
        <w:pStyle w:val="JuPara"/>
      </w:pPr>
      <w:r w:rsidRPr="00EF0015">
        <w:fldChar w:fldCharType="begin"/>
      </w:r>
      <w:r w:rsidRPr="00EF0015">
        <w:instrText xml:space="preserve"> SEQ level0 \*arabic </w:instrText>
      </w:r>
      <w:r w:rsidRPr="00EF0015">
        <w:fldChar w:fldCharType="separate"/>
      </w:r>
      <w:r w:rsidR="00524A6D">
        <w:rPr>
          <w:noProof/>
        </w:rPr>
        <w:t>158</w:t>
      </w:r>
      <w:r w:rsidRPr="00EF0015">
        <w:fldChar w:fldCharType="end"/>
      </w:r>
      <w:r w:rsidRPr="00EF0015">
        <w:t>.  The applicants emphasised that the Court</w:t>
      </w:r>
      <w:r w:rsidR="008570E8">
        <w:t>’</w:t>
      </w:r>
      <w:r w:rsidRPr="00EF0015">
        <w:t xml:space="preserve">s case-law </w:t>
      </w:r>
      <w:r w:rsidR="0078400B">
        <w:t xml:space="preserve">regarding south-eastern Turkey </w:t>
      </w:r>
      <w:r w:rsidRPr="00EF0015">
        <w:t>demonstrated that the procedural duty under Article 2 was not modified by reference to security problems in a conflict zone. The same principle had to apply in relation to any attempt by the Government to rely on either the security situation or the lack of infrastructure and facilities in Iraq. The United Kingdom was aware, or should have been aware, prior to the invasion and during the subsequent occupation, of the diffi</w:t>
      </w:r>
      <w:r w:rsidR="00706D74">
        <w:t>culties it would encounter</w:t>
      </w:r>
      <w:r w:rsidRPr="00EF0015">
        <w:t xml:space="preserve">. Its </w:t>
      </w:r>
      <w:r w:rsidR="00A62226">
        <w:t>shortcomings in making</w:t>
      </w:r>
      <w:r w:rsidRPr="00EF0015">
        <w:t xml:space="preserve"> provision for those difficulties could not exonerate it from </w:t>
      </w:r>
      <w:r w:rsidR="00A62226">
        <w:t>the</w:t>
      </w:r>
      <w:r w:rsidRPr="00EF0015">
        <w:t xml:space="preserve"> failure to comply with the investigative duty.</w:t>
      </w:r>
    </w:p>
    <w:p w:rsidR="00C81668" w:rsidP="00B12CF5" w:rsidRDefault="00B12CF5">
      <w:pPr>
        <w:pStyle w:val="JuPara"/>
      </w:pPr>
      <w:r w:rsidRPr="00EF0015">
        <w:fldChar w:fldCharType="begin"/>
      </w:r>
      <w:r w:rsidRPr="00EF0015">
        <w:instrText xml:space="preserve"> SEQ level0 \*arabic </w:instrText>
      </w:r>
      <w:r w:rsidRPr="00EF0015">
        <w:fldChar w:fldCharType="separate"/>
      </w:r>
      <w:r w:rsidR="00524A6D">
        <w:rPr>
          <w:noProof/>
        </w:rPr>
        <w:t>159</w:t>
      </w:r>
      <w:r w:rsidRPr="00EF0015">
        <w:fldChar w:fldCharType="end"/>
      </w:r>
      <w:r w:rsidRPr="00EF0015">
        <w:t>.  The</w:t>
      </w:r>
      <w:r w:rsidR="0078400B">
        <w:t>y submitted that the</w:t>
      </w:r>
      <w:r w:rsidRPr="00EF0015">
        <w:t xml:space="preserve"> United Kingdom had failed in its procedural duty as regards the first, second, third, fourth and fifth applicants. The </w:t>
      </w:r>
      <w:r w:rsidRPr="00EF0015" w:rsidR="002606C8">
        <w:t>Royal Military Police</w:t>
      </w:r>
      <w:r w:rsidRPr="00EF0015">
        <w:t xml:space="preserve"> was an element of the British </w:t>
      </w:r>
      <w:r w:rsidR="00502E04">
        <w:t>a</w:t>
      </w:r>
      <w:r w:rsidRPr="00EF0015">
        <w:t>rmy</w:t>
      </w:r>
      <w:r w:rsidR="0032350E">
        <w:t xml:space="preserve"> and </w:t>
      </w:r>
      <w:r w:rsidRPr="00EF0015">
        <w:t xml:space="preserve">was not, in either institutional or practical terms, independent from the military chain of command. The </w:t>
      </w:r>
      <w:r w:rsidR="00502E04">
        <w:t>a</w:t>
      </w:r>
      <w:r w:rsidRPr="00EF0015">
        <w:t>rmy units exercised control over it in matters relating to saf</w:t>
      </w:r>
      <w:r w:rsidR="0078400B">
        <w:t>ety and logistical support whil</w:t>
      </w:r>
      <w:r w:rsidR="00502E04">
        <w:t>e</w:t>
      </w:r>
      <w:r w:rsidRPr="00EF0015">
        <w:t xml:space="preserve"> in theatre. Its involvement in incidents was wholly dependent on a request from the military unit in question, as was illustrated by the fourth applicant</w:t>
      </w:r>
      <w:r w:rsidR="008570E8">
        <w:t>’</w:t>
      </w:r>
      <w:r w:rsidRPr="00EF0015">
        <w:t xml:space="preserve">s case, where the </w:t>
      </w:r>
      <w:r w:rsidRPr="00EF0015" w:rsidR="00E506FC">
        <w:t>Special Investigation Branch</w:t>
      </w:r>
      <w:r w:rsidRPr="00EF0015">
        <w:t xml:space="preserve"> response was stood down upon the instruction</w:t>
      </w:r>
      <w:r w:rsidR="0078400B">
        <w:t xml:space="preserve"> of the Commanding Officer. The </w:t>
      </w:r>
      <w:r w:rsidRPr="00EF0015" w:rsidR="002606C8">
        <w:t xml:space="preserve">Royal Military Police </w:t>
      </w:r>
      <w:r w:rsidR="0078400B">
        <w:t>appeared</w:t>
      </w:r>
      <w:r w:rsidRPr="00EF0015">
        <w:t xml:space="preserve"> to have been wholly dependent on the military chain of command for information about incidents. If it produced a report, this </w:t>
      </w:r>
      <w:r w:rsidR="0078400B">
        <w:t>was</w:t>
      </w:r>
      <w:r w:rsidRPr="00EF0015">
        <w:t xml:space="preserve"> given to the military chain of command, which decided whether to forward it to the A</w:t>
      </w:r>
      <w:r w:rsidRPr="00EF0015" w:rsidR="004F05F5">
        <w:t xml:space="preserve">rmy </w:t>
      </w:r>
      <w:r w:rsidRPr="00EF0015">
        <w:t>P</w:t>
      </w:r>
      <w:r w:rsidRPr="00EF0015" w:rsidR="004F05F5">
        <w:t xml:space="preserve">rosecuting </w:t>
      </w:r>
      <w:r w:rsidRPr="00EF0015">
        <w:t>A</w:t>
      </w:r>
      <w:r w:rsidRPr="00EF0015" w:rsidR="004F05F5">
        <w:t>uthority</w:t>
      </w:r>
      <w:r w:rsidRPr="00EF0015">
        <w:t xml:space="preserve">. The inadequacies within the </w:t>
      </w:r>
      <w:r w:rsidRPr="00EF0015" w:rsidR="002606C8">
        <w:t>Royal Military Police</w:t>
      </w:r>
      <w:r w:rsidRPr="00EF0015">
        <w:t>, regarding both lack of resources and independence, were noted by the Court of Appeal and by the Aitken Report.</w:t>
      </w:r>
    </w:p>
    <w:p w:rsidR="00C81668" w:rsidP="00B12CF5" w:rsidRDefault="00B12CF5">
      <w:pPr>
        <w:pStyle w:val="JuPara"/>
      </w:pPr>
      <w:r w:rsidRPr="00EF0015">
        <w:fldChar w:fldCharType="begin"/>
      </w:r>
      <w:r w:rsidRPr="00EF0015">
        <w:instrText xml:space="preserve"> SEQ level0 \*arabic </w:instrText>
      </w:r>
      <w:r w:rsidRPr="00EF0015">
        <w:fldChar w:fldCharType="separate"/>
      </w:r>
      <w:r w:rsidR="00524A6D">
        <w:rPr>
          <w:noProof/>
        </w:rPr>
        <w:t>160</w:t>
      </w:r>
      <w:r w:rsidRPr="00EF0015">
        <w:fldChar w:fldCharType="end"/>
      </w:r>
      <w:r w:rsidRPr="00EF0015">
        <w:t>. </w:t>
      </w:r>
      <w:r w:rsidR="00075E40">
        <w:t> </w:t>
      </w:r>
      <w:r w:rsidRPr="00EF0015">
        <w:t xml:space="preserve">The </w:t>
      </w:r>
      <w:r w:rsidR="0078400B">
        <w:t xml:space="preserve">applicants pointed out that the </w:t>
      </w:r>
      <w:r w:rsidRPr="00EF0015" w:rsidR="00E506FC">
        <w:t>Special Investigation Branch</w:t>
      </w:r>
      <w:r w:rsidRPr="00EF0015">
        <w:t xml:space="preserve"> investigation into the fourth applicant</w:t>
      </w:r>
      <w:r w:rsidR="008570E8">
        <w:t>’</w:t>
      </w:r>
      <w:r w:rsidRPr="00EF0015">
        <w:t xml:space="preserve">s case had been discontinued at the request of the military chain of command. The further investigatory phase, reopened as a result of litigation in the domestic courts, was similarly deficient, given the lack of independence of the </w:t>
      </w:r>
      <w:r w:rsidRPr="00EF0015" w:rsidR="00E506FC">
        <w:t xml:space="preserve">Special Investigation Branch </w:t>
      </w:r>
      <w:r w:rsidRPr="00EF0015">
        <w:t xml:space="preserve">and the extreme delay in interviewing the </w:t>
      </w:r>
      <w:r w:rsidR="007D77FE">
        <w:t>person</w:t>
      </w:r>
      <w:r w:rsidR="00F53FED">
        <w:t xml:space="preserve"> responsible for firing the shots</w:t>
      </w:r>
      <w:r w:rsidRPr="00EF0015">
        <w:t xml:space="preserve"> and securing other key evidence. In the fifth applicant</w:t>
      </w:r>
      <w:r w:rsidR="008570E8">
        <w:t>’</w:t>
      </w:r>
      <w:r w:rsidRPr="00EF0015">
        <w:t>s case, the investigation was initiated at the repeated urging of the family, after considerable obstruction and delay on the part of the British authorities. The investigators were not independent from the military chain of command and the victim</w:t>
      </w:r>
      <w:r w:rsidR="008570E8">
        <w:t>’</w:t>
      </w:r>
      <w:r w:rsidRPr="00EF0015">
        <w:t xml:space="preserve">s family were not sufficiently involved. The </w:t>
      </w:r>
      <w:r w:rsidR="0078400B">
        <w:t xml:space="preserve">applicants contended that the </w:t>
      </w:r>
      <w:r w:rsidRPr="00EF0015">
        <w:t>Government</w:t>
      </w:r>
      <w:r w:rsidR="008570E8">
        <w:t>’</w:t>
      </w:r>
      <w:r w:rsidRPr="00EF0015">
        <w:t>s objection that the fifth applicant lacked victim status should be rejected. The court-martial proceedings and the compensation he had received in settlement of the civil proceedings were inadequate to satisfy the procedural requirement under Article 2. In contrast, the sixth applicant did not claim still to be a victim of the violation of his procedural rights under Articles 2 and 3.</w:t>
      </w:r>
    </w:p>
    <w:p w:rsidRPr="00EF0015" w:rsidR="00B12CF5" w:rsidP="009C1CD5" w:rsidRDefault="00C81668">
      <w:pPr>
        <w:pStyle w:val="JuHa"/>
      </w:pPr>
      <w:bookmarkStart w:name="_Toc289765905" w:id="166"/>
      <w:bookmarkStart w:name="_Toc289868991" w:id="167"/>
      <w:r>
        <w:t>(</w:t>
      </w:r>
      <w:r w:rsidR="009C1CD5">
        <w:t>b</w:t>
      </w:r>
      <w:r>
        <w:t>)  </w:t>
      </w:r>
      <w:r w:rsidRPr="00EF0015" w:rsidR="00B12CF5">
        <w:t>The Court</w:t>
      </w:r>
      <w:r w:rsidR="008570E8">
        <w:t>’</w:t>
      </w:r>
      <w:r w:rsidRPr="00EF0015" w:rsidR="00B12CF5">
        <w:t>s assessment</w:t>
      </w:r>
      <w:bookmarkEnd w:id="166"/>
      <w:bookmarkEnd w:id="167"/>
    </w:p>
    <w:p w:rsidRPr="00EF0015" w:rsidR="00B12CF5" w:rsidP="009C1CD5" w:rsidRDefault="00C81668">
      <w:pPr>
        <w:pStyle w:val="JuHi"/>
      </w:pPr>
      <w:bookmarkStart w:name="_Toc289765906" w:id="168"/>
      <w:bookmarkStart w:name="_Toc289868992" w:id="169"/>
      <w:r>
        <w:t>(</w:t>
      </w:r>
      <w:r w:rsidR="009C1CD5">
        <w:t>i</w:t>
      </w:r>
      <w:r>
        <w:t>)  </w:t>
      </w:r>
      <w:r w:rsidRPr="00EF0015" w:rsidR="00B12CF5">
        <w:t>General principles</w:t>
      </w:r>
      <w:bookmarkEnd w:id="168"/>
      <w:bookmarkEnd w:id="169"/>
    </w:p>
    <w:p w:rsidRPr="00EF0015" w:rsidR="00B12CF5" w:rsidP="00B12CF5" w:rsidRDefault="00B12CF5">
      <w:pPr>
        <w:pStyle w:val="JuPara"/>
      </w:pPr>
      <w:r w:rsidRPr="00EF0015">
        <w:fldChar w:fldCharType="begin"/>
      </w:r>
      <w:r w:rsidRPr="00EF0015">
        <w:instrText xml:space="preserve"> SEQ level0 \*arabic </w:instrText>
      </w:r>
      <w:r w:rsidRPr="00EF0015">
        <w:fldChar w:fldCharType="separate"/>
      </w:r>
      <w:r w:rsidR="00524A6D">
        <w:rPr>
          <w:noProof/>
        </w:rPr>
        <w:t>161</w:t>
      </w:r>
      <w:r w:rsidRPr="00EF0015">
        <w:fldChar w:fldCharType="end"/>
      </w:r>
      <w:r w:rsidRPr="00EF0015">
        <w:t xml:space="preserve">.  The Court </w:t>
      </w:r>
      <w:r w:rsidR="006346DA">
        <w:t>is conscious</w:t>
      </w:r>
      <w:r w:rsidRPr="00EF0015">
        <w:t xml:space="preserve"> that the deaths in the present case occurred in </w:t>
      </w:r>
      <w:r w:rsidRPr="00EF0015" w:rsidR="006D040C">
        <w:t xml:space="preserve">Basra City in </w:t>
      </w:r>
      <w:r w:rsidR="00814F28">
        <w:t>s</w:t>
      </w:r>
      <w:r w:rsidRPr="00EF0015" w:rsidR="006D040C">
        <w:t>outh</w:t>
      </w:r>
      <w:r w:rsidR="00814F28">
        <w:t>-e</w:t>
      </w:r>
      <w:r w:rsidRPr="00EF0015" w:rsidR="006D040C">
        <w:t xml:space="preserve">ast </w:t>
      </w:r>
      <w:r w:rsidRPr="00EF0015">
        <w:t xml:space="preserve">Iraq </w:t>
      </w:r>
      <w:r w:rsidRPr="00EF0015" w:rsidR="00AC282B">
        <w:t>in the aftermath of the invasion, during a period when c</w:t>
      </w:r>
      <w:r w:rsidRPr="00EF0015">
        <w:t>rime and violence were endemic</w:t>
      </w:r>
      <w:r w:rsidRPr="00EF0015" w:rsidR="00AC282B">
        <w:t xml:space="preserve">. </w:t>
      </w:r>
      <w:r w:rsidRPr="00EF0015">
        <w:t>Although major combat operations had cease</w:t>
      </w:r>
      <w:r w:rsidR="004D5B1C">
        <w:t>d on 1 May 2003, the Coalition F</w:t>
      </w:r>
      <w:r w:rsidRPr="00EF0015">
        <w:t xml:space="preserve">orces in </w:t>
      </w:r>
      <w:r w:rsidR="00814F28">
        <w:t>s</w:t>
      </w:r>
      <w:r w:rsidRPr="00EF0015" w:rsidR="006D040C">
        <w:t>outh</w:t>
      </w:r>
      <w:r w:rsidR="00814F28">
        <w:t>-e</w:t>
      </w:r>
      <w:r w:rsidRPr="00EF0015" w:rsidR="006D040C">
        <w:t>ast Iraq,</w:t>
      </w:r>
      <w:r w:rsidRPr="00EF0015">
        <w:t xml:space="preserve"> including British soldiers and military police, were the target of over a thousand violent attacks </w:t>
      </w:r>
      <w:r w:rsidR="0000425F">
        <w:t xml:space="preserve">in the subsequent </w:t>
      </w:r>
      <w:r w:rsidR="00814F28">
        <w:t>thirteen</w:t>
      </w:r>
      <w:r w:rsidR="0000425F">
        <w:t xml:space="preserve"> months</w:t>
      </w:r>
      <w:r w:rsidRPr="00EF0015">
        <w:t>. In tandem with the security problems, there were serious breakdowns in the civilian infrastructure, including the law enforcement and criminal ju</w:t>
      </w:r>
      <w:r w:rsidRPr="00EF0015" w:rsidR="00E93EE8">
        <w:t xml:space="preserve">stice systems (see paragraphs </w:t>
      </w:r>
      <w:r w:rsidR="009C1CD5">
        <w:t>22-23</w:t>
      </w:r>
      <w:r w:rsidRPr="00EF0015">
        <w:t xml:space="preserve"> above</w:t>
      </w:r>
      <w:r w:rsidR="003A4478">
        <w:t xml:space="preserve">; see also the findings of the </w:t>
      </w:r>
      <w:r w:rsidR="009C1CD5">
        <w:t>Court of Appeal</w:t>
      </w:r>
      <w:r w:rsidR="003A4478">
        <w:t xml:space="preserve"> at paragraph </w:t>
      </w:r>
      <w:r w:rsidR="009C1CD5">
        <w:t xml:space="preserve">80 </w:t>
      </w:r>
      <w:r w:rsidR="003A4478">
        <w:t>above</w:t>
      </w:r>
      <w:r w:rsidRPr="00EF0015">
        <w:t>).</w:t>
      </w:r>
    </w:p>
    <w:p w:rsidRPr="00EF0015" w:rsidR="00B12CF5" w:rsidP="00B12CF5" w:rsidRDefault="00B12CF5">
      <w:pPr>
        <w:pStyle w:val="JuPara"/>
        <w:rPr>
          <w:lang w:eastAsia="en-US"/>
        </w:rPr>
      </w:pPr>
      <w:r w:rsidRPr="00EF0015">
        <w:fldChar w:fldCharType="begin"/>
      </w:r>
      <w:r w:rsidRPr="00EF0015">
        <w:instrText xml:space="preserve"> SEQ level0 \*arabic </w:instrText>
      </w:r>
      <w:r w:rsidRPr="00EF0015">
        <w:fldChar w:fldCharType="separate"/>
      </w:r>
      <w:r w:rsidR="00524A6D">
        <w:rPr>
          <w:noProof/>
        </w:rPr>
        <w:t>162</w:t>
      </w:r>
      <w:r w:rsidRPr="00EF0015">
        <w:fldChar w:fldCharType="end"/>
      </w:r>
      <w:r w:rsidRPr="00EF0015">
        <w:t>.  </w:t>
      </w:r>
      <w:r w:rsidR="006346DA">
        <w:t xml:space="preserve">While remaining fully aware of this context, </w:t>
      </w:r>
      <w:r w:rsidRPr="00EF0015">
        <w:t>the Court</w:t>
      </w:r>
      <w:r w:rsidR="008570E8">
        <w:t>’</w:t>
      </w:r>
      <w:r w:rsidR="008C7B1D">
        <w:t>s approach</w:t>
      </w:r>
      <w:r w:rsidRPr="00EF0015">
        <w:t xml:space="preserve"> must be guided by the </w:t>
      </w:r>
      <w:r w:rsidR="006346DA">
        <w:t>knowledge</w:t>
      </w:r>
      <w:r w:rsidRPr="00EF0015">
        <w:t xml:space="preserve"> that the object and purpose of the Convention as an instrument for the protection of individual human beings requires that its provisions be interpreted and applied so as to make its safeguards practical and effective. Article 2, which </w:t>
      </w:r>
      <w:r w:rsidR="0000425F">
        <w:t>protects</w:t>
      </w:r>
      <w:r w:rsidRPr="00EF0015">
        <w:t xml:space="preserve"> the right to life and sets out the circumstances when deprivation of life may be justified, ranks as one of the most fundamental p</w:t>
      </w:r>
      <w:r w:rsidR="00A11744">
        <w:t xml:space="preserve">rovisions </w:t>
      </w:r>
      <w:r w:rsidR="00814F28">
        <w:t>of</w:t>
      </w:r>
      <w:r w:rsidR="00A11744">
        <w:t xml:space="preserve"> the Convention. No </w:t>
      </w:r>
      <w:r w:rsidRPr="00EF0015">
        <w:t>derogation fro</w:t>
      </w:r>
      <w:r w:rsidR="00AC0F22">
        <w:t xml:space="preserve">m it is permitted under Article </w:t>
      </w:r>
      <w:r w:rsidRPr="00EF0015">
        <w:t>15, “except in respect of deaths resulting from lawful acts of war”. Article 2 covers both intentional killing and also the situations in which it is permitted to use force which may result, as an unintended outcome, in the deprivation of life. Any use of force must be no more than “absolutely necessary” for the achievement of one or more of the pur</w:t>
      </w:r>
      <w:r w:rsidR="00C81668">
        <w:t xml:space="preserve">poses set out in sub-paragraphs </w:t>
      </w:r>
      <w:r w:rsidRPr="00EF0015">
        <w:t>(a) to (c) (</w:t>
      </w:r>
      <w:r w:rsidR="00C81668">
        <w:t xml:space="preserve">see </w:t>
      </w:r>
      <w:r w:rsidRPr="00EF0015">
        <w:rPr>
          <w:i/>
          <w:lang w:eastAsia="en-US"/>
        </w:rPr>
        <w:t>McCann and Others</w:t>
      </w:r>
      <w:r w:rsidR="00E2234D">
        <w:rPr>
          <w:lang w:eastAsia="en-US"/>
        </w:rPr>
        <w:t>,</w:t>
      </w:r>
      <w:r w:rsidRPr="00EF0015">
        <w:rPr>
          <w:i/>
          <w:lang w:eastAsia="en-US"/>
        </w:rPr>
        <w:t xml:space="preserve"> </w:t>
      </w:r>
      <w:r w:rsidRPr="00D8100E" w:rsidR="00E2234D">
        <w:rPr>
          <w:lang w:eastAsia="en-US"/>
        </w:rPr>
        <w:t>cited above</w:t>
      </w:r>
      <w:r w:rsidR="00A11744">
        <w:rPr>
          <w:lang w:eastAsia="en-US"/>
        </w:rPr>
        <w:t xml:space="preserve">, </w:t>
      </w:r>
      <w:r w:rsidR="00AC0F22">
        <w:rPr>
          <w:lang w:eastAsia="en-US"/>
        </w:rPr>
        <w:t xml:space="preserve">§§ </w:t>
      </w:r>
      <w:r w:rsidR="00A11744">
        <w:rPr>
          <w:lang w:eastAsia="en-US"/>
        </w:rPr>
        <w:t>146</w:t>
      </w:r>
      <w:r w:rsidR="00A11744">
        <w:rPr>
          <w:lang w:eastAsia="en-US"/>
        </w:rPr>
        <w:noBreakHyphen/>
      </w:r>
      <w:r w:rsidRPr="00EF0015">
        <w:rPr>
          <w:lang w:eastAsia="en-US"/>
        </w:rPr>
        <w:t>48</w:t>
      </w:r>
      <w:r w:rsidR="00E2234D">
        <w:rPr>
          <w:lang w:eastAsia="en-US"/>
        </w:rPr>
        <w:t>).</w:t>
      </w:r>
    </w:p>
    <w:p w:rsidR="00C81668" w:rsidP="00B12CF5" w:rsidRDefault="00B12CF5">
      <w:pPr>
        <w:pStyle w:val="JuPara"/>
        <w:rPr>
          <w:lang w:eastAsia="en-US"/>
        </w:rPr>
      </w:pPr>
      <w:r w:rsidRPr="00EF0015">
        <w:fldChar w:fldCharType="begin"/>
      </w:r>
      <w:r w:rsidRPr="00EF0015">
        <w:instrText xml:space="preserve"> SEQ level0 \*arabic </w:instrText>
      </w:r>
      <w:r w:rsidRPr="00EF0015">
        <w:fldChar w:fldCharType="separate"/>
      </w:r>
      <w:r w:rsidR="00524A6D">
        <w:rPr>
          <w:noProof/>
        </w:rPr>
        <w:t>163</w:t>
      </w:r>
      <w:r w:rsidRPr="00EF0015">
        <w:fldChar w:fldCharType="end"/>
      </w:r>
      <w:r w:rsidRPr="00EF0015">
        <w:t>.  The general legal prohibition of arbitrary killing by agents of the State would be ineffective in practice if there existed no procedure for reviewing the lawfulness of the use of lethal force by State authorities. The obligation to protect the right to life under this provision, read in conjunction with the State</w:t>
      </w:r>
      <w:r w:rsidR="008570E8">
        <w:t>’</w:t>
      </w:r>
      <w:r w:rsidRPr="00EF0015">
        <w:t xml:space="preserve">s general duty under Article 1 of the Convention to “secure to everyone within their jurisdiction the rights and freedoms defined in [the] Convention”, requires by implication that there should be some form of effective official investigation when individuals have been killed as a result of the use of force by, </w:t>
      </w:r>
      <w:r w:rsidRPr="00EF0015">
        <w:rPr>
          <w:i/>
        </w:rPr>
        <w:t>inter alios</w:t>
      </w:r>
      <w:r w:rsidRPr="00EF0015">
        <w:t>, agents of the State (</w:t>
      </w:r>
      <w:r w:rsidR="00C81668">
        <w:t xml:space="preserve">see </w:t>
      </w:r>
      <w:r w:rsidRPr="00EF0015">
        <w:rPr>
          <w:i/>
        </w:rPr>
        <w:t>McCann</w:t>
      </w:r>
      <w:r w:rsidR="00F64C9A">
        <w:rPr>
          <w:i/>
        </w:rPr>
        <w:t xml:space="preserve"> and Others</w:t>
      </w:r>
      <w:r w:rsidRPr="00D8100E">
        <w:t>,</w:t>
      </w:r>
      <w:r w:rsidRPr="00EF0015">
        <w:rPr>
          <w:i/>
        </w:rPr>
        <w:t xml:space="preserve"> </w:t>
      </w:r>
      <w:r w:rsidRPr="00EF0015">
        <w:t>cited above, § 161). The essential purpose of such an investigation is to secure the effective implementation of the domestic laws safeguarding the right to life and, in those cases involving State agents or bodies, to ensure their accountability for deaths occurring under their responsibility (</w:t>
      </w:r>
      <w:r w:rsidR="006346DA">
        <w:t xml:space="preserve">see </w:t>
      </w:r>
      <w:r w:rsidRPr="00EF0015">
        <w:rPr>
          <w:i/>
        </w:rPr>
        <w:t>Nachova and Others v. Bulgaria</w:t>
      </w:r>
      <w:r w:rsidRPr="00EF0015">
        <w:t xml:space="preserve"> [GC]</w:t>
      </w:r>
      <w:r w:rsidR="00AC0F22">
        <w:t xml:space="preserve">, nos. 43577/98 and 43579/98, § </w:t>
      </w:r>
      <w:r w:rsidRPr="00EF0015">
        <w:t xml:space="preserve">110, ECHR 2005-VII). However, the investigation should </w:t>
      </w:r>
      <w:r w:rsidR="0095248F">
        <w:t xml:space="preserve">also </w:t>
      </w:r>
      <w:r w:rsidRPr="00EF0015">
        <w:t>be broad enough to permit the investigating authorities to take into consideration not only the actions of the State</w:t>
      </w:r>
      <w:r w:rsidR="0095248F">
        <w:t xml:space="preserve"> agents</w:t>
      </w:r>
      <w:r w:rsidRPr="00EF0015">
        <w:t xml:space="preserve"> who </w:t>
      </w:r>
      <w:r w:rsidR="0095248F">
        <w:t>directly</w:t>
      </w:r>
      <w:r w:rsidRPr="00EF0015">
        <w:t xml:space="preserve"> </w:t>
      </w:r>
      <w:r w:rsidR="0095248F">
        <w:t>used</w:t>
      </w:r>
      <w:r w:rsidRPr="00EF0015">
        <w:t xml:space="preserve"> </w:t>
      </w:r>
      <w:r w:rsidR="0095248F">
        <w:t xml:space="preserve">lethal </w:t>
      </w:r>
      <w:r w:rsidRPr="00EF0015">
        <w:t xml:space="preserve">force but also all the surrounding circumstances, including such matters as the planning and control of the </w:t>
      </w:r>
      <w:r w:rsidR="0095248F">
        <w:t xml:space="preserve">operations </w:t>
      </w:r>
      <w:r w:rsidR="001D6131">
        <w:t>in question</w:t>
      </w:r>
      <w:r w:rsidRPr="00EF0015">
        <w:t xml:space="preserve">, where this is necessary in order to determine whether the State complied with its obligation under Article 2 to protect life (see, by implication, </w:t>
      </w:r>
      <w:r w:rsidRPr="00EF0015">
        <w:rPr>
          <w:i/>
        </w:rPr>
        <w:t>McCann and Others</w:t>
      </w:r>
      <w:r w:rsidRPr="00D8100E">
        <w:t>,</w:t>
      </w:r>
      <w:r w:rsidRPr="00EF0015">
        <w:rPr>
          <w:i/>
        </w:rPr>
        <w:t xml:space="preserve"> </w:t>
      </w:r>
      <w:r w:rsidRPr="00EF0015">
        <w:t xml:space="preserve">cited above, §§ 150 and 162; </w:t>
      </w:r>
      <w:r w:rsidRPr="00EF0015">
        <w:rPr>
          <w:i/>
          <w:lang w:eastAsia="en-US"/>
        </w:rPr>
        <w:t>Hugh Jordan v. the United Kingdom</w:t>
      </w:r>
      <w:r w:rsidRPr="00EF0015">
        <w:rPr>
          <w:lang w:eastAsia="en-US"/>
        </w:rPr>
        <w:t>, no. 24746/94, § 1</w:t>
      </w:r>
      <w:r w:rsidR="00F92A1F">
        <w:rPr>
          <w:lang w:eastAsia="en-US"/>
        </w:rPr>
        <w:t xml:space="preserve">28, </w:t>
      </w:r>
      <w:r w:rsidR="001A7AF3">
        <w:rPr>
          <w:lang w:eastAsia="en-US"/>
        </w:rPr>
        <w:t>4 May 2001</w:t>
      </w:r>
      <w:r w:rsidR="00125D0E">
        <w:rPr>
          <w:lang w:eastAsia="en-US"/>
        </w:rPr>
        <w:t>;</w:t>
      </w:r>
      <w:r w:rsidRPr="00EF0015">
        <w:rPr>
          <w:lang w:eastAsia="en-US"/>
        </w:rPr>
        <w:t xml:space="preserve"> </w:t>
      </w:r>
      <w:r w:rsidRPr="00EF0015">
        <w:rPr>
          <w:i/>
          <w:lang w:eastAsia="en-US"/>
        </w:rPr>
        <w:t>McKerr</w:t>
      </w:r>
      <w:r w:rsidR="00BE757B">
        <w:rPr>
          <w:lang w:eastAsia="en-US"/>
        </w:rPr>
        <w:t>, cited above,</w:t>
      </w:r>
      <w:r w:rsidRPr="00EF0015">
        <w:rPr>
          <w:lang w:eastAsia="en-US"/>
        </w:rPr>
        <w:t xml:space="preserve"> §§ 143 and 151; </w:t>
      </w:r>
      <w:r w:rsidR="00AC0F22">
        <w:rPr>
          <w:i/>
          <w:lang w:eastAsia="en-US"/>
        </w:rPr>
        <w:t xml:space="preserve">Shanaghan v. </w:t>
      </w:r>
      <w:r w:rsidRPr="00E571F1" w:rsidR="00E571F1">
        <w:rPr>
          <w:i/>
          <w:lang w:eastAsia="en-US"/>
        </w:rPr>
        <w:t>the United Kingdom</w:t>
      </w:r>
      <w:r w:rsidRPr="00E571F1" w:rsidR="00E571F1">
        <w:rPr>
          <w:lang w:eastAsia="en-US"/>
        </w:rPr>
        <w:t>, no. 37715/97, §</w:t>
      </w:r>
      <w:r w:rsidR="00D272B7">
        <w:rPr>
          <w:lang w:eastAsia="en-US"/>
        </w:rPr>
        <w:t>§ 100-25, 4</w:t>
      </w:r>
      <w:r w:rsidR="007A26CE">
        <w:rPr>
          <w:lang w:eastAsia="en-US"/>
        </w:rPr>
        <w:t xml:space="preserve"> </w:t>
      </w:r>
      <w:r w:rsidR="00E571F1">
        <w:rPr>
          <w:lang w:eastAsia="en-US"/>
        </w:rPr>
        <w:t xml:space="preserve">May 2001; </w:t>
      </w:r>
      <w:r w:rsidR="00AC0F22">
        <w:rPr>
          <w:i/>
          <w:lang w:eastAsia="en-US"/>
        </w:rPr>
        <w:t xml:space="preserve">Finucane v. </w:t>
      </w:r>
      <w:r w:rsidRPr="00EF0015">
        <w:rPr>
          <w:i/>
          <w:lang w:eastAsia="en-US"/>
        </w:rPr>
        <w:t>the United Kingdom</w:t>
      </w:r>
      <w:r w:rsidRPr="00EF0015">
        <w:rPr>
          <w:lang w:eastAsia="en-US"/>
        </w:rPr>
        <w:t>,</w:t>
      </w:r>
      <w:r w:rsidRPr="00EF0015">
        <w:rPr>
          <w:i/>
          <w:lang w:eastAsia="en-US"/>
        </w:rPr>
        <w:t xml:space="preserve"> </w:t>
      </w:r>
      <w:r w:rsidRPr="00EF0015">
        <w:rPr>
          <w:lang w:eastAsia="en-US"/>
        </w:rPr>
        <w:t>no. 29178/95, §§ 77-78, ECHR 2003</w:t>
      </w:r>
      <w:r w:rsidRPr="00EF0015">
        <w:rPr>
          <w:lang w:eastAsia="en-US"/>
        </w:rPr>
        <w:noBreakHyphen/>
        <w:t xml:space="preserve">VIII; </w:t>
      </w:r>
      <w:r w:rsidRPr="00EF0015">
        <w:rPr>
          <w:i/>
        </w:rPr>
        <w:t>Nachova</w:t>
      </w:r>
      <w:r w:rsidR="00125D0E">
        <w:rPr>
          <w:i/>
        </w:rPr>
        <w:t xml:space="preserve"> and Others</w:t>
      </w:r>
      <w:r w:rsidRPr="00D8100E">
        <w:t>,</w:t>
      </w:r>
      <w:r w:rsidRPr="00EF0015">
        <w:rPr>
          <w:i/>
        </w:rPr>
        <w:t xml:space="preserve"> </w:t>
      </w:r>
      <w:r w:rsidRPr="00EF0015">
        <w:t>cited above, §§ 114-15; and</w:t>
      </w:r>
      <w:r w:rsidR="00125D0E">
        <w:t>,</w:t>
      </w:r>
      <w:r w:rsidRPr="00EF0015">
        <w:t xml:space="preserve"> </w:t>
      </w:r>
      <w:r w:rsidRPr="00EF0015">
        <w:rPr>
          <w:i/>
        </w:rPr>
        <w:t>mutatis mutandis</w:t>
      </w:r>
      <w:r w:rsidRPr="00D8100E">
        <w:t>,</w:t>
      </w:r>
      <w:r w:rsidRPr="00EF0015">
        <w:rPr>
          <w:i/>
        </w:rPr>
        <w:t xml:space="preserve"> </w:t>
      </w:r>
      <w:r w:rsidR="00AC0F22">
        <w:rPr>
          <w:i/>
          <w:lang w:eastAsia="en-US"/>
        </w:rPr>
        <w:t xml:space="preserve">Tzekov v. </w:t>
      </w:r>
      <w:r w:rsidRPr="00EF0015">
        <w:rPr>
          <w:i/>
          <w:lang w:eastAsia="en-US"/>
        </w:rPr>
        <w:t>Bulgaria</w:t>
      </w:r>
      <w:r w:rsidR="007A26CE">
        <w:rPr>
          <w:lang w:eastAsia="en-US"/>
        </w:rPr>
        <w:t xml:space="preserve">, no. 45500/99, § 71, 23 </w:t>
      </w:r>
      <w:r w:rsidRPr="00EF0015">
        <w:rPr>
          <w:lang w:eastAsia="en-US"/>
        </w:rPr>
        <w:t>February 2006).</w:t>
      </w:r>
    </w:p>
    <w:p w:rsidR="00C81668" w:rsidP="00B12CF5" w:rsidRDefault="00B12CF5">
      <w:pPr>
        <w:pStyle w:val="JuPara"/>
        <w:rPr>
          <w:lang w:eastAsia="en-US"/>
        </w:rPr>
      </w:pPr>
      <w:r w:rsidRPr="00EF0015">
        <w:fldChar w:fldCharType="begin"/>
      </w:r>
      <w:r w:rsidRPr="00EF0015">
        <w:instrText xml:space="preserve"> SEQ level0 \*arabic </w:instrText>
      </w:r>
      <w:r w:rsidRPr="00EF0015">
        <w:fldChar w:fldCharType="separate"/>
      </w:r>
      <w:r w:rsidR="00524A6D">
        <w:rPr>
          <w:noProof/>
        </w:rPr>
        <w:t>164</w:t>
      </w:r>
      <w:r w:rsidRPr="00EF0015">
        <w:fldChar w:fldCharType="end"/>
      </w:r>
      <w:r w:rsidRPr="00EF0015">
        <w:t xml:space="preserve">.  The Court has held that the procedural obligation under Article 2 continues to apply in difficult security conditions, including in a context of armed conflict (see, among other examples, </w:t>
      </w:r>
      <w:r w:rsidRPr="00EF0015">
        <w:rPr>
          <w:i/>
          <w:lang w:eastAsia="en-US"/>
        </w:rPr>
        <w:t>Güleç v. Turkey</w:t>
      </w:r>
      <w:r w:rsidR="007A26CE">
        <w:rPr>
          <w:lang w:eastAsia="en-US"/>
        </w:rPr>
        <w:t>, 27 July 1998, § </w:t>
      </w:r>
      <w:r w:rsidRPr="00EF0015">
        <w:rPr>
          <w:lang w:eastAsia="en-US"/>
        </w:rPr>
        <w:t xml:space="preserve">81, </w:t>
      </w:r>
      <w:r w:rsidRPr="00EF0015">
        <w:rPr>
          <w:i/>
          <w:lang w:eastAsia="en-US"/>
        </w:rPr>
        <w:t xml:space="preserve">Reports </w:t>
      </w:r>
      <w:r w:rsidRPr="00EF0015">
        <w:rPr>
          <w:lang w:eastAsia="en-US"/>
        </w:rPr>
        <w:t>1998</w:t>
      </w:r>
      <w:r w:rsidRPr="00EF0015">
        <w:rPr>
          <w:lang w:eastAsia="en-US"/>
        </w:rPr>
        <w:noBreakHyphen/>
        <w:t xml:space="preserve">IV; </w:t>
      </w:r>
      <w:r w:rsidRPr="00EF0015">
        <w:rPr>
          <w:i/>
          <w:lang w:eastAsia="en-US"/>
        </w:rPr>
        <w:t>Ergi v. Turkey</w:t>
      </w:r>
      <w:r w:rsidR="00AC0F22">
        <w:rPr>
          <w:lang w:eastAsia="en-US"/>
        </w:rPr>
        <w:t xml:space="preserve">, 28 </w:t>
      </w:r>
      <w:r w:rsidR="00C81668">
        <w:rPr>
          <w:lang w:eastAsia="en-US"/>
        </w:rPr>
        <w:t xml:space="preserve">July </w:t>
      </w:r>
      <w:r w:rsidRPr="00EF0015">
        <w:rPr>
          <w:lang w:eastAsia="en-US"/>
        </w:rPr>
        <w:t xml:space="preserve">1998, §§ 79 and 82, </w:t>
      </w:r>
      <w:r w:rsidRPr="00EF0015">
        <w:rPr>
          <w:i/>
          <w:lang w:eastAsia="en-US"/>
        </w:rPr>
        <w:t xml:space="preserve">Reports </w:t>
      </w:r>
      <w:r w:rsidRPr="00EF0015">
        <w:rPr>
          <w:lang w:eastAsia="en-US"/>
        </w:rPr>
        <w:t>1998</w:t>
      </w:r>
      <w:r w:rsidRPr="00EF0015">
        <w:rPr>
          <w:lang w:eastAsia="en-US"/>
        </w:rPr>
        <w:noBreakHyphen/>
        <w:t xml:space="preserve">IV; </w:t>
      </w:r>
      <w:r w:rsidR="00C81668">
        <w:rPr>
          <w:i/>
          <w:lang w:eastAsia="en-US"/>
        </w:rPr>
        <w:t xml:space="preserve">Ahmet Özkan and Others v. </w:t>
      </w:r>
      <w:r w:rsidRPr="00EF0015">
        <w:rPr>
          <w:i/>
          <w:lang w:eastAsia="en-US"/>
        </w:rPr>
        <w:t>Turkey</w:t>
      </w:r>
      <w:r w:rsidRPr="00EF0015">
        <w:rPr>
          <w:lang w:eastAsia="en-US"/>
        </w:rPr>
        <w:t>, no. 21689/93, §§ 8</w:t>
      </w:r>
      <w:r w:rsidR="00C81668">
        <w:rPr>
          <w:lang w:eastAsia="en-US"/>
        </w:rPr>
        <w:t>5-90</w:t>
      </w:r>
      <w:r w:rsidR="00E80445">
        <w:rPr>
          <w:lang w:eastAsia="en-US"/>
        </w:rPr>
        <w:t>,</w:t>
      </w:r>
      <w:r w:rsidR="00C81668">
        <w:rPr>
          <w:lang w:eastAsia="en-US"/>
        </w:rPr>
        <w:t xml:space="preserve"> 309-20 and 326-30, 6 </w:t>
      </w:r>
      <w:r w:rsidRPr="00EF0015">
        <w:rPr>
          <w:lang w:eastAsia="en-US"/>
        </w:rPr>
        <w:t xml:space="preserve">April 2004; </w:t>
      </w:r>
      <w:r w:rsidR="00AC0F22">
        <w:rPr>
          <w:i/>
          <w:lang w:eastAsia="en-US"/>
        </w:rPr>
        <w:t xml:space="preserve">Isayeva v. </w:t>
      </w:r>
      <w:r w:rsidRPr="00EF0015">
        <w:rPr>
          <w:i/>
          <w:lang w:eastAsia="en-US"/>
        </w:rPr>
        <w:t>Russia</w:t>
      </w:r>
      <w:r w:rsidRPr="00EF0015">
        <w:rPr>
          <w:lang w:eastAsia="en-US"/>
        </w:rPr>
        <w:t xml:space="preserve">, no. 57950/00, §§ 180 and 210, 24 February 2005; </w:t>
      </w:r>
      <w:r w:rsidR="004950BF">
        <w:rPr>
          <w:lang w:eastAsia="en-US"/>
        </w:rPr>
        <w:t xml:space="preserve">and </w:t>
      </w:r>
      <w:r w:rsidR="00AC0F22">
        <w:rPr>
          <w:i/>
          <w:lang w:eastAsia="en-US"/>
        </w:rPr>
        <w:t xml:space="preserve">Kanlibaş v. </w:t>
      </w:r>
      <w:r w:rsidRPr="00EF0015">
        <w:rPr>
          <w:i/>
          <w:lang w:eastAsia="en-US"/>
        </w:rPr>
        <w:t>Turkey</w:t>
      </w:r>
      <w:r w:rsidR="009A25EF">
        <w:rPr>
          <w:lang w:eastAsia="en-US"/>
        </w:rPr>
        <w:t>, no. 32444/96, §§ 39-51, 8 </w:t>
      </w:r>
      <w:r w:rsidRPr="00EF0015">
        <w:rPr>
          <w:lang w:eastAsia="en-US"/>
        </w:rPr>
        <w:t>December 2005)</w:t>
      </w:r>
      <w:r w:rsidR="00C81668">
        <w:t xml:space="preserve">. </w:t>
      </w:r>
      <w:r w:rsidRPr="00EF0015">
        <w:t xml:space="preserve">It is clear that where the death to be investigated under Article 2 occurs in circumstances of generalised violence, armed conflict or insurgency, obstacles may be placed in the way of investigators and, as the United Nations Special Rapporteur has also observed (see paragraph </w:t>
      </w:r>
      <w:r w:rsidR="008C7B1D">
        <w:t>93</w:t>
      </w:r>
      <w:r w:rsidRPr="00EF0015">
        <w:t xml:space="preserve"> above), concrete constraints may compel the </w:t>
      </w:r>
      <w:r w:rsidRPr="00EF0015">
        <w:rPr>
          <w:lang w:eastAsia="en-US"/>
        </w:rPr>
        <w:t xml:space="preserve">use of </w:t>
      </w:r>
      <w:r w:rsidRPr="00EF0015">
        <w:rPr>
          <w:lang w:eastAsia="en-GB"/>
        </w:rPr>
        <w:t xml:space="preserve">less effective measures of investigation or may cause an investigation to be delayed (see, for example, </w:t>
      </w:r>
      <w:r w:rsidRPr="00EF0015">
        <w:rPr>
          <w:i/>
          <w:lang w:eastAsia="en-US"/>
        </w:rPr>
        <w:t>Bazorkina v. Russia</w:t>
      </w:r>
      <w:r w:rsidR="00AC0F22">
        <w:rPr>
          <w:lang w:eastAsia="en-US"/>
        </w:rPr>
        <w:t xml:space="preserve">, no. </w:t>
      </w:r>
      <w:r w:rsidR="00E44D04">
        <w:rPr>
          <w:lang w:eastAsia="en-US"/>
        </w:rPr>
        <w:t xml:space="preserve">69481/01, § 121, 27 </w:t>
      </w:r>
      <w:r w:rsidRPr="00EF0015">
        <w:rPr>
          <w:lang w:eastAsia="en-US"/>
        </w:rPr>
        <w:t>July 2006)</w:t>
      </w:r>
      <w:r w:rsidRPr="00EF0015">
        <w:rPr>
          <w:lang w:eastAsia="en-GB"/>
        </w:rPr>
        <w:t>.</w:t>
      </w:r>
      <w:r w:rsidRPr="00EF0015">
        <w:t xml:space="preserve"> Nonetheless, the obligation under Article 2 to safeguard life entails that</w:t>
      </w:r>
      <w:r w:rsidR="00E571F1">
        <w:t>,</w:t>
      </w:r>
      <w:r w:rsidRPr="00EF0015">
        <w:t xml:space="preserve"> </w:t>
      </w:r>
      <w:r w:rsidR="00E571F1">
        <w:t xml:space="preserve">even in difficult </w:t>
      </w:r>
      <w:r w:rsidR="008C7B1D">
        <w:t xml:space="preserve">security </w:t>
      </w:r>
      <w:r w:rsidR="00E571F1">
        <w:t xml:space="preserve">conditions, </w:t>
      </w:r>
      <w:r w:rsidRPr="00EF0015">
        <w:t xml:space="preserve">all reasonable steps </w:t>
      </w:r>
      <w:r w:rsidR="00E571F1">
        <w:t xml:space="preserve">must </w:t>
      </w:r>
      <w:r w:rsidRPr="00EF0015">
        <w:t>be taken to ensure that an effective, independent investigation is conducted into alleged brea</w:t>
      </w:r>
      <w:r w:rsidR="00C81668">
        <w:t xml:space="preserve">ches of the right to life (see, </w:t>
      </w:r>
      <w:r w:rsidRPr="00EF0015">
        <w:t>among many other</w:t>
      </w:r>
      <w:r w:rsidR="00C81668">
        <w:t xml:space="preserve"> </w:t>
      </w:r>
      <w:r w:rsidRPr="00EF0015">
        <w:t xml:space="preserve">examples, </w:t>
      </w:r>
      <w:r w:rsidR="00E44D04">
        <w:rPr>
          <w:i/>
          <w:lang w:eastAsia="en-US"/>
        </w:rPr>
        <w:t>Kaya v. </w:t>
      </w:r>
      <w:r w:rsidRPr="00EF0015">
        <w:rPr>
          <w:i/>
          <w:lang w:eastAsia="en-US"/>
        </w:rPr>
        <w:t>Turkey</w:t>
      </w:r>
      <w:r w:rsidRPr="00EF0015">
        <w:rPr>
          <w:lang w:eastAsia="en-US"/>
        </w:rPr>
        <w:t>, 19</w:t>
      </w:r>
      <w:r w:rsidR="007A26CE">
        <w:rPr>
          <w:lang w:eastAsia="en-US"/>
        </w:rPr>
        <w:t xml:space="preserve"> </w:t>
      </w:r>
      <w:r w:rsidR="00AC0F22">
        <w:rPr>
          <w:lang w:eastAsia="en-US"/>
        </w:rPr>
        <w:t xml:space="preserve">February 1998, §§ </w:t>
      </w:r>
      <w:r w:rsidR="00C81668">
        <w:rPr>
          <w:lang w:eastAsia="en-US"/>
        </w:rPr>
        <w:t>86</w:t>
      </w:r>
      <w:r w:rsidR="00C81668">
        <w:rPr>
          <w:lang w:eastAsia="en-US"/>
        </w:rPr>
        <w:noBreakHyphen/>
      </w:r>
      <w:r w:rsidRPr="00EF0015">
        <w:rPr>
          <w:lang w:eastAsia="en-US"/>
        </w:rPr>
        <w:t xml:space="preserve">92, </w:t>
      </w:r>
      <w:r w:rsidRPr="00EF0015">
        <w:rPr>
          <w:i/>
          <w:lang w:eastAsia="en-US"/>
        </w:rPr>
        <w:t xml:space="preserve">Reports </w:t>
      </w:r>
      <w:r w:rsidRPr="00EF0015">
        <w:rPr>
          <w:lang w:eastAsia="en-US"/>
        </w:rPr>
        <w:t>1998</w:t>
      </w:r>
      <w:r w:rsidRPr="00EF0015">
        <w:rPr>
          <w:lang w:eastAsia="en-US"/>
        </w:rPr>
        <w:noBreakHyphen/>
        <w:t xml:space="preserve">I; </w:t>
      </w:r>
      <w:r w:rsidRPr="00EF0015">
        <w:rPr>
          <w:i/>
          <w:lang w:eastAsia="en-US"/>
        </w:rPr>
        <w:t>Ergi</w:t>
      </w:r>
      <w:r w:rsidRPr="00D8100E">
        <w:rPr>
          <w:lang w:eastAsia="en-US"/>
        </w:rPr>
        <w:t>,</w:t>
      </w:r>
      <w:r w:rsidRPr="00EF0015">
        <w:rPr>
          <w:i/>
          <w:lang w:eastAsia="en-US"/>
        </w:rPr>
        <w:t xml:space="preserve"> </w:t>
      </w:r>
      <w:r w:rsidR="009A25EF">
        <w:rPr>
          <w:lang w:eastAsia="en-US"/>
        </w:rPr>
        <w:t>cited above, §§ </w:t>
      </w:r>
      <w:r w:rsidRPr="00EF0015">
        <w:rPr>
          <w:lang w:eastAsia="en-US"/>
        </w:rPr>
        <w:t xml:space="preserve">82-85; </w:t>
      </w:r>
      <w:r w:rsidRPr="00EF0015">
        <w:rPr>
          <w:i/>
          <w:lang w:eastAsia="en-US"/>
        </w:rPr>
        <w:t>Tanrıkulu v. Turkey</w:t>
      </w:r>
      <w:r w:rsidRPr="00EF0015">
        <w:rPr>
          <w:lang w:eastAsia="en-US"/>
        </w:rPr>
        <w:t xml:space="preserve"> [GC],</w:t>
      </w:r>
      <w:r w:rsidR="00C81668">
        <w:rPr>
          <w:lang w:eastAsia="en-US"/>
        </w:rPr>
        <w:t xml:space="preserve"> no. 23763/94, §§ </w:t>
      </w:r>
      <w:r w:rsidR="00F92A1F">
        <w:rPr>
          <w:lang w:eastAsia="en-US"/>
        </w:rPr>
        <w:t>101-</w:t>
      </w:r>
      <w:r w:rsidR="00AC0F22">
        <w:rPr>
          <w:lang w:eastAsia="en-US"/>
        </w:rPr>
        <w:t xml:space="preserve">10, ECHR </w:t>
      </w:r>
      <w:r w:rsidRPr="00EF0015">
        <w:rPr>
          <w:lang w:eastAsia="en-US"/>
        </w:rPr>
        <w:t>1999</w:t>
      </w:r>
      <w:r w:rsidRPr="00EF0015">
        <w:rPr>
          <w:lang w:eastAsia="en-US"/>
        </w:rPr>
        <w:noBreakHyphen/>
        <w:t xml:space="preserve">IV; </w:t>
      </w:r>
      <w:r w:rsidRPr="00EF0015">
        <w:rPr>
          <w:i/>
          <w:lang w:eastAsia="en-US"/>
        </w:rPr>
        <w:t>Khashiyev and Akayeva v. Russia</w:t>
      </w:r>
      <w:r w:rsidR="00AC0F22">
        <w:rPr>
          <w:lang w:eastAsia="en-US"/>
        </w:rPr>
        <w:t xml:space="preserve">, nos. 57942/00 and </w:t>
      </w:r>
      <w:r w:rsidR="00C81668">
        <w:rPr>
          <w:lang w:eastAsia="en-US"/>
        </w:rPr>
        <w:t xml:space="preserve">57945/00, §§ 156-66, 24 </w:t>
      </w:r>
      <w:r w:rsidRPr="00EF0015">
        <w:rPr>
          <w:lang w:eastAsia="en-US"/>
        </w:rPr>
        <w:t xml:space="preserve">February 2005; </w:t>
      </w:r>
      <w:r w:rsidRPr="00EF0015">
        <w:rPr>
          <w:i/>
          <w:lang w:eastAsia="en-US"/>
        </w:rPr>
        <w:t>Isayeva</w:t>
      </w:r>
      <w:r w:rsidR="00AC0F22">
        <w:rPr>
          <w:lang w:eastAsia="en-US"/>
        </w:rPr>
        <w:t xml:space="preserve">, cited above, §§ </w:t>
      </w:r>
      <w:r w:rsidR="00C81668">
        <w:rPr>
          <w:lang w:eastAsia="en-US"/>
        </w:rPr>
        <w:t>215</w:t>
      </w:r>
      <w:r w:rsidR="00C81668">
        <w:rPr>
          <w:lang w:eastAsia="en-US"/>
        </w:rPr>
        <w:noBreakHyphen/>
      </w:r>
      <w:r w:rsidRPr="00EF0015">
        <w:rPr>
          <w:lang w:eastAsia="en-US"/>
        </w:rPr>
        <w:t xml:space="preserve">24; </w:t>
      </w:r>
      <w:r w:rsidR="00B22833">
        <w:rPr>
          <w:lang w:eastAsia="en-US"/>
        </w:rPr>
        <w:t xml:space="preserve">and </w:t>
      </w:r>
      <w:r w:rsidRPr="00EF0015">
        <w:rPr>
          <w:i/>
          <w:lang w:eastAsia="en-US"/>
        </w:rPr>
        <w:t>Musayev and Others v. Russia</w:t>
      </w:r>
      <w:r w:rsidR="00AC0F22">
        <w:rPr>
          <w:lang w:eastAsia="en-US"/>
        </w:rPr>
        <w:t xml:space="preserve">, nos. 57941/00, 58699/00 and </w:t>
      </w:r>
      <w:r w:rsidRPr="00EF0015">
        <w:rPr>
          <w:lang w:eastAsia="en-US"/>
        </w:rPr>
        <w:t>60403/0</w:t>
      </w:r>
      <w:r w:rsidR="009A25EF">
        <w:rPr>
          <w:lang w:eastAsia="en-US"/>
        </w:rPr>
        <w:t>0, §§ </w:t>
      </w:r>
      <w:r w:rsidRPr="00EF0015">
        <w:rPr>
          <w:lang w:eastAsia="en-US"/>
        </w:rPr>
        <w:t>158-65, 26 July 2007).</w:t>
      </w:r>
    </w:p>
    <w:p w:rsidR="00C81668" w:rsidP="00B12CF5" w:rsidRDefault="00B12CF5">
      <w:pPr>
        <w:pStyle w:val="JuPara"/>
      </w:pPr>
      <w:r w:rsidRPr="00EF0015">
        <w:fldChar w:fldCharType="begin"/>
      </w:r>
      <w:r w:rsidRPr="00EF0015">
        <w:instrText xml:space="preserve"> SEQ level0 \*arabic </w:instrText>
      </w:r>
      <w:r w:rsidRPr="00EF0015">
        <w:fldChar w:fldCharType="separate"/>
      </w:r>
      <w:r w:rsidR="00524A6D">
        <w:rPr>
          <w:noProof/>
        </w:rPr>
        <w:t>165</w:t>
      </w:r>
      <w:r w:rsidRPr="00EF0015">
        <w:fldChar w:fldCharType="end"/>
      </w:r>
      <w:r w:rsidRPr="00EF0015">
        <w:t xml:space="preserve">.  What form of investigation will achieve the purposes of Article 2 may vary </w:t>
      </w:r>
      <w:r w:rsidR="00E571F1">
        <w:t>depending on the</w:t>
      </w:r>
      <w:r w:rsidRPr="00EF0015">
        <w:t xml:space="preserve"> circumstances. However, whatever mode is employed, the authorities must act of their own motion once the matter has come to their attention. They cannot leave it to the initiative of the </w:t>
      </w:r>
      <w:r w:rsidR="00C81668">
        <w:t>next</w:t>
      </w:r>
      <w:r w:rsidR="004D2BB9">
        <w:t xml:space="preserve"> </w:t>
      </w:r>
      <w:r w:rsidR="00C81668">
        <w:t>of</w:t>
      </w:r>
      <w:r w:rsidR="004D2BB9">
        <w:t xml:space="preserve"> </w:t>
      </w:r>
      <w:r w:rsidRPr="00EF0015">
        <w:t>kin either to lodge a formal complaint or to take responsibility for the conduct of any investigative procedures (</w:t>
      </w:r>
      <w:r w:rsidR="00E571F1">
        <w:t xml:space="preserve">see </w:t>
      </w:r>
      <w:r w:rsidRPr="00EF0015">
        <w:rPr>
          <w:i/>
          <w:lang w:eastAsia="en-US"/>
        </w:rPr>
        <w:t>Ahmet Özkan and Others</w:t>
      </w:r>
      <w:r w:rsidRPr="00EF0015">
        <w:rPr>
          <w:lang w:eastAsia="en-US"/>
        </w:rPr>
        <w:t>, cited above, § 310</w:t>
      </w:r>
      <w:r w:rsidR="003172A2">
        <w:rPr>
          <w:lang w:eastAsia="en-US"/>
        </w:rPr>
        <w:t>, and</w:t>
      </w:r>
      <w:r w:rsidRPr="00EF0015">
        <w:rPr>
          <w:lang w:eastAsia="en-US"/>
        </w:rPr>
        <w:t xml:space="preserve"> </w:t>
      </w:r>
      <w:r w:rsidRPr="00EF0015">
        <w:rPr>
          <w:i/>
          <w:lang w:eastAsia="en-US"/>
        </w:rPr>
        <w:t>Isayeva</w:t>
      </w:r>
      <w:r w:rsidRPr="00EF0015">
        <w:rPr>
          <w:lang w:eastAsia="en-US"/>
        </w:rPr>
        <w:t xml:space="preserve">, cited above, § 210). Civil proceedings, which are undertaken on the </w:t>
      </w:r>
      <w:r w:rsidRPr="00EF0015">
        <w:t>initiative of the next</w:t>
      </w:r>
      <w:r w:rsidR="004D2BB9">
        <w:t xml:space="preserve"> </w:t>
      </w:r>
      <w:r w:rsidRPr="00EF0015">
        <w:t>of</w:t>
      </w:r>
      <w:r w:rsidR="004D2BB9">
        <w:t xml:space="preserve"> </w:t>
      </w:r>
      <w:r w:rsidRPr="00EF0015">
        <w:t>kin, not the authorities, and which do not involve the identification or punishment of any alleged perpetrator, cannot be taken into account in the assessment of the State</w:t>
      </w:r>
      <w:r w:rsidR="008570E8">
        <w:t>’</w:t>
      </w:r>
      <w:r w:rsidRPr="00EF0015">
        <w:t>s compliance with its procedural obligations under Article 2 of the Convention (</w:t>
      </w:r>
      <w:r w:rsidR="00E571F1">
        <w:t xml:space="preserve">see, for example, </w:t>
      </w:r>
      <w:r w:rsidRPr="00EF0015">
        <w:rPr>
          <w:i/>
          <w:lang w:eastAsia="en-US"/>
        </w:rPr>
        <w:t>Hugh Jordan</w:t>
      </w:r>
      <w:r w:rsidR="007A26CE">
        <w:rPr>
          <w:lang w:eastAsia="en-US"/>
        </w:rPr>
        <w:t xml:space="preserve">, cited above, § </w:t>
      </w:r>
      <w:r w:rsidRPr="00EF0015">
        <w:rPr>
          <w:lang w:eastAsia="en-US"/>
        </w:rPr>
        <w:t>141)</w:t>
      </w:r>
      <w:r w:rsidRPr="00EF0015">
        <w:t xml:space="preserve">. Moreover, the </w:t>
      </w:r>
      <w:r w:rsidRPr="00EF0015" w:rsidR="00E7316E">
        <w:t>procedural obligation</w:t>
      </w:r>
      <w:r w:rsidRPr="00EF0015">
        <w:t xml:space="preserve"> of the State under Article 2 cannot be satisfied merely by awarding damages (see </w:t>
      </w:r>
      <w:r w:rsidRPr="00EF0015">
        <w:rPr>
          <w:rStyle w:val="ju-005fpara--char"/>
          <w:i/>
          <w:iCs/>
        </w:rPr>
        <w:t>McKerr</w:t>
      </w:r>
      <w:r w:rsidRPr="00D8100E" w:rsidR="00E7316E">
        <w:rPr>
          <w:rStyle w:val="ju-005fpara--char"/>
          <w:iCs/>
        </w:rPr>
        <w:t xml:space="preserve">, </w:t>
      </w:r>
      <w:r w:rsidRPr="00EF0015" w:rsidR="00E7316E">
        <w:rPr>
          <w:rStyle w:val="ju-005fpara--char"/>
          <w:iCs/>
        </w:rPr>
        <w:t>cited above,</w:t>
      </w:r>
      <w:r w:rsidRPr="00EF0015">
        <w:rPr>
          <w:rStyle w:val="ju-005fpara--char"/>
          <w:i/>
          <w:iCs/>
        </w:rPr>
        <w:t xml:space="preserve"> </w:t>
      </w:r>
      <w:r w:rsidRPr="00EF0015">
        <w:t>§ 121</w:t>
      </w:r>
      <w:r w:rsidR="003172A2">
        <w:t>, and</w:t>
      </w:r>
      <w:r w:rsidRPr="00EF0015">
        <w:t xml:space="preserve"> </w:t>
      </w:r>
      <w:r w:rsidRPr="00EF0015">
        <w:rPr>
          <w:i/>
          <w:lang w:eastAsia="en-US"/>
        </w:rPr>
        <w:t>Bazorkina</w:t>
      </w:r>
      <w:r w:rsidRPr="00D8100E">
        <w:rPr>
          <w:lang w:eastAsia="en-US"/>
        </w:rPr>
        <w:t>,</w:t>
      </w:r>
      <w:r w:rsidRPr="00EF0015">
        <w:rPr>
          <w:i/>
          <w:lang w:eastAsia="en-US"/>
        </w:rPr>
        <w:t xml:space="preserve"> </w:t>
      </w:r>
      <w:r w:rsidRPr="00EF0015">
        <w:rPr>
          <w:lang w:eastAsia="en-US"/>
        </w:rPr>
        <w:t>cited above</w:t>
      </w:r>
      <w:r w:rsidRPr="00D8100E">
        <w:rPr>
          <w:lang w:eastAsia="en-US"/>
        </w:rPr>
        <w:t>,</w:t>
      </w:r>
      <w:r w:rsidRPr="00EF0015">
        <w:rPr>
          <w:i/>
          <w:lang w:eastAsia="en-US"/>
        </w:rPr>
        <w:t xml:space="preserve"> </w:t>
      </w:r>
      <w:r w:rsidRPr="00EF0015">
        <w:rPr>
          <w:lang w:eastAsia="en-US"/>
        </w:rPr>
        <w:t>§ 117</w:t>
      </w:r>
      <w:r w:rsidRPr="00EF0015">
        <w:t>).</w:t>
      </w:r>
    </w:p>
    <w:p w:rsidR="00C81668" w:rsidP="00B12CF5" w:rsidRDefault="00B12CF5">
      <w:pPr>
        <w:pStyle w:val="JuPara"/>
      </w:pPr>
      <w:r w:rsidRPr="00EF0015">
        <w:fldChar w:fldCharType="begin"/>
      </w:r>
      <w:r w:rsidRPr="00EF0015">
        <w:instrText xml:space="preserve"> SEQ level0 \*arabic </w:instrText>
      </w:r>
      <w:r w:rsidRPr="00EF0015">
        <w:fldChar w:fldCharType="separate"/>
      </w:r>
      <w:r w:rsidR="00524A6D">
        <w:rPr>
          <w:noProof/>
        </w:rPr>
        <w:t>166</w:t>
      </w:r>
      <w:r w:rsidRPr="00EF0015">
        <w:fldChar w:fldCharType="end"/>
      </w:r>
      <w:r w:rsidRPr="00EF0015">
        <w:t>.  </w:t>
      </w:r>
      <w:r w:rsidR="00E571F1">
        <w:t>As stated above, t</w:t>
      </w:r>
      <w:r w:rsidRPr="00EF0015">
        <w:t>he investigation must be effective in the sense that it is capable of leading to a determination of whether the force used was or was not justified in the circumstances and to the identification and punishment of those responsible. This is not an obligation of result, but of means. The authorities must take the reasonable steps available to them to secure the evidence concerning the incident, including</w:t>
      </w:r>
      <w:r w:rsidR="00AF7507">
        <w:t>,</w:t>
      </w:r>
      <w:r w:rsidRPr="00EF0015">
        <w:t xml:space="preserve"> </w:t>
      </w:r>
      <w:r w:rsidRPr="00EF0015">
        <w:rPr>
          <w:i/>
        </w:rPr>
        <w:t>inter alia</w:t>
      </w:r>
      <w:r w:rsidR="00AF7507">
        <w:t>,</w:t>
      </w:r>
      <w:r w:rsidRPr="00EF0015">
        <w:t xml:space="preserve"> eyewitness testimony, forensic evidence and, where appropriate, an autopsy which provides a complete and accurate record of injury and an objective analysis of clinical findings, including the cause of death. Any deficiency in the investigation which undermines its ability to establish the cause of death or the person or persons responsible will risk falling foul of this standard (</w:t>
      </w:r>
      <w:r w:rsidR="00C81668">
        <w:t xml:space="preserve">see </w:t>
      </w:r>
      <w:r w:rsidRPr="00EF0015">
        <w:rPr>
          <w:i/>
          <w:lang w:eastAsia="en-US"/>
        </w:rPr>
        <w:t>Ahmet Özkan and Others</w:t>
      </w:r>
      <w:r w:rsidRPr="00EF0015">
        <w:rPr>
          <w:lang w:eastAsia="en-US"/>
        </w:rPr>
        <w:t>, cited above, § 312</w:t>
      </w:r>
      <w:r w:rsidR="00AF7507">
        <w:rPr>
          <w:lang w:eastAsia="en-US"/>
        </w:rPr>
        <w:t>, and</w:t>
      </w:r>
      <w:r w:rsidRPr="00EF0015">
        <w:t xml:space="preserve"> </w:t>
      </w:r>
      <w:r w:rsidRPr="00EF0015">
        <w:rPr>
          <w:i/>
        </w:rPr>
        <w:t>Isayeva</w:t>
      </w:r>
      <w:r w:rsidR="00C81668">
        <w:t xml:space="preserve">, cited above, § </w:t>
      </w:r>
      <w:r w:rsidRPr="00EF0015">
        <w:t>212 and the cases cited therein).</w:t>
      </w:r>
    </w:p>
    <w:p w:rsidRPr="00EF0015" w:rsidR="00B12CF5" w:rsidP="00B12CF5" w:rsidRDefault="00B12CF5">
      <w:pPr>
        <w:pStyle w:val="JuPara"/>
      </w:pPr>
      <w:r w:rsidRPr="00EF0015">
        <w:fldChar w:fldCharType="begin"/>
      </w:r>
      <w:r w:rsidRPr="00EF0015">
        <w:instrText xml:space="preserve"> SEQ level0 \*arabic </w:instrText>
      </w:r>
      <w:r w:rsidRPr="00EF0015">
        <w:fldChar w:fldCharType="separate"/>
      </w:r>
      <w:r w:rsidR="00524A6D">
        <w:rPr>
          <w:noProof/>
        </w:rPr>
        <w:t>167</w:t>
      </w:r>
      <w:r w:rsidRPr="00EF0015">
        <w:fldChar w:fldCharType="end"/>
      </w:r>
      <w:r w:rsidRPr="00EF0015">
        <w:t>. </w:t>
      </w:r>
      <w:r w:rsidR="00446190">
        <w:t> </w:t>
      </w:r>
      <w:r w:rsidRPr="00EF0015">
        <w:t xml:space="preserve">For an investigation into alleged unlawful killing by State agents to be effective, it </w:t>
      </w:r>
      <w:r w:rsidR="00E571F1">
        <w:t>is</w:t>
      </w:r>
      <w:r w:rsidRPr="00EF0015">
        <w:t xml:space="preserve"> necessary for the persons responsible for and carrying out the investigation to be independent from those implicated in the events. This means not only a lack of hierarchical or institutional connection but also a practical independence</w:t>
      </w:r>
      <w:r w:rsidR="00E571F1">
        <w:t xml:space="preserve"> (see, for example, </w:t>
      </w:r>
      <w:r w:rsidR="00E571F1">
        <w:rPr>
          <w:i/>
        </w:rPr>
        <w:t>Shanaghan</w:t>
      </w:r>
      <w:r w:rsidR="00C81668">
        <w:t xml:space="preserve">, cited above, § </w:t>
      </w:r>
      <w:r w:rsidR="00E571F1">
        <w:t>104)</w:t>
      </w:r>
      <w:r w:rsidR="00C81668">
        <w:t xml:space="preserve">. </w:t>
      </w:r>
      <w:r w:rsidRPr="00EF0015">
        <w:t xml:space="preserve">A requirement of promptness and reasonable expedition is implicit in this context. While there may be obstacles or difficulties which prevent progress in an investigation in a particular situation, a prompt response by the authorities in investigating a use of lethal force may generally be regarded as essential in maintaining public confidence in their adherence to the rule of law and in preventing any appearance of collusion in </w:t>
      </w:r>
      <w:r w:rsidR="00C81668">
        <w:t xml:space="preserve">or tolerance of unlawful acts. </w:t>
      </w:r>
      <w:r w:rsidRPr="00EF0015">
        <w:t>For the same reasons, there must be a sufficient element of public scrutiny of the investigation or its results to secure accountability in practice as well as in theory. The degree of public scrutiny required may well vary from case to case. In all cases, however, the victim</w:t>
      </w:r>
      <w:r w:rsidR="008570E8">
        <w:t>’</w:t>
      </w:r>
      <w:r w:rsidRPr="00EF0015">
        <w:t>s next</w:t>
      </w:r>
      <w:r w:rsidR="004D2BB9">
        <w:t xml:space="preserve"> </w:t>
      </w:r>
      <w:r w:rsidRPr="00EF0015">
        <w:t>of</w:t>
      </w:r>
      <w:r w:rsidR="004D2BB9">
        <w:t xml:space="preserve"> </w:t>
      </w:r>
      <w:r w:rsidRPr="00EF0015">
        <w:t>kin must be involved in the procedure to the extent necessary to safeguard his or her legitimate interests (</w:t>
      </w:r>
      <w:r w:rsidR="00327BFE">
        <w:t xml:space="preserve">see </w:t>
      </w:r>
      <w:r w:rsidRPr="00EF0015">
        <w:rPr>
          <w:i/>
          <w:lang w:eastAsia="en-US"/>
        </w:rPr>
        <w:t>Ahmet Özkan and Others</w:t>
      </w:r>
      <w:r w:rsidR="00F92A1F">
        <w:rPr>
          <w:lang w:eastAsia="en-US"/>
        </w:rPr>
        <w:t>, cited above, §§ 311</w:t>
      </w:r>
      <w:r w:rsidR="00F92A1F">
        <w:rPr>
          <w:lang w:eastAsia="en-US"/>
        </w:rPr>
        <w:noBreakHyphen/>
      </w:r>
      <w:r w:rsidRPr="00EF0015">
        <w:rPr>
          <w:lang w:eastAsia="en-US"/>
        </w:rPr>
        <w:t>14</w:t>
      </w:r>
      <w:r w:rsidR="00AF7507">
        <w:rPr>
          <w:lang w:eastAsia="en-US"/>
        </w:rPr>
        <w:t>, and</w:t>
      </w:r>
      <w:r w:rsidRPr="00EF0015">
        <w:t xml:space="preserve"> </w:t>
      </w:r>
      <w:r w:rsidRPr="00EF0015">
        <w:rPr>
          <w:i/>
        </w:rPr>
        <w:t>Isayeva</w:t>
      </w:r>
      <w:r w:rsidRPr="00EF0015">
        <w:t>, cited above, §§ 211-14 and the cases cited therein).</w:t>
      </w:r>
    </w:p>
    <w:p w:rsidRPr="00EF0015" w:rsidR="00B12CF5" w:rsidP="008C7B1D" w:rsidRDefault="00C81668">
      <w:pPr>
        <w:pStyle w:val="JuHi"/>
      </w:pPr>
      <w:bookmarkStart w:name="_Toc289765907" w:id="170"/>
      <w:bookmarkStart w:name="_Toc289868993" w:id="171"/>
      <w:r>
        <w:t>(</w:t>
      </w:r>
      <w:r w:rsidR="008C7B1D">
        <w:t>ii</w:t>
      </w:r>
      <w:r>
        <w:t>)  </w:t>
      </w:r>
      <w:r w:rsidRPr="00EF0015" w:rsidR="00B12CF5">
        <w:t>Application of these principles to the facts of the case</w:t>
      </w:r>
      <w:bookmarkEnd w:id="170"/>
      <w:bookmarkEnd w:id="171"/>
    </w:p>
    <w:p w:rsidR="00C81668" w:rsidP="00B12CF5" w:rsidRDefault="00B12CF5">
      <w:pPr>
        <w:pStyle w:val="JuPara"/>
      </w:pPr>
      <w:r w:rsidRPr="00EF0015">
        <w:fldChar w:fldCharType="begin"/>
      </w:r>
      <w:r w:rsidRPr="00EF0015">
        <w:instrText xml:space="preserve"> SEQ level0 \*arabic </w:instrText>
      </w:r>
      <w:r w:rsidRPr="00EF0015">
        <w:fldChar w:fldCharType="separate"/>
      </w:r>
      <w:r w:rsidR="00524A6D">
        <w:rPr>
          <w:noProof/>
        </w:rPr>
        <w:t>168</w:t>
      </w:r>
      <w:r w:rsidRPr="00EF0015">
        <w:fldChar w:fldCharType="end"/>
      </w:r>
      <w:r w:rsidRPr="00EF0015">
        <w:t>.  </w:t>
      </w:r>
      <w:r w:rsidR="00327BFE">
        <w:t>The</w:t>
      </w:r>
      <w:r w:rsidRPr="00EF0015">
        <w:t xml:space="preserve"> Court </w:t>
      </w:r>
      <w:r w:rsidR="00327BFE">
        <w:t>takes as its starting</w:t>
      </w:r>
      <w:r w:rsidR="00C844D6">
        <w:t>-</w:t>
      </w:r>
      <w:r w:rsidR="00327BFE">
        <w:t>point</w:t>
      </w:r>
      <w:r w:rsidRPr="00EF0015">
        <w:t xml:space="preserve"> the practical problems caused to the investigat</w:t>
      </w:r>
      <w:r w:rsidR="00C27B6D">
        <w:t>ing</w:t>
      </w:r>
      <w:r w:rsidRPr="00EF0015">
        <w:t xml:space="preserve"> authorities by the fact that the United Kingdom</w:t>
      </w:r>
      <w:r w:rsidR="00E539F4">
        <w:t xml:space="preserve"> was an O</w:t>
      </w:r>
      <w:r w:rsidRPr="00EF0015">
        <w:t xml:space="preserve">ccupying </w:t>
      </w:r>
      <w:r w:rsidR="00E539F4">
        <w:t>P</w:t>
      </w:r>
      <w:r w:rsidRPr="00EF0015">
        <w:t>ower in a foreign and hostile region in the immediate aftermath of invasion and war. These practical problems included the breakdown in the civil infrastructure, leading</w:t>
      </w:r>
      <w:r w:rsidR="0002422E">
        <w:t>,</w:t>
      </w:r>
      <w:r w:rsidRPr="00EF0015">
        <w:t xml:space="preserve"> </w:t>
      </w:r>
      <w:r w:rsidRPr="00EF0015">
        <w:rPr>
          <w:i/>
        </w:rPr>
        <w:t>inter alia</w:t>
      </w:r>
      <w:r w:rsidR="0002422E">
        <w:t>,</w:t>
      </w:r>
      <w:r w:rsidRPr="00EF0015">
        <w:rPr>
          <w:i/>
        </w:rPr>
        <w:t xml:space="preserve"> </w:t>
      </w:r>
      <w:r w:rsidRPr="00EF0015">
        <w:t>to shortages of local pathologists and facilities for autopsies; the scope for linguistic and cultural misunderstandings between the occupiers and the local population; and the danger inherent in any activity in Iraq at that time. As stated above, the Court considers that in circumstances such as these the procedural duty under Article 2 must be applied realisticall</w:t>
      </w:r>
      <w:r w:rsidR="00C81668">
        <w:t xml:space="preserve">y, to take account of specific </w:t>
      </w:r>
      <w:r w:rsidRPr="00EF0015">
        <w:t>problems faced by investigators.</w:t>
      </w:r>
    </w:p>
    <w:p w:rsidR="00C81668" w:rsidP="00B12CF5" w:rsidRDefault="00B12CF5">
      <w:pPr>
        <w:pStyle w:val="JuPara"/>
      </w:pPr>
      <w:r w:rsidRPr="00EF0015">
        <w:fldChar w:fldCharType="begin"/>
      </w:r>
      <w:r w:rsidRPr="00EF0015">
        <w:instrText xml:space="preserve"> SEQ level0 \*arabic </w:instrText>
      </w:r>
      <w:r w:rsidRPr="00EF0015">
        <w:fldChar w:fldCharType="separate"/>
      </w:r>
      <w:r w:rsidR="00524A6D">
        <w:rPr>
          <w:noProof/>
        </w:rPr>
        <w:t>169</w:t>
      </w:r>
      <w:r w:rsidRPr="00EF0015">
        <w:fldChar w:fldCharType="end"/>
      </w:r>
      <w:r w:rsidRPr="00EF0015">
        <w:t xml:space="preserve">.  Nonetheless, the fact that the United Kingdom was in occupation also entailed that, if any investigation into </w:t>
      </w:r>
      <w:r w:rsidR="00FF23CF">
        <w:t>acts</w:t>
      </w:r>
      <w:r w:rsidRPr="00EF0015">
        <w:t xml:space="preserve"> allegedly committed by British soldiers was to be effective, it was particularly important that the investigating authority was, and was seen to be, </w:t>
      </w:r>
      <w:r w:rsidR="00FF23CF">
        <w:t>operationally independent of the military chain of command</w:t>
      </w:r>
      <w:r w:rsidRPr="00EF0015">
        <w:t>.</w:t>
      </w:r>
    </w:p>
    <w:p w:rsidR="00C81668" w:rsidP="00B12CF5" w:rsidRDefault="00D52F24">
      <w:pPr>
        <w:pStyle w:val="JuPara"/>
      </w:pPr>
      <w:r>
        <w:fldChar w:fldCharType="begin"/>
      </w:r>
      <w:r>
        <w:instrText xml:space="preserve"> SEQ level0 \*arabic </w:instrText>
      </w:r>
      <w:r>
        <w:fldChar w:fldCharType="separate"/>
      </w:r>
      <w:r w:rsidR="00524A6D">
        <w:rPr>
          <w:noProof/>
        </w:rPr>
        <w:t>170</w:t>
      </w:r>
      <w:r>
        <w:fldChar w:fldCharType="end"/>
      </w:r>
      <w:r>
        <w:t>.  </w:t>
      </w:r>
      <w:r w:rsidRPr="00EF0015" w:rsidR="00B12CF5">
        <w:t>It was not in issue in the first</w:t>
      </w:r>
      <w:r w:rsidRPr="00EF0015" w:rsidR="006D040C">
        <w:t xml:space="preserve">, </w:t>
      </w:r>
      <w:r w:rsidRPr="00EF0015" w:rsidR="00B12CF5">
        <w:t>second</w:t>
      </w:r>
      <w:r w:rsidRPr="00EF0015" w:rsidR="006D040C">
        <w:t xml:space="preserve"> and </w:t>
      </w:r>
      <w:r w:rsidRPr="00EF0015" w:rsidR="00B12CF5">
        <w:t xml:space="preserve">fourth </w:t>
      </w:r>
      <w:r w:rsidRPr="00EF0015" w:rsidR="006D040C">
        <w:t>applicants</w:t>
      </w:r>
      <w:r w:rsidR="008570E8">
        <w:t>’</w:t>
      </w:r>
      <w:r w:rsidRPr="00EF0015" w:rsidR="006D040C">
        <w:t xml:space="preserve"> case</w:t>
      </w:r>
      <w:r w:rsidRPr="00EF0015" w:rsidR="00B12CF5">
        <w:t>s that their relatives were shot by British soldier</w:t>
      </w:r>
      <w:r w:rsidRPr="00EF0015" w:rsidR="006D040C">
        <w:t>s, whose identities were</w:t>
      </w:r>
      <w:r w:rsidRPr="00EF0015" w:rsidR="00B12CF5">
        <w:t xml:space="preserve"> known. The question </w:t>
      </w:r>
      <w:r>
        <w:t>for</w:t>
      </w:r>
      <w:r w:rsidRPr="00EF0015" w:rsidR="00B12CF5">
        <w:t xml:space="preserve"> </w:t>
      </w:r>
      <w:r w:rsidRPr="00EF0015" w:rsidR="006D040C">
        <w:t>investigat</w:t>
      </w:r>
      <w:r>
        <w:t>ion</w:t>
      </w:r>
      <w:r w:rsidRPr="00EF0015" w:rsidR="006D040C">
        <w:t xml:space="preserve"> </w:t>
      </w:r>
      <w:r w:rsidRPr="00EF0015" w:rsidR="00B12CF5">
        <w:t xml:space="preserve">was whether </w:t>
      </w:r>
      <w:r>
        <w:t xml:space="preserve">in each case </w:t>
      </w:r>
      <w:r w:rsidRPr="00EF0015" w:rsidR="00B12CF5">
        <w:t xml:space="preserve">the soldier fired in </w:t>
      </w:r>
      <w:r w:rsidR="00FF23CF">
        <w:t xml:space="preserve">conformity with the </w:t>
      </w:r>
      <w:r w:rsidR="00C27B6D">
        <w:t>r</w:t>
      </w:r>
      <w:r w:rsidR="00FF23CF">
        <w:t xml:space="preserve">ules of </w:t>
      </w:r>
      <w:r w:rsidR="00C27B6D">
        <w:t>e</w:t>
      </w:r>
      <w:r w:rsidR="00FF23CF">
        <w:t>ngagement</w:t>
      </w:r>
      <w:r w:rsidRPr="00EF0015" w:rsidR="006D040C">
        <w:t xml:space="preserve">. </w:t>
      </w:r>
      <w:r w:rsidRPr="00EF0015" w:rsidR="003C79DF">
        <w:t xml:space="preserve">In respect of the third applicant, Article 2 required an investigation to determine the circumstances of the shooting, including whether appropriate steps were taken to safeguard civilians in the vicinity. </w:t>
      </w:r>
      <w:r>
        <w:t>As regards the fifth applicant</w:t>
      </w:r>
      <w:r w:rsidR="008570E8">
        <w:t>’</w:t>
      </w:r>
      <w:r>
        <w:t>s son, a</w:t>
      </w:r>
      <w:r w:rsidRPr="00EF0015">
        <w:t xml:space="preserve">lthough the Court has not been provided with the </w:t>
      </w:r>
      <w:r w:rsidR="00F92A1F">
        <w:t>documents relating to the court</w:t>
      </w:r>
      <w:r w:rsidR="00C27B6D">
        <w:t xml:space="preserve"> </w:t>
      </w:r>
      <w:r w:rsidRPr="00EF0015">
        <w:t>martial</w:t>
      </w:r>
      <w:r>
        <w:t xml:space="preserve">, </w:t>
      </w:r>
      <w:r w:rsidRPr="00EF0015">
        <w:t xml:space="preserve">it appears to have been accepted that he died of drowning. </w:t>
      </w:r>
      <w:r>
        <w:t>It</w:t>
      </w:r>
      <w:r w:rsidR="007A26CE">
        <w:t xml:space="preserve"> </w:t>
      </w:r>
      <w:r w:rsidRPr="00EF0015" w:rsidR="006D040C">
        <w:t xml:space="preserve">needed to be determined </w:t>
      </w:r>
      <w:r w:rsidRPr="00EF0015" w:rsidR="00B12CF5">
        <w:t xml:space="preserve">whether British soldiers had, as alleged, beaten </w:t>
      </w:r>
      <w:r>
        <w:t>the boy</w:t>
      </w:r>
      <w:r w:rsidRPr="00EF0015" w:rsidR="00B12CF5">
        <w:t xml:space="preserve"> and</w:t>
      </w:r>
      <w:r w:rsidRPr="00EF0015" w:rsidR="006D040C">
        <w:t xml:space="preserve"> forced him into the </w:t>
      </w:r>
      <w:r>
        <w:t>water</w:t>
      </w:r>
      <w:r w:rsidRPr="00EF0015" w:rsidR="006D040C">
        <w:t xml:space="preserve">. In </w:t>
      </w:r>
      <w:r w:rsidRPr="00EF0015" w:rsidR="00B12CF5">
        <w:t>each case</w:t>
      </w:r>
      <w:r w:rsidR="00C27B6D">
        <w:t>,</w:t>
      </w:r>
      <w:r w:rsidRPr="00EF0015" w:rsidR="00B12CF5">
        <w:t xml:space="preserve"> eyewitness testimony was crucial. It was therefore essential that, as quickly after the event as possible, the military witnesses, and in particular the alleged perpetrators, should have been questioned by an expert and fully independent </w:t>
      </w:r>
      <w:r w:rsidR="00FF23CF">
        <w:t>investigator</w:t>
      </w:r>
      <w:r w:rsidRPr="00EF0015" w:rsidR="00B12CF5">
        <w:t>. Similarly, every effort should have been taken to identify Iraqi eyewitnesses and to persuade them that they would not place themselves at risk by coming forward and giving information and that their evidence would be treated seriously and acted upon without delay.</w:t>
      </w:r>
    </w:p>
    <w:p w:rsidRPr="00EF0015" w:rsidR="00B12CF5" w:rsidP="00B12CF5" w:rsidRDefault="00B12CF5">
      <w:pPr>
        <w:pStyle w:val="JuPara"/>
        <w:rPr>
          <w:lang w:eastAsia="en-US"/>
        </w:rPr>
      </w:pPr>
      <w:r w:rsidRPr="00EF0015">
        <w:rPr>
          <w:lang w:eastAsia="en-US"/>
        </w:rPr>
        <w:fldChar w:fldCharType="begin"/>
      </w:r>
      <w:r w:rsidRPr="00EF0015">
        <w:rPr>
          <w:lang w:eastAsia="en-US"/>
        </w:rPr>
        <w:instrText xml:space="preserve"> SEQ level0 \*arabic </w:instrText>
      </w:r>
      <w:r w:rsidRPr="00EF0015">
        <w:rPr>
          <w:lang w:eastAsia="en-US"/>
        </w:rPr>
        <w:fldChar w:fldCharType="separate"/>
      </w:r>
      <w:r w:rsidR="00524A6D">
        <w:rPr>
          <w:noProof/>
          <w:lang w:eastAsia="en-US"/>
        </w:rPr>
        <w:t>171</w:t>
      </w:r>
      <w:r w:rsidRPr="00EF0015">
        <w:rPr>
          <w:lang w:eastAsia="en-US"/>
        </w:rPr>
        <w:fldChar w:fldCharType="end"/>
      </w:r>
      <w:r w:rsidR="00C81668">
        <w:rPr>
          <w:lang w:eastAsia="en-US"/>
        </w:rPr>
        <w:t>.  </w:t>
      </w:r>
      <w:r w:rsidRPr="00EF0015">
        <w:rPr>
          <w:lang w:eastAsia="en-US"/>
        </w:rPr>
        <w:t>It is clear that the investigations into the shooting of the first</w:t>
      </w:r>
      <w:r w:rsidRPr="00EF0015" w:rsidR="003C79DF">
        <w:rPr>
          <w:lang w:eastAsia="en-US"/>
        </w:rPr>
        <w:t>,</w:t>
      </w:r>
      <w:r w:rsidRPr="00EF0015">
        <w:rPr>
          <w:lang w:eastAsia="en-US"/>
        </w:rPr>
        <w:t xml:space="preserve"> second</w:t>
      </w:r>
      <w:r w:rsidRPr="00EF0015" w:rsidR="003C79DF">
        <w:rPr>
          <w:lang w:eastAsia="en-US"/>
        </w:rPr>
        <w:t xml:space="preserve"> and third</w:t>
      </w:r>
      <w:r w:rsidRPr="00EF0015">
        <w:rPr>
          <w:lang w:eastAsia="en-US"/>
        </w:rPr>
        <w:t xml:space="preserve"> applicants</w:t>
      </w:r>
      <w:r w:rsidR="008570E8">
        <w:rPr>
          <w:lang w:eastAsia="en-US"/>
        </w:rPr>
        <w:t>’</w:t>
      </w:r>
      <w:r w:rsidRPr="00EF0015">
        <w:rPr>
          <w:lang w:eastAsia="en-US"/>
        </w:rPr>
        <w:t xml:space="preserve"> relatives fell short of the requirements of Article 2, since the investigation process remained entirely within the military chain of command and was limited to taking statements from the soldiers involved. Moreover, the Gov</w:t>
      </w:r>
      <w:r w:rsidRPr="00EF0015" w:rsidR="006D040C">
        <w:rPr>
          <w:lang w:eastAsia="en-US"/>
        </w:rPr>
        <w:t>ernment accept this conclusion.</w:t>
      </w:r>
    </w:p>
    <w:p w:rsidRPr="00EF0015" w:rsidR="00B12CF5" w:rsidP="00B12CF5" w:rsidRDefault="00B12CF5">
      <w:pPr>
        <w:pStyle w:val="JuPara"/>
        <w:rPr>
          <w:lang w:eastAsia="en-US"/>
        </w:rPr>
      </w:pPr>
      <w:r w:rsidRPr="00EF0015">
        <w:rPr>
          <w:lang w:eastAsia="en-US"/>
        </w:rPr>
        <w:fldChar w:fldCharType="begin"/>
      </w:r>
      <w:r w:rsidRPr="00EF0015">
        <w:rPr>
          <w:lang w:eastAsia="en-US"/>
        </w:rPr>
        <w:instrText xml:space="preserve"> SEQ level0 \*arabic </w:instrText>
      </w:r>
      <w:r w:rsidRPr="00EF0015">
        <w:rPr>
          <w:lang w:eastAsia="en-US"/>
        </w:rPr>
        <w:fldChar w:fldCharType="separate"/>
      </w:r>
      <w:r w:rsidR="00524A6D">
        <w:rPr>
          <w:noProof/>
          <w:lang w:eastAsia="en-US"/>
        </w:rPr>
        <w:t>172</w:t>
      </w:r>
      <w:r w:rsidRPr="00EF0015">
        <w:rPr>
          <w:lang w:eastAsia="en-US"/>
        </w:rPr>
        <w:fldChar w:fldCharType="end"/>
      </w:r>
      <w:r w:rsidRPr="00EF0015">
        <w:rPr>
          <w:lang w:eastAsia="en-US"/>
        </w:rPr>
        <w:t>.  </w:t>
      </w:r>
      <w:r w:rsidR="00E539F4">
        <w:rPr>
          <w:lang w:eastAsia="en-US"/>
        </w:rPr>
        <w:t>As regards the other applicants, a</w:t>
      </w:r>
      <w:r w:rsidRPr="00EF0015">
        <w:rPr>
          <w:lang w:eastAsia="en-US"/>
        </w:rPr>
        <w:t xml:space="preserve">lthough there was an investigation by the </w:t>
      </w:r>
      <w:r w:rsidRPr="00EF0015" w:rsidR="00E506FC">
        <w:rPr>
          <w:lang w:eastAsia="en-US"/>
        </w:rPr>
        <w:t xml:space="preserve">Special Investigation Branch into the death of the </w:t>
      </w:r>
      <w:r w:rsidRPr="00EF0015">
        <w:rPr>
          <w:lang w:eastAsia="en-US"/>
        </w:rPr>
        <w:t>fourth applicant</w:t>
      </w:r>
      <w:r w:rsidR="008570E8">
        <w:rPr>
          <w:lang w:eastAsia="en-US"/>
        </w:rPr>
        <w:t>’</w:t>
      </w:r>
      <w:r w:rsidRPr="00EF0015">
        <w:rPr>
          <w:lang w:eastAsia="en-US"/>
        </w:rPr>
        <w:t>s brother and the fifth applicant</w:t>
      </w:r>
      <w:r w:rsidR="008570E8">
        <w:rPr>
          <w:lang w:eastAsia="en-US"/>
        </w:rPr>
        <w:t>’</w:t>
      </w:r>
      <w:r w:rsidRPr="00EF0015">
        <w:rPr>
          <w:lang w:eastAsia="en-US"/>
        </w:rPr>
        <w:t>s son, the Court does not consider that this was sufficient to comply w</w:t>
      </w:r>
      <w:r w:rsidR="00C81668">
        <w:rPr>
          <w:lang w:eastAsia="en-US"/>
        </w:rPr>
        <w:t xml:space="preserve">ith the requirements of Article </w:t>
      </w:r>
      <w:r w:rsidRPr="00EF0015">
        <w:rPr>
          <w:lang w:eastAsia="en-US"/>
        </w:rPr>
        <w:t>2. It is true that the Royal Military Police, including its Special Investigation Branch, had a separate chain of command from the soldiers on combat duty whom it was required to investigate. However, as the domestic cour</w:t>
      </w:r>
      <w:r w:rsidR="00C81668">
        <w:rPr>
          <w:lang w:eastAsia="en-US"/>
        </w:rPr>
        <w:t xml:space="preserve">ts observed (see </w:t>
      </w:r>
      <w:r w:rsidRPr="00EF0015">
        <w:rPr>
          <w:lang w:eastAsia="en-US"/>
        </w:rPr>
        <w:t xml:space="preserve">paragraphs </w:t>
      </w:r>
      <w:r w:rsidR="00E539F4">
        <w:rPr>
          <w:lang w:eastAsia="en-US"/>
        </w:rPr>
        <w:t>77</w:t>
      </w:r>
      <w:r w:rsidRPr="00EF0015">
        <w:rPr>
          <w:lang w:eastAsia="en-US"/>
        </w:rPr>
        <w:t xml:space="preserve"> and </w:t>
      </w:r>
      <w:r w:rsidR="00E539F4">
        <w:rPr>
          <w:lang w:eastAsia="en-US"/>
        </w:rPr>
        <w:t>82</w:t>
      </w:r>
      <w:r w:rsidRPr="00EF0015">
        <w:rPr>
          <w:lang w:eastAsia="en-US"/>
        </w:rPr>
        <w:t xml:space="preserve"> above), the </w:t>
      </w:r>
      <w:r w:rsidRPr="00EF0015" w:rsidR="00E506FC">
        <w:rPr>
          <w:lang w:eastAsia="en-US"/>
        </w:rPr>
        <w:t xml:space="preserve">Special Investigation Branch </w:t>
      </w:r>
      <w:r w:rsidRPr="00EF0015">
        <w:rPr>
          <w:lang w:eastAsia="en-US"/>
        </w:rPr>
        <w:t xml:space="preserve">was not, during the relevant period, operationally independent from the military chain of command. It was generally for the Commanding Officer of the unit involved in the incident to decide whether the </w:t>
      </w:r>
      <w:r w:rsidRPr="00EF0015" w:rsidR="00E506FC">
        <w:rPr>
          <w:lang w:eastAsia="en-US"/>
        </w:rPr>
        <w:t xml:space="preserve">Special Investigation Branch </w:t>
      </w:r>
      <w:r w:rsidRPr="00EF0015">
        <w:rPr>
          <w:lang w:eastAsia="en-US"/>
        </w:rPr>
        <w:t xml:space="preserve">should be called in. If the </w:t>
      </w:r>
      <w:r w:rsidRPr="00EF0015" w:rsidR="00E506FC">
        <w:rPr>
          <w:lang w:eastAsia="en-US"/>
        </w:rPr>
        <w:t xml:space="preserve">Special Investigation Branch </w:t>
      </w:r>
      <w:r w:rsidRPr="00EF0015">
        <w:rPr>
          <w:lang w:eastAsia="en-US"/>
        </w:rPr>
        <w:t>decided on its own initiative to commence an investigation, this investigation could be closed at the request of the military chain of command, as demonstrated in the fourth applicant</w:t>
      </w:r>
      <w:r w:rsidR="008570E8">
        <w:rPr>
          <w:lang w:eastAsia="en-US"/>
        </w:rPr>
        <w:t>’</w:t>
      </w:r>
      <w:r w:rsidRPr="00EF0015">
        <w:rPr>
          <w:lang w:eastAsia="en-US"/>
        </w:rPr>
        <w:t xml:space="preserve">s case. On conclusion of a </w:t>
      </w:r>
      <w:r w:rsidRPr="00EF0015" w:rsidR="00E506FC">
        <w:rPr>
          <w:lang w:eastAsia="en-US"/>
        </w:rPr>
        <w:t xml:space="preserve">Special Investigation Branch </w:t>
      </w:r>
      <w:r w:rsidRPr="00EF0015">
        <w:rPr>
          <w:lang w:eastAsia="en-US"/>
        </w:rPr>
        <w:t xml:space="preserve">investigation, the report was sent to the Commanding Officer, who was responsible for deciding whether or not the case should be referred to the </w:t>
      </w:r>
      <w:r w:rsidR="002F5B04">
        <w:rPr>
          <w:lang w:eastAsia="en-US"/>
        </w:rPr>
        <w:t>Army P</w:t>
      </w:r>
      <w:r w:rsidRPr="00EF0015">
        <w:rPr>
          <w:lang w:eastAsia="en-US"/>
        </w:rPr>
        <w:t xml:space="preserve">rosecuting </w:t>
      </w:r>
      <w:r w:rsidR="002F5B04">
        <w:rPr>
          <w:lang w:eastAsia="en-US"/>
        </w:rPr>
        <w:t>A</w:t>
      </w:r>
      <w:r w:rsidRPr="00EF0015">
        <w:rPr>
          <w:lang w:eastAsia="en-US"/>
        </w:rPr>
        <w:t xml:space="preserve">uthority. The Court considers, in agreement with Brooke LJ (see paragraph </w:t>
      </w:r>
      <w:r w:rsidRPr="00EF0015" w:rsidR="00E93EE8">
        <w:rPr>
          <w:lang w:eastAsia="en-US"/>
        </w:rPr>
        <w:t>8</w:t>
      </w:r>
      <w:r w:rsidR="00E539F4">
        <w:rPr>
          <w:lang w:eastAsia="en-US"/>
        </w:rPr>
        <w:t>2</w:t>
      </w:r>
      <w:r w:rsidRPr="00EF0015">
        <w:rPr>
          <w:lang w:eastAsia="en-US"/>
        </w:rPr>
        <w:t xml:space="preserve"> above), that the fact that the </w:t>
      </w:r>
      <w:r w:rsidRPr="00EF0015" w:rsidR="00E506FC">
        <w:rPr>
          <w:lang w:eastAsia="en-US"/>
        </w:rPr>
        <w:t xml:space="preserve">Special Investigation Branch </w:t>
      </w:r>
      <w:r w:rsidRPr="00EF0015">
        <w:rPr>
          <w:lang w:eastAsia="en-US"/>
        </w:rPr>
        <w:t>was not “free to decide for itself when to start and cease an investigation” and did not report “in the first instance to the [Army Prosecuting Authority]” rather than to the military chain of command, meant that it could not be seen as sufficiently independent from the soldiers implicated in the events to satisfy the requirements of Article 2.</w:t>
      </w:r>
    </w:p>
    <w:p w:rsidRPr="00EF0015" w:rsidR="00B12CF5" w:rsidP="00E44D04" w:rsidRDefault="00B12CF5">
      <w:pPr>
        <w:pStyle w:val="JuPara"/>
        <w:rPr>
          <w:lang w:eastAsia="en-US"/>
        </w:rPr>
      </w:pPr>
      <w:r w:rsidRPr="00EF0015">
        <w:rPr>
          <w:lang w:eastAsia="en-US"/>
        </w:rPr>
        <w:fldChar w:fldCharType="begin"/>
      </w:r>
      <w:r w:rsidRPr="00EF0015">
        <w:rPr>
          <w:lang w:eastAsia="en-US"/>
        </w:rPr>
        <w:instrText xml:space="preserve"> SEQ level0 \*arabic </w:instrText>
      </w:r>
      <w:r w:rsidRPr="00EF0015">
        <w:rPr>
          <w:lang w:eastAsia="en-US"/>
        </w:rPr>
        <w:fldChar w:fldCharType="separate"/>
      </w:r>
      <w:r w:rsidR="00524A6D">
        <w:rPr>
          <w:noProof/>
          <w:lang w:eastAsia="en-US"/>
        </w:rPr>
        <w:t>173</w:t>
      </w:r>
      <w:r w:rsidRPr="00EF0015">
        <w:rPr>
          <w:lang w:eastAsia="en-US"/>
        </w:rPr>
        <w:fldChar w:fldCharType="end"/>
      </w:r>
      <w:r w:rsidRPr="00EF0015">
        <w:rPr>
          <w:lang w:eastAsia="en-US"/>
        </w:rPr>
        <w:t>.  It follows that the initial investigation into the shooti</w:t>
      </w:r>
      <w:r w:rsidR="00C81668">
        <w:rPr>
          <w:lang w:eastAsia="en-US"/>
        </w:rPr>
        <w:t xml:space="preserve">ng of the </w:t>
      </w:r>
      <w:r w:rsidRPr="00EF0015">
        <w:rPr>
          <w:lang w:eastAsia="en-US"/>
        </w:rPr>
        <w:t>fourth applicant</w:t>
      </w:r>
      <w:r w:rsidR="008570E8">
        <w:rPr>
          <w:lang w:eastAsia="en-US"/>
        </w:rPr>
        <w:t>’</w:t>
      </w:r>
      <w:r w:rsidRPr="00EF0015">
        <w:rPr>
          <w:lang w:eastAsia="en-US"/>
        </w:rPr>
        <w:t xml:space="preserve">s brother was flawed by the lack of independence of the </w:t>
      </w:r>
      <w:r w:rsidRPr="00EF0015" w:rsidR="00E506FC">
        <w:rPr>
          <w:lang w:eastAsia="en-US"/>
        </w:rPr>
        <w:t xml:space="preserve">Special Investigation Branch </w:t>
      </w:r>
      <w:r w:rsidRPr="00EF0015">
        <w:rPr>
          <w:lang w:eastAsia="en-US"/>
        </w:rPr>
        <w:t>officers. During the initial phase of the investigation, material was collected from the scene of the shooting and statements were taken from the soldiers p</w:t>
      </w:r>
      <w:r w:rsidR="00E44D04">
        <w:rPr>
          <w:lang w:eastAsia="en-US"/>
        </w:rPr>
        <w:t>resent. However, Lance Corporal </w:t>
      </w:r>
      <w:r w:rsidRPr="00EF0015">
        <w:rPr>
          <w:lang w:eastAsia="en-US"/>
        </w:rPr>
        <w:t>S</w:t>
      </w:r>
      <w:r w:rsidR="002F5B04">
        <w:rPr>
          <w:lang w:eastAsia="en-US"/>
        </w:rPr>
        <w:t>.</w:t>
      </w:r>
      <w:r w:rsidRPr="00EF0015">
        <w:rPr>
          <w:lang w:eastAsia="en-US"/>
        </w:rPr>
        <w:t>, the soldier who shot the applicant</w:t>
      </w:r>
      <w:r w:rsidR="008570E8">
        <w:rPr>
          <w:lang w:eastAsia="en-US"/>
        </w:rPr>
        <w:t>’</w:t>
      </w:r>
      <w:r w:rsidRPr="00EF0015">
        <w:rPr>
          <w:lang w:eastAsia="en-US"/>
        </w:rPr>
        <w:t xml:space="preserve">s brother, was not questioned by </w:t>
      </w:r>
      <w:r w:rsidRPr="00EF0015" w:rsidR="00E506FC">
        <w:rPr>
          <w:lang w:eastAsia="en-US"/>
        </w:rPr>
        <w:t xml:space="preserve">Special Investigation Branch </w:t>
      </w:r>
      <w:r w:rsidRPr="00EF0015">
        <w:rPr>
          <w:lang w:eastAsia="en-US"/>
        </w:rPr>
        <w:t xml:space="preserve">investigators during this initial phase. It appears that the </w:t>
      </w:r>
      <w:r w:rsidRPr="00EF0015" w:rsidR="00E506FC">
        <w:rPr>
          <w:lang w:eastAsia="en-US"/>
        </w:rPr>
        <w:t xml:space="preserve">Special Investigation Branch </w:t>
      </w:r>
      <w:r w:rsidRPr="00EF0015">
        <w:rPr>
          <w:lang w:eastAsia="en-US"/>
        </w:rPr>
        <w:t xml:space="preserve">interviewed four Iraqi witnesses, who may have included the neighbours the applicant believes to have witnessed the shooting, but did not take statements from them. In any event, as a result of the lack of independence, the investigation was terminated while still incomplete. It was subsequently reopened, some nine months later, and it would appear that forensic tests were carried out at that stage on the material collected from the scene, including the bullet fragments and </w:t>
      </w:r>
      <w:r w:rsidR="00A52396">
        <w:rPr>
          <w:lang w:eastAsia="en-US"/>
        </w:rPr>
        <w:t xml:space="preserve">the </w:t>
      </w:r>
      <w:r w:rsidRPr="00EF0015">
        <w:rPr>
          <w:lang w:eastAsia="en-US"/>
        </w:rPr>
        <w:t xml:space="preserve">vehicle. The </w:t>
      </w:r>
      <w:r w:rsidRPr="00EF0015" w:rsidR="00E506FC">
        <w:rPr>
          <w:lang w:eastAsia="en-US"/>
        </w:rPr>
        <w:t xml:space="preserve">Special Investigation Branch </w:t>
      </w:r>
      <w:r w:rsidRPr="00EF0015">
        <w:rPr>
          <w:lang w:eastAsia="en-US"/>
        </w:rPr>
        <w:t>report was sent to the Commanding Officer, who decided to refer the case to the A</w:t>
      </w:r>
      <w:r w:rsidRPr="00EF0015" w:rsidR="004F05F5">
        <w:rPr>
          <w:lang w:eastAsia="en-US"/>
        </w:rPr>
        <w:t xml:space="preserve">rmy </w:t>
      </w:r>
      <w:r w:rsidRPr="00EF0015">
        <w:rPr>
          <w:lang w:eastAsia="en-US"/>
        </w:rPr>
        <w:t>P</w:t>
      </w:r>
      <w:r w:rsidRPr="00EF0015" w:rsidR="004F05F5">
        <w:rPr>
          <w:lang w:eastAsia="en-US"/>
        </w:rPr>
        <w:t xml:space="preserve">rosecuting </w:t>
      </w:r>
      <w:r w:rsidRPr="00EF0015">
        <w:rPr>
          <w:lang w:eastAsia="en-US"/>
        </w:rPr>
        <w:t>A</w:t>
      </w:r>
      <w:r w:rsidRPr="00EF0015" w:rsidR="004F05F5">
        <w:rPr>
          <w:lang w:eastAsia="en-US"/>
        </w:rPr>
        <w:t>uthority</w:t>
      </w:r>
      <w:r w:rsidRPr="00EF0015">
        <w:rPr>
          <w:lang w:eastAsia="en-US"/>
        </w:rPr>
        <w:t xml:space="preserve">. </w:t>
      </w:r>
      <w:r w:rsidRPr="00EF0015" w:rsidR="004F05F5">
        <w:rPr>
          <w:lang w:eastAsia="en-US"/>
        </w:rPr>
        <w:t>The</w:t>
      </w:r>
      <w:r w:rsidRPr="00EF0015">
        <w:rPr>
          <w:lang w:eastAsia="en-US"/>
        </w:rPr>
        <w:t xml:space="preserve"> prosecutors took depositions from the soldiers who witnessed the incident and decided, having taken further independent legal advice, that there was no evidence that Lance Corporal S</w:t>
      </w:r>
      <w:r w:rsidR="00A52396">
        <w:rPr>
          <w:lang w:eastAsia="en-US"/>
        </w:rPr>
        <w:t>.</w:t>
      </w:r>
      <w:r w:rsidRPr="00EF0015">
        <w:rPr>
          <w:lang w:eastAsia="en-US"/>
        </w:rPr>
        <w:t xml:space="preserve"> had not acted in legitimate self-defence. As previously stated, eyewitness testimony was central in this case, since the cause of the death was not in dispute. The Court considers that the long period of time that was allowed to elapse before Lance Corporal S</w:t>
      </w:r>
      <w:r w:rsidR="00A52396">
        <w:rPr>
          <w:lang w:eastAsia="en-US"/>
        </w:rPr>
        <w:t>.</w:t>
      </w:r>
      <w:r w:rsidRPr="00EF0015">
        <w:rPr>
          <w:lang w:eastAsia="en-US"/>
        </w:rPr>
        <w:t xml:space="preserve"> was questioned about the incident, combined with the delay in having a fully independent investigator interview the other military witnesses, entailed a high risk that the evidence was contaminated and unreliable by the time the A</w:t>
      </w:r>
      <w:r w:rsidRPr="00EF0015" w:rsidR="004F05F5">
        <w:rPr>
          <w:lang w:eastAsia="en-US"/>
        </w:rPr>
        <w:t xml:space="preserve">rmy </w:t>
      </w:r>
      <w:r w:rsidRPr="00EF0015">
        <w:rPr>
          <w:lang w:eastAsia="en-US"/>
        </w:rPr>
        <w:t>P</w:t>
      </w:r>
      <w:r w:rsidRPr="00EF0015" w:rsidR="004F05F5">
        <w:rPr>
          <w:lang w:eastAsia="en-US"/>
        </w:rPr>
        <w:t xml:space="preserve">rosecuting </w:t>
      </w:r>
      <w:r w:rsidRPr="00EF0015">
        <w:rPr>
          <w:lang w:eastAsia="en-US"/>
        </w:rPr>
        <w:t>A</w:t>
      </w:r>
      <w:r w:rsidRPr="00EF0015" w:rsidR="004F05F5">
        <w:rPr>
          <w:lang w:eastAsia="en-US"/>
        </w:rPr>
        <w:t>uthority</w:t>
      </w:r>
      <w:r w:rsidRPr="00EF0015">
        <w:rPr>
          <w:lang w:eastAsia="en-US"/>
        </w:rPr>
        <w:t xml:space="preserve"> came to consider it. Moreover, it does not appear that any fully independent investigator took evidence from the Iraqi neighbours who the applicant claims witnessed the shooting</w:t>
      </w:r>
      <w:r w:rsidRPr="00EF0015" w:rsidR="004F05F5">
        <w:rPr>
          <w:lang w:eastAsia="en-US"/>
        </w:rPr>
        <w:t>.</w:t>
      </w:r>
    </w:p>
    <w:p w:rsidR="00C81668" w:rsidP="00B12CF5" w:rsidRDefault="00B12CF5">
      <w:pPr>
        <w:pStyle w:val="JuPara"/>
        <w:rPr>
          <w:lang w:eastAsia="en-US"/>
        </w:rPr>
      </w:pPr>
      <w:r w:rsidRPr="00EF0015">
        <w:rPr>
          <w:lang w:eastAsia="en-US"/>
        </w:rPr>
        <w:fldChar w:fldCharType="begin"/>
      </w:r>
      <w:r w:rsidRPr="00EF0015">
        <w:rPr>
          <w:lang w:eastAsia="en-US"/>
        </w:rPr>
        <w:instrText xml:space="preserve"> SEQ level0 \*arabic </w:instrText>
      </w:r>
      <w:r w:rsidRPr="00EF0015">
        <w:rPr>
          <w:lang w:eastAsia="en-US"/>
        </w:rPr>
        <w:fldChar w:fldCharType="separate"/>
      </w:r>
      <w:r w:rsidR="00524A6D">
        <w:rPr>
          <w:noProof/>
          <w:lang w:eastAsia="en-US"/>
        </w:rPr>
        <w:t>174</w:t>
      </w:r>
      <w:r w:rsidRPr="00EF0015">
        <w:rPr>
          <w:lang w:eastAsia="en-US"/>
        </w:rPr>
        <w:fldChar w:fldCharType="end"/>
      </w:r>
      <w:r w:rsidRPr="00EF0015">
        <w:rPr>
          <w:lang w:eastAsia="en-US"/>
        </w:rPr>
        <w:t>.  While there is no evidence that the military chain of command attempted to intervene in the investigation into the fifth applicant</w:t>
      </w:r>
      <w:r w:rsidR="008570E8">
        <w:rPr>
          <w:lang w:eastAsia="en-US"/>
        </w:rPr>
        <w:t>’</w:t>
      </w:r>
      <w:r w:rsidRPr="00EF0015">
        <w:rPr>
          <w:lang w:eastAsia="en-US"/>
        </w:rPr>
        <w:t>s son</w:t>
      </w:r>
      <w:r w:rsidR="008570E8">
        <w:rPr>
          <w:lang w:eastAsia="en-US"/>
        </w:rPr>
        <w:t>’</w:t>
      </w:r>
      <w:r w:rsidRPr="00EF0015">
        <w:rPr>
          <w:lang w:eastAsia="en-US"/>
        </w:rPr>
        <w:t xml:space="preserve">s death, the Court considers that the </w:t>
      </w:r>
      <w:r w:rsidRPr="00EF0015" w:rsidR="00E506FC">
        <w:rPr>
          <w:lang w:eastAsia="en-US"/>
        </w:rPr>
        <w:t xml:space="preserve">Special Investigation Branch </w:t>
      </w:r>
      <w:r w:rsidRPr="00EF0015">
        <w:rPr>
          <w:lang w:eastAsia="en-US"/>
        </w:rPr>
        <w:t>investigators lacked independence for the reasons set out above. In addition, no explanation has been provided by the Government in respect of the long delay between the death and the court</w:t>
      </w:r>
      <w:r w:rsidR="006B63BD">
        <w:rPr>
          <w:lang w:eastAsia="en-US"/>
        </w:rPr>
        <w:t xml:space="preserve"> </w:t>
      </w:r>
      <w:r w:rsidRPr="00EF0015">
        <w:rPr>
          <w:lang w:eastAsia="en-US"/>
        </w:rPr>
        <w:t>martial. It appears that the delay seriously undermined the effectiveness of the investigation, not least because some of the soldiers accused of involvement in the incident were by then untraceable (see, in this respect, the comments in the Aitken Report, paragraph 6</w:t>
      </w:r>
      <w:r w:rsidR="00E539F4">
        <w:rPr>
          <w:lang w:eastAsia="en-US"/>
        </w:rPr>
        <w:t>1</w:t>
      </w:r>
      <w:r w:rsidR="007A26CE">
        <w:rPr>
          <w:lang w:eastAsia="en-US"/>
        </w:rPr>
        <w:t xml:space="preserve"> above). </w:t>
      </w:r>
      <w:r w:rsidRPr="00EF0015">
        <w:rPr>
          <w:lang w:eastAsia="en-US"/>
        </w:rPr>
        <w:t xml:space="preserve">Moreover, the Court considers that the narrow focus of the criminal proceedings against the accused soldiers was inadequate to satisfy the requirements of Article 2 in the particular circumstances of this case. There appears to be at least </w:t>
      </w:r>
      <w:r w:rsidRPr="00D8100E">
        <w:rPr>
          <w:lang w:eastAsia="en-US"/>
        </w:rPr>
        <w:t>prima facie</w:t>
      </w:r>
      <w:r w:rsidRPr="00EF0015">
        <w:rPr>
          <w:i/>
          <w:lang w:eastAsia="en-US"/>
        </w:rPr>
        <w:t xml:space="preserve"> </w:t>
      </w:r>
      <w:r w:rsidRPr="00EF0015">
        <w:rPr>
          <w:lang w:eastAsia="en-US"/>
        </w:rPr>
        <w:t>evidence that the applicant</w:t>
      </w:r>
      <w:r w:rsidR="008570E8">
        <w:rPr>
          <w:lang w:eastAsia="en-US"/>
        </w:rPr>
        <w:t>’</w:t>
      </w:r>
      <w:r w:rsidRPr="00EF0015">
        <w:rPr>
          <w:lang w:eastAsia="en-US"/>
        </w:rPr>
        <w:t>s son, a minor, was taken into the custody of British soldiers who were assisting the Iraqi police to take measures to combat looting and that, as a result of his mistreatment by the soldiers, he drowned. In these circumstances, the Court considers that Article 2 required an independent examination, accessible to the victim</w:t>
      </w:r>
      <w:r w:rsidR="008570E8">
        <w:rPr>
          <w:lang w:eastAsia="en-US"/>
        </w:rPr>
        <w:t>’</w:t>
      </w:r>
      <w:r w:rsidRPr="00EF0015">
        <w:rPr>
          <w:lang w:eastAsia="en-US"/>
        </w:rPr>
        <w:t>s family and to the public, of the broader issues of State responsibility for the death, including the instructions, training and supervision given to soldiers undertaking tasks such as this in the aftermath of the invasion.</w:t>
      </w:r>
    </w:p>
    <w:p w:rsidRPr="00EF0015" w:rsidR="00B12CF5" w:rsidP="00B12CF5" w:rsidRDefault="00B12CF5">
      <w:pPr>
        <w:pStyle w:val="JuPara"/>
        <w:rPr>
          <w:lang w:eastAsia="en-US"/>
        </w:rPr>
      </w:pPr>
      <w:r w:rsidRPr="00EF0015">
        <w:rPr>
          <w:lang w:eastAsia="en-US"/>
        </w:rPr>
        <w:fldChar w:fldCharType="begin"/>
      </w:r>
      <w:r w:rsidRPr="00EF0015">
        <w:rPr>
          <w:lang w:eastAsia="en-US"/>
        </w:rPr>
        <w:instrText xml:space="preserve"> SEQ level0 \*arabic </w:instrText>
      </w:r>
      <w:r w:rsidRPr="00EF0015">
        <w:rPr>
          <w:lang w:eastAsia="en-US"/>
        </w:rPr>
        <w:fldChar w:fldCharType="separate"/>
      </w:r>
      <w:r w:rsidR="00524A6D">
        <w:rPr>
          <w:noProof/>
          <w:lang w:eastAsia="en-US"/>
        </w:rPr>
        <w:t>175</w:t>
      </w:r>
      <w:r w:rsidRPr="00EF0015">
        <w:rPr>
          <w:lang w:eastAsia="en-US"/>
        </w:rPr>
        <w:fldChar w:fldCharType="end"/>
      </w:r>
      <w:r w:rsidRPr="00EF0015">
        <w:rPr>
          <w:lang w:eastAsia="en-US"/>
        </w:rPr>
        <w:t xml:space="preserve">.  In the light of the foregoing, the Court does not consider that the procedural duty under Article 2 has been satisfied in respect of the fifth applicant. </w:t>
      </w:r>
      <w:r w:rsidR="001E006E">
        <w:rPr>
          <w:lang w:eastAsia="en-US"/>
        </w:rPr>
        <w:t xml:space="preserve">Although he has received a substantial sum in settlement of his civil claim, together with an admission of liability on behalf of the </w:t>
      </w:r>
      <w:r w:rsidR="004D2BB9">
        <w:rPr>
          <w:lang w:eastAsia="en-US"/>
        </w:rPr>
        <w:t>a</w:t>
      </w:r>
      <w:r w:rsidR="001E006E">
        <w:rPr>
          <w:lang w:eastAsia="en-US"/>
        </w:rPr>
        <w:t>rmy, there has never been a full and independent investigation into the circumstances of his son</w:t>
      </w:r>
      <w:r w:rsidR="008570E8">
        <w:rPr>
          <w:lang w:eastAsia="en-US"/>
        </w:rPr>
        <w:t>’</w:t>
      </w:r>
      <w:r w:rsidR="001E006E">
        <w:rPr>
          <w:lang w:eastAsia="en-US"/>
        </w:rPr>
        <w:t xml:space="preserve">s death (see paragraph 165 above). </w:t>
      </w:r>
      <w:r w:rsidRPr="00EF0015">
        <w:rPr>
          <w:lang w:eastAsia="en-US"/>
        </w:rPr>
        <w:t xml:space="preserve">It follows that </w:t>
      </w:r>
      <w:r w:rsidR="001E006E">
        <w:rPr>
          <w:lang w:eastAsia="en-US"/>
        </w:rPr>
        <w:t>t</w:t>
      </w:r>
      <w:r w:rsidRPr="00EF0015">
        <w:rPr>
          <w:lang w:eastAsia="en-US"/>
        </w:rPr>
        <w:t xml:space="preserve">he </w:t>
      </w:r>
      <w:r w:rsidR="001E006E">
        <w:rPr>
          <w:lang w:eastAsia="en-US"/>
        </w:rPr>
        <w:t xml:space="preserve">fifth applicant </w:t>
      </w:r>
      <w:r w:rsidRPr="00EF0015">
        <w:rPr>
          <w:lang w:eastAsia="en-US"/>
        </w:rPr>
        <w:t>can still claim to be a victim within the meaning of Article 34 and that the Government</w:t>
      </w:r>
      <w:r w:rsidR="008570E8">
        <w:rPr>
          <w:lang w:eastAsia="en-US"/>
        </w:rPr>
        <w:t>’</w:t>
      </w:r>
      <w:r w:rsidRPr="00EF0015">
        <w:rPr>
          <w:lang w:eastAsia="en-US"/>
        </w:rPr>
        <w:t>s preliminary objection regarding his lack of victim status must be rejected.</w:t>
      </w:r>
    </w:p>
    <w:p w:rsidRPr="00EF0015" w:rsidR="00B12CF5" w:rsidP="00B12CF5" w:rsidRDefault="00B12CF5">
      <w:pPr>
        <w:pStyle w:val="JuPara"/>
        <w:rPr>
          <w:lang w:eastAsia="en-US"/>
        </w:rPr>
      </w:pPr>
      <w:r w:rsidRPr="00EF0015">
        <w:rPr>
          <w:lang w:eastAsia="en-US"/>
        </w:rPr>
        <w:fldChar w:fldCharType="begin"/>
      </w:r>
      <w:r w:rsidRPr="00EF0015">
        <w:rPr>
          <w:lang w:eastAsia="en-US"/>
        </w:rPr>
        <w:instrText xml:space="preserve"> SEQ level0 \*arabic </w:instrText>
      </w:r>
      <w:r w:rsidRPr="00EF0015">
        <w:rPr>
          <w:lang w:eastAsia="en-US"/>
        </w:rPr>
        <w:fldChar w:fldCharType="separate"/>
      </w:r>
      <w:r w:rsidR="00524A6D">
        <w:rPr>
          <w:noProof/>
          <w:lang w:eastAsia="en-US"/>
        </w:rPr>
        <w:t>176</w:t>
      </w:r>
      <w:r w:rsidRPr="00EF0015">
        <w:rPr>
          <w:lang w:eastAsia="en-US"/>
        </w:rPr>
        <w:fldChar w:fldCharType="end"/>
      </w:r>
      <w:r w:rsidRPr="00EF0015">
        <w:rPr>
          <w:lang w:eastAsia="en-US"/>
        </w:rPr>
        <w:t xml:space="preserve">.  In contrast, the Court notes that a full, public inquiry is </w:t>
      </w:r>
      <w:r w:rsidR="00D52F24">
        <w:rPr>
          <w:lang w:eastAsia="en-US"/>
        </w:rPr>
        <w:t>nearing completion</w:t>
      </w:r>
      <w:r w:rsidRPr="00EF0015">
        <w:rPr>
          <w:lang w:eastAsia="en-US"/>
        </w:rPr>
        <w:t xml:space="preserve"> into the circumstances of the sixth applicant</w:t>
      </w:r>
      <w:r w:rsidR="008570E8">
        <w:rPr>
          <w:lang w:eastAsia="en-US"/>
        </w:rPr>
        <w:t>’</w:t>
      </w:r>
      <w:r w:rsidRPr="00EF0015">
        <w:rPr>
          <w:lang w:eastAsia="en-US"/>
        </w:rPr>
        <w:t xml:space="preserve">s </w:t>
      </w:r>
      <w:r w:rsidR="0036719E">
        <w:rPr>
          <w:lang w:eastAsia="en-US"/>
        </w:rPr>
        <w:t>son</w:t>
      </w:r>
      <w:r w:rsidR="008570E8">
        <w:rPr>
          <w:lang w:eastAsia="en-US"/>
        </w:rPr>
        <w:t>’</w:t>
      </w:r>
      <w:r w:rsidR="0036719E">
        <w:rPr>
          <w:lang w:eastAsia="en-US"/>
        </w:rPr>
        <w:t xml:space="preserve">s </w:t>
      </w:r>
      <w:r w:rsidRPr="00EF0015">
        <w:rPr>
          <w:lang w:eastAsia="en-US"/>
        </w:rPr>
        <w:t xml:space="preserve">death. In the light of this inquiry, the Court notes that the sixth applicant accepts that he is no longer a victim of any breach of the procedural obligation under Article 2. </w:t>
      </w:r>
      <w:r w:rsidR="001E006E">
        <w:rPr>
          <w:lang w:eastAsia="en-US"/>
        </w:rPr>
        <w:t>The Court</w:t>
      </w:r>
      <w:r w:rsidRPr="00EF0015">
        <w:rPr>
          <w:lang w:eastAsia="en-US"/>
        </w:rPr>
        <w:t xml:space="preserve"> therefore accepts the Government</w:t>
      </w:r>
      <w:r w:rsidR="008570E8">
        <w:rPr>
          <w:lang w:eastAsia="en-US"/>
        </w:rPr>
        <w:t>’</w:t>
      </w:r>
      <w:r w:rsidRPr="00EF0015">
        <w:rPr>
          <w:lang w:eastAsia="en-US"/>
        </w:rPr>
        <w:t>s objection in respect of the sixth applicant.</w:t>
      </w:r>
    </w:p>
    <w:p w:rsidRPr="00EF0015" w:rsidR="00056B60" w:rsidP="00B12CF5" w:rsidRDefault="00B12CF5">
      <w:pPr>
        <w:pStyle w:val="JuPara"/>
        <w:rPr>
          <w:lang w:eastAsia="en-US"/>
        </w:rPr>
      </w:pPr>
      <w:r w:rsidRPr="00EF0015">
        <w:rPr>
          <w:lang w:eastAsia="en-US"/>
        </w:rPr>
        <w:fldChar w:fldCharType="begin"/>
      </w:r>
      <w:r w:rsidRPr="00EF0015">
        <w:rPr>
          <w:lang w:eastAsia="en-US"/>
        </w:rPr>
        <w:instrText xml:space="preserve"> SEQ level0 \*arabic </w:instrText>
      </w:r>
      <w:r w:rsidRPr="00EF0015">
        <w:rPr>
          <w:lang w:eastAsia="en-US"/>
        </w:rPr>
        <w:fldChar w:fldCharType="separate"/>
      </w:r>
      <w:r w:rsidR="00524A6D">
        <w:rPr>
          <w:noProof/>
          <w:lang w:eastAsia="en-US"/>
        </w:rPr>
        <w:t>177</w:t>
      </w:r>
      <w:r w:rsidRPr="00EF0015">
        <w:rPr>
          <w:lang w:eastAsia="en-US"/>
        </w:rPr>
        <w:fldChar w:fldCharType="end"/>
      </w:r>
      <w:r w:rsidRPr="00EF0015">
        <w:rPr>
          <w:lang w:eastAsia="en-US"/>
        </w:rPr>
        <w:t>.  In conclusion, the Court finds a violation of the procedural duty under Article 2 of th</w:t>
      </w:r>
      <w:r w:rsidRPr="00EF0015" w:rsidR="006D040C">
        <w:rPr>
          <w:lang w:eastAsia="en-US"/>
        </w:rPr>
        <w:t xml:space="preserve">e Convention in respect of the </w:t>
      </w:r>
      <w:r w:rsidRPr="00EF0015">
        <w:rPr>
          <w:lang w:eastAsia="en-US"/>
        </w:rPr>
        <w:t>first</w:t>
      </w:r>
      <w:r w:rsidRPr="00EF0015" w:rsidR="006D040C">
        <w:rPr>
          <w:lang w:eastAsia="en-US"/>
        </w:rPr>
        <w:t xml:space="preserve">, </w:t>
      </w:r>
      <w:r w:rsidRPr="00EF0015">
        <w:rPr>
          <w:lang w:eastAsia="en-US"/>
        </w:rPr>
        <w:t>second</w:t>
      </w:r>
      <w:r w:rsidRPr="00EF0015" w:rsidR="006D040C">
        <w:rPr>
          <w:lang w:eastAsia="en-US"/>
        </w:rPr>
        <w:t xml:space="preserve">, third, </w:t>
      </w:r>
      <w:r w:rsidRPr="00EF0015">
        <w:rPr>
          <w:lang w:eastAsia="en-US"/>
        </w:rPr>
        <w:t>fourth</w:t>
      </w:r>
      <w:r w:rsidRPr="00EF0015" w:rsidR="006D040C">
        <w:rPr>
          <w:lang w:eastAsia="en-US"/>
        </w:rPr>
        <w:t xml:space="preserve"> </w:t>
      </w:r>
      <w:r w:rsidRPr="00EF0015">
        <w:rPr>
          <w:lang w:eastAsia="en-US"/>
        </w:rPr>
        <w:t>and fifth applicants.</w:t>
      </w:r>
    </w:p>
    <w:p w:rsidRPr="00EF0015" w:rsidR="00F71A6A" w:rsidRDefault="003A3D9D">
      <w:pPr>
        <w:pStyle w:val="JuHIRoman"/>
      </w:pPr>
      <w:bookmarkStart w:name="_Toc275785602" w:id="172"/>
      <w:bookmarkStart w:name="_Toc289868994" w:id="173"/>
      <w:bookmarkStart w:name="_Toc297210673" w:id="174"/>
      <w:r w:rsidRPr="00EF0015">
        <w:t>II</w:t>
      </w:r>
      <w:r w:rsidRPr="00EF0015" w:rsidR="00F71A6A">
        <w:t>.  APPLICATION OF ARTICLE 41 OF THE CONVENTION</w:t>
      </w:r>
      <w:bookmarkEnd w:id="172"/>
      <w:bookmarkEnd w:id="173"/>
      <w:bookmarkEnd w:id="174"/>
    </w:p>
    <w:p w:rsidRPr="00EF0015" w:rsidR="00F71A6A" w:rsidRDefault="005027B8">
      <w:pPr>
        <w:pStyle w:val="JuPara"/>
        <w:keepNext/>
        <w:keepLines/>
      </w:pPr>
      <w:r w:rsidRPr="00EF0015">
        <w:fldChar w:fldCharType="begin"/>
      </w:r>
      <w:r w:rsidRPr="00EF0015">
        <w:instrText xml:space="preserve"> SEQ level0 \*arabic </w:instrText>
      </w:r>
      <w:r w:rsidRPr="00EF0015">
        <w:fldChar w:fldCharType="separate"/>
      </w:r>
      <w:r w:rsidR="00524A6D">
        <w:rPr>
          <w:noProof/>
        </w:rPr>
        <w:t>178</w:t>
      </w:r>
      <w:r w:rsidRPr="00EF0015">
        <w:fldChar w:fldCharType="end"/>
      </w:r>
      <w:r w:rsidRPr="00EF0015" w:rsidR="00F71A6A">
        <w:t>.  Article 41 of the Convention provides:</w:t>
      </w:r>
    </w:p>
    <w:p w:rsidRPr="00EF0015" w:rsidR="00F71A6A" w:rsidRDefault="00F71A6A">
      <w:pPr>
        <w:pStyle w:val="JuQuot"/>
        <w:keepNext/>
        <w:keepLines/>
      </w:pPr>
      <w:r w:rsidRPr="00EF001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F0015" w:rsidR="00F71A6A" w:rsidP="00522362" w:rsidRDefault="00F71A6A">
      <w:pPr>
        <w:pStyle w:val="JuHAA"/>
        <w:keepLines w:val="0"/>
      </w:pPr>
      <w:bookmarkStart w:name="_Toc289765909" w:id="175"/>
      <w:bookmarkStart w:name="_Toc289868995" w:id="176"/>
      <w:bookmarkStart w:name="_Toc297210674" w:id="177"/>
      <w:r w:rsidRPr="00EF0015">
        <w:t>A.  Damage</w:t>
      </w:r>
      <w:bookmarkEnd w:id="175"/>
      <w:bookmarkEnd w:id="176"/>
      <w:bookmarkEnd w:id="177"/>
    </w:p>
    <w:p w:rsidR="00C81668" w:rsidRDefault="005027B8">
      <w:pPr>
        <w:pStyle w:val="JuPara"/>
      </w:pPr>
      <w:r w:rsidRPr="00EF0015">
        <w:fldChar w:fldCharType="begin"/>
      </w:r>
      <w:r w:rsidRPr="00EF0015">
        <w:instrText xml:space="preserve"> SEQ level0 \*arabic </w:instrText>
      </w:r>
      <w:r w:rsidRPr="00EF0015">
        <w:fldChar w:fldCharType="separate"/>
      </w:r>
      <w:r w:rsidR="00524A6D">
        <w:rPr>
          <w:noProof/>
        </w:rPr>
        <w:t>179</w:t>
      </w:r>
      <w:r w:rsidRPr="00EF0015">
        <w:fldChar w:fldCharType="end"/>
      </w:r>
      <w:r w:rsidRPr="00EF0015" w:rsidR="00F71A6A">
        <w:t xml:space="preserve">.  The </w:t>
      </w:r>
      <w:r w:rsidR="00E970FF">
        <w:t xml:space="preserve">first, second, third, </w:t>
      </w:r>
      <w:r w:rsidRPr="00EF0015" w:rsidR="00D31BA7">
        <w:t xml:space="preserve">fourth and fifth </w:t>
      </w:r>
      <w:r w:rsidRPr="00EF0015">
        <w:t>applicants</w:t>
      </w:r>
      <w:r w:rsidRPr="00EF0015" w:rsidR="00F71A6A">
        <w:t xml:space="preserve"> </w:t>
      </w:r>
      <w:r w:rsidRPr="00EF0015" w:rsidR="00D31BA7">
        <w:t>asked the Court to order the Government to carry out an Article 2-compliant</w:t>
      </w:r>
      <w:r w:rsidR="00C81668">
        <w:t xml:space="preserve"> </w:t>
      </w:r>
      <w:r w:rsidRPr="00EF0015" w:rsidR="00D31BA7">
        <w:t>invest</w:t>
      </w:r>
      <w:r w:rsidR="00E970FF">
        <w:t xml:space="preserve">igation into </w:t>
      </w:r>
      <w:r w:rsidRPr="00EF0015" w:rsidR="00D31BA7">
        <w:t>their</w:t>
      </w:r>
      <w:r w:rsidR="00E970FF">
        <w:t xml:space="preserve"> relatives</w:t>
      </w:r>
      <w:r w:rsidR="008570E8">
        <w:t>’</w:t>
      </w:r>
      <w:r w:rsidR="00E970FF">
        <w:t xml:space="preserve"> death</w:t>
      </w:r>
      <w:r w:rsidRPr="00EF0015" w:rsidR="00D31BA7">
        <w:t>s</w:t>
      </w:r>
      <w:r w:rsidR="00E970FF">
        <w:t xml:space="preserve">. </w:t>
      </w:r>
      <w:r w:rsidRPr="00EF0015" w:rsidR="00D31BA7">
        <w:t>They also c</w:t>
      </w:r>
      <w:r w:rsidRPr="00EF0015" w:rsidR="00F71A6A">
        <w:t>laimed</w:t>
      </w:r>
      <w:r w:rsidRPr="00EF0015" w:rsidR="00D31BA7">
        <w:t xml:space="preserve"> 15,000 </w:t>
      </w:r>
      <w:r w:rsidR="00EF780E">
        <w:t xml:space="preserve">pounds sterling (GBP) </w:t>
      </w:r>
      <w:r w:rsidRPr="00EF0015" w:rsidR="00D31BA7">
        <w:t>each in compensation for the distress</w:t>
      </w:r>
      <w:r w:rsidRPr="00EF0015" w:rsidR="00F71A6A">
        <w:t xml:space="preserve"> </w:t>
      </w:r>
      <w:r w:rsidRPr="00EF0015" w:rsidR="00D31BA7">
        <w:t>they had suffered because of the United Kingdom</w:t>
      </w:r>
      <w:r w:rsidR="008570E8">
        <w:t>’</w:t>
      </w:r>
      <w:r w:rsidRPr="00EF0015" w:rsidR="00D31BA7">
        <w:t>s failure to conduct a Convention-compliant investigation</w:t>
      </w:r>
      <w:r w:rsidR="00FE6A78">
        <w:t xml:space="preserve"> into the deaths</w:t>
      </w:r>
      <w:r w:rsidRPr="00EF0015" w:rsidR="00D31BA7">
        <w:t>.</w:t>
      </w:r>
    </w:p>
    <w:p w:rsidR="00F71A6A" w:rsidP="00D31BA7" w:rsidRDefault="005027B8">
      <w:pPr>
        <w:pStyle w:val="JuPara"/>
        <w:outlineLvl w:val="0"/>
        <w:rPr>
          <w:lang w:eastAsia="en-US"/>
        </w:rPr>
      </w:pPr>
      <w:r w:rsidRPr="00EF0015">
        <w:fldChar w:fldCharType="begin"/>
      </w:r>
      <w:r w:rsidRPr="00EF0015">
        <w:instrText xml:space="preserve"> SEQ level0 \*arabic </w:instrText>
      </w:r>
      <w:r w:rsidRPr="00EF0015">
        <w:fldChar w:fldCharType="separate"/>
      </w:r>
      <w:r w:rsidR="00524A6D">
        <w:rPr>
          <w:noProof/>
        </w:rPr>
        <w:t>180</w:t>
      </w:r>
      <w:r w:rsidRPr="00EF0015">
        <w:fldChar w:fldCharType="end"/>
      </w:r>
      <w:r w:rsidRPr="00EF0015" w:rsidR="00F71A6A">
        <w:t xml:space="preserve">.  The Government </w:t>
      </w:r>
      <w:r w:rsidRPr="00EF0015" w:rsidR="00D31BA7">
        <w:t>pointed out that the Court had repeatedly and e</w:t>
      </w:r>
      <w:r w:rsidRPr="00EF0015" w:rsidR="008D2D3C">
        <w:t>xpressly refused to direct the S</w:t>
      </w:r>
      <w:r w:rsidRPr="00EF0015" w:rsidR="00D31BA7">
        <w:t xml:space="preserve">tate to carry out a fresh investigation in cases </w:t>
      </w:r>
      <w:r w:rsidRPr="00EF0015" w:rsidR="008D2D3C">
        <w:t>in which it had found a breach of the procedural duty under Article 2</w:t>
      </w:r>
      <w:r w:rsidRPr="00EF0015" w:rsidR="00D31BA7">
        <w:t xml:space="preserve"> (see</w:t>
      </w:r>
      <w:r w:rsidR="00EF780E">
        <w:t>,</w:t>
      </w:r>
      <w:r w:rsidR="005315A5">
        <w:t xml:space="preserve"> for example</w:t>
      </w:r>
      <w:r w:rsidR="00EF780E">
        <w:t>,</w:t>
      </w:r>
      <w:r w:rsidRPr="00EF0015" w:rsidR="00D31BA7">
        <w:t xml:space="preserve"> </w:t>
      </w:r>
      <w:r w:rsidRPr="00EF0015" w:rsidR="00D31BA7">
        <w:rPr>
          <w:i/>
          <w:lang w:eastAsia="en-US"/>
        </w:rPr>
        <w:t>Varnava and Others v. Turkey</w:t>
      </w:r>
      <w:r w:rsidRPr="00EF0015" w:rsidR="00D31BA7">
        <w:rPr>
          <w:lang w:eastAsia="en-US"/>
        </w:rPr>
        <w:t xml:space="preserve"> [GC], nos. 16064/90, 16065/90, 16066/90, 16068/90, 16069/90, 16070/90, 16071/90, 16072/90 and 16073/90</w:t>
      </w:r>
      <w:r w:rsidRPr="00EF0015" w:rsidR="00D31BA7">
        <w:rPr>
          <w:szCs w:val="24"/>
          <w:lang w:eastAsia="en-US"/>
        </w:rPr>
        <w:t xml:space="preserve">, § 222, </w:t>
      </w:r>
      <w:r w:rsidRPr="00EF0015" w:rsidR="00D31BA7">
        <w:rPr>
          <w:lang w:eastAsia="en-US"/>
        </w:rPr>
        <w:t>ECHR 2009</w:t>
      </w:r>
      <w:r w:rsidR="00EF780E">
        <w:rPr>
          <w:lang w:eastAsia="en-US"/>
        </w:rPr>
        <w:t>;</w:t>
      </w:r>
      <w:r w:rsidRPr="00EF0015" w:rsidR="00D31BA7">
        <w:rPr>
          <w:lang w:eastAsia="en-US"/>
        </w:rPr>
        <w:t xml:space="preserve"> </w:t>
      </w:r>
      <w:r w:rsidRPr="00EF0015" w:rsidR="00D31BA7">
        <w:rPr>
          <w:i/>
          <w:lang w:eastAsia="en-US"/>
        </w:rPr>
        <w:t>Ülkü Ekinci v. Turkey</w:t>
      </w:r>
      <w:r w:rsidR="00AC0F22">
        <w:rPr>
          <w:lang w:eastAsia="en-US"/>
        </w:rPr>
        <w:t xml:space="preserve">, no. </w:t>
      </w:r>
      <w:r w:rsidRPr="00EF0015" w:rsidR="00D31BA7">
        <w:rPr>
          <w:lang w:eastAsia="en-US"/>
        </w:rPr>
        <w:t>27602/95, §</w:t>
      </w:r>
      <w:r w:rsidR="005315A5">
        <w:rPr>
          <w:lang w:eastAsia="en-US"/>
        </w:rPr>
        <w:t> </w:t>
      </w:r>
      <w:r w:rsidRPr="00EF0015" w:rsidR="008D2D3C">
        <w:rPr>
          <w:lang w:eastAsia="en-US"/>
        </w:rPr>
        <w:t>179,</w:t>
      </w:r>
      <w:r w:rsidRPr="00EF0015" w:rsidR="00D31BA7">
        <w:rPr>
          <w:lang w:eastAsia="en-US"/>
        </w:rPr>
        <w:t xml:space="preserve"> 16 July 2002</w:t>
      </w:r>
      <w:r w:rsidR="005315A5">
        <w:rPr>
          <w:lang w:eastAsia="en-US"/>
        </w:rPr>
        <w:t>;</w:t>
      </w:r>
      <w:r w:rsidRPr="00EF0015" w:rsidR="008D2D3C">
        <w:rPr>
          <w:lang w:eastAsia="en-US"/>
        </w:rPr>
        <w:t xml:space="preserve"> </w:t>
      </w:r>
      <w:r w:rsidR="00EF780E">
        <w:rPr>
          <w:lang w:eastAsia="en-US"/>
        </w:rPr>
        <w:t xml:space="preserve">and </w:t>
      </w:r>
      <w:r w:rsidRPr="00EF0015" w:rsidR="008D2D3C">
        <w:rPr>
          <w:i/>
          <w:lang w:eastAsia="en-US"/>
        </w:rPr>
        <w:t>Finucane</w:t>
      </w:r>
      <w:r w:rsidRPr="00D8100E" w:rsidR="008D2D3C">
        <w:rPr>
          <w:lang w:eastAsia="en-US"/>
        </w:rPr>
        <w:t>,</w:t>
      </w:r>
      <w:r w:rsidRPr="00EF0015" w:rsidR="008D2D3C">
        <w:rPr>
          <w:i/>
          <w:lang w:eastAsia="en-US"/>
        </w:rPr>
        <w:t xml:space="preserve"> </w:t>
      </w:r>
      <w:r w:rsidRPr="00EF0015" w:rsidR="008D2D3C">
        <w:rPr>
          <w:lang w:eastAsia="en-US"/>
        </w:rPr>
        <w:t>cited above, § 89</w:t>
      </w:r>
      <w:r w:rsidRPr="00EF0015" w:rsidR="00D31BA7">
        <w:rPr>
          <w:lang w:eastAsia="en-US"/>
        </w:rPr>
        <w:t>).</w:t>
      </w:r>
      <w:r w:rsidRPr="00EF0015" w:rsidR="008D2D3C">
        <w:rPr>
          <w:lang w:eastAsia="en-US"/>
        </w:rPr>
        <w:t xml:space="preserve"> They further submitted that a finding of a violation would be sufficient just satisfaction in the circumstances. In the alternative, if the Court decided to make an award, the Government noted that the sum claimed by the applicants was higher than generally awarded. They did not, however, propose a sum, leaving it to the Court to decide on an equitable basis.</w:t>
      </w:r>
    </w:p>
    <w:p w:rsidR="005315A5" w:rsidP="005315A5" w:rsidRDefault="005315A5">
      <w:pPr>
        <w:pStyle w:val="JuPara"/>
        <w:outlineLvl w:val="0"/>
      </w:pPr>
      <w:r>
        <w:rPr>
          <w:lang w:eastAsia="en-US"/>
        </w:rPr>
        <w:fldChar w:fldCharType="begin"/>
      </w:r>
      <w:r>
        <w:rPr>
          <w:lang w:eastAsia="en-US"/>
        </w:rPr>
        <w:instrText xml:space="preserve"> SEQ level0 \*arabic </w:instrText>
      </w:r>
      <w:r>
        <w:rPr>
          <w:lang w:eastAsia="en-US"/>
        </w:rPr>
        <w:fldChar w:fldCharType="separate"/>
      </w:r>
      <w:r w:rsidR="00524A6D">
        <w:rPr>
          <w:noProof/>
          <w:lang w:eastAsia="en-US"/>
        </w:rPr>
        <w:t>181</w:t>
      </w:r>
      <w:r>
        <w:rPr>
          <w:lang w:eastAsia="en-US"/>
        </w:rPr>
        <w:fldChar w:fldCharType="end"/>
      </w:r>
      <w:r>
        <w:rPr>
          <w:lang w:eastAsia="en-US"/>
        </w:rPr>
        <w:t>.  </w:t>
      </w:r>
      <w:bookmarkStart w:name="_Toc289765910" w:id="178"/>
      <w:r>
        <w:t>As regards the applicants</w:t>
      </w:r>
      <w:r w:rsidR="008570E8">
        <w:t>’</w:t>
      </w:r>
      <w:r>
        <w:t xml:space="preserve"> request concerning the provision of an effective investigation, the Court reiterates the general principle that the respondent State remains free to choose the means by which it will discharge its legal obligation under Article 46 of the Convention, provided that such means are compatible with the conclusions set out in the Court</w:t>
      </w:r>
      <w:r w:rsidR="008570E8">
        <w:t>’</w:t>
      </w:r>
      <w:r>
        <w:t>s judgment. Consequently</w:t>
      </w:r>
      <w:r w:rsidR="00797ECC">
        <w:t>,</w:t>
      </w:r>
      <w:r>
        <w:t xml:space="preserve"> it considers that in these applications it falls to the Committee of Ministers acting under Article 46 of the Convention to address the issues as to what may be required in practical terms by way of compliance (see</w:t>
      </w:r>
      <w:r w:rsidRPr="005315A5">
        <w:rPr>
          <w:i/>
          <w:lang w:eastAsia="en-US"/>
        </w:rPr>
        <w:t xml:space="preserve"> </w:t>
      </w:r>
      <w:r w:rsidRPr="00EF0015">
        <w:rPr>
          <w:i/>
          <w:lang w:eastAsia="en-US"/>
        </w:rPr>
        <w:t>Varnava</w:t>
      </w:r>
      <w:r w:rsidR="00C436FD">
        <w:rPr>
          <w:i/>
          <w:lang w:eastAsia="en-US"/>
        </w:rPr>
        <w:t xml:space="preserve"> and Others</w:t>
      </w:r>
      <w:r w:rsidRPr="00D8100E">
        <w:rPr>
          <w:lang w:eastAsia="en-US"/>
        </w:rPr>
        <w:t>,</w:t>
      </w:r>
      <w:r>
        <w:rPr>
          <w:i/>
          <w:lang w:eastAsia="en-US"/>
        </w:rPr>
        <w:t xml:space="preserve"> </w:t>
      </w:r>
      <w:r>
        <w:rPr>
          <w:lang w:eastAsia="en-US"/>
        </w:rPr>
        <w:t>cited above, § 222</w:t>
      </w:r>
      <w:r w:rsidR="00C436FD">
        <w:rPr>
          <w:lang w:eastAsia="en-US"/>
        </w:rPr>
        <w:t>,</w:t>
      </w:r>
      <w:r>
        <w:rPr>
          <w:lang w:eastAsia="en-US"/>
        </w:rPr>
        <w:t xml:space="preserve"> and the cases cited therein</w:t>
      </w:r>
      <w:r>
        <w:t>).</w:t>
      </w:r>
    </w:p>
    <w:p w:rsidR="000C7AE6" w:rsidP="005315A5" w:rsidRDefault="005315A5">
      <w:pPr>
        <w:pStyle w:val="JuPara"/>
      </w:pPr>
      <w:r>
        <w:fldChar w:fldCharType="begin"/>
      </w:r>
      <w:r>
        <w:instrText xml:space="preserve"> SEQ level0 \*arabic </w:instrText>
      </w:r>
      <w:r>
        <w:fldChar w:fldCharType="separate"/>
      </w:r>
      <w:r w:rsidR="00524A6D">
        <w:rPr>
          <w:noProof/>
        </w:rPr>
        <w:t>182</w:t>
      </w:r>
      <w:r>
        <w:fldChar w:fldCharType="end"/>
      </w:r>
      <w:r>
        <w:t xml:space="preserve">.  As regards the claim for monetary compensation, the Court </w:t>
      </w:r>
      <w:r w:rsidR="000C7AE6">
        <w:t xml:space="preserve">recalls that it is not its role under Article 41 </w:t>
      </w:r>
      <w:r>
        <w:t>to function akin to a domestic tort mechanism court in apportioning fault and compensatory damages between civil parties. Its guiding principle is equity, which above all involves flexibility and an objective consideration of what is just, fair and reasonable in all the circumstances of the case, including not only the position of the applicant but the overall context in which the breach occurred. Its</w:t>
      </w:r>
      <w:r w:rsidR="00AC0F22">
        <w:t xml:space="preserve"> </w:t>
      </w:r>
      <w:r>
        <w:t>non</w:t>
      </w:r>
      <w:r w:rsidR="00F92A1F">
        <w:noBreakHyphen/>
      </w:r>
      <w:r>
        <w:t xml:space="preserve">pecuniary awards serve to give recognition to the fact that moral damage occurred as a result of a breach of a fundamental human right and reflect in the broadest of terms the severity of the damage (see </w:t>
      </w:r>
      <w:r w:rsidRPr="00EF0015">
        <w:rPr>
          <w:i/>
          <w:lang w:eastAsia="en-US"/>
        </w:rPr>
        <w:t>Varnava</w:t>
      </w:r>
      <w:r w:rsidR="00797ECC">
        <w:rPr>
          <w:i/>
          <w:lang w:eastAsia="en-US"/>
        </w:rPr>
        <w:t xml:space="preserve"> and Others</w:t>
      </w:r>
      <w:r w:rsidRPr="00D8100E">
        <w:rPr>
          <w:lang w:eastAsia="en-US"/>
        </w:rPr>
        <w:t>,</w:t>
      </w:r>
      <w:r>
        <w:rPr>
          <w:i/>
          <w:lang w:eastAsia="en-US"/>
        </w:rPr>
        <w:t xml:space="preserve"> </w:t>
      </w:r>
      <w:r>
        <w:rPr>
          <w:lang w:eastAsia="en-US"/>
        </w:rPr>
        <w:t>cited above, § 224</w:t>
      </w:r>
      <w:r w:rsidR="00797ECC">
        <w:rPr>
          <w:lang w:eastAsia="en-US"/>
        </w:rPr>
        <w:t>,</w:t>
      </w:r>
      <w:r>
        <w:rPr>
          <w:lang w:eastAsia="en-US"/>
        </w:rPr>
        <w:t xml:space="preserve"> and the cases cited therein)</w:t>
      </w:r>
      <w:r>
        <w:t xml:space="preserve">. In the light of all the </w:t>
      </w:r>
      <w:r w:rsidR="00934069">
        <w:t>circumstances</w:t>
      </w:r>
      <w:r>
        <w:t xml:space="preserve"> of the present case, the Court considers that</w:t>
      </w:r>
      <w:r w:rsidR="00276D6C">
        <w:t>, to compensate</w:t>
      </w:r>
      <w:r w:rsidR="00C81668">
        <w:t xml:space="preserve"> </w:t>
      </w:r>
      <w:r w:rsidR="00934069">
        <w:t>each of the first five applicants for the distress caused by the lack of a fully independent investigation into the deaths of their relatives</w:t>
      </w:r>
      <w:r w:rsidR="00276D6C">
        <w:t>, it would be just and equitable to award</w:t>
      </w:r>
      <w:r w:rsidR="00C81668">
        <w:t xml:space="preserve"> </w:t>
      </w:r>
      <w:r w:rsidR="00276D6C">
        <w:t xml:space="preserve">the full amount claimed, </w:t>
      </w:r>
      <w:r w:rsidR="009C23E7">
        <w:t xml:space="preserve">which, when converted into euros, comes to </w:t>
      </w:r>
      <w:r w:rsidR="0064139E">
        <w:t xml:space="preserve">approximately </w:t>
      </w:r>
      <w:r w:rsidR="009C23E7">
        <w:t xml:space="preserve">17,000 </w:t>
      </w:r>
      <w:r w:rsidR="00797ECC">
        <w:t>euros (EUR)</w:t>
      </w:r>
      <w:r w:rsidR="00430C10">
        <w:t xml:space="preserve"> </w:t>
      </w:r>
      <w:r w:rsidR="009C23E7">
        <w:t>each</w:t>
      </w:r>
      <w:r w:rsidR="000C7AE6">
        <w:t>.</w:t>
      </w:r>
    </w:p>
    <w:p w:rsidRPr="00EF0015" w:rsidR="00F71A6A" w:rsidP="00604A8F" w:rsidRDefault="00F71A6A">
      <w:pPr>
        <w:pStyle w:val="JuHAA"/>
      </w:pPr>
      <w:bookmarkStart w:name="_Toc289868996" w:id="179"/>
      <w:bookmarkStart w:name="_Toc297210675" w:id="180"/>
      <w:r w:rsidRPr="00EF0015">
        <w:t>B.  Costs and expenses</w:t>
      </w:r>
      <w:bookmarkEnd w:id="178"/>
      <w:bookmarkEnd w:id="179"/>
      <w:bookmarkEnd w:id="180"/>
    </w:p>
    <w:p w:rsidR="00641C72" w:rsidRDefault="005027B8">
      <w:pPr>
        <w:pStyle w:val="JuPara"/>
      </w:pPr>
      <w:r w:rsidRPr="00EF0015">
        <w:fldChar w:fldCharType="begin"/>
      </w:r>
      <w:r w:rsidRPr="00EF0015">
        <w:instrText xml:space="preserve"> SEQ level0 \*arabic </w:instrText>
      </w:r>
      <w:r w:rsidRPr="00EF0015">
        <w:fldChar w:fldCharType="separate"/>
      </w:r>
      <w:r w:rsidR="00524A6D">
        <w:rPr>
          <w:noProof/>
        </w:rPr>
        <w:t>183</w:t>
      </w:r>
      <w:r w:rsidRPr="00EF0015">
        <w:fldChar w:fldCharType="end"/>
      </w:r>
      <w:r w:rsidRPr="00EF0015" w:rsidR="00F71A6A">
        <w:t xml:space="preserve">.  The </w:t>
      </w:r>
      <w:r w:rsidRPr="00EF0015">
        <w:t>applicants</w:t>
      </w:r>
      <w:r w:rsidR="00641C72">
        <w:t xml:space="preserve">, </w:t>
      </w:r>
      <w:r w:rsidRPr="00EF0015" w:rsidR="00641C72">
        <w:t>emphasising the comple</w:t>
      </w:r>
      <w:r w:rsidR="00641C72">
        <w:t>xity and importance of the case,</w:t>
      </w:r>
      <w:r w:rsidRPr="00EF0015" w:rsidR="00F71A6A">
        <w:t xml:space="preserve"> claimed </w:t>
      </w:r>
      <w:r w:rsidRPr="00EF0015" w:rsidR="00604A8F">
        <w:t xml:space="preserve">for </w:t>
      </w:r>
      <w:r w:rsidR="00641C72">
        <w:t>over</w:t>
      </w:r>
      <w:r w:rsidRPr="00EF0015" w:rsidR="00604A8F">
        <w:t xml:space="preserve"> </w:t>
      </w:r>
      <w:r w:rsidR="00641C72">
        <w:t xml:space="preserve">580 </w:t>
      </w:r>
      <w:r w:rsidRPr="00EF0015" w:rsidR="00604A8F">
        <w:t>hours</w:t>
      </w:r>
      <w:r w:rsidR="008570E8">
        <w:t>’</w:t>
      </w:r>
      <w:r w:rsidRPr="00EF0015" w:rsidR="00604A8F">
        <w:t xml:space="preserve"> legal work by their solicitors a</w:t>
      </w:r>
      <w:r w:rsidR="00016BBC">
        <w:t xml:space="preserve">nd </w:t>
      </w:r>
      <w:r w:rsidR="00641C72">
        <w:t xml:space="preserve">four </w:t>
      </w:r>
      <w:r w:rsidR="00016BBC">
        <w:t>counsel</w:t>
      </w:r>
      <w:r w:rsidR="00641C72">
        <w:t xml:space="preserve"> in respect of the proceedings before the Court</w:t>
      </w:r>
      <w:r w:rsidR="00016BBC">
        <w:t xml:space="preserve">, at a total cost of </w:t>
      </w:r>
      <w:r w:rsidR="007A26CE">
        <w:t>GBP </w:t>
      </w:r>
      <w:r w:rsidR="00641C72">
        <w:t>119,928.</w:t>
      </w:r>
    </w:p>
    <w:p w:rsidRPr="00EF0015" w:rsidR="00F71A6A" w:rsidRDefault="005027B8">
      <w:pPr>
        <w:pStyle w:val="JuPara"/>
      </w:pPr>
      <w:r w:rsidRPr="00EF0015">
        <w:fldChar w:fldCharType="begin"/>
      </w:r>
      <w:r w:rsidRPr="00EF0015">
        <w:instrText xml:space="preserve"> SEQ level0 \*arabic </w:instrText>
      </w:r>
      <w:r w:rsidRPr="00EF0015">
        <w:fldChar w:fldCharType="separate"/>
      </w:r>
      <w:r w:rsidR="00524A6D">
        <w:rPr>
          <w:noProof/>
        </w:rPr>
        <w:t>184</w:t>
      </w:r>
      <w:r w:rsidRPr="00EF0015">
        <w:fldChar w:fldCharType="end"/>
      </w:r>
      <w:r w:rsidRPr="00EF0015" w:rsidR="00F71A6A">
        <w:t xml:space="preserve">.  The Government </w:t>
      </w:r>
      <w:r w:rsidRPr="00EF0015" w:rsidR="00604A8F">
        <w:t>acknowledged that the issues were complex, but nonetheless submitted that the claim was excessive, given that the applicants</w:t>
      </w:r>
      <w:r w:rsidR="008570E8">
        <w:t>’</w:t>
      </w:r>
      <w:r w:rsidRPr="00EF0015" w:rsidR="00604A8F">
        <w:t xml:space="preserve"> legal advisers were familiar with all aspects of the claim since they had acted for the applicants in the domestic legal proceedings, which had been publicly funded.</w:t>
      </w:r>
      <w:r w:rsidRPr="00EF0015" w:rsidR="005068D7">
        <w:t xml:space="preserve"> Furthermore, the hourly rates claimed by the applicants</w:t>
      </w:r>
      <w:r w:rsidR="008570E8">
        <w:t>’</w:t>
      </w:r>
      <w:r w:rsidRPr="00EF0015" w:rsidR="005068D7">
        <w:t xml:space="preserve"> counsel, ranging between GBP 500 </w:t>
      </w:r>
      <w:r w:rsidR="005F4443">
        <w:t>and</w:t>
      </w:r>
      <w:r w:rsidRPr="00EF0015" w:rsidR="005068D7">
        <w:t xml:space="preserve"> GBP 235, and the hourly rates claimed by the applicants</w:t>
      </w:r>
      <w:r w:rsidR="008570E8">
        <w:t>’</w:t>
      </w:r>
      <w:r w:rsidRPr="00EF0015" w:rsidR="005068D7">
        <w:t xml:space="preserve"> solicitors</w:t>
      </w:r>
      <w:r w:rsidR="00797ECC">
        <w:t>, ranging between</w:t>
      </w:r>
      <w:r w:rsidRPr="00EF0015" w:rsidR="005068D7">
        <w:t xml:space="preserve"> GBP</w:t>
      </w:r>
      <w:r w:rsidR="00AC0F22">
        <w:t xml:space="preserve"> </w:t>
      </w:r>
      <w:r w:rsidRPr="00EF0015" w:rsidR="005068D7">
        <w:t>180 and GBP 130</w:t>
      </w:r>
      <w:r w:rsidR="00797ECC">
        <w:t>,</w:t>
      </w:r>
      <w:r w:rsidRPr="00EF0015" w:rsidR="005068D7">
        <w:t xml:space="preserve"> were unreasonably high. Nor had it been necessary to engage two Queen</w:t>
      </w:r>
      <w:r w:rsidR="008570E8">
        <w:t>’</w:t>
      </w:r>
      <w:r w:rsidRPr="00EF0015" w:rsidR="005068D7">
        <w:t>s Counsel and two junior counsel.</w:t>
      </w:r>
    </w:p>
    <w:p w:rsidRPr="00EF0015" w:rsidR="00F71A6A" w:rsidRDefault="005027B8">
      <w:pPr>
        <w:pStyle w:val="JuPara"/>
      </w:pPr>
      <w:r w:rsidRPr="00EF0015">
        <w:fldChar w:fldCharType="begin"/>
      </w:r>
      <w:r w:rsidRPr="00EF0015">
        <w:instrText xml:space="preserve"> SEQ level0 \*arabic </w:instrText>
      </w:r>
      <w:r w:rsidRPr="00EF0015">
        <w:fldChar w:fldCharType="separate"/>
      </w:r>
      <w:r w:rsidR="00524A6D">
        <w:rPr>
          <w:noProof/>
        </w:rPr>
        <w:t>185</w:t>
      </w:r>
      <w:r w:rsidRPr="00EF0015">
        <w:fldChar w:fldCharType="end"/>
      </w:r>
      <w:r w:rsidRPr="00EF0015" w:rsidR="00F71A6A">
        <w:t>.  </w:t>
      </w:r>
      <w:r w:rsidRPr="00EF0015">
        <w:t>According to the Court</w:t>
      </w:r>
      <w:r w:rsidR="008570E8">
        <w:t>’</w:t>
      </w:r>
      <w:r w:rsidRPr="00EF0015">
        <w:t>s case-law, an applicant is entitled to the reimbursement of costs and expenses only in so far as it has been shown that these have been actually and necessarily incurred and were reasonable as to quantum. In the present case, regard</w:t>
      </w:r>
      <w:r w:rsidRPr="00EF0015" w:rsidR="00F73D18">
        <w:t xml:space="preserve"> </w:t>
      </w:r>
      <w:r w:rsidRPr="00EF0015" w:rsidR="005F7A10">
        <w:t xml:space="preserve">being had to the documents in its possession and </w:t>
      </w:r>
      <w:r w:rsidRPr="00EF0015">
        <w:t>the above criteria</w:t>
      </w:r>
      <w:r w:rsidRPr="00EF0015" w:rsidR="00F73D18">
        <w:t xml:space="preserve">, </w:t>
      </w:r>
      <w:r w:rsidRPr="00EF0015" w:rsidR="00F71A6A">
        <w:t xml:space="preserve">the Court considers it reasonable to award the sum of EUR </w:t>
      </w:r>
      <w:r w:rsidRPr="00EF0015" w:rsidR="005068D7">
        <w:t>50,000</w:t>
      </w:r>
      <w:r w:rsidRPr="00EF0015" w:rsidR="0011665B">
        <w:t xml:space="preserve"> </w:t>
      </w:r>
      <w:r w:rsidRPr="00EF0015" w:rsidR="00F71A6A">
        <w:t>for t</w:t>
      </w:r>
      <w:r w:rsidRPr="00EF0015" w:rsidR="005068D7">
        <w:t>he proceedings before the Court</w:t>
      </w:r>
      <w:r w:rsidRPr="00EF0015" w:rsidR="00F71A6A">
        <w:t>.</w:t>
      </w:r>
    </w:p>
    <w:p w:rsidRPr="00EF0015" w:rsidR="00F71A6A" w:rsidRDefault="00F71A6A">
      <w:pPr>
        <w:pStyle w:val="JuHAA"/>
      </w:pPr>
      <w:bookmarkStart w:name="_Toc289765911" w:id="181"/>
      <w:bookmarkStart w:name="_Toc289868997" w:id="182"/>
      <w:bookmarkStart w:name="_Toc297210676" w:id="183"/>
      <w:r w:rsidRPr="00EF0015">
        <w:t>C.  Default interest</w:t>
      </w:r>
      <w:bookmarkEnd w:id="181"/>
      <w:bookmarkEnd w:id="182"/>
      <w:bookmarkEnd w:id="183"/>
    </w:p>
    <w:p w:rsidR="00F71A6A" w:rsidRDefault="005027B8">
      <w:pPr>
        <w:pStyle w:val="JuPara"/>
      </w:pPr>
      <w:r w:rsidRPr="00EF0015">
        <w:fldChar w:fldCharType="begin"/>
      </w:r>
      <w:r w:rsidRPr="00EF0015">
        <w:instrText xml:space="preserve"> SEQ level0 \*arabic </w:instrText>
      </w:r>
      <w:r w:rsidRPr="00EF0015">
        <w:fldChar w:fldCharType="separate"/>
      </w:r>
      <w:r w:rsidR="00524A6D">
        <w:rPr>
          <w:noProof/>
        </w:rPr>
        <w:t>186</w:t>
      </w:r>
      <w:r w:rsidRPr="00EF0015">
        <w:fldChar w:fldCharType="end"/>
      </w:r>
      <w:r w:rsidRPr="00EF0015" w:rsidR="00F71A6A">
        <w:t xml:space="preserve">.  The Court considers it appropriate that the default interest </w:t>
      </w:r>
      <w:r w:rsidR="00864261">
        <w:t xml:space="preserve">rate </w:t>
      </w:r>
      <w:r w:rsidRPr="00EF0015" w:rsidR="00F71A6A">
        <w:t>should be based on the marginal lending rate of the European Central Bank, to which should be added three percentage points.</w:t>
      </w:r>
    </w:p>
    <w:p w:rsidR="00F44A7D" w:rsidRDefault="00F44A7D">
      <w:pPr>
        <w:pStyle w:val="JuPara"/>
      </w:pPr>
    </w:p>
    <w:p w:rsidR="00F71A6A" w:rsidRDefault="00F71A6A">
      <w:pPr>
        <w:pStyle w:val="JuHHead"/>
      </w:pPr>
      <w:bookmarkStart w:name="_Toc275785603" w:id="184"/>
      <w:bookmarkStart w:name="_Toc275786313" w:id="185"/>
      <w:bookmarkStart w:name="_Toc289765912" w:id="186"/>
      <w:bookmarkStart w:name="_Toc289868998" w:id="187"/>
      <w:bookmarkStart w:name="_Toc297210677" w:id="188"/>
      <w:r w:rsidRPr="00EF0015">
        <w:t>FOR THESE REASONS, THE COURT</w:t>
      </w:r>
      <w:bookmarkEnd w:id="187"/>
      <w:r w:rsidRPr="00EF0015">
        <w:t xml:space="preserve"> </w:t>
      </w:r>
      <w:bookmarkEnd w:id="184"/>
      <w:bookmarkEnd w:id="185"/>
      <w:bookmarkEnd w:id="186"/>
      <w:r w:rsidR="001D6317">
        <w:t>UNANIMOUSLY</w:t>
      </w:r>
      <w:bookmarkEnd w:id="188"/>
    </w:p>
    <w:p w:rsidR="00C81668" w:rsidP="009405E2" w:rsidRDefault="009405E2">
      <w:pPr>
        <w:pStyle w:val="JuList"/>
      </w:pPr>
      <w:r w:rsidRPr="00EF0015">
        <w:t>1.  </w:t>
      </w:r>
      <w:r w:rsidRPr="009405E2">
        <w:rPr>
          <w:i/>
        </w:rPr>
        <w:t>Rejects</w:t>
      </w:r>
      <w:r w:rsidR="00AA022F">
        <w:t xml:space="preserve"> </w:t>
      </w:r>
      <w:r w:rsidRPr="00EF0015">
        <w:t xml:space="preserve">the </w:t>
      </w:r>
      <w:r>
        <w:t>Government</w:t>
      </w:r>
      <w:r w:rsidR="008570E8">
        <w:t>’</w:t>
      </w:r>
      <w:r>
        <w:t>s preliminary objection</w:t>
      </w:r>
      <w:r w:rsidR="00AA022F">
        <w:t>s</w:t>
      </w:r>
      <w:r>
        <w:t xml:space="preserve"> regarding </w:t>
      </w:r>
      <w:r w:rsidR="00AA022F">
        <w:t xml:space="preserve">attribution and </w:t>
      </w:r>
      <w:r>
        <w:t>non-exhaustion of domestic remedies</w:t>
      </w:r>
      <w:r w:rsidR="001D6317">
        <w:t>;</w:t>
      </w:r>
    </w:p>
    <w:p w:rsidR="009405E2" w:rsidP="009405E2" w:rsidRDefault="009405E2">
      <w:pPr>
        <w:pStyle w:val="JuList"/>
      </w:pPr>
    </w:p>
    <w:p w:rsidRPr="00EF0015" w:rsidR="009405E2" w:rsidP="009405E2" w:rsidRDefault="009405E2">
      <w:pPr>
        <w:pStyle w:val="JuList"/>
      </w:pPr>
      <w:r>
        <w:t>2</w:t>
      </w:r>
      <w:r w:rsidRPr="00EF0015">
        <w:t>.  </w:t>
      </w:r>
      <w:r w:rsidR="00AA022F">
        <w:rPr>
          <w:rStyle w:val="dec-005flist--char"/>
          <w:i/>
          <w:iCs/>
        </w:rPr>
        <w:t xml:space="preserve">Joins </w:t>
      </w:r>
      <w:r w:rsidRPr="00D8100E" w:rsidR="00AA022F">
        <w:rPr>
          <w:i/>
        </w:rPr>
        <w:t>to the merits</w:t>
      </w:r>
      <w:r w:rsidR="00AA022F">
        <w:t xml:space="preserve"> the questions whether the applicants fell within the jurisdiction of the respondent State and whether the fifth and sixth applicants retained victim status</w:t>
      </w:r>
      <w:r w:rsidR="001D6317">
        <w:t>;</w:t>
      </w:r>
    </w:p>
    <w:p w:rsidR="009405E2" w:rsidRDefault="009405E2">
      <w:pPr>
        <w:pStyle w:val="JuList"/>
      </w:pPr>
    </w:p>
    <w:p w:rsidRPr="00EF0015" w:rsidR="00F71A6A" w:rsidRDefault="00AA022F">
      <w:pPr>
        <w:pStyle w:val="JuList"/>
      </w:pPr>
      <w:r>
        <w:t>3</w:t>
      </w:r>
      <w:r w:rsidRPr="00EF0015" w:rsidR="00F71A6A">
        <w:t>.  </w:t>
      </w:r>
      <w:r w:rsidRPr="00EF0015" w:rsidR="00F71A6A">
        <w:rPr>
          <w:i/>
        </w:rPr>
        <w:t>Declares</w:t>
      </w:r>
      <w:r w:rsidRPr="00EF0015" w:rsidR="00F71A6A">
        <w:t xml:space="preserve"> the </w:t>
      </w:r>
      <w:r w:rsidRPr="00EF0015" w:rsidR="005027B8">
        <w:t>application</w:t>
      </w:r>
      <w:r w:rsidRPr="00EF0015" w:rsidR="00F71A6A">
        <w:t xml:space="preserve"> admissible</w:t>
      </w:r>
      <w:r w:rsidR="001D6317">
        <w:t>;</w:t>
      </w:r>
    </w:p>
    <w:p w:rsidRPr="00EF0015" w:rsidR="00F71A6A" w:rsidRDefault="00F71A6A">
      <w:pPr>
        <w:pStyle w:val="JuList"/>
      </w:pPr>
    </w:p>
    <w:p w:rsidR="00C81668" w:rsidRDefault="00AA022F">
      <w:pPr>
        <w:pStyle w:val="JuList"/>
      </w:pPr>
      <w:r>
        <w:t>4</w:t>
      </w:r>
      <w:r w:rsidRPr="00EF0015" w:rsidR="00F71A6A">
        <w:t>.  </w:t>
      </w:r>
      <w:r w:rsidRPr="00EF0015" w:rsidR="00F71A6A">
        <w:rPr>
          <w:i/>
        </w:rPr>
        <w:t>Holds</w:t>
      </w:r>
      <w:r w:rsidRPr="00EF0015" w:rsidR="00F71A6A">
        <w:t xml:space="preserve"> that </w:t>
      </w:r>
      <w:r>
        <w:t xml:space="preserve">the </w:t>
      </w:r>
      <w:r w:rsidR="001D6317">
        <w:t>applicants</w:t>
      </w:r>
      <w:r w:rsidR="008570E8">
        <w:t>’</w:t>
      </w:r>
      <w:r w:rsidR="001D6317">
        <w:t xml:space="preserve"> deceased relatives fell within the jurisdiction of the </w:t>
      </w:r>
      <w:r>
        <w:t xml:space="preserve">respondent State </w:t>
      </w:r>
      <w:r w:rsidR="001D6317">
        <w:t xml:space="preserve">and </w:t>
      </w:r>
      <w:r w:rsidR="001D6317">
        <w:rPr>
          <w:i/>
        </w:rPr>
        <w:t xml:space="preserve">dismisses </w:t>
      </w:r>
      <w:r w:rsidR="001D6317">
        <w:t>the Government</w:t>
      </w:r>
      <w:r w:rsidR="008570E8">
        <w:t>’</w:t>
      </w:r>
      <w:r w:rsidR="001D6317">
        <w:t>s preliminary objection as regards jurisdiction;</w:t>
      </w:r>
    </w:p>
    <w:p w:rsidR="00AA022F" w:rsidRDefault="00AA022F">
      <w:pPr>
        <w:pStyle w:val="JuList"/>
      </w:pPr>
    </w:p>
    <w:p w:rsidRPr="00AA022F" w:rsidR="00AA022F" w:rsidRDefault="001D6317">
      <w:pPr>
        <w:pStyle w:val="JuList"/>
      </w:pPr>
      <w:r>
        <w:t>5</w:t>
      </w:r>
      <w:r w:rsidR="00AA022F">
        <w:t>.</w:t>
      </w:r>
      <w:r w:rsidR="00D272B7">
        <w:t>  </w:t>
      </w:r>
      <w:r w:rsidR="00AA022F">
        <w:rPr>
          <w:i/>
        </w:rPr>
        <w:t xml:space="preserve">Holds </w:t>
      </w:r>
      <w:r w:rsidR="00AA022F">
        <w:t xml:space="preserve">that the sixth applicant can no longer claim to be a victim of a violation of the procedural </w:t>
      </w:r>
      <w:r w:rsidR="0064139E">
        <w:t>obligation</w:t>
      </w:r>
      <w:r w:rsidR="00AA022F">
        <w:t xml:space="preserve"> under Article 2 of the Convention;</w:t>
      </w:r>
    </w:p>
    <w:p w:rsidRPr="00AA022F" w:rsidR="00AA022F" w:rsidRDefault="00AA022F">
      <w:pPr>
        <w:pStyle w:val="JuList"/>
        <w:rPr>
          <w:i/>
        </w:rPr>
      </w:pPr>
    </w:p>
    <w:p w:rsidRPr="00EF0015" w:rsidR="00F71A6A" w:rsidRDefault="001D6317">
      <w:pPr>
        <w:pStyle w:val="JuList"/>
      </w:pPr>
      <w:r>
        <w:t>6</w:t>
      </w:r>
      <w:r w:rsidRPr="00EF0015" w:rsidR="00F71A6A">
        <w:t>.  </w:t>
      </w:r>
      <w:r w:rsidRPr="00EF0015" w:rsidR="00F71A6A">
        <w:rPr>
          <w:i/>
        </w:rPr>
        <w:t>Holds</w:t>
      </w:r>
      <w:r w:rsidRPr="00EF0015" w:rsidR="005027B8">
        <w:t xml:space="preserve"> </w:t>
      </w:r>
      <w:r w:rsidRPr="00EF0015" w:rsidR="00F71A6A">
        <w:t xml:space="preserve">that there has been a </w:t>
      </w:r>
      <w:r w:rsidRPr="00543D67" w:rsidR="00543D67">
        <w:t xml:space="preserve">breach of the procedural obligation under Article 2 of the Convention to carry out an adequate and effective investigation into the deaths of the relatives of the </w:t>
      </w:r>
      <w:r w:rsidR="00AA022F">
        <w:t>first, second, third, fourth and fifth applicants</w:t>
      </w:r>
      <w:r>
        <w:t xml:space="preserve"> and </w:t>
      </w:r>
      <w:r>
        <w:rPr>
          <w:i/>
        </w:rPr>
        <w:t xml:space="preserve">dismisses </w:t>
      </w:r>
      <w:r>
        <w:t>the Government</w:t>
      </w:r>
      <w:r w:rsidR="008570E8">
        <w:t>’</w:t>
      </w:r>
      <w:r>
        <w:t>s preliminary objection as regards the victim status of the fifth applicant</w:t>
      </w:r>
      <w:r w:rsidRPr="00EF0015" w:rsidR="00F71A6A">
        <w:t>;</w:t>
      </w:r>
    </w:p>
    <w:p w:rsidRPr="00EF0015" w:rsidR="00F71A6A" w:rsidRDefault="00F71A6A">
      <w:pPr>
        <w:pStyle w:val="JuList"/>
      </w:pPr>
    </w:p>
    <w:p w:rsidR="00C81668" w:rsidRDefault="005E53F6">
      <w:pPr>
        <w:pStyle w:val="JuList"/>
      </w:pPr>
      <w:r>
        <w:t>7</w:t>
      </w:r>
      <w:r w:rsidRPr="00EF0015" w:rsidR="00F71A6A">
        <w:t>.  </w:t>
      </w:r>
      <w:r w:rsidRPr="00EF0015" w:rsidR="00F71A6A">
        <w:rPr>
          <w:i/>
        </w:rPr>
        <w:t>Holds</w:t>
      </w:r>
    </w:p>
    <w:p w:rsidR="00F71A6A" w:rsidRDefault="00F71A6A">
      <w:pPr>
        <w:pStyle w:val="JuLista"/>
      </w:pPr>
      <w:r w:rsidRPr="00EF0015">
        <w:t xml:space="preserve">(a)  that the respondent State is to pay </w:t>
      </w:r>
      <w:r w:rsidR="00D4220A">
        <w:t xml:space="preserve">each of </w:t>
      </w:r>
      <w:r w:rsidRPr="00EF0015">
        <w:t xml:space="preserve">the </w:t>
      </w:r>
      <w:r w:rsidR="00D4220A">
        <w:t xml:space="preserve">first five </w:t>
      </w:r>
      <w:r w:rsidRPr="00EF0015" w:rsidR="005027B8">
        <w:t>applicants</w:t>
      </w:r>
      <w:r w:rsidRPr="00EF0015">
        <w:t>, within three months</w:t>
      </w:r>
      <w:r w:rsidR="00F44B4C">
        <w:t>,</w:t>
      </w:r>
      <w:r w:rsidRPr="00EF0015">
        <w:t xml:space="preserve"> EUR </w:t>
      </w:r>
      <w:r w:rsidR="005E53F6">
        <w:t>17,000</w:t>
      </w:r>
      <w:r w:rsidRPr="00EF0015">
        <w:t xml:space="preserve"> (</w:t>
      </w:r>
      <w:r w:rsidR="005E53F6">
        <w:t>seventeen</w:t>
      </w:r>
      <w:r w:rsidR="00D4220A">
        <w:t xml:space="preserve"> thousand</w:t>
      </w:r>
      <w:r w:rsidR="005E53F6">
        <w:t xml:space="preserve"> euros)</w:t>
      </w:r>
      <w:r w:rsidRPr="00EF0015" w:rsidR="00371277">
        <w:t>, plus any tax that may be chargeable</w:t>
      </w:r>
      <w:r w:rsidR="00E52EE6">
        <w:t xml:space="preserve"> on this sum</w:t>
      </w:r>
      <w:r w:rsidRPr="00EF0015" w:rsidR="00371277">
        <w:t xml:space="preserve">, </w:t>
      </w:r>
      <w:r w:rsidRPr="00EF0015">
        <w:t>in respect of non-pecuniary damage</w:t>
      </w:r>
      <w:r w:rsidR="005E53F6">
        <w:t>, to be converted into pounds sterling at the rate applicable at the date of settlement</w:t>
      </w:r>
      <w:r w:rsidRPr="00EF0015">
        <w:t>;</w:t>
      </w:r>
    </w:p>
    <w:p w:rsidRPr="00EF0015" w:rsidR="00D4220A" w:rsidRDefault="00D4220A">
      <w:pPr>
        <w:pStyle w:val="JuLista"/>
      </w:pPr>
      <w:r>
        <w:t>(b</w:t>
      </w:r>
      <w:r w:rsidRPr="00EF0015">
        <w:t xml:space="preserve">)  that the respondent State is to pay </w:t>
      </w:r>
      <w:r>
        <w:t xml:space="preserve">jointly to </w:t>
      </w:r>
      <w:r w:rsidRPr="00EF0015">
        <w:t xml:space="preserve">the </w:t>
      </w:r>
      <w:r>
        <w:t xml:space="preserve">first five </w:t>
      </w:r>
      <w:r w:rsidRPr="00EF0015">
        <w:t>applicants, within three months</w:t>
      </w:r>
      <w:r w:rsidR="00F44B4C">
        <w:t>,</w:t>
      </w:r>
      <w:r w:rsidRPr="00EF0015">
        <w:t xml:space="preserve"> EUR </w:t>
      </w:r>
      <w:r>
        <w:t>50,000</w:t>
      </w:r>
      <w:r w:rsidRPr="00EF0015">
        <w:t xml:space="preserve"> (</w:t>
      </w:r>
      <w:r>
        <w:t>fifty thousand</w:t>
      </w:r>
      <w:r w:rsidRPr="00EF0015">
        <w:t xml:space="preserve"> euros), plus any tax that may be chargeable</w:t>
      </w:r>
      <w:r w:rsidR="00E52EE6">
        <w:t xml:space="preserve"> </w:t>
      </w:r>
      <w:r w:rsidR="008F5B05">
        <w:t xml:space="preserve">to the applicants </w:t>
      </w:r>
      <w:r w:rsidR="00E52EE6">
        <w:t>on this sum</w:t>
      </w:r>
      <w:r w:rsidRPr="00EF0015">
        <w:t xml:space="preserve">, in respect of </w:t>
      </w:r>
      <w:r>
        <w:t>costs and expenses, to be converted into pounds sterling at the rate applicable at the date of settlement;</w:t>
      </w:r>
    </w:p>
    <w:p w:rsidRPr="00EF0015" w:rsidR="00F71A6A" w:rsidRDefault="00D4220A">
      <w:pPr>
        <w:pStyle w:val="JuLista"/>
      </w:pPr>
      <w:r>
        <w:t>(c</w:t>
      </w:r>
      <w:r w:rsidRPr="00EF0015" w:rsidR="00F71A6A">
        <w:t>)  that from the expiry of the above-mentioned three months until settlement simple interest shall be payable on the above amounts at a rate equal to the marginal lending rate of the European Central Bank during the default period plus three percentage points;</w:t>
      </w:r>
    </w:p>
    <w:p w:rsidRPr="00EF0015" w:rsidR="00F71A6A" w:rsidRDefault="00F71A6A">
      <w:pPr>
        <w:pStyle w:val="JuList"/>
      </w:pPr>
    </w:p>
    <w:p w:rsidRPr="00EF0015" w:rsidR="00F71A6A" w:rsidRDefault="005E53F6">
      <w:pPr>
        <w:pStyle w:val="JuList"/>
      </w:pPr>
      <w:r>
        <w:t>8</w:t>
      </w:r>
      <w:r w:rsidRPr="00EF0015" w:rsidR="00F71A6A">
        <w:t>.  </w:t>
      </w:r>
      <w:r w:rsidRPr="00EF0015" w:rsidR="00F71A6A">
        <w:rPr>
          <w:i/>
        </w:rPr>
        <w:t>Dismisses</w:t>
      </w:r>
      <w:r w:rsidRPr="00EF0015" w:rsidR="00F71A6A">
        <w:t xml:space="preserve"> the remainder of the </w:t>
      </w:r>
      <w:r w:rsidRPr="00EF0015" w:rsidR="005027B8">
        <w:t>applicants</w:t>
      </w:r>
      <w:r w:rsidR="008570E8">
        <w:t>’</w:t>
      </w:r>
      <w:r w:rsidRPr="00EF0015" w:rsidR="00F71A6A">
        <w:t xml:space="preserve"> claim for just satisfaction</w:t>
      </w:r>
      <w:r w:rsidRPr="00D4220A" w:rsidR="00F71A6A">
        <w:t>.</w:t>
      </w:r>
    </w:p>
    <w:p w:rsidR="00F44A7D" w:rsidP="00325C2B" w:rsidRDefault="00F44A7D">
      <w:pPr>
        <w:pStyle w:val="JuParaLast"/>
      </w:pPr>
    </w:p>
    <w:p w:rsidRPr="00EF0015" w:rsidR="00325C2B" w:rsidP="00325C2B" w:rsidRDefault="00F71A6A">
      <w:pPr>
        <w:pStyle w:val="JuParaLast"/>
      </w:pPr>
      <w:r w:rsidRPr="00EF0015">
        <w:t>Done in English</w:t>
      </w:r>
      <w:r w:rsidR="00E52EE6">
        <w:t xml:space="preserve"> and </w:t>
      </w:r>
      <w:r w:rsidR="00864261">
        <w:t xml:space="preserve">in </w:t>
      </w:r>
      <w:r w:rsidR="00E52EE6">
        <w:t>French</w:t>
      </w:r>
      <w:r w:rsidRPr="00EF0015">
        <w:t xml:space="preserve">, and </w:t>
      </w:r>
      <w:r w:rsidR="00E15FF5">
        <w:t>delivered at a public hearing in the Human Rights Building, Strasbourg,</w:t>
      </w:r>
      <w:r w:rsidRPr="00EF0015">
        <w:t xml:space="preserve"> on </w:t>
      </w:r>
      <w:r w:rsidR="007A26CE">
        <w:t xml:space="preserve">7 July </w:t>
      </w:r>
      <w:r w:rsidR="00A11744">
        <w:t>2011</w:t>
      </w:r>
      <w:r w:rsidRPr="00EF0015">
        <w:t>.</w:t>
      </w:r>
    </w:p>
    <w:p w:rsidR="0079187F" w:rsidP="00C01E1C" w:rsidRDefault="005027B8">
      <w:pPr>
        <w:pStyle w:val="JuSigned"/>
        <w:keepNext/>
        <w:keepLines/>
      </w:pPr>
      <w:r w:rsidRPr="00EF0015">
        <w:t>Michael</w:t>
      </w:r>
      <w:r w:rsidRPr="00EF0015" w:rsidR="000726F6">
        <w:t xml:space="preserve"> </w:t>
      </w:r>
      <w:r w:rsidRPr="00EF0015">
        <w:t>O</w:t>
      </w:r>
      <w:r w:rsidR="008570E8">
        <w:t>’</w:t>
      </w:r>
      <w:r w:rsidRPr="00EF0015">
        <w:t>Boyle</w:t>
      </w:r>
      <w:r w:rsidRPr="00EF0015" w:rsidR="000726F6">
        <w:tab/>
      </w:r>
      <w:r w:rsidR="008570E8">
        <w:t xml:space="preserve">    </w:t>
      </w:r>
      <w:r w:rsidR="00111D21">
        <w:t>Jean-Paul Costa</w:t>
      </w:r>
      <w:r w:rsidRPr="00EF0015" w:rsidR="000726F6">
        <w:br/>
      </w:r>
      <w:r w:rsidRPr="00EF0015">
        <w:t>Deputy Registrar</w:t>
      </w:r>
      <w:r w:rsidRPr="00EF0015" w:rsidR="000726F6">
        <w:tab/>
      </w:r>
      <w:r w:rsidR="008570E8">
        <w:t xml:space="preserve">   </w:t>
      </w:r>
      <w:r w:rsidR="00446190">
        <w:t xml:space="preserve"> </w:t>
      </w:r>
      <w:r w:rsidRPr="00EF0015" w:rsidR="000726F6">
        <w:t>President</w:t>
      </w:r>
    </w:p>
    <w:p w:rsidR="00C81668" w:rsidP="00E07594" w:rsidRDefault="00E07594">
      <w:pPr>
        <w:pStyle w:val="JuParaLast"/>
      </w:pPr>
      <w:r w:rsidRPr="0086290A">
        <w:t xml:space="preserve">In accordance with Article 45 § 2 of the Convention and Rule 74 § 2 of the Rules of Court, the </w:t>
      </w:r>
      <w:r w:rsidR="00500D68">
        <w:t>following separate</w:t>
      </w:r>
      <w:r w:rsidRPr="0086290A">
        <w:t xml:space="preserve"> opinion</w:t>
      </w:r>
      <w:r>
        <w:t>s</w:t>
      </w:r>
      <w:r w:rsidRPr="0086290A">
        <w:t xml:space="preserve"> </w:t>
      </w:r>
      <w:r>
        <w:rPr>
          <w:rStyle w:val="JuJudgesChar"/>
        </w:rPr>
        <w:t>are</w:t>
      </w:r>
      <w:r w:rsidRPr="0086290A">
        <w:t xml:space="preserve"> annexed to this judgment</w:t>
      </w:r>
      <w:r w:rsidR="00500D68">
        <w:t>:</w:t>
      </w:r>
    </w:p>
    <w:p w:rsidR="00500D68" w:rsidP="00D8100E" w:rsidRDefault="00500D68">
      <w:pPr>
        <w:pStyle w:val="JuPara"/>
      </w:pPr>
      <w:r>
        <w:t>(a)  concurring opinion of Judge Rozakis;</w:t>
      </w:r>
    </w:p>
    <w:p w:rsidRPr="00500D68" w:rsidR="00500D68" w:rsidP="00D8100E" w:rsidRDefault="00500D68">
      <w:pPr>
        <w:pStyle w:val="JuPara"/>
      </w:pPr>
      <w:r>
        <w:t>(b)  concurring opinion of Judge Bonello.</w:t>
      </w:r>
    </w:p>
    <w:p w:rsidR="00E07594" w:rsidP="00E07594" w:rsidRDefault="00057CBF">
      <w:pPr>
        <w:pStyle w:val="JuInitialled"/>
        <w:sectPr w:rsidR="00E07594" w:rsidSect="00E07594">
          <w:headerReference w:type="even" r:id="rId9"/>
          <w:headerReference w:type="default" r:id="rId10"/>
          <w:footerReference w:type="even" r:id="rId11"/>
          <w:footnotePr>
            <w:numRestart w:val="eachPage"/>
          </w:footnotePr>
          <w:pgSz w:w="11906" w:h="16838" w:code="9"/>
          <w:pgMar w:top="2274" w:right="2274" w:bottom="2274" w:left="2274" w:header="1701" w:footer="720" w:gutter="0"/>
          <w:pgNumType w:start="1"/>
          <w:cols w:space="720"/>
          <w:docGrid w:linePitch="254"/>
        </w:sectPr>
      </w:pPr>
      <w:r>
        <w:t>J.-P.C</w:t>
      </w:r>
      <w:r w:rsidR="009F3A04">
        <w:t>.</w:t>
      </w:r>
      <w:r w:rsidRPr="0086290A" w:rsidR="00E07594">
        <w:br/>
      </w:r>
      <w:r>
        <w:t>M.O</w:t>
      </w:r>
      <w:r w:rsidR="008570E8">
        <w:t>’</w:t>
      </w:r>
      <w:r>
        <w:t>B</w:t>
      </w:r>
      <w:r w:rsidR="00E07594">
        <w:t>.</w:t>
      </w:r>
    </w:p>
    <w:p w:rsidRPr="00AD34E9" w:rsidR="00B86609" w:rsidP="00B86609" w:rsidRDefault="00B86609">
      <w:pPr>
        <w:pStyle w:val="OpiHHead"/>
      </w:pPr>
      <w:r>
        <w:t>CONCURRING</w:t>
      </w:r>
      <w:r w:rsidRPr="00AD34E9">
        <w:t xml:space="preserve"> OPINION OF JUDGE </w:t>
      </w:r>
      <w:r>
        <w:t>ROZAKIS</w:t>
      </w:r>
    </w:p>
    <w:p w:rsidR="00B86609" w:rsidP="00B86609" w:rsidRDefault="00B86609">
      <w:pPr>
        <w:pStyle w:val="OpiPara"/>
      </w:pPr>
      <w:r>
        <w:t xml:space="preserve">When citing the general principles relevant to a State </w:t>
      </w:r>
      <w:r w:rsidR="00914570">
        <w:t>P</w:t>
      </w:r>
      <w:r>
        <w:t>arty</w:t>
      </w:r>
      <w:r w:rsidR="008570E8">
        <w:t>’</w:t>
      </w:r>
      <w:r>
        <w:t>s jurisdiction under A</w:t>
      </w:r>
      <w:r w:rsidR="0064139E">
        <w:t>rticle 1 of the Convention (see paragraphs 130</w:t>
      </w:r>
      <w:r>
        <w:t xml:space="preserve"> </w:t>
      </w:r>
      <w:r w:rsidRPr="00680E4D">
        <w:t>et seq.</w:t>
      </w:r>
      <w:r>
        <w:t xml:space="preserve"> of the Grand Chamber judgment), the Court reiterates its established case-law that apart from the territorial aspect determining the jurisdictional competence of a State </w:t>
      </w:r>
      <w:r w:rsidR="00914570">
        <w:t>P</w:t>
      </w:r>
      <w:r>
        <w:t>arty to the Convention, there are “exceptional circumstances capable of giving rise to the exercise of jurisdiction by a Contracting State outside its own territo</w:t>
      </w:r>
      <w:r w:rsidR="00AC0F22">
        <w:t xml:space="preserve">rial boundaries” (see paragraph </w:t>
      </w:r>
      <w:r>
        <w:t>132). It then proceeds to discuss such exceptional circumstances. In paragraphs 133 to 137, under the title “State agent authority and control”, it refers to situations where State agents operating extraterritorially, and exercising control and authority over individuals, create a jurisdictional link with their State and its obligations under the Convention, making that State responsible for the acts or omissions of its agents, in cases where they affect the rights or freedoms of individuals protected by the Convention. Characteristic examples of such exceptional circumstances of extraterritorial jurisdiction are mentioned in the judgment (see paragraphs 134</w:t>
      </w:r>
      <w:r w:rsidR="00DE01FF">
        <w:t>-</w:t>
      </w:r>
      <w:r>
        <w:t>36), and concern the acts of diplomatic and consular agents, the exercise of authority and control over foreign territory by individuals which is allowed by a third State through its consent, invitation or acquiescence, and the use of force by State agents operating outside its territory.</w:t>
      </w:r>
    </w:p>
    <w:p w:rsidR="00C81668" w:rsidP="00B86609" w:rsidRDefault="00B86609">
      <w:pPr>
        <w:pStyle w:val="OpiPara"/>
      </w:pPr>
      <w:r>
        <w:t xml:space="preserve">So far so good, but then, under the title “Effective control over an area”, the Court refers to “[a]nother exception to the principle </w:t>
      </w:r>
      <w:r w:rsidR="00DE01FF">
        <w:t>[</w:t>
      </w:r>
      <w:r>
        <w:t>of</w:t>
      </w:r>
      <w:r w:rsidR="00DE01FF">
        <w:t>]</w:t>
      </w:r>
      <w:r>
        <w:t xml:space="preserve"> jurisdiction”, when “as a consequence of lawful or unlawful military action, a Contracting State exercises effective control of an area outsi</w:t>
      </w:r>
      <w:r w:rsidR="00580CB2">
        <w:t>de [its] national territory”</w:t>
      </w:r>
      <w:r w:rsidR="00DE01FF">
        <w:t xml:space="preserve"> (see paragraph 138)</w:t>
      </w:r>
      <w:r w:rsidR="00580CB2">
        <w:t>. I</w:t>
      </w:r>
      <w:r w:rsidR="00AC0F22">
        <w:t xml:space="preserve"> </w:t>
      </w:r>
      <w:r>
        <w:t>regret to say that I cannot agree that this ground of jurisdiction constitutes a separate (“another”) ground of jurisdiction, which differs from the “State authority and control” jurisdictional link. It is part and parcel, to my mind, of that latter jurisdictional link, and concerns a particular aspect of it. The differing elements, which distinguish that particular aspect from the jurisdictional categories mentioned by the Court, can be presented cumulatively or in isolation as the following: (a) the usually large-scale use of force; (b) the occupation of a territory for a prolonged period of time; and/or (c) in the case of occupation, the exercise of power by a subordinate local administration, whose acts do not exonerate the occupying State from its responsibility under the Convention.</w:t>
      </w:r>
    </w:p>
    <w:p w:rsidR="00C81668" w:rsidP="00B86609" w:rsidRDefault="00B86609">
      <w:pPr>
        <w:pStyle w:val="OpiPara"/>
      </w:pPr>
      <w:r>
        <w:t xml:space="preserve">As a consequence, I consider that the right approach to the matter would have been for the Court to have included that aspect of jurisdiction in the exercise of </w:t>
      </w:r>
      <w:r w:rsidR="001355FF">
        <w:t xml:space="preserve">the </w:t>
      </w:r>
      <w:r>
        <w:t>“State authority and control” test, and to have simply determined that “effective” control is a condition for the exercise of jurisdiction which brings a State within the boundaries of the Convention, as delimited by its Article 1.</w:t>
      </w:r>
    </w:p>
    <w:p w:rsidR="005A3021" w:rsidP="005A3021" w:rsidRDefault="005A3021">
      <w:pPr>
        <w:pStyle w:val="OpiHHead"/>
      </w:pPr>
      <w:r w:rsidRPr="004C6FCA">
        <w:rPr>
          <w:szCs w:val="28"/>
        </w:rPr>
        <w:t>CONCURRING OPINION OF JUDGE BONELLO</w:t>
      </w:r>
    </w:p>
    <w:p w:rsidRPr="007F3155" w:rsidR="005A3021" w:rsidP="005A3021" w:rsidRDefault="000705CA">
      <w:pPr>
        <w:pStyle w:val="OpiPara"/>
      </w:pPr>
      <w:r>
        <w:t>1</w:t>
      </w:r>
      <w:r w:rsidRPr="007F3155" w:rsidR="005A3021">
        <w:t>.  These six cases deal primarily with the issue of whether Iraqi civilians who allegedly lost their lives at the hands of United Kingdom soldiers, in non-combat situations in the United Kingdom-occupied Basra region of Iraq, were “within the jurisdiction” of the United Kingdom when those killings took place.</w:t>
      </w:r>
    </w:p>
    <w:p w:rsidRPr="007F3155" w:rsidR="005A3021" w:rsidP="005A3021" w:rsidRDefault="00CE282F">
      <w:pPr>
        <w:pStyle w:val="OpiPara"/>
      </w:pPr>
      <w:r>
        <w:t>2</w:t>
      </w:r>
      <w:r w:rsidR="000705CA">
        <w:t>.  </w:t>
      </w:r>
      <w:r w:rsidRPr="007F3155" w:rsidR="005A3021">
        <w:t>When, in March 2003, the United Kingdom, tog</w:t>
      </w:r>
      <w:r w:rsidR="004D5B1C">
        <w:t>ether with the other Coalition F</w:t>
      </w:r>
      <w:r w:rsidRPr="007F3155" w:rsidR="005A3021">
        <w:t>orces</w:t>
      </w:r>
      <w:r w:rsidR="009B0DD4">
        <w:t>,</w:t>
      </w:r>
      <w:r w:rsidRPr="007F3155" w:rsidR="005A3021">
        <w:t xml:space="preserve"> invaded Iraq, the Coalition Provisional Authority (CPA) conferred upon members of that Authority the fullest jurisdictional powers over Iraq: “The CPA is vested with all executive, legislative and judicial authority necessary to achieve its objectives</w:t>
      </w:r>
      <w:r w:rsidR="0033409F">
        <w:t>.</w:t>
      </w:r>
      <w:r w:rsidRPr="007F3155" w:rsidR="005A3021">
        <w:t>” This included the “power to issue legislation”: “The CPA shall exercise powers of government temporarily</w:t>
      </w:r>
      <w:r w:rsidR="0033409F">
        <w:t>.</w:t>
      </w:r>
      <w:r w:rsidRPr="007F3155" w:rsidR="005A3021">
        <w:t>”</w:t>
      </w:r>
      <w:r w:rsidR="005A3021">
        <w:rPr>
          <w:rStyle w:val="FootnoteReference"/>
        </w:rPr>
        <w:footnoteReference w:id="1"/>
      </w:r>
    </w:p>
    <w:p w:rsidRPr="007F3155" w:rsidR="005A3021" w:rsidP="005A3021" w:rsidRDefault="00CE282F">
      <w:pPr>
        <w:pStyle w:val="OpiPara"/>
      </w:pPr>
      <w:r>
        <w:t>3</w:t>
      </w:r>
      <w:r w:rsidRPr="007F3155" w:rsidR="005A3021">
        <w:t xml:space="preserve">.  I fully agreed with the findings of the Court, but I would have employed a different test (a </w:t>
      </w:r>
      <w:r w:rsidR="0064139E">
        <w:t>“</w:t>
      </w:r>
      <w:r w:rsidRPr="007F3155" w:rsidR="005A3021">
        <w:t>functional jurisdiction</w:t>
      </w:r>
      <w:r w:rsidR="0064139E">
        <w:t>”</w:t>
      </w:r>
      <w:r w:rsidRPr="007F3155" w:rsidR="005A3021">
        <w:t xml:space="preserve"> test) to establish whether or not the victims fell within the jurisdiction of the United Kingdom. Though the present judgment has placed the doctrines of extraterritorial jurisdiction on a sounder footing than ever before, I still do not consider wholly satisfactory the re-elaboration of the traditional tests to which the Court has resorted.</w:t>
      </w:r>
    </w:p>
    <w:p w:rsidRPr="007F3155" w:rsidR="005A3021" w:rsidP="005A3021" w:rsidRDefault="005A3021">
      <w:pPr>
        <w:pStyle w:val="OpiPara"/>
      </w:pPr>
    </w:p>
    <w:p w:rsidRPr="007F3155" w:rsidR="005A3021" w:rsidP="005A3021" w:rsidRDefault="005A3021">
      <w:pPr>
        <w:pStyle w:val="OpiPara"/>
        <w:rPr>
          <w:b/>
        </w:rPr>
      </w:pPr>
      <w:r w:rsidRPr="007F3155">
        <w:rPr>
          <w:b/>
        </w:rPr>
        <w:t xml:space="preserve">Extraterritorial jurisdiction or </w:t>
      </w:r>
      <w:r w:rsidR="00C843F8">
        <w:rPr>
          <w:b/>
        </w:rPr>
        <w:t>f</w:t>
      </w:r>
      <w:r w:rsidRPr="007F3155">
        <w:rPr>
          <w:b/>
        </w:rPr>
        <w:t>unctional jurisdiction?</w:t>
      </w:r>
    </w:p>
    <w:p w:rsidRPr="007D77FE" w:rsidR="005A3021" w:rsidP="005A3021" w:rsidRDefault="005A3021">
      <w:pPr>
        <w:pStyle w:val="OpiPara"/>
      </w:pPr>
    </w:p>
    <w:p w:rsidRPr="007F3155" w:rsidR="005A3021" w:rsidP="005A3021" w:rsidRDefault="00CE282F">
      <w:pPr>
        <w:pStyle w:val="OpiPara"/>
      </w:pPr>
      <w:r>
        <w:t>4</w:t>
      </w:r>
      <w:r w:rsidRPr="007F3155" w:rsidR="005A3021">
        <w:t>.  The Court</w:t>
      </w:r>
      <w:r w:rsidR="008570E8">
        <w:t>’</w:t>
      </w:r>
      <w:r w:rsidRPr="007F3155" w:rsidR="005A3021">
        <w:t>s case-law on Article 1 of the Convention (the jurisdiction of the Contracting Parties) has, so far, been bedevilled by an inability or an unwillingness to establish a coherent and axiomatic regime, grounded in essential basics and even-handedly applicable across the widest spectrum of jurisdictional controversies.</w:t>
      </w:r>
    </w:p>
    <w:p w:rsidR="005A3021" w:rsidP="005A3021" w:rsidRDefault="00CE282F">
      <w:pPr>
        <w:pStyle w:val="OpiPara"/>
      </w:pPr>
      <w:r>
        <w:t>5</w:t>
      </w:r>
      <w:r w:rsidRPr="007F3155" w:rsidR="005A3021">
        <w:t xml:space="preserve">.  Up until now, the Court has, in matters concerning the extraterritorial jurisdiction of Contracting Parties, spawned a number of “leading” judgments based on a need-to-decide basis, patchwork case-law at best. Inevitably, the doctrines established seem to go too far to some, and not far enough to others. As the Court has, in these cases, always tailored its tenets to sets of specific facts, it is hardly surprising that those tenets then seem to limp when applied to sets of different facts. Principles settled in one judgment may appear more or less justifiable in themselves, but they then betray an awkward fit when measured against principles established in another. </w:t>
      </w:r>
      <w:r w:rsidRPr="007F3155" w:rsidR="005A3021">
        <w:rPr>
          <w:i/>
        </w:rPr>
        <w:t>Issa</w:t>
      </w:r>
      <w:r w:rsidRPr="007F3155" w:rsidR="005A3021">
        <w:t xml:space="preserve"> </w:t>
      </w:r>
      <w:r w:rsidR="0079363D">
        <w:rPr>
          <w:i/>
          <w:szCs w:val="24"/>
          <w:lang w:eastAsia="en-US"/>
        </w:rPr>
        <w:t>and Others v.</w:t>
      </w:r>
      <w:r w:rsidRPr="00EF0015" w:rsidR="00AC0F22">
        <w:rPr>
          <w:i/>
          <w:szCs w:val="24"/>
          <w:lang w:eastAsia="en-US"/>
        </w:rPr>
        <w:t xml:space="preserve"> </w:t>
      </w:r>
      <w:r w:rsidRPr="00EF0015" w:rsidR="0079363D">
        <w:rPr>
          <w:i/>
          <w:szCs w:val="24"/>
          <w:lang w:eastAsia="en-US"/>
        </w:rPr>
        <w:t>Turkey</w:t>
      </w:r>
      <w:r w:rsidRPr="00EF0015" w:rsidR="0079363D">
        <w:rPr>
          <w:szCs w:val="24"/>
          <w:lang w:eastAsia="en-US"/>
        </w:rPr>
        <w:t xml:space="preserve"> </w:t>
      </w:r>
      <w:r w:rsidR="0079363D">
        <w:rPr>
          <w:szCs w:val="24"/>
          <w:lang w:eastAsia="en-US"/>
        </w:rPr>
        <w:t>(</w:t>
      </w:r>
      <w:r w:rsidRPr="00EF0015" w:rsidR="0079363D">
        <w:rPr>
          <w:szCs w:val="24"/>
          <w:lang w:eastAsia="en-US"/>
        </w:rPr>
        <w:t>no. 31821/96, 16 November 2004</w:t>
      </w:r>
      <w:r w:rsidR="0079363D">
        <w:rPr>
          <w:szCs w:val="24"/>
          <w:lang w:eastAsia="en-US"/>
        </w:rPr>
        <w:t xml:space="preserve">) </w:t>
      </w:r>
      <w:r w:rsidRPr="007F3155" w:rsidR="005A3021">
        <w:t xml:space="preserve">flies in the face of </w:t>
      </w:r>
      <w:r w:rsidRPr="007F3155" w:rsidR="005A3021">
        <w:rPr>
          <w:i/>
        </w:rPr>
        <w:t>Banković</w:t>
      </w:r>
      <w:r w:rsidRPr="007F3155" w:rsidR="005A3021">
        <w:t xml:space="preserve"> </w:t>
      </w:r>
      <w:r w:rsidR="0079363D">
        <w:rPr>
          <w:i/>
        </w:rPr>
        <w:t xml:space="preserve">and Others v. Belgium and Others </w:t>
      </w:r>
      <w:r w:rsidR="0079363D">
        <w:t>([GC] (dec.), no. </w:t>
      </w:r>
      <w:r w:rsidRPr="00DE504F" w:rsidR="0079363D">
        <w:t>52207/99</w:t>
      </w:r>
      <w:r w:rsidR="0079363D">
        <w:t xml:space="preserve">, ECHR </w:t>
      </w:r>
      <w:r w:rsidRPr="00DE504F" w:rsidR="0079363D">
        <w:t>2001-XII</w:t>
      </w:r>
      <w:r w:rsidR="0079363D">
        <w:t>)</w:t>
      </w:r>
      <w:r w:rsidRPr="007F3155" w:rsidR="0079363D">
        <w:t xml:space="preserve"> </w:t>
      </w:r>
      <w:r w:rsidRPr="007F3155" w:rsidR="005A3021">
        <w:t xml:space="preserve">and the cohabitation of </w:t>
      </w:r>
      <w:r w:rsidRPr="007F3155" w:rsidR="005A3021">
        <w:rPr>
          <w:i/>
        </w:rPr>
        <w:t>Behrami</w:t>
      </w:r>
      <w:r w:rsidRPr="007F3155" w:rsidR="005A3021">
        <w:t xml:space="preserve"> </w:t>
      </w:r>
      <w:r w:rsidRPr="00E97C26" w:rsidR="0079363D">
        <w:rPr>
          <w:i/>
        </w:rPr>
        <w:t>v. France</w:t>
      </w:r>
      <w:r w:rsidR="0079363D">
        <w:t xml:space="preserve"> </w:t>
      </w:r>
      <w:r w:rsidRPr="008A6A12" w:rsidR="0079363D">
        <w:t>and</w:t>
      </w:r>
      <w:r w:rsidR="0079363D">
        <w:rPr>
          <w:i/>
        </w:rPr>
        <w:t xml:space="preserve"> Saramati v.</w:t>
      </w:r>
      <w:r w:rsidR="00AC0F22">
        <w:rPr>
          <w:i/>
        </w:rPr>
        <w:t xml:space="preserve"> </w:t>
      </w:r>
      <w:r w:rsidRPr="00E97C26" w:rsidR="0079363D">
        <w:rPr>
          <w:i/>
        </w:rPr>
        <w:t>France, Germany and Norway</w:t>
      </w:r>
      <w:r w:rsidRPr="00E97C26" w:rsidR="0079363D">
        <w:t xml:space="preserve"> </w:t>
      </w:r>
      <w:r w:rsidR="0079363D">
        <w:t>(</w:t>
      </w:r>
      <w:r w:rsidRPr="00E97C26" w:rsidR="0079363D">
        <w:t xml:space="preserve">(dec.) [GC], nos. 71412/01 and 78166/01, </w:t>
      </w:r>
      <w:r w:rsidR="00E15FF5">
        <w:t>2 May</w:t>
      </w:r>
      <w:r w:rsidRPr="00E97C26" w:rsidR="0079363D">
        <w:t xml:space="preserve"> 2007</w:t>
      </w:r>
      <w:r w:rsidR="0079363D">
        <w:t xml:space="preserve">) </w:t>
      </w:r>
      <w:r w:rsidRPr="007F3155" w:rsidR="005A3021">
        <w:t xml:space="preserve">with </w:t>
      </w:r>
      <w:r w:rsidRPr="007F3155" w:rsidR="005A3021">
        <w:rPr>
          <w:i/>
        </w:rPr>
        <w:t>Berić</w:t>
      </w:r>
      <w:r w:rsidRPr="007F3155" w:rsidR="005A3021">
        <w:t xml:space="preserve"> </w:t>
      </w:r>
      <w:r w:rsidRPr="00081659" w:rsidR="0079363D">
        <w:rPr>
          <w:i/>
        </w:rPr>
        <w:t xml:space="preserve">and Others v. </w:t>
      </w:r>
      <w:r w:rsidR="0079363D">
        <w:rPr>
          <w:i/>
        </w:rPr>
        <w:t>Bosnia and Herzegovina</w:t>
      </w:r>
      <w:r w:rsidRPr="00081659" w:rsidR="0079363D">
        <w:rPr>
          <w:i/>
        </w:rPr>
        <w:t xml:space="preserve"> </w:t>
      </w:r>
      <w:r w:rsidRPr="00081659" w:rsidR="0079363D">
        <w:t>(</w:t>
      </w:r>
      <w:r w:rsidR="0079363D">
        <w:t>(</w:t>
      </w:r>
      <w:r w:rsidRPr="00081659" w:rsidR="0079363D">
        <w:t>dec.)</w:t>
      </w:r>
      <w:r w:rsidR="0079363D">
        <w:t xml:space="preserve">, </w:t>
      </w:r>
      <w:r w:rsidR="00E15FF5">
        <w:t xml:space="preserve">nos. 36357/04 and others, </w:t>
      </w:r>
      <w:r w:rsidR="0079363D">
        <w:t>16 October 2007</w:t>
      </w:r>
      <w:r w:rsidR="0079363D">
        <w:rPr>
          <w:lang w:val="it-IT"/>
        </w:rPr>
        <w:t>)</w:t>
      </w:r>
      <w:r w:rsidRPr="007F3155" w:rsidR="0079363D">
        <w:t xml:space="preserve"> </w:t>
      </w:r>
      <w:r w:rsidRPr="007F3155" w:rsidR="005A3021">
        <w:t>is, overall, quite problematic.</w:t>
      </w:r>
    </w:p>
    <w:p w:rsidRPr="007F3155" w:rsidR="005A3021" w:rsidP="005A3021" w:rsidRDefault="00CE282F">
      <w:pPr>
        <w:pStyle w:val="OpiPara"/>
      </w:pPr>
      <w:r>
        <w:t>6</w:t>
      </w:r>
      <w:r w:rsidRPr="007F3155" w:rsidR="005A3021">
        <w:t>.  </w:t>
      </w:r>
      <w:r w:rsidR="00936413">
        <w:t xml:space="preserve">The late </w:t>
      </w:r>
      <w:r w:rsidRPr="007F3155" w:rsidR="005A3021">
        <w:t xml:space="preserve">Lord </w:t>
      </w:r>
      <w:r w:rsidR="00936413">
        <w:t xml:space="preserve">Rodger </w:t>
      </w:r>
      <w:r w:rsidR="005906F2">
        <w:t xml:space="preserve">of Earlsferry </w:t>
      </w:r>
      <w:r w:rsidR="00936413">
        <w:t>in the House of Lords had</w:t>
      </w:r>
      <w:r w:rsidRPr="007F3155" w:rsidR="005A3021">
        <w:t xml:space="preserve"> my full sympathy when he lament</w:t>
      </w:r>
      <w:r w:rsidR="00936413">
        <w:t>ed</w:t>
      </w:r>
      <w:r w:rsidRPr="007F3155" w:rsidR="005A3021">
        <w:t xml:space="preserve"> that, in its application of extraterritorial jurisdiction “the judgments and decisions of the European Court do not speak with one voice”. The differences, he rightly noted, are not merely ones of emphasis. Some “appear much more serious”</w:t>
      </w:r>
      <w:r w:rsidRPr="007F3155" w:rsidR="005A3021">
        <w:rPr>
          <w:rStyle w:val="FootnoteReference"/>
        </w:rPr>
        <w:footnoteReference w:id="2"/>
      </w:r>
      <w:r w:rsidR="005906F2">
        <w:t>.</w:t>
      </w:r>
    </w:p>
    <w:p w:rsidRPr="007F3155" w:rsidR="005A3021" w:rsidP="005A3021" w:rsidRDefault="00CE282F">
      <w:pPr>
        <w:pStyle w:val="OpiPara"/>
      </w:pPr>
      <w:r>
        <w:t>7</w:t>
      </w:r>
      <w:r w:rsidRPr="007F3155" w:rsidR="005A3021">
        <w:t>.  The truth seems to be that Article 1 case-law has, before the present judgment, enshrined everything and the opposite of everything. In consequence, the judicial decision-making process in Strasbourg has, so far, squandered more energy in attempting to reconcile the barely reconcilable than in trying to erect intellectual constructs of more universal application. A considerable number of different approaches to extraterritorial jurisdiction have so far been experimented with by the Court on a case-by-case basis, some not completely exempt from internal contradiction.</w:t>
      </w:r>
    </w:p>
    <w:p w:rsidR="005A3021" w:rsidP="005A3021" w:rsidRDefault="00CE282F">
      <w:pPr>
        <w:pStyle w:val="OpiPara"/>
      </w:pPr>
      <w:r>
        <w:t>8</w:t>
      </w:r>
      <w:r w:rsidRPr="007F3155" w:rsidR="005A3021">
        <w:t>.  My guileless plea is to return to the drawing board. To stop fashioning doctrines which somehow seem to accommodate the facts, but rather, to appraise the facts against the immutable principles which underlie the fundamental functions of the Convention.</w:t>
      </w:r>
    </w:p>
    <w:p w:rsidRPr="007F3155" w:rsidR="005A3021" w:rsidP="005A3021" w:rsidRDefault="00CE282F">
      <w:pPr>
        <w:pStyle w:val="OpiPara"/>
      </w:pPr>
      <w:r>
        <w:t>9</w:t>
      </w:r>
      <w:r w:rsidRPr="007F3155" w:rsidR="005A3021">
        <w:t xml:space="preserve">.  The founding members of the Convention, and each subsequent Contracting Party, strove to achieve one aim, at once infinitesimal and infinite: the supremacy of the rule of human rights law. In Article 1 they undertook to secure </w:t>
      </w:r>
      <w:r w:rsidRPr="007F3155" w:rsidR="005A3021">
        <w:rPr>
          <w:i/>
        </w:rPr>
        <w:t>to everyone within their jurisdiction</w:t>
      </w:r>
      <w:r w:rsidRPr="007F3155" w:rsidR="005A3021">
        <w:t xml:space="preserve"> the rights and freedoms enshrined in the Convention. This was, and remains, the cornerstone of the Convention. That was, and remains, the agenda heralded in its </w:t>
      </w:r>
      <w:r w:rsidR="005906F2">
        <w:t>P</w:t>
      </w:r>
      <w:r w:rsidRPr="007F3155" w:rsidR="005A3021">
        <w:t xml:space="preserve">reamble: “the </w:t>
      </w:r>
      <w:r w:rsidRPr="007F3155" w:rsidR="005A3021">
        <w:rPr>
          <w:i/>
        </w:rPr>
        <w:t>universal</w:t>
      </w:r>
      <w:r w:rsidRPr="007F3155" w:rsidR="005A3021">
        <w:t xml:space="preserve"> and effective recognition and observance” of fundamental human rights. “Universal” hardly suggests an observance parcelled off by territory on the checkerboard of geography.</w:t>
      </w:r>
    </w:p>
    <w:p w:rsidR="005A3021" w:rsidP="005A3021" w:rsidRDefault="00CE282F">
      <w:pPr>
        <w:pStyle w:val="OpiPara"/>
        <w:rPr>
          <w:i/>
        </w:rPr>
      </w:pPr>
      <w:r>
        <w:t>10</w:t>
      </w:r>
      <w:r w:rsidRPr="007F3155" w:rsidR="005A3021">
        <w:t xml:space="preserve">.  States ensure the observance of human rights in five primordial ways: firstly, by not violating (through their agents) human rights; secondly, by having in place systems which prevent breaches of human rights; thirdly, by investigating complaints of human rights abuses; fourthly, by scourging those of their agents who infringe human rights; and, finally, by compensating the victims of breaches of human rights. These constitute the basic minimum </w:t>
      </w:r>
      <w:r w:rsidRPr="007F3155" w:rsidR="005A3021">
        <w:rPr>
          <w:i/>
        </w:rPr>
        <w:t xml:space="preserve">functions </w:t>
      </w:r>
      <w:r w:rsidRPr="007F3155" w:rsidR="005A3021">
        <w:t>assumed by every State by virtue of its having contracted into the Convention.</w:t>
      </w:r>
    </w:p>
    <w:p w:rsidR="005A3021" w:rsidP="005A3021" w:rsidRDefault="00CE282F">
      <w:pPr>
        <w:pStyle w:val="OpiPara"/>
        <w:rPr>
          <w:i/>
        </w:rPr>
      </w:pPr>
      <w:r>
        <w:t>11</w:t>
      </w:r>
      <w:r w:rsidRPr="007F3155" w:rsidR="005A3021">
        <w:t xml:space="preserve">.  A “functional” test would see a State effectively exercising “jurisdiction” whenever it falls within its power to perform, or not to perform, any of these five functions. Very simply put, </w:t>
      </w:r>
      <w:r w:rsidRPr="007F3155" w:rsidR="005A3021">
        <w:rPr>
          <w:i/>
        </w:rPr>
        <w:t>a</w:t>
      </w:r>
      <w:r w:rsidRPr="007F3155" w:rsidR="005A3021">
        <w:t xml:space="preserve"> </w:t>
      </w:r>
      <w:r w:rsidRPr="007F3155" w:rsidR="005A3021">
        <w:rPr>
          <w:i/>
        </w:rPr>
        <w:t>State has jurisdiction for the purposes of Article 1 whenever the observance or the breach of any of these functions is within its authority and control.</w:t>
      </w:r>
    </w:p>
    <w:p w:rsidR="005A3021" w:rsidP="005A3021" w:rsidRDefault="00CE282F">
      <w:pPr>
        <w:pStyle w:val="OpiPara"/>
      </w:pPr>
      <w:r>
        <w:t>12</w:t>
      </w:r>
      <w:r w:rsidRPr="007F3155" w:rsidR="005A3021">
        <w:t xml:space="preserve">.  Jurisdiction means no less and no more than “authority over” and “control of”. In relation to Convention obligations, jurisdiction is neither territorial nor extraterritorial: it ought to be functional </w:t>
      </w:r>
      <w:r w:rsidR="00026DC5">
        <w:t>–</w:t>
      </w:r>
      <w:r w:rsidRPr="007F3155" w:rsidR="005A3021">
        <w:t xml:space="preserve"> in the sense that when it is within a State</w:t>
      </w:r>
      <w:r w:rsidR="008570E8">
        <w:t>’</w:t>
      </w:r>
      <w:r w:rsidRPr="007F3155" w:rsidR="005A3021">
        <w:t>s authority and control whether a breach of human rights is, or is not, committed, whether its perpetrators are, or are not, identified and punished, whether the victims of violations are, or are not, compensated, it would be an imposture to claim that, ah yes, that State had authority and control, but, ah no, it had no jurisdiction.</w:t>
      </w:r>
    </w:p>
    <w:p w:rsidR="005A3021" w:rsidP="005A3021" w:rsidRDefault="00CE282F">
      <w:pPr>
        <w:pStyle w:val="OpiPara"/>
      </w:pPr>
      <w:r>
        <w:t>13</w:t>
      </w:r>
      <w:r w:rsidRPr="007F3155" w:rsidR="005A3021">
        <w:t xml:space="preserve">.  The duties assumed through ratifying the Convention go hand in hand with the duty to perform and observe them. Jurisdiction arises from the mere fact of having assumed those obligations </w:t>
      </w:r>
      <w:r w:rsidRPr="007F3155" w:rsidR="005A3021">
        <w:rPr>
          <w:i/>
        </w:rPr>
        <w:t>and from having the capability to fulfil them</w:t>
      </w:r>
      <w:r w:rsidRPr="007F3155" w:rsidR="005A3021">
        <w:t xml:space="preserve"> (or not to fulfil them).</w:t>
      </w:r>
    </w:p>
    <w:p w:rsidR="005A3021" w:rsidP="005A3021" w:rsidRDefault="00CE282F">
      <w:pPr>
        <w:pStyle w:val="OpiPara"/>
      </w:pPr>
      <w:r>
        <w:t>14</w:t>
      </w:r>
      <w:r w:rsidRPr="007F3155" w:rsidR="005A3021">
        <w:t>.  If the perpetrators of an alleged human rights violation are within the authority and control of one of the Contracting Parties, it is to me totally consequential that their actions by virtue of that State</w:t>
      </w:r>
      <w:r w:rsidR="008570E8">
        <w:t>’</w:t>
      </w:r>
      <w:r w:rsidRPr="007F3155" w:rsidR="005A3021">
        <w:t>s authority engage the jurisdiction of the Contracting Party. I resist any helpful schizophrenia by which a nervous sniper is within the jurisdiction, his act of shooting is within the jurisdiction, but then the victims of that nervous sniper happily choke in blood outside it. Any hiatus between what logical superglue has inexorably bonded appears defiantly meretricious, one of those infelicitous legal fictions a court of human rights can well do without.</w:t>
      </w:r>
    </w:p>
    <w:p w:rsidR="005A3021" w:rsidP="005A3021" w:rsidRDefault="00CE282F">
      <w:pPr>
        <w:pStyle w:val="OpiPara"/>
      </w:pPr>
      <w:r>
        <w:t>15</w:t>
      </w:r>
      <w:r w:rsidRPr="007F3155" w:rsidR="005A3021">
        <w:t>.  Adhering to doctrines other than this may lead in practice to some riotous absurdities in their effects. If two civilian Iraqis are together in a street in Basra, and a United Kingdom soldier kills the first before arrest and the second after arrest, the first dies desolate, deprived of the comforts of United Kingdom jurisdiction, the second delighted that his life was evicted from his body within the jurisdiction of the United Kingdom. Same United Kingdom soldier, same gun, same am</w:t>
      </w:r>
      <w:r w:rsidR="00C81668">
        <w:t xml:space="preserve">munition, same patch of street </w:t>
      </w:r>
      <w:r w:rsidR="00026DC5">
        <w:t>–</w:t>
      </w:r>
      <w:r w:rsidRPr="007F3155" w:rsidR="005A3021">
        <w:t xml:space="preserve"> same inept distinctions. I find these pseudo-differentials spurious and designed to promote a culture of law that perverts, rather than fosters, the cause of human rights justice.</w:t>
      </w:r>
    </w:p>
    <w:p w:rsidRPr="007F3155" w:rsidR="005A3021" w:rsidP="005A3021" w:rsidRDefault="00CE282F">
      <w:pPr>
        <w:pStyle w:val="OpiPara"/>
      </w:pPr>
      <w:r>
        <w:t>16</w:t>
      </w:r>
      <w:r w:rsidRPr="007F3155" w:rsidR="005A3021">
        <w:t xml:space="preserve">.  In my view, the one honest test, in </w:t>
      </w:r>
      <w:r w:rsidRPr="007F3155" w:rsidR="005A3021">
        <w:rPr>
          <w:i/>
        </w:rPr>
        <w:t>all</w:t>
      </w:r>
      <w:r w:rsidRPr="007F3155" w:rsidR="005A3021">
        <w:t xml:space="preserve"> circumstances (including extraterritoriality), is the following: did it depend on the agents of the State whether the alleged violation would be committed or would not be committed? Was it within the power of the State to punish the perpetrators and to compensate the victims? If the answer is yes, self-evidently the facts fall squarely within the jurisdiction of the State. All the rest seems to me clumsy, self-serving alibi</w:t>
      </w:r>
      <w:r w:rsidR="00026DC5">
        <w:t>-</w:t>
      </w:r>
      <w:r w:rsidRPr="007F3155" w:rsidR="005A3021">
        <w:t xml:space="preserve">hunting, unworthy of any State that has grandiosely undertaken to secure the “universal” observance of human rights whenever and wherever it is within its power to secure them, and, may I add, of courts whose only </w:t>
      </w:r>
      <w:r w:rsidRPr="007F3155" w:rsidR="005A3021">
        <w:rPr>
          <w:i/>
        </w:rPr>
        <w:t>raison d</w:t>
      </w:r>
      <w:r w:rsidR="008570E8">
        <w:rPr>
          <w:i/>
        </w:rPr>
        <w:t>’</w:t>
      </w:r>
      <w:r w:rsidR="00026DC5">
        <w:rPr>
          <w:i/>
        </w:rPr>
        <w:t>ê</w:t>
      </w:r>
      <w:r w:rsidRPr="007F3155" w:rsidR="005A3021">
        <w:rPr>
          <w:i/>
        </w:rPr>
        <w:t>tre</w:t>
      </w:r>
      <w:r w:rsidRPr="007F3155" w:rsidR="005A3021">
        <w:t xml:space="preserve"> should be to ensure that those obligations are not avoided or evaded. The Court has, in the present judgment, thankfully placed a sanitary cordon between itself and some of these approaches.</w:t>
      </w:r>
    </w:p>
    <w:p w:rsidRPr="007F3155" w:rsidR="005A3021" w:rsidP="005A3021" w:rsidRDefault="00CE282F">
      <w:pPr>
        <w:pStyle w:val="OpiPara"/>
      </w:pPr>
      <w:r>
        <w:t>17</w:t>
      </w:r>
      <w:r w:rsidRPr="007F3155" w:rsidR="005A3021">
        <w:t>.  The failure to espouse an obvious functional test, based exclusively on the programmatic agenda of the Convention, has, in the past, led to the adoption of a handful of sub-tests, some of which may have served defilers of Convention values far better th</w:t>
      </w:r>
      <w:r w:rsidR="009E5D17">
        <w:t>a</w:t>
      </w:r>
      <w:r w:rsidRPr="007F3155" w:rsidR="005A3021">
        <w:t>n they have the Convention itself. Some of these tests have empowered the abusers and short-changed their victims. For me the primary questions to be answered boil down to these: when a State ratifies the Convention, does it undertake to promote human rights wherever it can, or does it undertake to promote human rights inside its own confines and to breach them everywhere else? Did the Contracting Party ratify the Convention with the deliberate intent of discriminating between the sanctity of human rights within its own territory and their paltry insignificance everywhere else?</w:t>
      </w:r>
    </w:p>
    <w:p w:rsidRPr="007F3155" w:rsidR="005A3021" w:rsidP="005A3021" w:rsidRDefault="00CE282F">
      <w:pPr>
        <w:pStyle w:val="OpiPara"/>
      </w:pPr>
      <w:r>
        <w:t>18</w:t>
      </w:r>
      <w:r w:rsidRPr="007F3155" w:rsidR="005A3021">
        <w:t xml:space="preserve">.  I am unwilling to endorse </w:t>
      </w:r>
      <w:r w:rsidRPr="007F3155" w:rsidR="005A3021">
        <w:rPr>
          <w:i/>
        </w:rPr>
        <w:t>à la carte</w:t>
      </w:r>
      <w:r w:rsidRPr="007F3155" w:rsidR="005A3021">
        <w:t xml:space="preserve"> respect for human rights. I think poorly of an esteem for human rights that turns casual and approximate depending on geographical coordinates. Any State that worships fundamental rights on its own territory but then feels free to make a mockery of them anywhere else does not, as far as I am concerned, belong to that comity of nations for which the supremacy of human rights is both mission and clarion call. In substance the United Kingdom is arguing, sadly, I believe, that it ratified the Convention with the deliberate intent of regulating the conduct of its armed forces according to latitude: gentlemen at home, hoodlums elsewhere.</w:t>
      </w:r>
    </w:p>
    <w:p w:rsidRPr="007F3155" w:rsidR="005A3021" w:rsidP="005A3021" w:rsidRDefault="00CE282F">
      <w:pPr>
        <w:pStyle w:val="OpiPara"/>
      </w:pPr>
      <w:r>
        <w:t>19</w:t>
      </w:r>
      <w:r w:rsidRPr="007F3155" w:rsidR="005A3021">
        <w:t>.  The functional test I propose would also cater for the more rarefied reaches of human rights protection, like respect for the positive obligations imposed on Contracting Parties: was it within the State</w:t>
      </w:r>
      <w:r w:rsidR="008570E8">
        <w:t>’</w:t>
      </w:r>
      <w:r w:rsidRPr="007F3155" w:rsidR="005A3021">
        <w:t xml:space="preserve">s authority and control to see that those positive obligations would be respected? If it was, then the functional jurisdiction of the State would come into play, with all its natural consequences. If, in the circumstances, the State is not in such a position of authority and control as to be able to ensure extraterritorially the fulfilment of any or all of its positive obligations, that lack of functional authority and control excludes jurisdiction, limitedly </w:t>
      </w:r>
      <w:r w:rsidR="00936413">
        <w:t>to</w:t>
      </w:r>
      <w:r w:rsidRPr="007F3155" w:rsidR="005A3021">
        <w:t xml:space="preserve"> those specific rights the State is not in a position to enforce.</w:t>
      </w:r>
    </w:p>
    <w:p w:rsidR="005A3021" w:rsidP="005A3021" w:rsidRDefault="00CE282F">
      <w:pPr>
        <w:pStyle w:val="OpiPara"/>
      </w:pPr>
      <w:r>
        <w:t>20</w:t>
      </w:r>
      <w:r w:rsidRPr="007F3155" w:rsidR="005A3021">
        <w:t>.  This would be my universal vision of what this Court is all about – a bright</w:t>
      </w:r>
      <w:r w:rsidR="000763DC">
        <w:t>-</w:t>
      </w:r>
      <w:r w:rsidRPr="007F3155" w:rsidR="005A3021">
        <w:t>line approach rather than case</w:t>
      </w:r>
      <w:r w:rsidR="009E5D17">
        <w:t>-</w:t>
      </w:r>
      <w:r w:rsidRPr="007F3155" w:rsidR="005A3021">
        <w:t>by</w:t>
      </w:r>
      <w:r w:rsidR="009E5D17">
        <w:t>-</w:t>
      </w:r>
      <w:r w:rsidRPr="007F3155" w:rsidR="005A3021">
        <w:t>case</w:t>
      </w:r>
      <w:r w:rsidR="009E5D17">
        <w:t xml:space="preserve"> improvisations</w:t>
      </w:r>
      <w:r w:rsidRPr="007F3155" w:rsidR="005A3021">
        <w:t>, more or less inspired, more or less insipid, cluttering the case-law with doctrines which are, at best, barely compatible and at worst blatantly contradictory – and none measured against the essential yardstick of the supremacy and universality of human rights anytime, anywhere.</w:t>
      </w:r>
    </w:p>
    <w:p w:rsidRPr="007F3155" w:rsidR="005A3021" w:rsidP="005A3021" w:rsidRDefault="005A3021">
      <w:pPr>
        <w:pStyle w:val="OpiPara"/>
      </w:pPr>
    </w:p>
    <w:p w:rsidRPr="007F3155" w:rsidR="005A3021" w:rsidP="005A3021" w:rsidRDefault="00EE6A52">
      <w:pPr>
        <w:pStyle w:val="OpiPara"/>
        <w:rPr>
          <w:b/>
        </w:rPr>
      </w:pPr>
      <w:r>
        <w:rPr>
          <w:b/>
        </w:rPr>
        <w:br w:type="page"/>
      </w:r>
      <w:r w:rsidRPr="007F3155" w:rsidR="005A3021">
        <w:rPr>
          <w:b/>
        </w:rPr>
        <w:t>Exceptions?</w:t>
      </w:r>
    </w:p>
    <w:p w:rsidRPr="007D77FE" w:rsidR="005A3021" w:rsidP="005A3021" w:rsidRDefault="005A3021">
      <w:pPr>
        <w:pStyle w:val="OpiPara"/>
      </w:pPr>
    </w:p>
    <w:p w:rsidRPr="007F3155" w:rsidR="005A3021" w:rsidP="005A3021" w:rsidRDefault="00CE282F">
      <w:pPr>
        <w:pStyle w:val="OpiPara"/>
      </w:pPr>
      <w:r>
        <w:t>21</w:t>
      </w:r>
      <w:r w:rsidRPr="007F3155" w:rsidR="005A3021">
        <w:t xml:space="preserve">.  I consider the doctrine of functional jurisdiction to be so linear and compelling that I would be unwilling to acquiesce to any exceptions, even more so in the realm of the near-absolute rights to life and to freedom from torture and degrading or inhuman treatment or punishment. Without ever reneging on the principle of the inherent jurisdiction of the </w:t>
      </w:r>
      <w:r w:rsidR="0096198F">
        <w:t>O</w:t>
      </w:r>
      <w:r w:rsidRPr="007F3155" w:rsidR="005A3021">
        <w:t xml:space="preserve">ccupying </w:t>
      </w:r>
      <w:r w:rsidR="0096198F">
        <w:t>P</w:t>
      </w:r>
      <w:r w:rsidRPr="007F3155" w:rsidR="005A3021">
        <w:t>ower that usually flows from military conquest, at most the Court could consider very limited exceptions to the way in which Article</w:t>
      </w:r>
      <w:r w:rsidR="0096198F">
        <w:t>s</w:t>
      </w:r>
      <w:r w:rsidRPr="007F3155" w:rsidR="005A3021">
        <w:t xml:space="preserve"> 2 and 3 are applied in extreme cases of clear and present threats to national security that would otherwise significantly endanger the war effort. I would not, personally, subscribe to any exceptions at all.</w:t>
      </w:r>
    </w:p>
    <w:p w:rsidRPr="007F3155" w:rsidR="005A3021" w:rsidP="005A3021" w:rsidRDefault="005A3021">
      <w:pPr>
        <w:pStyle w:val="OpiPara"/>
      </w:pPr>
    </w:p>
    <w:p w:rsidRPr="007F3155" w:rsidR="005A3021" w:rsidP="005A3021" w:rsidRDefault="005A3021">
      <w:pPr>
        <w:pStyle w:val="OpiPara"/>
      </w:pPr>
      <w:r w:rsidRPr="007F3155">
        <w:rPr>
          <w:b/>
        </w:rPr>
        <w:t>Conclusion</w:t>
      </w:r>
    </w:p>
    <w:p w:rsidRPr="007D77FE" w:rsidR="005A3021" w:rsidP="005A3021" w:rsidRDefault="005A3021">
      <w:pPr>
        <w:pStyle w:val="OpiPara"/>
      </w:pPr>
    </w:p>
    <w:p w:rsidR="005A3021" w:rsidP="005A3021" w:rsidRDefault="00CE282F">
      <w:pPr>
        <w:pStyle w:val="OpiPara"/>
      </w:pPr>
      <w:r>
        <w:t>22</w:t>
      </w:r>
      <w:r w:rsidRPr="007F3155" w:rsidR="005A3021">
        <w:t>.</w:t>
      </w:r>
      <w:r w:rsidRPr="00C81668" w:rsidR="00C81668">
        <w:t>  </w:t>
      </w:r>
      <w:r w:rsidRPr="007F3155" w:rsidR="005A3021">
        <w:t>Applying the functional test to the specifics of these cases, I arrive at the manifest and inescapable conclusion that all the facts and all the victims of the alleged killings said to have been committed by United Kingdom servicemen fall squarely within the jurisdiction of the United Kingdom, which had, in Basra and its surroundings, an obligation to ensure the observance of Articles 2 and 3 of the Convention. It is uncontested that the servicemen who allegedly committed the acts that led to the deaths of the victims were under United Kingdom authority and control; that it was within the United Kingdom</w:t>
      </w:r>
      <w:r w:rsidR="008570E8">
        <w:t>’</w:t>
      </w:r>
      <w:r w:rsidRPr="007F3155" w:rsidR="005A3021">
        <w:t>s authority and control whether to investigate those deaths or not; that it was within the United Kingdom</w:t>
      </w:r>
      <w:r w:rsidR="008570E8">
        <w:t>’</w:t>
      </w:r>
      <w:r w:rsidRPr="007F3155" w:rsidR="005A3021">
        <w:t>s authority and control whether to punish any human rights violations, if established; and that it was within the United Kingdom</w:t>
      </w:r>
      <w:r w:rsidR="008570E8">
        <w:t>’</w:t>
      </w:r>
      <w:r w:rsidRPr="007F3155" w:rsidR="005A3021">
        <w:t xml:space="preserve">s authority and control whether to compensate the victims of those alleged violations or their heirs. Concluding that the United Kingdom had </w:t>
      </w:r>
      <w:r w:rsidRPr="007F3155" w:rsidR="005A3021">
        <w:rPr>
          <w:i/>
        </w:rPr>
        <w:t>all this</w:t>
      </w:r>
      <w:r w:rsidRPr="007F3155" w:rsidR="005A3021">
        <w:t xml:space="preserve"> within its full authority and control, but still had no jurisdiction, would for me amount to a finding as consequential as a good fairy tale and as persuasive as a bad one.</w:t>
      </w:r>
    </w:p>
    <w:p w:rsidR="005A3021" w:rsidP="005A3021" w:rsidRDefault="00CE282F">
      <w:pPr>
        <w:pStyle w:val="OpiPara"/>
      </w:pPr>
      <w:r>
        <w:t>23</w:t>
      </w:r>
      <w:r w:rsidRPr="007F3155" w:rsidR="005A3021">
        <w:t>.  The test adopted by the Court in this case has led to a unanimous finding of jurisdiction. Though I believe the functional test I endorse would better suit any dispute relating to extraterritorial jurisdiction, I would still have found that, whatever the test adopted, all the six killings before the Court engaged United Kingdom jurisdiction. I attach to this opinion a few random observations to buttress my conclusions.</w:t>
      </w:r>
    </w:p>
    <w:p w:rsidRPr="007D77FE" w:rsidR="005A3021" w:rsidP="005A3021" w:rsidRDefault="005A3021">
      <w:pPr>
        <w:pStyle w:val="OpiPara"/>
      </w:pPr>
    </w:p>
    <w:p w:rsidRPr="007F3155" w:rsidR="005A3021" w:rsidP="005A3021" w:rsidRDefault="005A3021">
      <w:pPr>
        <w:pStyle w:val="OpiPara"/>
        <w:rPr>
          <w:b/>
        </w:rPr>
      </w:pPr>
      <w:r w:rsidRPr="007F3155">
        <w:rPr>
          <w:b/>
        </w:rPr>
        <w:t>Presumption of jurisdiction</w:t>
      </w:r>
    </w:p>
    <w:p w:rsidRPr="007D77FE" w:rsidR="005A3021" w:rsidP="005A3021" w:rsidRDefault="005A3021">
      <w:pPr>
        <w:pStyle w:val="OpiPara"/>
      </w:pPr>
    </w:p>
    <w:p w:rsidR="005A3021" w:rsidP="005A3021" w:rsidRDefault="00CE282F">
      <w:pPr>
        <w:pStyle w:val="OpiPara"/>
      </w:pPr>
      <w:r>
        <w:t>24</w:t>
      </w:r>
      <w:r w:rsidRPr="007F3155" w:rsidR="005A3021">
        <w:t>.</w:t>
      </w:r>
      <w:r w:rsidRPr="00C81668" w:rsidR="005A3021">
        <w:t>  </w:t>
      </w:r>
      <w:r w:rsidRPr="007F3155" w:rsidR="005A3021">
        <w:t>I would propose a different test from that espoused by the domestic courts to establish or dismiss extraterritorial j</w:t>
      </w:r>
      <w:r w:rsidR="005A3021">
        <w:t>urisdiction in terms of Article </w:t>
      </w:r>
      <w:r w:rsidRPr="007F3155" w:rsidR="005A3021">
        <w:t>1, in cases concerning military occupation, when a State becomes the recognised “</w:t>
      </w:r>
      <w:r w:rsidR="0096198F">
        <w:t>O</w:t>
      </w:r>
      <w:r w:rsidRPr="007F3155" w:rsidR="005A3021">
        <w:t xml:space="preserve">ccupying </w:t>
      </w:r>
      <w:r w:rsidR="0096198F">
        <w:t>P</w:t>
      </w:r>
      <w:r w:rsidRPr="007F3155" w:rsidR="005A3021">
        <w:t>ower” according to the Geneva and The Hague instruments.</w:t>
      </w:r>
      <w:r w:rsidR="005A3021">
        <w:t xml:space="preserve"> </w:t>
      </w:r>
      <w:r w:rsidRPr="007F3155" w:rsidR="005A3021">
        <w:t xml:space="preserve">Once a State is acknowledged by international law to be “an </w:t>
      </w:r>
      <w:r w:rsidR="0096198F">
        <w:t>O</w:t>
      </w:r>
      <w:r w:rsidRPr="007F3155" w:rsidR="005A3021">
        <w:t xml:space="preserve">ccupying </w:t>
      </w:r>
      <w:r w:rsidR="0096198F">
        <w:t>P</w:t>
      </w:r>
      <w:r w:rsidRPr="007F3155" w:rsidR="005A3021">
        <w:t xml:space="preserve">ower”, a rebuttable presumption ought to arise that the </w:t>
      </w:r>
      <w:r w:rsidR="0096198F">
        <w:t>O</w:t>
      </w:r>
      <w:r w:rsidRPr="007F3155" w:rsidR="005A3021">
        <w:t xml:space="preserve">ccupying </w:t>
      </w:r>
      <w:r w:rsidR="0096198F">
        <w:t>P</w:t>
      </w:r>
      <w:r w:rsidRPr="007F3155" w:rsidR="005A3021">
        <w:t xml:space="preserve">ower has “authority and control” over the occupied territory, over what goes on there and over those who happen to be in it – with all the consequences that flow from a legal presumption. It will then be incumbent on the </w:t>
      </w:r>
      <w:r w:rsidR="0096198F">
        <w:t>O</w:t>
      </w:r>
      <w:r w:rsidRPr="007F3155" w:rsidR="005A3021">
        <w:t xml:space="preserve">ccupying </w:t>
      </w:r>
      <w:r w:rsidR="0096198F">
        <w:t>P</w:t>
      </w:r>
      <w:r w:rsidRPr="007F3155" w:rsidR="005A3021">
        <w:t xml:space="preserve">ower to prove that such was the state of anarchy and impotence prevailing, that it suffered a deficit of effective authority and control. It will no longer be for the victim of wartime atrocities to prove that the </w:t>
      </w:r>
      <w:r w:rsidR="0096198F">
        <w:t>O</w:t>
      </w:r>
      <w:r w:rsidRPr="007F3155" w:rsidR="005A3021">
        <w:t xml:space="preserve">ccupying </w:t>
      </w:r>
      <w:r w:rsidR="0096198F">
        <w:t>P</w:t>
      </w:r>
      <w:r w:rsidRPr="007F3155" w:rsidR="005A3021">
        <w:t xml:space="preserve">ower actually exercised authority and control. It will be for the </w:t>
      </w:r>
      <w:r w:rsidR="0096198F">
        <w:t>O</w:t>
      </w:r>
      <w:r w:rsidRPr="007F3155" w:rsidR="005A3021">
        <w:t xml:space="preserve">ccupying </w:t>
      </w:r>
      <w:r w:rsidR="0096198F">
        <w:t>P</w:t>
      </w:r>
      <w:r w:rsidRPr="007F3155" w:rsidR="005A3021">
        <w:t>ower to rebut it.</w:t>
      </w:r>
    </w:p>
    <w:p w:rsidRPr="007F3155" w:rsidR="005A3021" w:rsidP="005A3021" w:rsidRDefault="00CE282F">
      <w:pPr>
        <w:pStyle w:val="OpiPara"/>
      </w:pPr>
      <w:r>
        <w:t>25</w:t>
      </w:r>
      <w:r w:rsidRPr="007F3155" w:rsidR="005A3021">
        <w:t>.  I was puzzled to read in the domestic proceedings that “the applicants had failed to make a case” for United Kingdom authority and control in the Basra region. I believe that the mere fact of a formally acknowledged military occupation ought to shift any burden of proof from the applicants to the respondent Government.</w:t>
      </w:r>
    </w:p>
    <w:p w:rsidR="005A3021" w:rsidP="005A3021" w:rsidRDefault="00CE282F">
      <w:pPr>
        <w:pStyle w:val="OpiPara"/>
      </w:pPr>
      <w:r>
        <w:t>26</w:t>
      </w:r>
      <w:r w:rsidRPr="007F3155" w:rsidR="005A3021">
        <w:t>.  And it will, in my view, be quite arduous for an officially recognised “</w:t>
      </w:r>
      <w:r w:rsidR="0096198F">
        <w:t>O</w:t>
      </w:r>
      <w:r w:rsidRPr="007F3155" w:rsidR="005A3021">
        <w:t xml:space="preserve">ccupying </w:t>
      </w:r>
      <w:r w:rsidR="0096198F">
        <w:t>P</w:t>
      </w:r>
      <w:r w:rsidRPr="007F3155" w:rsidR="005A3021">
        <w:t xml:space="preserve">ower” to disprove authority and control over impugned acts, their victims and their perpetrators. The </w:t>
      </w:r>
      <w:r w:rsidR="0096198F">
        <w:t>O</w:t>
      </w:r>
      <w:r w:rsidRPr="007F3155" w:rsidR="005A3021">
        <w:t xml:space="preserve">ccupying </w:t>
      </w:r>
      <w:r w:rsidR="0096198F">
        <w:t>P</w:t>
      </w:r>
      <w:r w:rsidRPr="007F3155" w:rsidR="005A3021">
        <w:t xml:space="preserve">ower could only do that successfully in the case of infamies committed by forces other than its own, during a state of total breakdown of law and order. I find it bizarre, not to say offensive, that an </w:t>
      </w:r>
      <w:r w:rsidR="0096198F">
        <w:t>O</w:t>
      </w:r>
      <w:r w:rsidRPr="007F3155" w:rsidR="005A3021">
        <w:t xml:space="preserve">ccupying </w:t>
      </w:r>
      <w:r w:rsidR="0096198F">
        <w:t>P</w:t>
      </w:r>
      <w:r w:rsidRPr="007F3155" w:rsidR="005A3021">
        <w:t>ower can plead that it had no authority and control over acts committed by its own armed forces well under its own chain of command, claiming with one voice its authority and control over the perpetrators of those atrocities, but with the other, disowning any authority and control over atrocities committed by them and over their victims.</w:t>
      </w:r>
    </w:p>
    <w:p w:rsidR="005A3021" w:rsidP="005A3021" w:rsidRDefault="00CE282F">
      <w:pPr>
        <w:pStyle w:val="OpiPara"/>
      </w:pPr>
      <w:r>
        <w:t>27</w:t>
      </w:r>
      <w:r w:rsidRPr="007F3155" w:rsidR="005A3021">
        <w:t xml:space="preserve">.  It is my view that jurisdiction is established when authority and control over others are established. For me, in the present cases, it is well beyond surreal to claim that a military colossus which waltzed into Iraq when it chose, settled there for as long as it cared to and only left when it no longer suited its interests to remain, can persuasively claim not to have exercised authority and control over an area specifically assigned to it in the geography of the war games played by the victorious. I find it </w:t>
      </w:r>
      <w:r w:rsidR="000E5E3C">
        <w:t>uncaring to the intellect</w:t>
      </w:r>
      <w:r w:rsidRPr="007F3155" w:rsidR="005A3021">
        <w:t xml:space="preserve"> for a State to disclaim accountability for what its officers, wearing its uniforms, wielding its weapons, sallying forth from its encampments and returning there, are alleged to have done. The six victims are said to have lost their lives as a result of the unlawful actions of United Kingdom soldiers in non-combat situations </w:t>
      </w:r>
      <w:r w:rsidR="00A76978">
        <w:t>–</w:t>
      </w:r>
      <w:r w:rsidRPr="007F3155" w:rsidR="005A3021">
        <w:t xml:space="preserve"> but no</w:t>
      </w:r>
      <w:r w:rsidR="00AC0F22">
        <w:t xml:space="preserve"> one answers for their death. I </w:t>
      </w:r>
      <w:r w:rsidRPr="007F3155" w:rsidR="005A3021">
        <w:t>guess we are expected to blame it on the evil eye.</w:t>
      </w:r>
    </w:p>
    <w:p w:rsidR="005A3021" w:rsidP="005A3021" w:rsidRDefault="00CE282F">
      <w:pPr>
        <w:pStyle w:val="OpiPara"/>
      </w:pPr>
      <w:r>
        <w:t>28</w:t>
      </w:r>
      <w:r w:rsidRPr="007F3155" w:rsidR="005A3021">
        <w:t>.  Jurisdiction flows not only from the exercise of democratic governance, not only from ruthless tyranny, not only from colonial usurpation. It also hangs from the mouth of a firearm. In non-combat situations, everyone in the line of fire of a gun is within the authority and control of whoever is wielding it.</w:t>
      </w:r>
    </w:p>
    <w:p w:rsidR="005A3021" w:rsidP="005A3021" w:rsidRDefault="005A3021">
      <w:pPr>
        <w:pStyle w:val="OpiPara"/>
      </w:pPr>
    </w:p>
    <w:p w:rsidRPr="007F3155" w:rsidR="005A3021" w:rsidP="005A3021" w:rsidRDefault="005A3021">
      <w:pPr>
        <w:pStyle w:val="OpiPara"/>
      </w:pPr>
      <w:r w:rsidRPr="007F3155">
        <w:rPr>
          <w:b/>
        </w:rPr>
        <w:t>Futility of the case-law</w:t>
      </w:r>
    </w:p>
    <w:p w:rsidRPr="007F3155" w:rsidR="005A3021" w:rsidP="005A3021" w:rsidRDefault="005A3021">
      <w:pPr>
        <w:pStyle w:val="OpiPara"/>
      </w:pPr>
    </w:p>
    <w:p w:rsidR="005A3021" w:rsidP="005A3021" w:rsidRDefault="00CE282F">
      <w:pPr>
        <w:pStyle w:val="OpiPara"/>
      </w:pPr>
      <w:r>
        <w:t>29</w:t>
      </w:r>
      <w:r w:rsidRPr="007F3155" w:rsidR="005A3021">
        <w:t>.  The undeniable fact is that this Court has never, before today, had to deal with any case in which the factual profiles were in any way similar to those of the present applications. This Court has, so far, had several occasions to determine complaints which raised issues of extraterritorial jurisdiction, but all of a markedly different nature. Endeavouring to export doctrines of jurisdiction hammered out in a case of a solitary air</w:t>
      </w:r>
      <w:r w:rsidR="00A76978">
        <w:t xml:space="preserve"> </w:t>
      </w:r>
      <w:r w:rsidRPr="007F3155" w:rsidR="005A3021">
        <w:t>strike over a radio station abroad (</w:t>
      </w:r>
      <w:r w:rsidR="00035A69">
        <w:t xml:space="preserve">see </w:t>
      </w:r>
      <w:r w:rsidRPr="007F3155" w:rsidR="005A3021">
        <w:rPr>
          <w:i/>
        </w:rPr>
        <w:t>Banković</w:t>
      </w:r>
      <w:r w:rsidR="00035A69">
        <w:rPr>
          <w:i/>
        </w:rPr>
        <w:t xml:space="preserve"> and Others</w:t>
      </w:r>
      <w:r w:rsidR="006F7333">
        <w:t>, cited above</w:t>
      </w:r>
      <w:r w:rsidRPr="007F3155" w:rsidR="005A3021">
        <w:t xml:space="preserve">) to allegations of atrocities committed by the forces of an </w:t>
      </w:r>
      <w:r w:rsidR="006F7333">
        <w:t>O</w:t>
      </w:r>
      <w:r w:rsidRPr="007F3155" w:rsidR="005A3021">
        <w:t xml:space="preserve">ccupying </w:t>
      </w:r>
      <w:r w:rsidR="006F7333">
        <w:t>P</w:t>
      </w:r>
      <w:r w:rsidRPr="007F3155" w:rsidR="005A3021">
        <w:t>ower, which has assumed and kept armed control of a foreign territory for well over three years, is anything but consequent. I find the jurisdictional guidelines established by the Court to regulate the capture by France of a Cambodian drug-running ship on the high seas, for the specific purpose of intercepting her cargo and bringing the crew to justice (</w:t>
      </w:r>
      <w:r w:rsidR="00035A69">
        <w:t xml:space="preserve">see </w:t>
      </w:r>
      <w:r w:rsidRPr="007F3155" w:rsidR="005A3021">
        <w:rPr>
          <w:i/>
        </w:rPr>
        <w:t>Medvedyev</w:t>
      </w:r>
      <w:r w:rsidR="006F7333">
        <w:t xml:space="preserve"> </w:t>
      </w:r>
      <w:r w:rsidRPr="00EF0015" w:rsidR="006F7333">
        <w:rPr>
          <w:i/>
          <w:lang w:eastAsia="en-US"/>
        </w:rPr>
        <w:t>and Others</w:t>
      </w:r>
      <w:r w:rsidRPr="00EF0015" w:rsidR="006F7333">
        <w:rPr>
          <w:lang w:eastAsia="en-US"/>
        </w:rPr>
        <w:t xml:space="preserve"> </w:t>
      </w:r>
      <w:r w:rsidR="006F7333">
        <w:rPr>
          <w:i/>
          <w:lang w:eastAsia="en-US"/>
        </w:rPr>
        <w:t>v. </w:t>
      </w:r>
      <w:r w:rsidRPr="00EF0015" w:rsidR="006F7333">
        <w:rPr>
          <w:i/>
          <w:lang w:eastAsia="en-US"/>
        </w:rPr>
        <w:t>France</w:t>
      </w:r>
      <w:r w:rsidRPr="00EF0015" w:rsidR="006F7333">
        <w:rPr>
          <w:lang w:eastAsia="en-US"/>
        </w:rPr>
        <w:t xml:space="preserve"> [GC], </w:t>
      </w:r>
      <w:r w:rsidRPr="00EF0015" w:rsidR="006F7333">
        <w:rPr>
          <w:lang w:val="pt-BR" w:eastAsia="en-US"/>
        </w:rPr>
        <w:t>no.</w:t>
      </w:r>
      <w:r w:rsidR="00AC0F22">
        <w:rPr>
          <w:lang w:val="pt-BR" w:eastAsia="en-US"/>
        </w:rPr>
        <w:t xml:space="preserve"> </w:t>
      </w:r>
      <w:r w:rsidRPr="00EF0015" w:rsidR="006F7333">
        <w:rPr>
          <w:lang w:val="pt-BR" w:eastAsia="en-US"/>
        </w:rPr>
        <w:t>3394/03</w:t>
      </w:r>
      <w:r w:rsidRPr="00EF0015" w:rsidR="006F7333">
        <w:rPr>
          <w:snapToGrid w:val="0"/>
          <w:lang w:val="pt-BR" w:eastAsia="en-US"/>
        </w:rPr>
        <w:t>, ECHR 2010</w:t>
      </w:r>
      <w:r w:rsidRPr="007F3155" w:rsidR="005A3021">
        <w:t>), to be quite distracting and time-wasting when the issue relates to a large territory outside the United Kingdom, conquered and held for over three years by the force of arms of a mighty foreign military set-up, recognised officially by international law as an “</w:t>
      </w:r>
      <w:r w:rsidR="006F7333">
        <w:t>O</w:t>
      </w:r>
      <w:r w:rsidRPr="007F3155" w:rsidR="005A3021">
        <w:t xml:space="preserve">ccupying </w:t>
      </w:r>
      <w:r w:rsidR="006F7333">
        <w:t>P</w:t>
      </w:r>
      <w:r w:rsidRPr="007F3155" w:rsidR="005A3021">
        <w:t>ower”, and which had established itself indefinitely there.</w:t>
      </w:r>
    </w:p>
    <w:p w:rsidR="005A3021" w:rsidP="005A3021" w:rsidRDefault="00CE282F">
      <w:pPr>
        <w:pStyle w:val="OpiPara"/>
      </w:pPr>
      <w:r>
        <w:t>30</w:t>
      </w:r>
      <w:r w:rsidRPr="007F3155" w:rsidR="005A3021">
        <w:t xml:space="preserve">.  In my view, this relentless search for eminently tangential case-law is as fruitful and fulfilling as trying to solve one crossword puzzle with the clues of another. The Court could, in my view, have started the exercise by accepting that this was judicial </w:t>
      </w:r>
      <w:r w:rsidRPr="007F3155" w:rsidR="005A3021">
        <w:rPr>
          <w:i/>
        </w:rPr>
        <w:t>terra incognita</w:t>
      </w:r>
      <w:r w:rsidRPr="007F3155" w:rsidR="005A3021">
        <w:t>, and could have worked out an organic doctrine of extraterritorial jurisdiction, untrammelled by the irrelevant and indifferent to the obfuscating.</w:t>
      </w:r>
    </w:p>
    <w:p w:rsidRPr="007F3155" w:rsidR="005A3021" w:rsidP="005A3021" w:rsidRDefault="005A3021">
      <w:pPr>
        <w:pStyle w:val="OpiPara"/>
      </w:pPr>
    </w:p>
    <w:p w:rsidRPr="007F3155" w:rsidR="005A3021" w:rsidP="005A3021" w:rsidRDefault="005A3021">
      <w:pPr>
        <w:pStyle w:val="OpiPara"/>
        <w:rPr>
          <w:b/>
        </w:rPr>
      </w:pPr>
      <w:r w:rsidRPr="007F3155">
        <w:rPr>
          <w:b/>
        </w:rPr>
        <w:t xml:space="preserve">Indivisibility of </w:t>
      </w:r>
      <w:r w:rsidR="006F7333">
        <w:rPr>
          <w:b/>
        </w:rPr>
        <w:t>h</w:t>
      </w:r>
      <w:r w:rsidRPr="007F3155">
        <w:rPr>
          <w:b/>
        </w:rPr>
        <w:t xml:space="preserve">uman </w:t>
      </w:r>
      <w:r w:rsidR="006F7333">
        <w:rPr>
          <w:b/>
        </w:rPr>
        <w:t>r</w:t>
      </w:r>
      <w:r w:rsidRPr="007F3155">
        <w:rPr>
          <w:b/>
        </w:rPr>
        <w:t>ights</w:t>
      </w:r>
    </w:p>
    <w:p w:rsidRPr="007F3155" w:rsidR="005A3021" w:rsidP="005A3021" w:rsidRDefault="005A3021">
      <w:pPr>
        <w:pStyle w:val="OpiPara"/>
      </w:pPr>
    </w:p>
    <w:p w:rsidR="005A3021" w:rsidP="005A3021" w:rsidRDefault="00CE282F">
      <w:pPr>
        <w:pStyle w:val="OpiPara"/>
      </w:pPr>
      <w:r>
        <w:t>31</w:t>
      </w:r>
      <w:r w:rsidRPr="007F3155" w:rsidR="005A3021">
        <w:t xml:space="preserve">.  The foregoing analysis is not at all invalidated by what is termed the “indivisibility of human rights” argument which runs thus: as human rights are indivisible, once a State is considered to have extraterritorial “jurisdiction”, then that State is held to be bound to enforce </w:t>
      </w:r>
      <w:r w:rsidRPr="007F3155" w:rsidR="005A3021">
        <w:rPr>
          <w:i/>
        </w:rPr>
        <w:t xml:space="preserve">all </w:t>
      </w:r>
      <w:r w:rsidRPr="007F3155" w:rsidR="005A3021">
        <w:t>the human rights enshrined in the Convention. Conversely, if that State is not in a position to enforce the whole range of Convention human rights, it does not have jurisdiction.</w:t>
      </w:r>
    </w:p>
    <w:p w:rsidRPr="007F3155" w:rsidR="005A3021" w:rsidP="005A3021" w:rsidRDefault="00CE282F">
      <w:pPr>
        <w:pStyle w:val="OpiPara"/>
      </w:pPr>
      <w:r>
        <w:t>32</w:t>
      </w:r>
      <w:r w:rsidRPr="007F3155" w:rsidR="005A3021">
        <w:t xml:space="preserve">.  Hardly so. Extraterritorially, a Contracting State is obliged to ensure the observance of all those human rights which </w:t>
      </w:r>
      <w:r w:rsidRPr="007F3155" w:rsidR="005A3021">
        <w:rPr>
          <w:i/>
        </w:rPr>
        <w:t>it is in a position to ensure</w:t>
      </w:r>
      <w:r w:rsidRPr="007F3155" w:rsidR="005A3021">
        <w:t xml:space="preserve">. It is quite possible to envisage situations in which a Contracting State, in its role as an </w:t>
      </w:r>
      <w:r w:rsidR="006F7333">
        <w:t>O</w:t>
      </w:r>
      <w:r w:rsidRPr="007F3155" w:rsidR="005A3021">
        <w:t xml:space="preserve">ccupying </w:t>
      </w:r>
      <w:r w:rsidR="006F7333">
        <w:t>P</w:t>
      </w:r>
      <w:r w:rsidRPr="007F3155" w:rsidR="005A3021">
        <w:t>ower, has well within its authority the power not to commit torture or extrajudicial killings, to punish those who commit them and to compensate the victims – but at the same time that Contracting State does not have the extent of</w:t>
      </w:r>
      <w:r w:rsidR="005A3021">
        <w:t xml:space="preserve"> </w:t>
      </w:r>
      <w:r w:rsidRPr="007F3155" w:rsidR="005A3021">
        <w:t>authority and control required to ensure to all persons the right to education or the right to free and fair elections: those fundamental rights it can enforce would fall squarely within its jurisdiction, those it cannot, on the wrong side of the bright line. If the “indivisibility of human rights” is to have any meaning at all, I would prefer that meaning to run hand in hand with that of the “universality of human rights”.</w:t>
      </w:r>
    </w:p>
    <w:p w:rsidRPr="007F3155" w:rsidR="005A3021" w:rsidP="005A3021" w:rsidRDefault="00CE282F">
      <w:pPr>
        <w:pStyle w:val="OpiPara"/>
      </w:pPr>
      <w:r>
        <w:t>33</w:t>
      </w:r>
      <w:r w:rsidRPr="007F3155" w:rsidR="005A3021">
        <w:t>.  I believe that it ill suits the respondent Government to argue, as they have, that their inability to secure respect for all fundamental rights in Basra gave them the right not to respect any at all.</w:t>
      </w:r>
    </w:p>
    <w:p w:rsidR="005A3021" w:rsidP="005A3021" w:rsidRDefault="005A3021">
      <w:pPr>
        <w:pStyle w:val="OpiPara"/>
      </w:pPr>
    </w:p>
    <w:p w:rsidRPr="007F3155" w:rsidR="005A3021" w:rsidP="005A3021" w:rsidRDefault="005A3021">
      <w:pPr>
        <w:pStyle w:val="OpiPara"/>
        <w:rPr>
          <w:b/>
        </w:rPr>
      </w:pPr>
      <w:r w:rsidRPr="007F3155">
        <w:rPr>
          <w:b/>
        </w:rPr>
        <w:t>A vacuum of jurisdiction?</w:t>
      </w:r>
    </w:p>
    <w:p w:rsidRPr="00D8100E" w:rsidR="005A3021" w:rsidP="005A3021" w:rsidRDefault="005A3021">
      <w:pPr>
        <w:pStyle w:val="OpiPara"/>
      </w:pPr>
    </w:p>
    <w:p w:rsidR="005A3021" w:rsidP="005A3021" w:rsidRDefault="00CE282F">
      <w:pPr>
        <w:pStyle w:val="OpiPara"/>
      </w:pPr>
      <w:r>
        <w:t>34</w:t>
      </w:r>
      <w:r w:rsidRPr="00FA6916" w:rsidR="005A3021">
        <w:t>.</w:t>
      </w:r>
      <w:r w:rsidRPr="00D8100E" w:rsidR="005A3021">
        <w:t>  </w:t>
      </w:r>
      <w:r w:rsidRPr="007F3155" w:rsidR="005A3021">
        <w:t>In spite of the fact that, as a leading partner in the Coalition Provisional Authority, the United Kingdom Government were “vested with all executive, legislative and judicial authority”</w:t>
      </w:r>
      <w:r w:rsidRPr="007F3155" w:rsidR="005A3021">
        <w:rPr>
          <w:rStyle w:val="FootnoteReference"/>
        </w:rPr>
        <w:footnoteReference w:id="3"/>
      </w:r>
      <w:r w:rsidRPr="007F3155" w:rsidR="005A3021">
        <w:t xml:space="preserve"> over that part of vanquished Iraq assigned to them, the United Kingdom went a long and eloquent way in its attempt to establish that it did not exercise jurisdiction over the area assigned to it. It just stopped short of sharing with the Court who did. Who was the mysterious, faceless rival which, instead of it, exercised executive, legislative and judicial authority for three years and more over the area delegated to the United Kingdom? There unquestionably existed a highly volatile situation on the ground, pockets of violent insurgency and a pervasive, sullen resistance to the military presence.</w:t>
      </w:r>
    </w:p>
    <w:p w:rsidR="005A3021" w:rsidP="005A3021" w:rsidRDefault="00CE282F">
      <w:pPr>
        <w:pStyle w:val="OpiPara"/>
      </w:pPr>
      <w:r>
        <w:t>35</w:t>
      </w:r>
      <w:r w:rsidRPr="007F3155" w:rsidR="005A3021">
        <w:t>.  However, in the Basra region, some authority was still giving orders, laying down the law (</w:t>
      </w:r>
      <w:r w:rsidRPr="007F3155" w:rsidR="005A3021">
        <w:rPr>
          <w:i/>
        </w:rPr>
        <w:t>juris dicere</w:t>
      </w:r>
      <w:r w:rsidRPr="007F3155" w:rsidR="005A3021">
        <w:t xml:space="preserve"> </w:t>
      </w:r>
      <w:r w:rsidR="006F7333">
        <w:t>–</w:t>
      </w:r>
      <w:r w:rsidRPr="007F3155" w:rsidR="005A3021">
        <w:t xml:space="preserve"> defining what the binding norm of law is), running the correctional facilities, delivering the mail, establishing and maintaining communications, providing health services, supplying food and water, restraining military contraband and controlling criminality and terrorism as best it could. This authority, full and complete over the United Kingdom military, harassed and maimed over the rest, was the United Kingdom</w:t>
      </w:r>
      <w:r w:rsidR="008570E8">
        <w:t>’</w:t>
      </w:r>
      <w:r w:rsidRPr="007F3155" w:rsidR="005A3021">
        <w:t>s.</w:t>
      </w:r>
    </w:p>
    <w:p w:rsidR="005A3021" w:rsidP="005A3021" w:rsidRDefault="00CE282F">
      <w:pPr>
        <w:pStyle w:val="OpiPara"/>
      </w:pPr>
      <w:r>
        <w:t>36</w:t>
      </w:r>
      <w:r w:rsidRPr="007F3155" w:rsidR="005A3021">
        <w:t>.  The alternative would be to claim that Basra and the region under the United Kingdom</w:t>
      </w:r>
      <w:r w:rsidR="008570E8">
        <w:t>’</w:t>
      </w:r>
      <w:r w:rsidRPr="007F3155" w:rsidR="005A3021">
        <w:t xml:space="preserve">s executive, legislative and judicial responsibility hovered in an implacable legal void, sucked inside that legendary black hole, whose utter repulsion of any authority </w:t>
      </w:r>
      <w:r w:rsidR="00C81668">
        <w:t>lasted well over three years</w:t>
      </w:r>
      <w:r w:rsidR="008E61E8">
        <w:t xml:space="preserve"> –</w:t>
      </w:r>
      <w:r w:rsidR="00C81668">
        <w:t xml:space="preserve"> </w:t>
      </w:r>
      <w:r w:rsidR="008E61E8">
        <w:t xml:space="preserve">a </w:t>
      </w:r>
      <w:r w:rsidRPr="007F3155" w:rsidR="005A3021">
        <w:t>proposition unlikely to find many takers on the legal market.</w:t>
      </w:r>
    </w:p>
    <w:p w:rsidRPr="007F3155" w:rsidR="005A3021" w:rsidP="005A3021" w:rsidRDefault="005A3021">
      <w:pPr>
        <w:pStyle w:val="OpiPara"/>
      </w:pPr>
    </w:p>
    <w:p w:rsidRPr="007F3155" w:rsidR="005A3021" w:rsidP="005A3021" w:rsidRDefault="005A3021">
      <w:pPr>
        <w:pStyle w:val="OpiPara"/>
        <w:rPr>
          <w:b/>
        </w:rPr>
      </w:pPr>
      <w:r w:rsidRPr="007F3155">
        <w:rPr>
          <w:b/>
        </w:rPr>
        <w:t>Human rights imperialism</w:t>
      </w:r>
    </w:p>
    <w:p w:rsidRPr="00D8100E" w:rsidR="005A3021" w:rsidP="005A3021" w:rsidRDefault="005A3021">
      <w:pPr>
        <w:pStyle w:val="OpiPara"/>
      </w:pPr>
    </w:p>
    <w:p w:rsidR="005A3021" w:rsidP="005A3021" w:rsidRDefault="00CE282F">
      <w:pPr>
        <w:pStyle w:val="OpiPara"/>
      </w:pPr>
      <w:r>
        <w:t>37</w:t>
      </w:r>
      <w:r w:rsidRPr="007F3155" w:rsidR="005A3021">
        <w:t>.  I confess to be quite unimpressed by the pleadings of the United Kingdom Government to the effect that exporting the European Convention on Human Rights to Iraq would have amounted to “human rights imperialism”. It ill behoves a State that imposed its military imperialism over another sovereign State without the frailest imprimatur from the international community, to resent the charge of having exported human rights imperialism to the vanquished enemy. It is like wearing with conceit your badge of international law banditry, but then recoiling in shock at being suspected of human rights promotion.</w:t>
      </w:r>
    </w:p>
    <w:p w:rsidR="005A3021" w:rsidP="005A3021" w:rsidRDefault="00CE282F">
      <w:pPr>
        <w:pStyle w:val="OpiPara"/>
      </w:pPr>
      <w:r>
        <w:t>38</w:t>
      </w:r>
      <w:r w:rsidRPr="007F3155" w:rsidR="005A3021">
        <w:t>.  Personally, I would have respected better these virginal blushes of some statesmen had they worn them the other way round. Being bountiful with military imperialism but bashful of the stigma of human rights imperialism, sounds to me like not resisting sufficiently the urge to frequent the lower neighbourhoods of political inconstancy. For my part, I believe that those who export war ought to see to the parallel export of guarantees against the atrocities of war.</w:t>
      </w:r>
      <w:r w:rsidR="005A3021">
        <w:t xml:space="preserve"> </w:t>
      </w:r>
      <w:r w:rsidRPr="007F3155" w:rsidR="005A3021">
        <w:t>And then, if necessary, bear with some fortitude the opprobrium of being labelled human rights imperialists.</w:t>
      </w:r>
    </w:p>
    <w:p w:rsidR="005A3021" w:rsidP="005A3021" w:rsidRDefault="00CE282F">
      <w:pPr>
        <w:pStyle w:val="OpiPara"/>
      </w:pPr>
      <w:r>
        <w:t>39</w:t>
      </w:r>
      <w:r w:rsidRPr="007F3155" w:rsidR="005A3021">
        <w:t xml:space="preserve">.  I, for one, advertise my diversity. At my age, it may no longer be </w:t>
      </w:r>
      <w:r w:rsidR="000E5E3C">
        <w:t>elegant</w:t>
      </w:r>
      <w:r w:rsidRPr="007F3155" w:rsidR="005A3021">
        <w:t xml:space="preserve"> to have dreams. But that of being branded in perpetuity a </w:t>
      </w:r>
      <w:r w:rsidR="008E61E8">
        <w:t>“</w:t>
      </w:r>
      <w:r w:rsidRPr="007F3155" w:rsidR="005A3021">
        <w:t>human rights imperialist</w:t>
      </w:r>
      <w:r w:rsidR="008E61E8">
        <w:t>”</w:t>
      </w:r>
      <w:r w:rsidRPr="007F3155" w:rsidR="005A3021">
        <w:t xml:space="preserve"> sounds to me</w:t>
      </w:r>
      <w:r w:rsidR="00386DB7">
        <w:t xml:space="preserve">, </w:t>
      </w:r>
      <w:r w:rsidRPr="007F3155" w:rsidR="00386DB7">
        <w:t>I acknowledge</w:t>
      </w:r>
      <w:r w:rsidR="00386DB7">
        <w:t>,</w:t>
      </w:r>
      <w:r w:rsidRPr="007F3155" w:rsidR="005A3021">
        <w:t xml:space="preserve"> particularly seductive.</w:t>
      </w:r>
    </w:p>
    <w:sectPr w:rsidR="005A3021" w:rsidSect="00E07594">
      <w:headerReference w:type="even" r:id="rId12"/>
      <w:headerReference w:type="default" r:id="rId13"/>
      <w:footnotePr>
        <w:numRestart w:val="eachPage"/>
      </w:footnotePr>
      <w:pgSz w:w="11906" w:h="16838" w:code="9"/>
      <w:pgMar w:top="2274" w:right="2274" w:bottom="2274" w:left="2274" w:header="1701" w:footer="720" w:gutter="0"/>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6EB" w:rsidRDefault="005516EB">
      <w:r>
        <w:separator/>
      </w:r>
    </w:p>
  </w:endnote>
  <w:endnote w:type="continuationSeparator" w:id="0">
    <w:p w:rsidR="005516EB" w:rsidRDefault="00551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01B3" w:rsidRDefault="00F101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6EB" w:rsidRDefault="005516EB">
      <w:r>
        <w:separator/>
      </w:r>
    </w:p>
  </w:footnote>
  <w:footnote w:type="continuationSeparator" w:id="0">
    <w:p w:rsidR="005516EB" w:rsidRDefault="005516EB">
      <w:r>
        <w:continuationSeparator/>
      </w:r>
    </w:p>
  </w:footnote>
  <w:footnote w:id="1">
    <w:p w:rsidR="00F101B3" w:rsidRDefault="00F101B3">
      <w:pPr>
        <w:pStyle w:val="FootnoteText"/>
      </w:pPr>
      <w:r w:rsidRPr="00446190">
        <w:rPr>
          <w:rStyle w:val="FootnoteReference"/>
          <w:vertAlign w:val="baseline"/>
        </w:rPr>
        <w:footnoteRef/>
      </w:r>
      <w:r>
        <w:t>.</w:t>
      </w:r>
      <w:r w:rsidRPr="00446190">
        <w:t>  Paragraph 12 of</w:t>
      </w:r>
      <w:r>
        <w:t xml:space="preserve"> the Grand Chamber judgment.</w:t>
      </w:r>
    </w:p>
  </w:footnote>
  <w:footnote w:id="2">
    <w:p w:rsidR="00F101B3" w:rsidRPr="00FA6916" w:rsidRDefault="00F101B3" w:rsidP="005A3021">
      <w:pPr>
        <w:pStyle w:val="FootnoteText"/>
      </w:pPr>
      <w:r w:rsidRPr="00FA6916">
        <w:rPr>
          <w:rStyle w:val="FootnoteReference"/>
          <w:vertAlign w:val="baseline"/>
        </w:rPr>
        <w:footnoteRef/>
      </w:r>
      <w:r>
        <w:t>.  </w:t>
      </w:r>
      <w:r w:rsidRPr="00FA6916">
        <w:t xml:space="preserve">Paragraph 67, House of Lords opinion in </w:t>
      </w:r>
      <w:r w:rsidRPr="00FA6916">
        <w:rPr>
          <w:i/>
        </w:rPr>
        <w:t>Al</w:t>
      </w:r>
      <w:r>
        <w:rPr>
          <w:i/>
        </w:rPr>
        <w:t>-</w:t>
      </w:r>
      <w:r w:rsidRPr="00FA6916">
        <w:rPr>
          <w:i/>
        </w:rPr>
        <w:t>Skeini</w:t>
      </w:r>
      <w:r w:rsidRPr="005906F2">
        <w:rPr>
          <w:i/>
        </w:rPr>
        <w:t xml:space="preserve"> </w:t>
      </w:r>
      <w:r>
        <w:rPr>
          <w:i/>
        </w:rPr>
        <w:t>and Others (Respondents) v. Secretary of State for Defence (Appellant) Al-Skeini and Others (Appellants) v. Secretary of State for Defence (Respondent) (Consolidated Appeals)</w:t>
      </w:r>
      <w:r w:rsidRPr="00FA6916">
        <w:t xml:space="preserve">, [2007] UKHL 26. </w:t>
      </w:r>
    </w:p>
  </w:footnote>
  <w:footnote w:id="3">
    <w:p w:rsidR="00F101B3" w:rsidRDefault="00F101B3" w:rsidP="005A3021">
      <w:pPr>
        <w:pStyle w:val="FootnoteText"/>
      </w:pPr>
      <w:r w:rsidRPr="006F7333">
        <w:rPr>
          <w:rStyle w:val="FootnoteReference"/>
          <w:vertAlign w:val="baseline"/>
        </w:rPr>
        <w:footnoteRef/>
      </w:r>
      <w:r>
        <w:t>.  See paragraph 12 of the Grand Chamber judgment.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01B3" w:rsidRPr="00C00F0F" w:rsidRDefault="00F101B3">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6pt;height:164.3pt">
          <v:imagedata r:id="rId1" o:title="TranspDocHeaderBigBlack"/>
        </v:shape>
      </w:pict>
    </w:r>
  </w:p>
  <w:p w:rsidR="00F101B3" w:rsidRPr="00E07594" w:rsidRDefault="00F101B3" w:rsidP="00E0759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01B3" w:rsidRDefault="00F101B3">
    <w:pPr>
      <w:pStyle w:val="JuHeader"/>
    </w:pPr>
    <w:r>
      <w:rPr>
        <w:rStyle w:val="PageNumber"/>
      </w:rPr>
      <w:fldChar w:fldCharType="begin"/>
    </w:r>
    <w:r>
      <w:rPr>
        <w:rStyle w:val="PageNumber"/>
      </w:rPr>
      <w:instrText xml:space="preserve"> PAGE </w:instrText>
    </w:r>
    <w:r>
      <w:rPr>
        <w:rStyle w:val="PageNumber"/>
      </w:rPr>
      <w:fldChar w:fldCharType="separate"/>
    </w:r>
    <w:r w:rsidR="008570E8">
      <w:rPr>
        <w:rStyle w:val="PageNumber"/>
        <w:noProof/>
      </w:rPr>
      <w:t>76</w:t>
    </w:r>
    <w:r>
      <w:rPr>
        <w:rStyle w:val="PageNumber"/>
      </w:rPr>
      <w:fldChar w:fldCharType="end"/>
    </w:r>
    <w:r>
      <w:tab/>
      <w:t>AL-SKEINI AND OTHERS v. THE UNITED KINGDOM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01B3" w:rsidRDefault="00F101B3">
    <w:pPr>
      <w:pStyle w:val="JuHeader"/>
      <w:rPr>
        <w:rStyle w:val="PageNumber"/>
      </w:rPr>
    </w:pPr>
    <w:r>
      <w:tab/>
      <w:t>AL-SKEINI AND OTHERS v. THE UNITED KINGDOM JUDGMENT</w:t>
    </w:r>
    <w:r>
      <w:tab/>
    </w:r>
    <w:r>
      <w:rPr>
        <w:rStyle w:val="PageNumber"/>
      </w:rPr>
      <w:fldChar w:fldCharType="begin"/>
    </w:r>
    <w:r>
      <w:rPr>
        <w:rStyle w:val="PageNumber"/>
      </w:rPr>
      <w:instrText xml:space="preserve"> PAGE </w:instrText>
    </w:r>
    <w:r>
      <w:rPr>
        <w:rStyle w:val="PageNumber"/>
      </w:rPr>
      <w:fldChar w:fldCharType="separate"/>
    </w:r>
    <w:r w:rsidR="008570E8">
      <w:rPr>
        <w:rStyle w:val="PageNumber"/>
        <w:noProof/>
      </w:rPr>
      <w:t>1</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01B3" w:rsidRDefault="00F101B3">
    <w:pPr>
      <w:pStyle w:val="JuHeader"/>
    </w:pPr>
    <w:r>
      <w:rPr>
        <w:rStyle w:val="PageNumber"/>
      </w:rPr>
      <w:fldChar w:fldCharType="begin"/>
    </w:r>
    <w:r>
      <w:rPr>
        <w:rStyle w:val="PageNumber"/>
      </w:rPr>
      <w:instrText xml:space="preserve"> PAGE </w:instrText>
    </w:r>
    <w:r>
      <w:rPr>
        <w:rStyle w:val="PageNumber"/>
      </w:rPr>
      <w:fldChar w:fldCharType="separate"/>
    </w:r>
    <w:r w:rsidR="008570E8">
      <w:rPr>
        <w:rStyle w:val="PageNumber"/>
        <w:noProof/>
      </w:rPr>
      <w:t>86</w:t>
    </w:r>
    <w:r>
      <w:rPr>
        <w:rStyle w:val="PageNumber"/>
      </w:rPr>
      <w:fldChar w:fldCharType="end"/>
    </w:r>
    <w:r>
      <w:tab/>
      <w:t>AL-SKEINI AND OTHERS v. THE UNITED KINGDOM JUDGMENT –</w:t>
    </w:r>
  </w:p>
  <w:p w:rsidR="00F101B3" w:rsidRDefault="00F101B3" w:rsidP="00801C92">
    <w:pPr>
      <w:pStyle w:val="JuHeader"/>
      <w:jc w:val="center"/>
    </w:pPr>
    <w:r>
      <w:t>SEPARATE OPINIONS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01B3" w:rsidRDefault="00F101B3">
    <w:pPr>
      <w:pStyle w:val="JuHeader"/>
      <w:rPr>
        <w:rStyle w:val="PageNumber"/>
      </w:rPr>
    </w:pPr>
    <w:r>
      <w:tab/>
      <w:t>AL-SKEINI AND OTHERS v. THE UNITED KINGDOM JUDGMENT –</w:t>
    </w:r>
    <w:r>
      <w:tab/>
    </w:r>
    <w:r>
      <w:rPr>
        <w:rStyle w:val="PageNumber"/>
      </w:rPr>
      <w:fldChar w:fldCharType="begin"/>
    </w:r>
    <w:r>
      <w:rPr>
        <w:rStyle w:val="PageNumber"/>
      </w:rPr>
      <w:instrText xml:space="preserve"> PAGE </w:instrText>
    </w:r>
    <w:r>
      <w:rPr>
        <w:rStyle w:val="PageNumber"/>
      </w:rPr>
      <w:fldChar w:fldCharType="separate"/>
    </w:r>
    <w:r w:rsidR="008570E8">
      <w:rPr>
        <w:rStyle w:val="PageNumber"/>
        <w:noProof/>
      </w:rPr>
      <w:t>85</w:t>
    </w:r>
    <w:r>
      <w:rPr>
        <w:rStyle w:val="PageNumber"/>
      </w:rPr>
      <w:fldChar w:fldCharType="end"/>
    </w:r>
  </w:p>
  <w:p w:rsidR="00F101B3" w:rsidRDefault="00F101B3" w:rsidP="005026E2">
    <w:pPr>
      <w:pStyle w:val="JuHeader"/>
      <w:jc w:val="center"/>
    </w:pPr>
    <w:r>
      <w:t>SEPARATE OPINIONS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0C461F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191C1C"/>
    <w:multiLevelType w:val="hybridMultilevel"/>
    <w:tmpl w:val="A37C5A8C"/>
    <w:lvl w:ilvl="0" w:tplc="41D863E4">
      <w:start w:val="1"/>
      <w:numFmt w:val="lowerLetter"/>
      <w:lvlText w:val="(%1)"/>
      <w:lvlJc w:val="left"/>
      <w:pPr>
        <w:ind w:left="680" w:hanging="396"/>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nsid w:val="086E090D"/>
    <w:multiLevelType w:val="hybridMultilevel"/>
    <w:tmpl w:val="AC689562"/>
    <w:lvl w:ilvl="0" w:tplc="243A21B0">
      <w:start w:val="14"/>
      <w:numFmt w:val="decimal"/>
      <w:lvlText w:val="%1."/>
      <w:lvlJc w:val="left"/>
      <w:pPr>
        <w:tabs>
          <w:tab w:val="num" w:pos="2055"/>
        </w:tabs>
        <w:ind w:left="2055" w:hanging="615"/>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3">
    <w:nsid w:val="0C582B73"/>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nsid w:val="13183D2A"/>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
    <w:nsid w:val="1668401E"/>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1288"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18367C98"/>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4123"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228511DB"/>
    <w:multiLevelType w:val="hybridMultilevel"/>
    <w:tmpl w:val="AD562836"/>
    <w:lvl w:ilvl="0" w:tplc="DA56AAE6">
      <w:start w:val="54"/>
      <w:numFmt w:val="decimal"/>
      <w:lvlText w:val="%1."/>
      <w:lvlJc w:val="left"/>
      <w:pPr>
        <w:tabs>
          <w:tab w:val="num" w:pos="2100"/>
        </w:tabs>
        <w:ind w:left="2100" w:hanging="6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8">
    <w:nsid w:val="38031A2E"/>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387F2D9B"/>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3A3375E0"/>
    <w:multiLevelType w:val="hybridMultilevel"/>
    <w:tmpl w:val="FE22291A"/>
    <w:lvl w:ilvl="0" w:tplc="05AE62DC">
      <w:start w:val="3"/>
      <w:numFmt w:val="upperLetter"/>
      <w:lvlText w:val="%1."/>
      <w:lvlJc w:val="left"/>
      <w:pPr>
        <w:tabs>
          <w:tab w:val="num" w:pos="2265"/>
        </w:tabs>
        <w:ind w:left="2265" w:hanging="570"/>
      </w:pPr>
      <w:rPr>
        <w:rFonts w:hint="default"/>
      </w:rPr>
    </w:lvl>
    <w:lvl w:ilvl="1" w:tplc="49D03950">
      <w:start w:val="37"/>
      <w:numFmt w:val="decimal"/>
      <w:lvlText w:val="%2."/>
      <w:lvlJc w:val="left"/>
      <w:pPr>
        <w:tabs>
          <w:tab w:val="num" w:pos="2985"/>
        </w:tabs>
        <w:ind w:left="2985" w:hanging="570"/>
      </w:pPr>
      <w:rPr>
        <w:rFonts w:hint="default"/>
      </w:rPr>
    </w:lvl>
    <w:lvl w:ilvl="2" w:tplc="0409001B">
      <w:start w:val="1"/>
      <w:numFmt w:val="lowerRoman"/>
      <w:lvlText w:val="%3."/>
      <w:lvlJc w:val="right"/>
      <w:pPr>
        <w:tabs>
          <w:tab w:val="num" w:pos="3495"/>
        </w:tabs>
        <w:ind w:left="3495" w:hanging="180"/>
      </w:pPr>
    </w:lvl>
    <w:lvl w:ilvl="3" w:tplc="0409000F">
      <w:start w:val="1"/>
      <w:numFmt w:val="decimal"/>
      <w:lvlText w:val="%4."/>
      <w:lvlJc w:val="left"/>
      <w:pPr>
        <w:tabs>
          <w:tab w:val="num" w:pos="4215"/>
        </w:tabs>
        <w:ind w:left="4215" w:hanging="360"/>
      </w:pPr>
    </w:lvl>
    <w:lvl w:ilvl="4" w:tplc="04090019">
      <w:start w:val="1"/>
      <w:numFmt w:val="lowerLetter"/>
      <w:lvlText w:val="%5."/>
      <w:lvlJc w:val="left"/>
      <w:pPr>
        <w:tabs>
          <w:tab w:val="num" w:pos="4935"/>
        </w:tabs>
        <w:ind w:left="4935" w:hanging="360"/>
      </w:pPr>
    </w:lvl>
    <w:lvl w:ilvl="5" w:tplc="0409001B">
      <w:start w:val="1"/>
      <w:numFmt w:val="lowerRoman"/>
      <w:lvlText w:val="%6."/>
      <w:lvlJc w:val="right"/>
      <w:pPr>
        <w:tabs>
          <w:tab w:val="num" w:pos="5655"/>
        </w:tabs>
        <w:ind w:left="5655" w:hanging="180"/>
      </w:pPr>
    </w:lvl>
    <w:lvl w:ilvl="6" w:tplc="0409000F">
      <w:start w:val="1"/>
      <w:numFmt w:val="decimal"/>
      <w:lvlText w:val="%7."/>
      <w:lvlJc w:val="left"/>
      <w:pPr>
        <w:tabs>
          <w:tab w:val="num" w:pos="6375"/>
        </w:tabs>
        <w:ind w:left="6375" w:hanging="360"/>
      </w:pPr>
    </w:lvl>
    <w:lvl w:ilvl="7" w:tplc="04090019">
      <w:start w:val="1"/>
      <w:numFmt w:val="lowerLetter"/>
      <w:lvlText w:val="%8."/>
      <w:lvlJc w:val="left"/>
      <w:pPr>
        <w:tabs>
          <w:tab w:val="num" w:pos="7095"/>
        </w:tabs>
        <w:ind w:left="7095" w:hanging="360"/>
      </w:pPr>
    </w:lvl>
    <w:lvl w:ilvl="8" w:tplc="0409001B">
      <w:start w:val="1"/>
      <w:numFmt w:val="lowerRoman"/>
      <w:lvlText w:val="%9."/>
      <w:lvlJc w:val="right"/>
      <w:pPr>
        <w:tabs>
          <w:tab w:val="num" w:pos="7815"/>
        </w:tabs>
        <w:ind w:left="7815" w:hanging="180"/>
      </w:pPr>
    </w:lvl>
  </w:abstractNum>
  <w:abstractNum w:abstractNumId="11">
    <w:nsid w:val="3AA74FB8"/>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46A9013E"/>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76D6D8E"/>
    <w:multiLevelType w:val="hybridMultilevel"/>
    <w:tmpl w:val="CBC84274"/>
    <w:lvl w:ilvl="0" w:tplc="E1EA6E16">
      <w:start w:val="9"/>
      <w:numFmt w:val="decimal"/>
      <w:lvlText w:val="%1."/>
      <w:lvlJc w:val="left"/>
      <w:pPr>
        <w:tabs>
          <w:tab w:val="num" w:pos="1920"/>
        </w:tabs>
        <w:ind w:left="1920" w:hanging="48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4">
    <w:nsid w:val="54435151"/>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1288"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6B5A25CE"/>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2989"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6C2B0287"/>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6107"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711338F1"/>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2989"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72F27EF6"/>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75D70B9F"/>
    <w:multiLevelType w:val="multilevel"/>
    <w:tmpl w:val="55F059CC"/>
    <w:lvl w:ilvl="0">
      <w:start w:val="1"/>
      <w:numFmt w:val="decimal"/>
      <w:pStyle w:val="ParaLevel1"/>
      <w:lvlText w:val="%1."/>
      <w:lvlJc w:val="left"/>
      <w:pPr>
        <w:tabs>
          <w:tab w:val="num" w:pos="720"/>
        </w:tabs>
        <w:ind w:left="720" w:hanging="720"/>
      </w:pPr>
      <w:rPr>
        <w:rFonts w:hint="default"/>
        <w:b w:val="0"/>
        <w:i w:val="0"/>
        <w:u w:val="none"/>
      </w:rPr>
    </w:lvl>
    <w:lvl w:ilvl="1">
      <w:start w:val="1"/>
      <w:numFmt w:val="lowerRoman"/>
      <w:pStyle w:val="ParaLevel2"/>
      <w:lvlText w:val="%2)"/>
      <w:lvlJc w:val="left"/>
      <w:pPr>
        <w:tabs>
          <w:tab w:val="num" w:pos="1418"/>
        </w:tabs>
        <w:ind w:left="1418" w:hanging="709"/>
      </w:pPr>
      <w:rPr>
        <w:rFonts w:hint="default"/>
        <w:b w:val="0"/>
        <w:i w:val="0"/>
      </w:rPr>
    </w:lvl>
    <w:lvl w:ilvl="2">
      <w:start w:val="1"/>
      <w:numFmt w:val="lowerLetter"/>
      <w:pStyle w:val="ParaLevel3"/>
      <w:lvlText w:val="%3)"/>
      <w:lvlJc w:val="left"/>
      <w:pPr>
        <w:tabs>
          <w:tab w:val="num" w:pos="2127"/>
        </w:tabs>
        <w:ind w:left="2127" w:hanging="709"/>
      </w:pPr>
      <w:rPr>
        <w:rFonts w:hint="default"/>
      </w:rPr>
    </w:lvl>
    <w:lvl w:ilvl="3">
      <w:start w:val="1"/>
      <w:numFmt w:val="lowerRoman"/>
      <w:pStyle w:val="ParaLevel4"/>
      <w:lvlText w:val="%4)"/>
      <w:lvlJc w:val="left"/>
      <w:pPr>
        <w:tabs>
          <w:tab w:val="num" w:pos="3207"/>
        </w:tabs>
        <w:ind w:left="2836" w:hanging="709"/>
      </w:pPr>
      <w:rPr>
        <w:rFonts w:hint="default"/>
      </w:rPr>
    </w:lvl>
    <w:lvl w:ilvl="4">
      <w:start w:val="1"/>
      <w:numFmt w:val="lowerLetter"/>
      <w:pStyle w:val="ParaLevel5"/>
      <w:lvlText w:val="(%5)"/>
      <w:lvlJc w:val="left"/>
      <w:pPr>
        <w:tabs>
          <w:tab w:val="num" w:pos="3545"/>
        </w:tabs>
        <w:ind w:left="3545" w:hanging="709"/>
      </w:pPr>
      <w:rPr>
        <w:rFonts w:hint="default"/>
      </w:rPr>
    </w:lvl>
    <w:lvl w:ilvl="5">
      <w:start w:val="1"/>
      <w:numFmt w:val="lowerRoman"/>
      <w:pStyle w:val="ParaLevel6"/>
      <w:lvlText w:val="(%6)"/>
      <w:lvlJc w:val="left"/>
      <w:pPr>
        <w:tabs>
          <w:tab w:val="num" w:pos="4625"/>
        </w:tabs>
        <w:ind w:left="4254" w:hanging="709"/>
      </w:pPr>
      <w:rPr>
        <w:rFonts w:hint="default"/>
      </w:rPr>
    </w:lvl>
    <w:lvl w:ilvl="6">
      <w:start w:val="1"/>
      <w:numFmt w:val="lowerLetter"/>
      <w:pStyle w:val="ParaLevel7"/>
      <w:lvlText w:val="(%7)"/>
      <w:lvlJc w:val="left"/>
      <w:pPr>
        <w:tabs>
          <w:tab w:val="num" w:pos="4963"/>
        </w:tabs>
        <w:ind w:left="4963" w:hanging="709"/>
      </w:pPr>
      <w:rPr>
        <w:rFonts w:hint="default"/>
      </w:rPr>
    </w:lvl>
    <w:lvl w:ilvl="7">
      <w:start w:val="1"/>
      <w:numFmt w:val="lowerRoman"/>
      <w:pStyle w:val="ParaLevel8"/>
      <w:lvlText w:val="(%8)"/>
      <w:lvlJc w:val="left"/>
      <w:pPr>
        <w:tabs>
          <w:tab w:val="num" w:pos="6043"/>
        </w:tabs>
        <w:ind w:left="5672" w:hanging="709"/>
      </w:pPr>
      <w:rPr>
        <w:rFonts w:hint="default"/>
      </w:rPr>
    </w:lvl>
    <w:lvl w:ilvl="8">
      <w:start w:val="1"/>
      <w:numFmt w:val="lowerLetter"/>
      <w:pStyle w:val="ParaLevel9"/>
      <w:lvlText w:val="(%9)"/>
      <w:lvlJc w:val="left"/>
      <w:pPr>
        <w:tabs>
          <w:tab w:val="num" w:pos="6381"/>
        </w:tabs>
        <w:ind w:left="6381" w:hanging="709"/>
      </w:pPr>
      <w:rPr>
        <w:rFonts w:hint="default"/>
      </w:rPr>
    </w:lvl>
  </w:abstractNum>
  <w:abstractNum w:abstractNumId="20">
    <w:nsid w:val="777A5F7F"/>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7A957D8A"/>
    <w:multiLevelType w:val="multilevel"/>
    <w:tmpl w:val="D7EC25A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1713"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9"/>
  </w:num>
  <w:num w:numId="2">
    <w:abstractNumId w:val="10"/>
  </w:num>
  <w:num w:numId="3">
    <w:abstractNumId w:val="13"/>
  </w:num>
  <w:num w:numId="4">
    <w:abstractNumId w:val="2"/>
  </w:num>
  <w:num w:numId="5">
    <w:abstractNumId w:val="7"/>
  </w:num>
  <w:num w:numId="6">
    <w:abstractNumId w:val="17"/>
  </w:num>
  <w:num w:numId="7">
    <w:abstractNumId w:val="21"/>
  </w:num>
  <w:num w:numId="8">
    <w:abstractNumId w:val="3"/>
  </w:num>
  <w:num w:numId="9">
    <w:abstractNumId w:val="8"/>
  </w:num>
  <w:num w:numId="10">
    <w:abstractNumId w:val="18"/>
  </w:num>
  <w:num w:numId="11">
    <w:abstractNumId w:val="11"/>
  </w:num>
  <w:num w:numId="12">
    <w:abstractNumId w:val="4"/>
  </w:num>
  <w:num w:numId="13">
    <w:abstractNumId w:val="9"/>
  </w:num>
  <w:num w:numId="14">
    <w:abstractNumId w:val="16"/>
  </w:num>
  <w:num w:numId="15">
    <w:abstractNumId w:val="20"/>
  </w:num>
  <w:num w:numId="16">
    <w:abstractNumId w:val="6"/>
  </w:num>
  <w:num w:numId="17">
    <w:abstractNumId w:val="14"/>
  </w:num>
  <w:num w:numId="18">
    <w:abstractNumId w:val="12"/>
  </w:num>
  <w:num w:numId="19">
    <w:abstractNumId w:val="15"/>
  </w:num>
  <w:num w:numId="20">
    <w:abstractNumId w:val="5"/>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BY E-TRANSMISSION ONLY"/>
    <w:docVar w:name="L4_1Annex" w:val="0"/>
    <w:docVar w:name="L4_1Anonymity" w:val="0"/>
    <w:docVar w:name="SignForeName" w:val="0"/>
  </w:docVars>
  <w:rsids>
    <w:rsidRoot w:val="005027B8"/>
    <w:rsid w:val="00000794"/>
    <w:rsid w:val="000011CE"/>
    <w:rsid w:val="000017B8"/>
    <w:rsid w:val="00002909"/>
    <w:rsid w:val="00002940"/>
    <w:rsid w:val="0000425F"/>
    <w:rsid w:val="000113AF"/>
    <w:rsid w:val="0001492A"/>
    <w:rsid w:val="00015897"/>
    <w:rsid w:val="000169FA"/>
    <w:rsid w:val="00016BBC"/>
    <w:rsid w:val="00022599"/>
    <w:rsid w:val="00023C22"/>
    <w:rsid w:val="0002407E"/>
    <w:rsid w:val="0002422E"/>
    <w:rsid w:val="00024632"/>
    <w:rsid w:val="00026DC5"/>
    <w:rsid w:val="00027375"/>
    <w:rsid w:val="00031BAC"/>
    <w:rsid w:val="00032C72"/>
    <w:rsid w:val="00033B75"/>
    <w:rsid w:val="0003406E"/>
    <w:rsid w:val="00034147"/>
    <w:rsid w:val="000342BF"/>
    <w:rsid w:val="00034EFA"/>
    <w:rsid w:val="00035A69"/>
    <w:rsid w:val="0003662D"/>
    <w:rsid w:val="0003679E"/>
    <w:rsid w:val="000374A6"/>
    <w:rsid w:val="000408B0"/>
    <w:rsid w:val="00042C46"/>
    <w:rsid w:val="00042F6D"/>
    <w:rsid w:val="000452A3"/>
    <w:rsid w:val="00046045"/>
    <w:rsid w:val="0004624B"/>
    <w:rsid w:val="000466BC"/>
    <w:rsid w:val="00046C24"/>
    <w:rsid w:val="00047C5F"/>
    <w:rsid w:val="00051327"/>
    <w:rsid w:val="00051562"/>
    <w:rsid w:val="000527A5"/>
    <w:rsid w:val="000531B8"/>
    <w:rsid w:val="00055AC1"/>
    <w:rsid w:val="00056B60"/>
    <w:rsid w:val="00057CBF"/>
    <w:rsid w:val="0006152F"/>
    <w:rsid w:val="00061ABB"/>
    <w:rsid w:val="0006212A"/>
    <w:rsid w:val="00063922"/>
    <w:rsid w:val="00065BC4"/>
    <w:rsid w:val="00067C3F"/>
    <w:rsid w:val="00067E0D"/>
    <w:rsid w:val="000700DF"/>
    <w:rsid w:val="000701A8"/>
    <w:rsid w:val="000702E2"/>
    <w:rsid w:val="000705CA"/>
    <w:rsid w:val="00070894"/>
    <w:rsid w:val="000720E7"/>
    <w:rsid w:val="000726F6"/>
    <w:rsid w:val="00073A89"/>
    <w:rsid w:val="00074709"/>
    <w:rsid w:val="00074780"/>
    <w:rsid w:val="00075E40"/>
    <w:rsid w:val="00076384"/>
    <w:rsid w:val="000763DC"/>
    <w:rsid w:val="00076A67"/>
    <w:rsid w:val="000777E1"/>
    <w:rsid w:val="0007785A"/>
    <w:rsid w:val="0008324B"/>
    <w:rsid w:val="000855BD"/>
    <w:rsid w:val="00085837"/>
    <w:rsid w:val="00085B3A"/>
    <w:rsid w:val="00086030"/>
    <w:rsid w:val="00086754"/>
    <w:rsid w:val="000867CB"/>
    <w:rsid w:val="00086999"/>
    <w:rsid w:val="00086DB9"/>
    <w:rsid w:val="000907BE"/>
    <w:rsid w:val="00090C82"/>
    <w:rsid w:val="00090CD6"/>
    <w:rsid w:val="00091C1F"/>
    <w:rsid w:val="000923A3"/>
    <w:rsid w:val="00092D65"/>
    <w:rsid w:val="00093A41"/>
    <w:rsid w:val="00093A6C"/>
    <w:rsid w:val="00093CC6"/>
    <w:rsid w:val="00093D5D"/>
    <w:rsid w:val="000943D3"/>
    <w:rsid w:val="00094C3B"/>
    <w:rsid w:val="00094E03"/>
    <w:rsid w:val="00096C9B"/>
    <w:rsid w:val="000971C3"/>
    <w:rsid w:val="000A153A"/>
    <w:rsid w:val="000A171B"/>
    <w:rsid w:val="000A253F"/>
    <w:rsid w:val="000A29D3"/>
    <w:rsid w:val="000A4CE2"/>
    <w:rsid w:val="000A518B"/>
    <w:rsid w:val="000A5347"/>
    <w:rsid w:val="000A67E0"/>
    <w:rsid w:val="000A79FD"/>
    <w:rsid w:val="000A7EE5"/>
    <w:rsid w:val="000B1BF9"/>
    <w:rsid w:val="000B2567"/>
    <w:rsid w:val="000B6AB4"/>
    <w:rsid w:val="000C01C2"/>
    <w:rsid w:val="000C05A4"/>
    <w:rsid w:val="000C1AD7"/>
    <w:rsid w:val="000C344D"/>
    <w:rsid w:val="000C3B81"/>
    <w:rsid w:val="000C3FAA"/>
    <w:rsid w:val="000C7AE6"/>
    <w:rsid w:val="000D236E"/>
    <w:rsid w:val="000D3122"/>
    <w:rsid w:val="000D405F"/>
    <w:rsid w:val="000D5840"/>
    <w:rsid w:val="000D6108"/>
    <w:rsid w:val="000D7094"/>
    <w:rsid w:val="000E02DF"/>
    <w:rsid w:val="000E0DD5"/>
    <w:rsid w:val="000E1449"/>
    <w:rsid w:val="000E1FE3"/>
    <w:rsid w:val="000E2144"/>
    <w:rsid w:val="000E27B8"/>
    <w:rsid w:val="000E5E3C"/>
    <w:rsid w:val="000E5F24"/>
    <w:rsid w:val="000E5F61"/>
    <w:rsid w:val="000E62C4"/>
    <w:rsid w:val="000F0C50"/>
    <w:rsid w:val="000F348B"/>
    <w:rsid w:val="000F52EF"/>
    <w:rsid w:val="000F5F48"/>
    <w:rsid w:val="000F698C"/>
    <w:rsid w:val="000F699D"/>
    <w:rsid w:val="00100145"/>
    <w:rsid w:val="00101760"/>
    <w:rsid w:val="00101CD1"/>
    <w:rsid w:val="00101DE6"/>
    <w:rsid w:val="00102211"/>
    <w:rsid w:val="0010364B"/>
    <w:rsid w:val="001040DF"/>
    <w:rsid w:val="00104266"/>
    <w:rsid w:val="00104AD1"/>
    <w:rsid w:val="00110789"/>
    <w:rsid w:val="00111D21"/>
    <w:rsid w:val="001121F3"/>
    <w:rsid w:val="00112A04"/>
    <w:rsid w:val="00113C56"/>
    <w:rsid w:val="00114525"/>
    <w:rsid w:val="00115EF8"/>
    <w:rsid w:val="0011665B"/>
    <w:rsid w:val="001177AE"/>
    <w:rsid w:val="00117C54"/>
    <w:rsid w:val="00121666"/>
    <w:rsid w:val="0012196E"/>
    <w:rsid w:val="00121D57"/>
    <w:rsid w:val="001228E9"/>
    <w:rsid w:val="00122D31"/>
    <w:rsid w:val="00125D0E"/>
    <w:rsid w:val="00125F45"/>
    <w:rsid w:val="00126085"/>
    <w:rsid w:val="00126213"/>
    <w:rsid w:val="00127CF4"/>
    <w:rsid w:val="00127DCC"/>
    <w:rsid w:val="001309A9"/>
    <w:rsid w:val="0013126F"/>
    <w:rsid w:val="00131CD4"/>
    <w:rsid w:val="0013220A"/>
    <w:rsid w:val="0013558D"/>
    <w:rsid w:val="001355FF"/>
    <w:rsid w:val="00135F1C"/>
    <w:rsid w:val="00136CEF"/>
    <w:rsid w:val="00141A91"/>
    <w:rsid w:val="00143213"/>
    <w:rsid w:val="0015077F"/>
    <w:rsid w:val="00150924"/>
    <w:rsid w:val="0015107A"/>
    <w:rsid w:val="00157239"/>
    <w:rsid w:val="00161782"/>
    <w:rsid w:val="00161DC1"/>
    <w:rsid w:val="001635E0"/>
    <w:rsid w:val="00164409"/>
    <w:rsid w:val="00166A43"/>
    <w:rsid w:val="00166AB7"/>
    <w:rsid w:val="001675FA"/>
    <w:rsid w:val="0017015A"/>
    <w:rsid w:val="001702A0"/>
    <w:rsid w:val="001703CB"/>
    <w:rsid w:val="001723F2"/>
    <w:rsid w:val="001743EC"/>
    <w:rsid w:val="00174E8E"/>
    <w:rsid w:val="001752D8"/>
    <w:rsid w:val="00177474"/>
    <w:rsid w:val="00180C2D"/>
    <w:rsid w:val="001812B2"/>
    <w:rsid w:val="00182BD9"/>
    <w:rsid w:val="00182EE4"/>
    <w:rsid w:val="00183C9E"/>
    <w:rsid w:val="00183F2D"/>
    <w:rsid w:val="00184BED"/>
    <w:rsid w:val="00184D96"/>
    <w:rsid w:val="001878DC"/>
    <w:rsid w:val="001900DD"/>
    <w:rsid w:val="0019053B"/>
    <w:rsid w:val="001917AE"/>
    <w:rsid w:val="0019316E"/>
    <w:rsid w:val="0019629E"/>
    <w:rsid w:val="001966E8"/>
    <w:rsid w:val="00197C29"/>
    <w:rsid w:val="001A0EBE"/>
    <w:rsid w:val="001A2A93"/>
    <w:rsid w:val="001A7AF3"/>
    <w:rsid w:val="001B02D2"/>
    <w:rsid w:val="001B0599"/>
    <w:rsid w:val="001B1435"/>
    <w:rsid w:val="001B179C"/>
    <w:rsid w:val="001B57A1"/>
    <w:rsid w:val="001B5BD5"/>
    <w:rsid w:val="001B62B1"/>
    <w:rsid w:val="001B6C3A"/>
    <w:rsid w:val="001B74F7"/>
    <w:rsid w:val="001C228A"/>
    <w:rsid w:val="001C4921"/>
    <w:rsid w:val="001C6A69"/>
    <w:rsid w:val="001D0BDB"/>
    <w:rsid w:val="001D1585"/>
    <w:rsid w:val="001D3360"/>
    <w:rsid w:val="001D6131"/>
    <w:rsid w:val="001D6317"/>
    <w:rsid w:val="001E006E"/>
    <w:rsid w:val="001E00D7"/>
    <w:rsid w:val="001E675A"/>
    <w:rsid w:val="001F21A3"/>
    <w:rsid w:val="001F312C"/>
    <w:rsid w:val="001F3E9E"/>
    <w:rsid w:val="001F47EF"/>
    <w:rsid w:val="001F5586"/>
    <w:rsid w:val="001F6531"/>
    <w:rsid w:val="001F6652"/>
    <w:rsid w:val="001F7948"/>
    <w:rsid w:val="001F7E75"/>
    <w:rsid w:val="002011BB"/>
    <w:rsid w:val="00201891"/>
    <w:rsid w:val="002019C8"/>
    <w:rsid w:val="00203783"/>
    <w:rsid w:val="00203A3E"/>
    <w:rsid w:val="00205845"/>
    <w:rsid w:val="00211EC8"/>
    <w:rsid w:val="00212C1F"/>
    <w:rsid w:val="00213E0B"/>
    <w:rsid w:val="0021502F"/>
    <w:rsid w:val="0021726C"/>
    <w:rsid w:val="0021767D"/>
    <w:rsid w:val="0021778E"/>
    <w:rsid w:val="00220EA8"/>
    <w:rsid w:val="00221F05"/>
    <w:rsid w:val="00222495"/>
    <w:rsid w:val="00224C82"/>
    <w:rsid w:val="002266CD"/>
    <w:rsid w:val="00227F32"/>
    <w:rsid w:val="002337E7"/>
    <w:rsid w:val="002345B9"/>
    <w:rsid w:val="00236088"/>
    <w:rsid w:val="0023752E"/>
    <w:rsid w:val="0024011E"/>
    <w:rsid w:val="002431B6"/>
    <w:rsid w:val="00243283"/>
    <w:rsid w:val="00243EC1"/>
    <w:rsid w:val="00243F8E"/>
    <w:rsid w:val="00246A2E"/>
    <w:rsid w:val="00247AE0"/>
    <w:rsid w:val="00250B44"/>
    <w:rsid w:val="00252B31"/>
    <w:rsid w:val="002544BD"/>
    <w:rsid w:val="00256BF4"/>
    <w:rsid w:val="00256F28"/>
    <w:rsid w:val="0025798B"/>
    <w:rsid w:val="002606C8"/>
    <w:rsid w:val="00260EE5"/>
    <w:rsid w:val="00261436"/>
    <w:rsid w:val="00261D74"/>
    <w:rsid w:val="00262A64"/>
    <w:rsid w:val="00265A0D"/>
    <w:rsid w:val="00267074"/>
    <w:rsid w:val="00270020"/>
    <w:rsid w:val="002706E7"/>
    <w:rsid w:val="00273539"/>
    <w:rsid w:val="00273CAB"/>
    <w:rsid w:val="002741D5"/>
    <w:rsid w:val="00276C17"/>
    <w:rsid w:val="00276D6C"/>
    <w:rsid w:val="0027760B"/>
    <w:rsid w:val="00280831"/>
    <w:rsid w:val="00280892"/>
    <w:rsid w:val="00280C2E"/>
    <w:rsid w:val="00281950"/>
    <w:rsid w:val="002822F5"/>
    <w:rsid w:val="00282A55"/>
    <w:rsid w:val="00282EBF"/>
    <w:rsid w:val="0028309F"/>
    <w:rsid w:val="00283B02"/>
    <w:rsid w:val="00284513"/>
    <w:rsid w:val="002846C2"/>
    <w:rsid w:val="00284871"/>
    <w:rsid w:val="00284D16"/>
    <w:rsid w:val="002941CB"/>
    <w:rsid w:val="00297942"/>
    <w:rsid w:val="002A0988"/>
    <w:rsid w:val="002A0F9E"/>
    <w:rsid w:val="002A18D8"/>
    <w:rsid w:val="002A1EB2"/>
    <w:rsid w:val="002A2350"/>
    <w:rsid w:val="002A272A"/>
    <w:rsid w:val="002A2885"/>
    <w:rsid w:val="002A4477"/>
    <w:rsid w:val="002A4EB1"/>
    <w:rsid w:val="002A503B"/>
    <w:rsid w:val="002A5C12"/>
    <w:rsid w:val="002A64B0"/>
    <w:rsid w:val="002B15D6"/>
    <w:rsid w:val="002B5260"/>
    <w:rsid w:val="002B7043"/>
    <w:rsid w:val="002C231C"/>
    <w:rsid w:val="002C2D9B"/>
    <w:rsid w:val="002C30C2"/>
    <w:rsid w:val="002C3188"/>
    <w:rsid w:val="002C325C"/>
    <w:rsid w:val="002C327F"/>
    <w:rsid w:val="002C59C2"/>
    <w:rsid w:val="002C5C6E"/>
    <w:rsid w:val="002C7714"/>
    <w:rsid w:val="002C7805"/>
    <w:rsid w:val="002D101A"/>
    <w:rsid w:val="002D19D7"/>
    <w:rsid w:val="002D2284"/>
    <w:rsid w:val="002D4DDA"/>
    <w:rsid w:val="002D7136"/>
    <w:rsid w:val="002D7360"/>
    <w:rsid w:val="002E183C"/>
    <w:rsid w:val="002E2755"/>
    <w:rsid w:val="002E6288"/>
    <w:rsid w:val="002E63A0"/>
    <w:rsid w:val="002E6BC4"/>
    <w:rsid w:val="002E7079"/>
    <w:rsid w:val="002E7CE5"/>
    <w:rsid w:val="002F016B"/>
    <w:rsid w:val="002F4D43"/>
    <w:rsid w:val="002F5B04"/>
    <w:rsid w:val="002F6023"/>
    <w:rsid w:val="002F6433"/>
    <w:rsid w:val="002F6FE9"/>
    <w:rsid w:val="002F7CB0"/>
    <w:rsid w:val="0030053B"/>
    <w:rsid w:val="00300E13"/>
    <w:rsid w:val="003031FD"/>
    <w:rsid w:val="00303434"/>
    <w:rsid w:val="00305988"/>
    <w:rsid w:val="0030658D"/>
    <w:rsid w:val="00306944"/>
    <w:rsid w:val="0031008F"/>
    <w:rsid w:val="003116F4"/>
    <w:rsid w:val="00311B2D"/>
    <w:rsid w:val="00311D42"/>
    <w:rsid w:val="00312F35"/>
    <w:rsid w:val="00313577"/>
    <w:rsid w:val="00313CDF"/>
    <w:rsid w:val="003141D1"/>
    <w:rsid w:val="0031573C"/>
    <w:rsid w:val="00316603"/>
    <w:rsid w:val="00316C3E"/>
    <w:rsid w:val="003172A2"/>
    <w:rsid w:val="00320344"/>
    <w:rsid w:val="0032093A"/>
    <w:rsid w:val="0032350E"/>
    <w:rsid w:val="00323CF9"/>
    <w:rsid w:val="0032436F"/>
    <w:rsid w:val="003255F1"/>
    <w:rsid w:val="00325C2B"/>
    <w:rsid w:val="00325D3B"/>
    <w:rsid w:val="003278F3"/>
    <w:rsid w:val="00327BFE"/>
    <w:rsid w:val="00331D77"/>
    <w:rsid w:val="00332547"/>
    <w:rsid w:val="00332943"/>
    <w:rsid w:val="00332C8D"/>
    <w:rsid w:val="00332F87"/>
    <w:rsid w:val="00333167"/>
    <w:rsid w:val="0033320D"/>
    <w:rsid w:val="0033409F"/>
    <w:rsid w:val="00334356"/>
    <w:rsid w:val="0033656C"/>
    <w:rsid w:val="00336887"/>
    <w:rsid w:val="00336962"/>
    <w:rsid w:val="003372FD"/>
    <w:rsid w:val="00337498"/>
    <w:rsid w:val="00337600"/>
    <w:rsid w:val="0033762E"/>
    <w:rsid w:val="0034231B"/>
    <w:rsid w:val="00342EC9"/>
    <w:rsid w:val="003474D8"/>
    <w:rsid w:val="00350884"/>
    <w:rsid w:val="00351555"/>
    <w:rsid w:val="00351A6D"/>
    <w:rsid w:val="00353027"/>
    <w:rsid w:val="0035519B"/>
    <w:rsid w:val="0035609C"/>
    <w:rsid w:val="003563AA"/>
    <w:rsid w:val="0035668D"/>
    <w:rsid w:val="00356C6C"/>
    <w:rsid w:val="003572B7"/>
    <w:rsid w:val="00357D72"/>
    <w:rsid w:val="00357F1A"/>
    <w:rsid w:val="003610BB"/>
    <w:rsid w:val="00362192"/>
    <w:rsid w:val="003622EF"/>
    <w:rsid w:val="0036342E"/>
    <w:rsid w:val="00363A09"/>
    <w:rsid w:val="00365E21"/>
    <w:rsid w:val="0036719E"/>
    <w:rsid w:val="0036738D"/>
    <w:rsid w:val="0036769A"/>
    <w:rsid w:val="00367751"/>
    <w:rsid w:val="00370700"/>
    <w:rsid w:val="00370C2D"/>
    <w:rsid w:val="0037120F"/>
    <w:rsid w:val="00371277"/>
    <w:rsid w:val="003715F5"/>
    <w:rsid w:val="003725FF"/>
    <w:rsid w:val="003743CD"/>
    <w:rsid w:val="003765A9"/>
    <w:rsid w:val="00381696"/>
    <w:rsid w:val="00381E85"/>
    <w:rsid w:val="003842A7"/>
    <w:rsid w:val="00386C84"/>
    <w:rsid w:val="00386DB7"/>
    <w:rsid w:val="00387714"/>
    <w:rsid w:val="00390C41"/>
    <w:rsid w:val="00391A09"/>
    <w:rsid w:val="00392D3E"/>
    <w:rsid w:val="00396235"/>
    <w:rsid w:val="00396A27"/>
    <w:rsid w:val="00396FCD"/>
    <w:rsid w:val="0039702E"/>
    <w:rsid w:val="003A0D2B"/>
    <w:rsid w:val="003A1ED8"/>
    <w:rsid w:val="003A26B9"/>
    <w:rsid w:val="003A3D9D"/>
    <w:rsid w:val="003A4478"/>
    <w:rsid w:val="003A49EB"/>
    <w:rsid w:val="003A56AB"/>
    <w:rsid w:val="003B5063"/>
    <w:rsid w:val="003B5BE4"/>
    <w:rsid w:val="003B6B62"/>
    <w:rsid w:val="003B7090"/>
    <w:rsid w:val="003C0ADE"/>
    <w:rsid w:val="003C33D6"/>
    <w:rsid w:val="003C3473"/>
    <w:rsid w:val="003C3599"/>
    <w:rsid w:val="003C3C04"/>
    <w:rsid w:val="003C3C6E"/>
    <w:rsid w:val="003C4B54"/>
    <w:rsid w:val="003C523B"/>
    <w:rsid w:val="003C551B"/>
    <w:rsid w:val="003C68D3"/>
    <w:rsid w:val="003C740E"/>
    <w:rsid w:val="003C79DF"/>
    <w:rsid w:val="003D2C85"/>
    <w:rsid w:val="003D317D"/>
    <w:rsid w:val="003D5713"/>
    <w:rsid w:val="003D6966"/>
    <w:rsid w:val="003E078A"/>
    <w:rsid w:val="003E0D08"/>
    <w:rsid w:val="003E1A22"/>
    <w:rsid w:val="003E1F71"/>
    <w:rsid w:val="003E2006"/>
    <w:rsid w:val="003E319C"/>
    <w:rsid w:val="003E34E5"/>
    <w:rsid w:val="003E50C9"/>
    <w:rsid w:val="003E59AA"/>
    <w:rsid w:val="003E6AA1"/>
    <w:rsid w:val="003F00E1"/>
    <w:rsid w:val="003F091B"/>
    <w:rsid w:val="003F0C84"/>
    <w:rsid w:val="003F1157"/>
    <w:rsid w:val="003F1C44"/>
    <w:rsid w:val="003F3BFD"/>
    <w:rsid w:val="003F401F"/>
    <w:rsid w:val="003F4AAD"/>
    <w:rsid w:val="003F5139"/>
    <w:rsid w:val="003F5848"/>
    <w:rsid w:val="0040034E"/>
    <w:rsid w:val="00400394"/>
    <w:rsid w:val="00400D53"/>
    <w:rsid w:val="00403BBE"/>
    <w:rsid w:val="00404439"/>
    <w:rsid w:val="00405921"/>
    <w:rsid w:val="00406786"/>
    <w:rsid w:val="00410A97"/>
    <w:rsid w:val="004127E4"/>
    <w:rsid w:val="004133C1"/>
    <w:rsid w:val="0041373E"/>
    <w:rsid w:val="00413D6B"/>
    <w:rsid w:val="00414DD1"/>
    <w:rsid w:val="004150A9"/>
    <w:rsid w:val="00417852"/>
    <w:rsid w:val="00417DFE"/>
    <w:rsid w:val="00423A1B"/>
    <w:rsid w:val="00427839"/>
    <w:rsid w:val="004278FB"/>
    <w:rsid w:val="00427F63"/>
    <w:rsid w:val="00430C10"/>
    <w:rsid w:val="004316CC"/>
    <w:rsid w:val="0043290A"/>
    <w:rsid w:val="00432EE1"/>
    <w:rsid w:val="00434670"/>
    <w:rsid w:val="0043523D"/>
    <w:rsid w:val="0043595B"/>
    <w:rsid w:val="0043690B"/>
    <w:rsid w:val="00441407"/>
    <w:rsid w:val="0044250E"/>
    <w:rsid w:val="00443730"/>
    <w:rsid w:val="0044588E"/>
    <w:rsid w:val="00446190"/>
    <w:rsid w:val="00446B96"/>
    <w:rsid w:val="00446E5F"/>
    <w:rsid w:val="00447B4C"/>
    <w:rsid w:val="00452745"/>
    <w:rsid w:val="004530F7"/>
    <w:rsid w:val="00457A18"/>
    <w:rsid w:val="00460FAD"/>
    <w:rsid w:val="00462891"/>
    <w:rsid w:val="0046363E"/>
    <w:rsid w:val="00464618"/>
    <w:rsid w:val="0046530F"/>
    <w:rsid w:val="00466967"/>
    <w:rsid w:val="00472028"/>
    <w:rsid w:val="0047246F"/>
    <w:rsid w:val="004745F4"/>
    <w:rsid w:val="00476AE3"/>
    <w:rsid w:val="00477CF0"/>
    <w:rsid w:val="004810C9"/>
    <w:rsid w:val="004845FF"/>
    <w:rsid w:val="004849D1"/>
    <w:rsid w:val="004857D2"/>
    <w:rsid w:val="004858AD"/>
    <w:rsid w:val="00485A6F"/>
    <w:rsid w:val="00486DA0"/>
    <w:rsid w:val="0048747A"/>
    <w:rsid w:val="00487D46"/>
    <w:rsid w:val="00490C09"/>
    <w:rsid w:val="00490C6A"/>
    <w:rsid w:val="004910D5"/>
    <w:rsid w:val="004920B1"/>
    <w:rsid w:val="004921E5"/>
    <w:rsid w:val="004925E0"/>
    <w:rsid w:val="00492D46"/>
    <w:rsid w:val="004950BF"/>
    <w:rsid w:val="004950CD"/>
    <w:rsid w:val="004966A0"/>
    <w:rsid w:val="0049766A"/>
    <w:rsid w:val="004A1B23"/>
    <w:rsid w:val="004A4D35"/>
    <w:rsid w:val="004A7337"/>
    <w:rsid w:val="004A7808"/>
    <w:rsid w:val="004A7B7B"/>
    <w:rsid w:val="004B0408"/>
    <w:rsid w:val="004B095D"/>
    <w:rsid w:val="004B2F67"/>
    <w:rsid w:val="004B3DA2"/>
    <w:rsid w:val="004B447B"/>
    <w:rsid w:val="004B458C"/>
    <w:rsid w:val="004B518A"/>
    <w:rsid w:val="004B592D"/>
    <w:rsid w:val="004B622E"/>
    <w:rsid w:val="004B665B"/>
    <w:rsid w:val="004B6724"/>
    <w:rsid w:val="004B6CDC"/>
    <w:rsid w:val="004C00AB"/>
    <w:rsid w:val="004C0661"/>
    <w:rsid w:val="004C2C06"/>
    <w:rsid w:val="004C468A"/>
    <w:rsid w:val="004C55BC"/>
    <w:rsid w:val="004C7B32"/>
    <w:rsid w:val="004D0C64"/>
    <w:rsid w:val="004D2BB9"/>
    <w:rsid w:val="004D3B65"/>
    <w:rsid w:val="004D5B1C"/>
    <w:rsid w:val="004D661B"/>
    <w:rsid w:val="004D7126"/>
    <w:rsid w:val="004D76B6"/>
    <w:rsid w:val="004D7C7D"/>
    <w:rsid w:val="004E301F"/>
    <w:rsid w:val="004E5291"/>
    <w:rsid w:val="004E58D9"/>
    <w:rsid w:val="004E5DFC"/>
    <w:rsid w:val="004E7CF0"/>
    <w:rsid w:val="004F05F5"/>
    <w:rsid w:val="004F2124"/>
    <w:rsid w:val="004F5D45"/>
    <w:rsid w:val="004F6B11"/>
    <w:rsid w:val="00500B2D"/>
    <w:rsid w:val="00500D68"/>
    <w:rsid w:val="00501FE9"/>
    <w:rsid w:val="005025CA"/>
    <w:rsid w:val="005026E2"/>
    <w:rsid w:val="005027B8"/>
    <w:rsid w:val="00502E04"/>
    <w:rsid w:val="00503CEE"/>
    <w:rsid w:val="0050491E"/>
    <w:rsid w:val="00505395"/>
    <w:rsid w:val="005068D7"/>
    <w:rsid w:val="00507EEC"/>
    <w:rsid w:val="005101FF"/>
    <w:rsid w:val="0051142B"/>
    <w:rsid w:val="005114A8"/>
    <w:rsid w:val="00512029"/>
    <w:rsid w:val="00513021"/>
    <w:rsid w:val="00513BEA"/>
    <w:rsid w:val="005160BA"/>
    <w:rsid w:val="00516EBF"/>
    <w:rsid w:val="00517406"/>
    <w:rsid w:val="005207B6"/>
    <w:rsid w:val="00521D0F"/>
    <w:rsid w:val="005221CF"/>
    <w:rsid w:val="00522362"/>
    <w:rsid w:val="005227AC"/>
    <w:rsid w:val="00524675"/>
    <w:rsid w:val="00524A6D"/>
    <w:rsid w:val="00524FE4"/>
    <w:rsid w:val="0052553D"/>
    <w:rsid w:val="00525558"/>
    <w:rsid w:val="00525C94"/>
    <w:rsid w:val="00526A95"/>
    <w:rsid w:val="005300CC"/>
    <w:rsid w:val="005306AF"/>
    <w:rsid w:val="00530A32"/>
    <w:rsid w:val="005313BE"/>
    <w:rsid w:val="005315A5"/>
    <w:rsid w:val="0053226A"/>
    <w:rsid w:val="00534765"/>
    <w:rsid w:val="005348A7"/>
    <w:rsid w:val="00535E25"/>
    <w:rsid w:val="00536F1E"/>
    <w:rsid w:val="00537151"/>
    <w:rsid w:val="00537A20"/>
    <w:rsid w:val="005419B6"/>
    <w:rsid w:val="00542113"/>
    <w:rsid w:val="00543640"/>
    <w:rsid w:val="00543D67"/>
    <w:rsid w:val="005442F3"/>
    <w:rsid w:val="005443C2"/>
    <w:rsid w:val="005447A6"/>
    <w:rsid w:val="0054492D"/>
    <w:rsid w:val="00545C75"/>
    <w:rsid w:val="00546F49"/>
    <w:rsid w:val="00550AB0"/>
    <w:rsid w:val="00550EEB"/>
    <w:rsid w:val="00550F6D"/>
    <w:rsid w:val="005516EB"/>
    <w:rsid w:val="00551D65"/>
    <w:rsid w:val="005558D0"/>
    <w:rsid w:val="00560011"/>
    <w:rsid w:val="00562762"/>
    <w:rsid w:val="005629B9"/>
    <w:rsid w:val="00563E20"/>
    <w:rsid w:val="005645F8"/>
    <w:rsid w:val="00565B61"/>
    <w:rsid w:val="00566E55"/>
    <w:rsid w:val="00566F9E"/>
    <w:rsid w:val="0056771C"/>
    <w:rsid w:val="00570C6C"/>
    <w:rsid w:val="00571793"/>
    <w:rsid w:val="00572D1F"/>
    <w:rsid w:val="00573593"/>
    <w:rsid w:val="00573776"/>
    <w:rsid w:val="00575C99"/>
    <w:rsid w:val="00576887"/>
    <w:rsid w:val="005777BA"/>
    <w:rsid w:val="00577A77"/>
    <w:rsid w:val="00577E6A"/>
    <w:rsid w:val="00580CB2"/>
    <w:rsid w:val="0058110A"/>
    <w:rsid w:val="0058147B"/>
    <w:rsid w:val="00583C1B"/>
    <w:rsid w:val="00584DA3"/>
    <w:rsid w:val="00585819"/>
    <w:rsid w:val="0058693F"/>
    <w:rsid w:val="0058785B"/>
    <w:rsid w:val="00587C87"/>
    <w:rsid w:val="005906F2"/>
    <w:rsid w:val="005924FB"/>
    <w:rsid w:val="005960D3"/>
    <w:rsid w:val="005967F9"/>
    <w:rsid w:val="005973D4"/>
    <w:rsid w:val="005A3021"/>
    <w:rsid w:val="005A3C10"/>
    <w:rsid w:val="005A4580"/>
    <w:rsid w:val="005A4ECD"/>
    <w:rsid w:val="005A504B"/>
    <w:rsid w:val="005A726E"/>
    <w:rsid w:val="005A7A6F"/>
    <w:rsid w:val="005A7CA8"/>
    <w:rsid w:val="005B0569"/>
    <w:rsid w:val="005B0702"/>
    <w:rsid w:val="005B0E34"/>
    <w:rsid w:val="005B1162"/>
    <w:rsid w:val="005B15F3"/>
    <w:rsid w:val="005B16A8"/>
    <w:rsid w:val="005B2DB9"/>
    <w:rsid w:val="005B30E5"/>
    <w:rsid w:val="005B4233"/>
    <w:rsid w:val="005B61A6"/>
    <w:rsid w:val="005B7001"/>
    <w:rsid w:val="005B7613"/>
    <w:rsid w:val="005C0C73"/>
    <w:rsid w:val="005C1929"/>
    <w:rsid w:val="005C36E5"/>
    <w:rsid w:val="005C4DB4"/>
    <w:rsid w:val="005C5A1D"/>
    <w:rsid w:val="005C5A90"/>
    <w:rsid w:val="005C5E6B"/>
    <w:rsid w:val="005C6321"/>
    <w:rsid w:val="005C6ED4"/>
    <w:rsid w:val="005D033B"/>
    <w:rsid w:val="005D6900"/>
    <w:rsid w:val="005D760A"/>
    <w:rsid w:val="005D7C86"/>
    <w:rsid w:val="005E042D"/>
    <w:rsid w:val="005E1067"/>
    <w:rsid w:val="005E2D65"/>
    <w:rsid w:val="005E384F"/>
    <w:rsid w:val="005E3C03"/>
    <w:rsid w:val="005E53F6"/>
    <w:rsid w:val="005E5764"/>
    <w:rsid w:val="005E5D5B"/>
    <w:rsid w:val="005E652F"/>
    <w:rsid w:val="005F035C"/>
    <w:rsid w:val="005F2300"/>
    <w:rsid w:val="005F3655"/>
    <w:rsid w:val="005F4443"/>
    <w:rsid w:val="005F78BC"/>
    <w:rsid w:val="005F7A10"/>
    <w:rsid w:val="006012BF"/>
    <w:rsid w:val="00603A0E"/>
    <w:rsid w:val="00604A8F"/>
    <w:rsid w:val="0060744D"/>
    <w:rsid w:val="006102BB"/>
    <w:rsid w:val="00610AFC"/>
    <w:rsid w:val="006111FF"/>
    <w:rsid w:val="0061186A"/>
    <w:rsid w:val="00617113"/>
    <w:rsid w:val="00617B4C"/>
    <w:rsid w:val="006210A3"/>
    <w:rsid w:val="0062169E"/>
    <w:rsid w:val="00621CF1"/>
    <w:rsid w:val="006239EF"/>
    <w:rsid w:val="00623B22"/>
    <w:rsid w:val="00623FD7"/>
    <w:rsid w:val="00627083"/>
    <w:rsid w:val="0062787C"/>
    <w:rsid w:val="00627E94"/>
    <w:rsid w:val="0063028D"/>
    <w:rsid w:val="00630837"/>
    <w:rsid w:val="00630E3B"/>
    <w:rsid w:val="00631554"/>
    <w:rsid w:val="006346DA"/>
    <w:rsid w:val="00634F1F"/>
    <w:rsid w:val="006365AD"/>
    <w:rsid w:val="006372D6"/>
    <w:rsid w:val="00637363"/>
    <w:rsid w:val="006373BC"/>
    <w:rsid w:val="00637A6B"/>
    <w:rsid w:val="00640B82"/>
    <w:rsid w:val="00641069"/>
    <w:rsid w:val="00641215"/>
    <w:rsid w:val="0064139E"/>
    <w:rsid w:val="00641467"/>
    <w:rsid w:val="00641C72"/>
    <w:rsid w:val="00641DDD"/>
    <w:rsid w:val="00643211"/>
    <w:rsid w:val="00643F6E"/>
    <w:rsid w:val="0064413F"/>
    <w:rsid w:val="006448AC"/>
    <w:rsid w:val="006458CE"/>
    <w:rsid w:val="006459BA"/>
    <w:rsid w:val="006466F8"/>
    <w:rsid w:val="006507F2"/>
    <w:rsid w:val="006546FF"/>
    <w:rsid w:val="00655126"/>
    <w:rsid w:val="0065558B"/>
    <w:rsid w:val="0065669B"/>
    <w:rsid w:val="006607A1"/>
    <w:rsid w:val="00661114"/>
    <w:rsid w:val="00661783"/>
    <w:rsid w:val="00662C56"/>
    <w:rsid w:val="006639B6"/>
    <w:rsid w:val="0066483B"/>
    <w:rsid w:val="00664A96"/>
    <w:rsid w:val="00665890"/>
    <w:rsid w:val="00666EB1"/>
    <w:rsid w:val="00672029"/>
    <w:rsid w:val="006730BE"/>
    <w:rsid w:val="00675D07"/>
    <w:rsid w:val="0067682C"/>
    <w:rsid w:val="0067723B"/>
    <w:rsid w:val="00680F04"/>
    <w:rsid w:val="0068139A"/>
    <w:rsid w:val="00682A51"/>
    <w:rsid w:val="00683CBC"/>
    <w:rsid w:val="00684EF9"/>
    <w:rsid w:val="00686260"/>
    <w:rsid w:val="0068649A"/>
    <w:rsid w:val="006867DE"/>
    <w:rsid w:val="00690EFB"/>
    <w:rsid w:val="00691DC3"/>
    <w:rsid w:val="00692232"/>
    <w:rsid w:val="0069342F"/>
    <w:rsid w:val="00695AD8"/>
    <w:rsid w:val="0069677E"/>
    <w:rsid w:val="00697F14"/>
    <w:rsid w:val="006A2FF5"/>
    <w:rsid w:val="006A3796"/>
    <w:rsid w:val="006A3D9D"/>
    <w:rsid w:val="006A56AE"/>
    <w:rsid w:val="006A73D6"/>
    <w:rsid w:val="006A7DDB"/>
    <w:rsid w:val="006B122F"/>
    <w:rsid w:val="006B38A1"/>
    <w:rsid w:val="006B3EBA"/>
    <w:rsid w:val="006B4C7A"/>
    <w:rsid w:val="006B5454"/>
    <w:rsid w:val="006B5ECE"/>
    <w:rsid w:val="006B63BD"/>
    <w:rsid w:val="006C0646"/>
    <w:rsid w:val="006C0D23"/>
    <w:rsid w:val="006C1C06"/>
    <w:rsid w:val="006C2B52"/>
    <w:rsid w:val="006C35C5"/>
    <w:rsid w:val="006C36AB"/>
    <w:rsid w:val="006C3B67"/>
    <w:rsid w:val="006C4296"/>
    <w:rsid w:val="006D040C"/>
    <w:rsid w:val="006D07E8"/>
    <w:rsid w:val="006D083F"/>
    <w:rsid w:val="006D1575"/>
    <w:rsid w:val="006D2243"/>
    <w:rsid w:val="006D3793"/>
    <w:rsid w:val="006D3EA6"/>
    <w:rsid w:val="006D63B2"/>
    <w:rsid w:val="006E2CCB"/>
    <w:rsid w:val="006E3F3B"/>
    <w:rsid w:val="006E6D33"/>
    <w:rsid w:val="006E6F0F"/>
    <w:rsid w:val="006E71CF"/>
    <w:rsid w:val="006E77DC"/>
    <w:rsid w:val="006E7A6A"/>
    <w:rsid w:val="006F2EE2"/>
    <w:rsid w:val="006F4741"/>
    <w:rsid w:val="006F52BB"/>
    <w:rsid w:val="006F7333"/>
    <w:rsid w:val="007003A3"/>
    <w:rsid w:val="007005C7"/>
    <w:rsid w:val="00703603"/>
    <w:rsid w:val="00704F3A"/>
    <w:rsid w:val="0070565A"/>
    <w:rsid w:val="007056C0"/>
    <w:rsid w:val="00706CFD"/>
    <w:rsid w:val="00706D74"/>
    <w:rsid w:val="0071033E"/>
    <w:rsid w:val="00710CC1"/>
    <w:rsid w:val="007129EC"/>
    <w:rsid w:val="00712C59"/>
    <w:rsid w:val="007136E6"/>
    <w:rsid w:val="007156E0"/>
    <w:rsid w:val="00716093"/>
    <w:rsid w:val="007167CD"/>
    <w:rsid w:val="00717087"/>
    <w:rsid w:val="0071765A"/>
    <w:rsid w:val="0072011F"/>
    <w:rsid w:val="00721DCC"/>
    <w:rsid w:val="00724B9E"/>
    <w:rsid w:val="00725312"/>
    <w:rsid w:val="007266BC"/>
    <w:rsid w:val="007268EE"/>
    <w:rsid w:val="00727C9B"/>
    <w:rsid w:val="00727CDD"/>
    <w:rsid w:val="00730053"/>
    <w:rsid w:val="00730433"/>
    <w:rsid w:val="007314F9"/>
    <w:rsid w:val="00731B71"/>
    <w:rsid w:val="00731DCE"/>
    <w:rsid w:val="007352DD"/>
    <w:rsid w:val="00737C75"/>
    <w:rsid w:val="0074743B"/>
    <w:rsid w:val="00747672"/>
    <w:rsid w:val="007479DB"/>
    <w:rsid w:val="00750E5E"/>
    <w:rsid w:val="00750F84"/>
    <w:rsid w:val="0075309F"/>
    <w:rsid w:val="007538CC"/>
    <w:rsid w:val="00756D5B"/>
    <w:rsid w:val="0076147A"/>
    <w:rsid w:val="00761787"/>
    <w:rsid w:val="00761FC1"/>
    <w:rsid w:val="00763A6D"/>
    <w:rsid w:val="00763D5F"/>
    <w:rsid w:val="007706AE"/>
    <w:rsid w:val="00771296"/>
    <w:rsid w:val="00773245"/>
    <w:rsid w:val="00773E8B"/>
    <w:rsid w:val="00775383"/>
    <w:rsid w:val="00775563"/>
    <w:rsid w:val="00777261"/>
    <w:rsid w:val="00777440"/>
    <w:rsid w:val="0078166D"/>
    <w:rsid w:val="007827E7"/>
    <w:rsid w:val="007828FE"/>
    <w:rsid w:val="0078400B"/>
    <w:rsid w:val="007841BB"/>
    <w:rsid w:val="0078471B"/>
    <w:rsid w:val="00784E48"/>
    <w:rsid w:val="007854B8"/>
    <w:rsid w:val="00790CFA"/>
    <w:rsid w:val="00790E04"/>
    <w:rsid w:val="0079138A"/>
    <w:rsid w:val="0079187F"/>
    <w:rsid w:val="007919BB"/>
    <w:rsid w:val="0079363D"/>
    <w:rsid w:val="007958BF"/>
    <w:rsid w:val="00796DDD"/>
    <w:rsid w:val="00797ECC"/>
    <w:rsid w:val="007A05DF"/>
    <w:rsid w:val="007A0D11"/>
    <w:rsid w:val="007A1144"/>
    <w:rsid w:val="007A141D"/>
    <w:rsid w:val="007A26CE"/>
    <w:rsid w:val="007A2A19"/>
    <w:rsid w:val="007A2B22"/>
    <w:rsid w:val="007A3324"/>
    <w:rsid w:val="007A3381"/>
    <w:rsid w:val="007A357A"/>
    <w:rsid w:val="007A6DBA"/>
    <w:rsid w:val="007A76A7"/>
    <w:rsid w:val="007A77E5"/>
    <w:rsid w:val="007B0EEA"/>
    <w:rsid w:val="007B1ADF"/>
    <w:rsid w:val="007B2220"/>
    <w:rsid w:val="007B2369"/>
    <w:rsid w:val="007B337B"/>
    <w:rsid w:val="007B55DB"/>
    <w:rsid w:val="007B60BA"/>
    <w:rsid w:val="007B64BE"/>
    <w:rsid w:val="007B69E1"/>
    <w:rsid w:val="007C008C"/>
    <w:rsid w:val="007C08A3"/>
    <w:rsid w:val="007C1638"/>
    <w:rsid w:val="007C1BBD"/>
    <w:rsid w:val="007C1CE3"/>
    <w:rsid w:val="007C401A"/>
    <w:rsid w:val="007C75EA"/>
    <w:rsid w:val="007C7A06"/>
    <w:rsid w:val="007C7C27"/>
    <w:rsid w:val="007D061E"/>
    <w:rsid w:val="007D0A9E"/>
    <w:rsid w:val="007D0D75"/>
    <w:rsid w:val="007D0F05"/>
    <w:rsid w:val="007D31E9"/>
    <w:rsid w:val="007D340F"/>
    <w:rsid w:val="007D452F"/>
    <w:rsid w:val="007D4971"/>
    <w:rsid w:val="007D5839"/>
    <w:rsid w:val="007D5886"/>
    <w:rsid w:val="007D76B1"/>
    <w:rsid w:val="007D77FE"/>
    <w:rsid w:val="007E0AD0"/>
    <w:rsid w:val="007E1596"/>
    <w:rsid w:val="007E1708"/>
    <w:rsid w:val="007E182C"/>
    <w:rsid w:val="007E20F4"/>
    <w:rsid w:val="007E2780"/>
    <w:rsid w:val="007E2DC3"/>
    <w:rsid w:val="007E4FDD"/>
    <w:rsid w:val="007F1008"/>
    <w:rsid w:val="007F15B3"/>
    <w:rsid w:val="007F2D0D"/>
    <w:rsid w:val="007F4C6A"/>
    <w:rsid w:val="007F5422"/>
    <w:rsid w:val="007F5826"/>
    <w:rsid w:val="007F61C4"/>
    <w:rsid w:val="008016D2"/>
    <w:rsid w:val="00801C92"/>
    <w:rsid w:val="00803370"/>
    <w:rsid w:val="008057C7"/>
    <w:rsid w:val="00805FA6"/>
    <w:rsid w:val="008064A4"/>
    <w:rsid w:val="00806D81"/>
    <w:rsid w:val="00806E5F"/>
    <w:rsid w:val="008107A5"/>
    <w:rsid w:val="008130B7"/>
    <w:rsid w:val="00813BE6"/>
    <w:rsid w:val="00813FB4"/>
    <w:rsid w:val="008145BE"/>
    <w:rsid w:val="00814F28"/>
    <w:rsid w:val="00815E7D"/>
    <w:rsid w:val="008172D6"/>
    <w:rsid w:val="008175AD"/>
    <w:rsid w:val="00823884"/>
    <w:rsid w:val="008242FB"/>
    <w:rsid w:val="008316F9"/>
    <w:rsid w:val="008319E9"/>
    <w:rsid w:val="0083364D"/>
    <w:rsid w:val="00834F52"/>
    <w:rsid w:val="00836F5E"/>
    <w:rsid w:val="008379A7"/>
    <w:rsid w:val="00840913"/>
    <w:rsid w:val="00840E01"/>
    <w:rsid w:val="00841193"/>
    <w:rsid w:val="00841F6F"/>
    <w:rsid w:val="00842704"/>
    <w:rsid w:val="00842728"/>
    <w:rsid w:val="00843462"/>
    <w:rsid w:val="0084401D"/>
    <w:rsid w:val="00844982"/>
    <w:rsid w:val="00844EDD"/>
    <w:rsid w:val="00846856"/>
    <w:rsid w:val="00846C35"/>
    <w:rsid w:val="00850284"/>
    <w:rsid w:val="008504C9"/>
    <w:rsid w:val="008509DA"/>
    <w:rsid w:val="00853345"/>
    <w:rsid w:val="0085370A"/>
    <w:rsid w:val="0085505D"/>
    <w:rsid w:val="00856DDD"/>
    <w:rsid w:val="008570E8"/>
    <w:rsid w:val="00857AEA"/>
    <w:rsid w:val="00860299"/>
    <w:rsid w:val="00862405"/>
    <w:rsid w:val="00863620"/>
    <w:rsid w:val="00864261"/>
    <w:rsid w:val="00864262"/>
    <w:rsid w:val="0086667B"/>
    <w:rsid w:val="00867D21"/>
    <w:rsid w:val="00870867"/>
    <w:rsid w:val="008718DF"/>
    <w:rsid w:val="008724FB"/>
    <w:rsid w:val="008727AE"/>
    <w:rsid w:val="00872B97"/>
    <w:rsid w:val="00872D4B"/>
    <w:rsid w:val="00872E93"/>
    <w:rsid w:val="0087366F"/>
    <w:rsid w:val="008746FD"/>
    <w:rsid w:val="008749C2"/>
    <w:rsid w:val="00876197"/>
    <w:rsid w:val="00877A19"/>
    <w:rsid w:val="0088315D"/>
    <w:rsid w:val="00883AD4"/>
    <w:rsid w:val="00884FAD"/>
    <w:rsid w:val="00885A25"/>
    <w:rsid w:val="00885D7F"/>
    <w:rsid w:val="00886102"/>
    <w:rsid w:val="00886BB5"/>
    <w:rsid w:val="0088720B"/>
    <w:rsid w:val="00887E15"/>
    <w:rsid w:val="008911B3"/>
    <w:rsid w:val="0089183D"/>
    <w:rsid w:val="00892347"/>
    <w:rsid w:val="008933A0"/>
    <w:rsid w:val="00894BD1"/>
    <w:rsid w:val="00894DE1"/>
    <w:rsid w:val="0089799B"/>
    <w:rsid w:val="00897BF1"/>
    <w:rsid w:val="008A1663"/>
    <w:rsid w:val="008A230F"/>
    <w:rsid w:val="008A2ABC"/>
    <w:rsid w:val="008A44C0"/>
    <w:rsid w:val="008A5D5A"/>
    <w:rsid w:val="008A67DA"/>
    <w:rsid w:val="008A6A12"/>
    <w:rsid w:val="008A6A1B"/>
    <w:rsid w:val="008A75FD"/>
    <w:rsid w:val="008A783B"/>
    <w:rsid w:val="008B0844"/>
    <w:rsid w:val="008B3110"/>
    <w:rsid w:val="008B4C17"/>
    <w:rsid w:val="008C041C"/>
    <w:rsid w:val="008C173A"/>
    <w:rsid w:val="008C1F9C"/>
    <w:rsid w:val="008C2C81"/>
    <w:rsid w:val="008C3D91"/>
    <w:rsid w:val="008C64DC"/>
    <w:rsid w:val="008C6F21"/>
    <w:rsid w:val="008C6F68"/>
    <w:rsid w:val="008C7B1D"/>
    <w:rsid w:val="008D07B5"/>
    <w:rsid w:val="008D12CD"/>
    <w:rsid w:val="008D2D3C"/>
    <w:rsid w:val="008D39A8"/>
    <w:rsid w:val="008E05A3"/>
    <w:rsid w:val="008E1D64"/>
    <w:rsid w:val="008E214A"/>
    <w:rsid w:val="008E46F7"/>
    <w:rsid w:val="008E50E7"/>
    <w:rsid w:val="008E61E8"/>
    <w:rsid w:val="008E6EDF"/>
    <w:rsid w:val="008F00AA"/>
    <w:rsid w:val="008F08FF"/>
    <w:rsid w:val="008F19A9"/>
    <w:rsid w:val="008F262F"/>
    <w:rsid w:val="008F2C43"/>
    <w:rsid w:val="008F32A8"/>
    <w:rsid w:val="008F4000"/>
    <w:rsid w:val="008F43CC"/>
    <w:rsid w:val="008F54E1"/>
    <w:rsid w:val="008F57E9"/>
    <w:rsid w:val="008F5B05"/>
    <w:rsid w:val="0090027B"/>
    <w:rsid w:val="0090069E"/>
    <w:rsid w:val="00900F69"/>
    <w:rsid w:val="00900F90"/>
    <w:rsid w:val="009028CC"/>
    <w:rsid w:val="00903A14"/>
    <w:rsid w:val="00903EDF"/>
    <w:rsid w:val="009043F4"/>
    <w:rsid w:val="009052ED"/>
    <w:rsid w:val="00906BA5"/>
    <w:rsid w:val="00911743"/>
    <w:rsid w:val="00911BA8"/>
    <w:rsid w:val="00913177"/>
    <w:rsid w:val="00914570"/>
    <w:rsid w:val="00914CD7"/>
    <w:rsid w:val="00915113"/>
    <w:rsid w:val="00915937"/>
    <w:rsid w:val="00916910"/>
    <w:rsid w:val="00920A6E"/>
    <w:rsid w:val="00921276"/>
    <w:rsid w:val="00921F1B"/>
    <w:rsid w:val="00923281"/>
    <w:rsid w:val="009252F1"/>
    <w:rsid w:val="009258E4"/>
    <w:rsid w:val="0092619D"/>
    <w:rsid w:val="009266A8"/>
    <w:rsid w:val="0092763A"/>
    <w:rsid w:val="00930182"/>
    <w:rsid w:val="00933A52"/>
    <w:rsid w:val="00934069"/>
    <w:rsid w:val="00934C7F"/>
    <w:rsid w:val="00934D62"/>
    <w:rsid w:val="00935284"/>
    <w:rsid w:val="00935A4F"/>
    <w:rsid w:val="00936413"/>
    <w:rsid w:val="0093780A"/>
    <w:rsid w:val="00940097"/>
    <w:rsid w:val="009405E2"/>
    <w:rsid w:val="00941107"/>
    <w:rsid w:val="0094239F"/>
    <w:rsid w:val="009428C7"/>
    <w:rsid w:val="009447EF"/>
    <w:rsid w:val="0094726E"/>
    <w:rsid w:val="009476AC"/>
    <w:rsid w:val="0095248F"/>
    <w:rsid w:val="00952723"/>
    <w:rsid w:val="0095288F"/>
    <w:rsid w:val="00952B5F"/>
    <w:rsid w:val="009532ED"/>
    <w:rsid w:val="009554B5"/>
    <w:rsid w:val="00956501"/>
    <w:rsid w:val="00956FD1"/>
    <w:rsid w:val="00960A6B"/>
    <w:rsid w:val="0096198F"/>
    <w:rsid w:val="00963D61"/>
    <w:rsid w:val="00965BD4"/>
    <w:rsid w:val="009661D7"/>
    <w:rsid w:val="009665CF"/>
    <w:rsid w:val="00966E81"/>
    <w:rsid w:val="0096737B"/>
    <w:rsid w:val="00967459"/>
    <w:rsid w:val="0097099F"/>
    <w:rsid w:val="009709CC"/>
    <w:rsid w:val="009718C0"/>
    <w:rsid w:val="00971F7E"/>
    <w:rsid w:val="00974479"/>
    <w:rsid w:val="00974E56"/>
    <w:rsid w:val="00976CEE"/>
    <w:rsid w:val="00977F8B"/>
    <w:rsid w:val="00981A6B"/>
    <w:rsid w:val="009830F8"/>
    <w:rsid w:val="0098535B"/>
    <w:rsid w:val="009908B1"/>
    <w:rsid w:val="00991AD7"/>
    <w:rsid w:val="009938F9"/>
    <w:rsid w:val="009942A5"/>
    <w:rsid w:val="00994CBB"/>
    <w:rsid w:val="0099524C"/>
    <w:rsid w:val="00995258"/>
    <w:rsid w:val="009954AA"/>
    <w:rsid w:val="00995F44"/>
    <w:rsid w:val="0099659B"/>
    <w:rsid w:val="0099679C"/>
    <w:rsid w:val="00997D1F"/>
    <w:rsid w:val="009A0AD5"/>
    <w:rsid w:val="009A166E"/>
    <w:rsid w:val="009A25EF"/>
    <w:rsid w:val="009A4EAF"/>
    <w:rsid w:val="009A5844"/>
    <w:rsid w:val="009A5FF8"/>
    <w:rsid w:val="009A60A9"/>
    <w:rsid w:val="009A64E8"/>
    <w:rsid w:val="009A6ACE"/>
    <w:rsid w:val="009B039E"/>
    <w:rsid w:val="009B0466"/>
    <w:rsid w:val="009B0DD4"/>
    <w:rsid w:val="009B21AF"/>
    <w:rsid w:val="009B30E8"/>
    <w:rsid w:val="009B42BC"/>
    <w:rsid w:val="009B5606"/>
    <w:rsid w:val="009B63AC"/>
    <w:rsid w:val="009B70A4"/>
    <w:rsid w:val="009B75D0"/>
    <w:rsid w:val="009C08E7"/>
    <w:rsid w:val="009C1CD5"/>
    <w:rsid w:val="009C23E7"/>
    <w:rsid w:val="009C3050"/>
    <w:rsid w:val="009C3D83"/>
    <w:rsid w:val="009C3EE0"/>
    <w:rsid w:val="009C403D"/>
    <w:rsid w:val="009C4910"/>
    <w:rsid w:val="009C4EEF"/>
    <w:rsid w:val="009C6748"/>
    <w:rsid w:val="009C68BD"/>
    <w:rsid w:val="009C7812"/>
    <w:rsid w:val="009C79F7"/>
    <w:rsid w:val="009D0682"/>
    <w:rsid w:val="009D11ED"/>
    <w:rsid w:val="009D546F"/>
    <w:rsid w:val="009D56F5"/>
    <w:rsid w:val="009D7364"/>
    <w:rsid w:val="009E260C"/>
    <w:rsid w:val="009E268B"/>
    <w:rsid w:val="009E33C4"/>
    <w:rsid w:val="009E48D5"/>
    <w:rsid w:val="009E4B0B"/>
    <w:rsid w:val="009E5D17"/>
    <w:rsid w:val="009E63BE"/>
    <w:rsid w:val="009E6B04"/>
    <w:rsid w:val="009E72BE"/>
    <w:rsid w:val="009E7F42"/>
    <w:rsid w:val="009F04B9"/>
    <w:rsid w:val="009F1A40"/>
    <w:rsid w:val="009F2045"/>
    <w:rsid w:val="009F2999"/>
    <w:rsid w:val="009F3A04"/>
    <w:rsid w:val="009F5625"/>
    <w:rsid w:val="009F6D3F"/>
    <w:rsid w:val="00A00490"/>
    <w:rsid w:val="00A00650"/>
    <w:rsid w:val="00A012A5"/>
    <w:rsid w:val="00A01AAE"/>
    <w:rsid w:val="00A03D3C"/>
    <w:rsid w:val="00A053F4"/>
    <w:rsid w:val="00A11744"/>
    <w:rsid w:val="00A135BE"/>
    <w:rsid w:val="00A14643"/>
    <w:rsid w:val="00A14A9A"/>
    <w:rsid w:val="00A1633E"/>
    <w:rsid w:val="00A20C77"/>
    <w:rsid w:val="00A22782"/>
    <w:rsid w:val="00A2410D"/>
    <w:rsid w:val="00A31D3D"/>
    <w:rsid w:val="00A32B81"/>
    <w:rsid w:val="00A3549E"/>
    <w:rsid w:val="00A35C24"/>
    <w:rsid w:val="00A376AD"/>
    <w:rsid w:val="00A42931"/>
    <w:rsid w:val="00A43074"/>
    <w:rsid w:val="00A44857"/>
    <w:rsid w:val="00A4659F"/>
    <w:rsid w:val="00A4732F"/>
    <w:rsid w:val="00A473B2"/>
    <w:rsid w:val="00A5009C"/>
    <w:rsid w:val="00A504AA"/>
    <w:rsid w:val="00A52396"/>
    <w:rsid w:val="00A5331A"/>
    <w:rsid w:val="00A53593"/>
    <w:rsid w:val="00A54154"/>
    <w:rsid w:val="00A57B16"/>
    <w:rsid w:val="00A60AAB"/>
    <w:rsid w:val="00A62226"/>
    <w:rsid w:val="00A6464F"/>
    <w:rsid w:val="00A66D2B"/>
    <w:rsid w:val="00A71294"/>
    <w:rsid w:val="00A7182B"/>
    <w:rsid w:val="00A71A7D"/>
    <w:rsid w:val="00A74595"/>
    <w:rsid w:val="00A74CD8"/>
    <w:rsid w:val="00A76978"/>
    <w:rsid w:val="00A7784E"/>
    <w:rsid w:val="00A82C11"/>
    <w:rsid w:val="00A85984"/>
    <w:rsid w:val="00A85E16"/>
    <w:rsid w:val="00A90274"/>
    <w:rsid w:val="00A9151F"/>
    <w:rsid w:val="00A9161B"/>
    <w:rsid w:val="00A93D92"/>
    <w:rsid w:val="00A9431B"/>
    <w:rsid w:val="00A957EC"/>
    <w:rsid w:val="00A964BD"/>
    <w:rsid w:val="00A96C32"/>
    <w:rsid w:val="00AA022F"/>
    <w:rsid w:val="00AA2D9D"/>
    <w:rsid w:val="00AA455E"/>
    <w:rsid w:val="00AA4A60"/>
    <w:rsid w:val="00AB0488"/>
    <w:rsid w:val="00AB052B"/>
    <w:rsid w:val="00AB0980"/>
    <w:rsid w:val="00AB2166"/>
    <w:rsid w:val="00AB2756"/>
    <w:rsid w:val="00AB3727"/>
    <w:rsid w:val="00AB45C2"/>
    <w:rsid w:val="00AB76DB"/>
    <w:rsid w:val="00AC0F22"/>
    <w:rsid w:val="00AC282B"/>
    <w:rsid w:val="00AC3176"/>
    <w:rsid w:val="00AC3A36"/>
    <w:rsid w:val="00AD14B4"/>
    <w:rsid w:val="00AD1BF7"/>
    <w:rsid w:val="00AD2FDE"/>
    <w:rsid w:val="00AD3094"/>
    <w:rsid w:val="00AD35AF"/>
    <w:rsid w:val="00AD4C3D"/>
    <w:rsid w:val="00AD57B2"/>
    <w:rsid w:val="00AD5DB3"/>
    <w:rsid w:val="00AD600B"/>
    <w:rsid w:val="00AE0BE1"/>
    <w:rsid w:val="00AE1362"/>
    <w:rsid w:val="00AE211A"/>
    <w:rsid w:val="00AE282D"/>
    <w:rsid w:val="00AE2F4F"/>
    <w:rsid w:val="00AE3061"/>
    <w:rsid w:val="00AE5D42"/>
    <w:rsid w:val="00AE6567"/>
    <w:rsid w:val="00AE7005"/>
    <w:rsid w:val="00AE7292"/>
    <w:rsid w:val="00AF0E1A"/>
    <w:rsid w:val="00AF180C"/>
    <w:rsid w:val="00AF257C"/>
    <w:rsid w:val="00AF25EB"/>
    <w:rsid w:val="00AF362D"/>
    <w:rsid w:val="00AF38CB"/>
    <w:rsid w:val="00AF4E77"/>
    <w:rsid w:val="00AF4E92"/>
    <w:rsid w:val="00AF7328"/>
    <w:rsid w:val="00AF7507"/>
    <w:rsid w:val="00AF7695"/>
    <w:rsid w:val="00B00868"/>
    <w:rsid w:val="00B02D33"/>
    <w:rsid w:val="00B032B5"/>
    <w:rsid w:val="00B03C2D"/>
    <w:rsid w:val="00B04CE6"/>
    <w:rsid w:val="00B056AD"/>
    <w:rsid w:val="00B0594B"/>
    <w:rsid w:val="00B06ABD"/>
    <w:rsid w:val="00B077B1"/>
    <w:rsid w:val="00B10721"/>
    <w:rsid w:val="00B10AE6"/>
    <w:rsid w:val="00B10AEE"/>
    <w:rsid w:val="00B11FF5"/>
    <w:rsid w:val="00B12019"/>
    <w:rsid w:val="00B12CF5"/>
    <w:rsid w:val="00B1417C"/>
    <w:rsid w:val="00B16C62"/>
    <w:rsid w:val="00B1747C"/>
    <w:rsid w:val="00B17C5F"/>
    <w:rsid w:val="00B17E37"/>
    <w:rsid w:val="00B17F56"/>
    <w:rsid w:val="00B22158"/>
    <w:rsid w:val="00B226A7"/>
    <w:rsid w:val="00B22833"/>
    <w:rsid w:val="00B22C19"/>
    <w:rsid w:val="00B2445C"/>
    <w:rsid w:val="00B24763"/>
    <w:rsid w:val="00B2627E"/>
    <w:rsid w:val="00B263E5"/>
    <w:rsid w:val="00B30F61"/>
    <w:rsid w:val="00B31122"/>
    <w:rsid w:val="00B32081"/>
    <w:rsid w:val="00B32557"/>
    <w:rsid w:val="00B32A1E"/>
    <w:rsid w:val="00B3608A"/>
    <w:rsid w:val="00B36441"/>
    <w:rsid w:val="00B40004"/>
    <w:rsid w:val="00B40A3B"/>
    <w:rsid w:val="00B41826"/>
    <w:rsid w:val="00B41A61"/>
    <w:rsid w:val="00B42827"/>
    <w:rsid w:val="00B42BE8"/>
    <w:rsid w:val="00B4464C"/>
    <w:rsid w:val="00B452C7"/>
    <w:rsid w:val="00B4582D"/>
    <w:rsid w:val="00B463BD"/>
    <w:rsid w:val="00B471B2"/>
    <w:rsid w:val="00B54218"/>
    <w:rsid w:val="00B56052"/>
    <w:rsid w:val="00B611E2"/>
    <w:rsid w:val="00B618B2"/>
    <w:rsid w:val="00B64488"/>
    <w:rsid w:val="00B662B2"/>
    <w:rsid w:val="00B663EE"/>
    <w:rsid w:val="00B6763B"/>
    <w:rsid w:val="00B70BE0"/>
    <w:rsid w:val="00B71337"/>
    <w:rsid w:val="00B71406"/>
    <w:rsid w:val="00B71CB7"/>
    <w:rsid w:val="00B71F1E"/>
    <w:rsid w:val="00B71FB5"/>
    <w:rsid w:val="00B7203E"/>
    <w:rsid w:val="00B752E1"/>
    <w:rsid w:val="00B752E8"/>
    <w:rsid w:val="00B76E5E"/>
    <w:rsid w:val="00B770BD"/>
    <w:rsid w:val="00B77E17"/>
    <w:rsid w:val="00B81192"/>
    <w:rsid w:val="00B81DA8"/>
    <w:rsid w:val="00B8212C"/>
    <w:rsid w:val="00B83461"/>
    <w:rsid w:val="00B859C1"/>
    <w:rsid w:val="00B85F66"/>
    <w:rsid w:val="00B86609"/>
    <w:rsid w:val="00B86761"/>
    <w:rsid w:val="00B87BF9"/>
    <w:rsid w:val="00B87DC2"/>
    <w:rsid w:val="00B91A49"/>
    <w:rsid w:val="00B921A8"/>
    <w:rsid w:val="00B94362"/>
    <w:rsid w:val="00B95CB5"/>
    <w:rsid w:val="00B96913"/>
    <w:rsid w:val="00B96DE6"/>
    <w:rsid w:val="00B97D95"/>
    <w:rsid w:val="00B97E7E"/>
    <w:rsid w:val="00B97EBE"/>
    <w:rsid w:val="00BA19DD"/>
    <w:rsid w:val="00BA407C"/>
    <w:rsid w:val="00BA4F38"/>
    <w:rsid w:val="00BA5249"/>
    <w:rsid w:val="00BA59A7"/>
    <w:rsid w:val="00BA64D6"/>
    <w:rsid w:val="00BB048B"/>
    <w:rsid w:val="00BB2562"/>
    <w:rsid w:val="00BC0164"/>
    <w:rsid w:val="00BC03D1"/>
    <w:rsid w:val="00BC2347"/>
    <w:rsid w:val="00BC47FB"/>
    <w:rsid w:val="00BC601F"/>
    <w:rsid w:val="00BC7488"/>
    <w:rsid w:val="00BC78E9"/>
    <w:rsid w:val="00BD012E"/>
    <w:rsid w:val="00BD19AE"/>
    <w:rsid w:val="00BD1A8A"/>
    <w:rsid w:val="00BD1BEE"/>
    <w:rsid w:val="00BD2231"/>
    <w:rsid w:val="00BD4032"/>
    <w:rsid w:val="00BD4E5E"/>
    <w:rsid w:val="00BD5541"/>
    <w:rsid w:val="00BD590B"/>
    <w:rsid w:val="00BD6BBB"/>
    <w:rsid w:val="00BE081C"/>
    <w:rsid w:val="00BE1043"/>
    <w:rsid w:val="00BE1D46"/>
    <w:rsid w:val="00BE476B"/>
    <w:rsid w:val="00BE50FE"/>
    <w:rsid w:val="00BE5210"/>
    <w:rsid w:val="00BE5958"/>
    <w:rsid w:val="00BE5AE8"/>
    <w:rsid w:val="00BE65E4"/>
    <w:rsid w:val="00BE6C6D"/>
    <w:rsid w:val="00BE757B"/>
    <w:rsid w:val="00BF0A57"/>
    <w:rsid w:val="00BF10AE"/>
    <w:rsid w:val="00BF1775"/>
    <w:rsid w:val="00BF247E"/>
    <w:rsid w:val="00BF43E3"/>
    <w:rsid w:val="00BF509B"/>
    <w:rsid w:val="00BF6184"/>
    <w:rsid w:val="00BF63F3"/>
    <w:rsid w:val="00BF697D"/>
    <w:rsid w:val="00C0022C"/>
    <w:rsid w:val="00C007B6"/>
    <w:rsid w:val="00C01416"/>
    <w:rsid w:val="00C01AB7"/>
    <w:rsid w:val="00C01E1C"/>
    <w:rsid w:val="00C01F58"/>
    <w:rsid w:val="00C05359"/>
    <w:rsid w:val="00C074A1"/>
    <w:rsid w:val="00C07A79"/>
    <w:rsid w:val="00C07E8E"/>
    <w:rsid w:val="00C10767"/>
    <w:rsid w:val="00C10970"/>
    <w:rsid w:val="00C110AE"/>
    <w:rsid w:val="00C11861"/>
    <w:rsid w:val="00C11B2B"/>
    <w:rsid w:val="00C120CA"/>
    <w:rsid w:val="00C14D72"/>
    <w:rsid w:val="00C17200"/>
    <w:rsid w:val="00C202D9"/>
    <w:rsid w:val="00C21DD7"/>
    <w:rsid w:val="00C23EF3"/>
    <w:rsid w:val="00C25BAE"/>
    <w:rsid w:val="00C27B6D"/>
    <w:rsid w:val="00C27EF9"/>
    <w:rsid w:val="00C30283"/>
    <w:rsid w:val="00C30671"/>
    <w:rsid w:val="00C31085"/>
    <w:rsid w:val="00C31D4A"/>
    <w:rsid w:val="00C31D73"/>
    <w:rsid w:val="00C32268"/>
    <w:rsid w:val="00C329AD"/>
    <w:rsid w:val="00C32EB5"/>
    <w:rsid w:val="00C33386"/>
    <w:rsid w:val="00C342FD"/>
    <w:rsid w:val="00C36465"/>
    <w:rsid w:val="00C37629"/>
    <w:rsid w:val="00C40037"/>
    <w:rsid w:val="00C40211"/>
    <w:rsid w:val="00C40885"/>
    <w:rsid w:val="00C41352"/>
    <w:rsid w:val="00C41429"/>
    <w:rsid w:val="00C41521"/>
    <w:rsid w:val="00C416E7"/>
    <w:rsid w:val="00C436A2"/>
    <w:rsid w:val="00C436FD"/>
    <w:rsid w:val="00C4485B"/>
    <w:rsid w:val="00C452F0"/>
    <w:rsid w:val="00C46580"/>
    <w:rsid w:val="00C50C36"/>
    <w:rsid w:val="00C514B1"/>
    <w:rsid w:val="00C517A4"/>
    <w:rsid w:val="00C52444"/>
    <w:rsid w:val="00C5257F"/>
    <w:rsid w:val="00C52C17"/>
    <w:rsid w:val="00C53BEE"/>
    <w:rsid w:val="00C54EA2"/>
    <w:rsid w:val="00C55A84"/>
    <w:rsid w:val="00C56F25"/>
    <w:rsid w:val="00C56FE0"/>
    <w:rsid w:val="00C60EA0"/>
    <w:rsid w:val="00C62384"/>
    <w:rsid w:val="00C640AD"/>
    <w:rsid w:val="00C66D63"/>
    <w:rsid w:val="00C67D85"/>
    <w:rsid w:val="00C70A1F"/>
    <w:rsid w:val="00C71E1E"/>
    <w:rsid w:val="00C729E1"/>
    <w:rsid w:val="00C735B7"/>
    <w:rsid w:val="00C74536"/>
    <w:rsid w:val="00C751B2"/>
    <w:rsid w:val="00C77280"/>
    <w:rsid w:val="00C778A1"/>
    <w:rsid w:val="00C77949"/>
    <w:rsid w:val="00C809DB"/>
    <w:rsid w:val="00C80F04"/>
    <w:rsid w:val="00C811E8"/>
    <w:rsid w:val="00C81668"/>
    <w:rsid w:val="00C818F0"/>
    <w:rsid w:val="00C81E3C"/>
    <w:rsid w:val="00C83412"/>
    <w:rsid w:val="00C843F8"/>
    <w:rsid w:val="00C844D6"/>
    <w:rsid w:val="00C86666"/>
    <w:rsid w:val="00C86D3D"/>
    <w:rsid w:val="00C900FF"/>
    <w:rsid w:val="00C90C90"/>
    <w:rsid w:val="00C959FF"/>
    <w:rsid w:val="00C96190"/>
    <w:rsid w:val="00C96EBF"/>
    <w:rsid w:val="00C976AF"/>
    <w:rsid w:val="00CA2097"/>
    <w:rsid w:val="00CA39FF"/>
    <w:rsid w:val="00CA590A"/>
    <w:rsid w:val="00CA6F92"/>
    <w:rsid w:val="00CB00CD"/>
    <w:rsid w:val="00CB2691"/>
    <w:rsid w:val="00CB2849"/>
    <w:rsid w:val="00CB2AF6"/>
    <w:rsid w:val="00CB317A"/>
    <w:rsid w:val="00CB383E"/>
    <w:rsid w:val="00CB3917"/>
    <w:rsid w:val="00CB4373"/>
    <w:rsid w:val="00CB6028"/>
    <w:rsid w:val="00CB634A"/>
    <w:rsid w:val="00CB66AD"/>
    <w:rsid w:val="00CB7D55"/>
    <w:rsid w:val="00CC0441"/>
    <w:rsid w:val="00CC1889"/>
    <w:rsid w:val="00CC220B"/>
    <w:rsid w:val="00CC23AF"/>
    <w:rsid w:val="00CC3841"/>
    <w:rsid w:val="00CC3C4D"/>
    <w:rsid w:val="00CC4AD2"/>
    <w:rsid w:val="00CC5058"/>
    <w:rsid w:val="00CD01DB"/>
    <w:rsid w:val="00CD0822"/>
    <w:rsid w:val="00CD1CB7"/>
    <w:rsid w:val="00CD2404"/>
    <w:rsid w:val="00CD35CF"/>
    <w:rsid w:val="00CD3603"/>
    <w:rsid w:val="00CD370C"/>
    <w:rsid w:val="00CD5D90"/>
    <w:rsid w:val="00CD6196"/>
    <w:rsid w:val="00CD7817"/>
    <w:rsid w:val="00CE002B"/>
    <w:rsid w:val="00CE1C9D"/>
    <w:rsid w:val="00CE1EEB"/>
    <w:rsid w:val="00CE282F"/>
    <w:rsid w:val="00CE6660"/>
    <w:rsid w:val="00CE6A13"/>
    <w:rsid w:val="00CE7305"/>
    <w:rsid w:val="00CE78B3"/>
    <w:rsid w:val="00CF0F05"/>
    <w:rsid w:val="00CF166A"/>
    <w:rsid w:val="00CF1E09"/>
    <w:rsid w:val="00CF1E8D"/>
    <w:rsid w:val="00CF2617"/>
    <w:rsid w:val="00CF320D"/>
    <w:rsid w:val="00CF4AF1"/>
    <w:rsid w:val="00CF5603"/>
    <w:rsid w:val="00D0026B"/>
    <w:rsid w:val="00D00FAC"/>
    <w:rsid w:val="00D02A0D"/>
    <w:rsid w:val="00D04491"/>
    <w:rsid w:val="00D04C12"/>
    <w:rsid w:val="00D06233"/>
    <w:rsid w:val="00D069CB"/>
    <w:rsid w:val="00D102A7"/>
    <w:rsid w:val="00D1038D"/>
    <w:rsid w:val="00D110E6"/>
    <w:rsid w:val="00D11EFE"/>
    <w:rsid w:val="00D1241C"/>
    <w:rsid w:val="00D140E6"/>
    <w:rsid w:val="00D14124"/>
    <w:rsid w:val="00D15473"/>
    <w:rsid w:val="00D1699A"/>
    <w:rsid w:val="00D17439"/>
    <w:rsid w:val="00D17E92"/>
    <w:rsid w:val="00D207DD"/>
    <w:rsid w:val="00D20C64"/>
    <w:rsid w:val="00D216A5"/>
    <w:rsid w:val="00D23B34"/>
    <w:rsid w:val="00D242BF"/>
    <w:rsid w:val="00D24D63"/>
    <w:rsid w:val="00D272B7"/>
    <w:rsid w:val="00D30F57"/>
    <w:rsid w:val="00D31BA7"/>
    <w:rsid w:val="00D33169"/>
    <w:rsid w:val="00D333FD"/>
    <w:rsid w:val="00D353F4"/>
    <w:rsid w:val="00D3554D"/>
    <w:rsid w:val="00D35731"/>
    <w:rsid w:val="00D357B5"/>
    <w:rsid w:val="00D35A07"/>
    <w:rsid w:val="00D36629"/>
    <w:rsid w:val="00D366AD"/>
    <w:rsid w:val="00D41375"/>
    <w:rsid w:val="00D4220A"/>
    <w:rsid w:val="00D42589"/>
    <w:rsid w:val="00D42CF9"/>
    <w:rsid w:val="00D4448D"/>
    <w:rsid w:val="00D44DFC"/>
    <w:rsid w:val="00D46146"/>
    <w:rsid w:val="00D471CD"/>
    <w:rsid w:val="00D50CCC"/>
    <w:rsid w:val="00D52065"/>
    <w:rsid w:val="00D52F24"/>
    <w:rsid w:val="00D53936"/>
    <w:rsid w:val="00D53BA9"/>
    <w:rsid w:val="00D549FF"/>
    <w:rsid w:val="00D56D0B"/>
    <w:rsid w:val="00D574DA"/>
    <w:rsid w:val="00D615A7"/>
    <w:rsid w:val="00D62A76"/>
    <w:rsid w:val="00D6309B"/>
    <w:rsid w:val="00D63793"/>
    <w:rsid w:val="00D63B5C"/>
    <w:rsid w:val="00D64E77"/>
    <w:rsid w:val="00D66362"/>
    <w:rsid w:val="00D66601"/>
    <w:rsid w:val="00D70B6C"/>
    <w:rsid w:val="00D71439"/>
    <w:rsid w:val="00D716BC"/>
    <w:rsid w:val="00D72CFD"/>
    <w:rsid w:val="00D730FC"/>
    <w:rsid w:val="00D75C08"/>
    <w:rsid w:val="00D75DAB"/>
    <w:rsid w:val="00D76573"/>
    <w:rsid w:val="00D76F95"/>
    <w:rsid w:val="00D8100E"/>
    <w:rsid w:val="00D812DF"/>
    <w:rsid w:val="00D818D9"/>
    <w:rsid w:val="00D82724"/>
    <w:rsid w:val="00D8289F"/>
    <w:rsid w:val="00D82B70"/>
    <w:rsid w:val="00D82C73"/>
    <w:rsid w:val="00D830DD"/>
    <w:rsid w:val="00D83EB0"/>
    <w:rsid w:val="00D84FA0"/>
    <w:rsid w:val="00D8633E"/>
    <w:rsid w:val="00D905A9"/>
    <w:rsid w:val="00D90810"/>
    <w:rsid w:val="00D90EE4"/>
    <w:rsid w:val="00D920B2"/>
    <w:rsid w:val="00D9288F"/>
    <w:rsid w:val="00D92F80"/>
    <w:rsid w:val="00D941AA"/>
    <w:rsid w:val="00D944E9"/>
    <w:rsid w:val="00D947FF"/>
    <w:rsid w:val="00D95851"/>
    <w:rsid w:val="00D95B36"/>
    <w:rsid w:val="00DA16D9"/>
    <w:rsid w:val="00DA2559"/>
    <w:rsid w:val="00DA2D31"/>
    <w:rsid w:val="00DA3556"/>
    <w:rsid w:val="00DA438C"/>
    <w:rsid w:val="00DA4F55"/>
    <w:rsid w:val="00DA5241"/>
    <w:rsid w:val="00DA5CA9"/>
    <w:rsid w:val="00DA645D"/>
    <w:rsid w:val="00DA6A4A"/>
    <w:rsid w:val="00DA6A59"/>
    <w:rsid w:val="00DB0917"/>
    <w:rsid w:val="00DB0E20"/>
    <w:rsid w:val="00DB1816"/>
    <w:rsid w:val="00DB5512"/>
    <w:rsid w:val="00DB5662"/>
    <w:rsid w:val="00DB5BC4"/>
    <w:rsid w:val="00DB6392"/>
    <w:rsid w:val="00DB6D67"/>
    <w:rsid w:val="00DC0025"/>
    <w:rsid w:val="00DC0FFE"/>
    <w:rsid w:val="00DC2093"/>
    <w:rsid w:val="00DC318A"/>
    <w:rsid w:val="00DC4621"/>
    <w:rsid w:val="00DC5448"/>
    <w:rsid w:val="00DC5C22"/>
    <w:rsid w:val="00DD351B"/>
    <w:rsid w:val="00DD491C"/>
    <w:rsid w:val="00DD62F8"/>
    <w:rsid w:val="00DE01FF"/>
    <w:rsid w:val="00DE0E33"/>
    <w:rsid w:val="00DE2060"/>
    <w:rsid w:val="00DE2B97"/>
    <w:rsid w:val="00DE504F"/>
    <w:rsid w:val="00DE54F1"/>
    <w:rsid w:val="00DE5E8F"/>
    <w:rsid w:val="00DE613F"/>
    <w:rsid w:val="00DE668F"/>
    <w:rsid w:val="00DE67FD"/>
    <w:rsid w:val="00DE7BBD"/>
    <w:rsid w:val="00DF0D33"/>
    <w:rsid w:val="00DF22D8"/>
    <w:rsid w:val="00DF2CF6"/>
    <w:rsid w:val="00DF31F2"/>
    <w:rsid w:val="00DF445C"/>
    <w:rsid w:val="00DF7A0D"/>
    <w:rsid w:val="00E008A3"/>
    <w:rsid w:val="00E02FAC"/>
    <w:rsid w:val="00E0506E"/>
    <w:rsid w:val="00E059B3"/>
    <w:rsid w:val="00E072DE"/>
    <w:rsid w:val="00E07594"/>
    <w:rsid w:val="00E11402"/>
    <w:rsid w:val="00E114B3"/>
    <w:rsid w:val="00E11A71"/>
    <w:rsid w:val="00E14D1C"/>
    <w:rsid w:val="00E15110"/>
    <w:rsid w:val="00E15FF5"/>
    <w:rsid w:val="00E20405"/>
    <w:rsid w:val="00E2185D"/>
    <w:rsid w:val="00E22159"/>
    <w:rsid w:val="00E2234D"/>
    <w:rsid w:val="00E2464A"/>
    <w:rsid w:val="00E2523B"/>
    <w:rsid w:val="00E27974"/>
    <w:rsid w:val="00E31139"/>
    <w:rsid w:val="00E31E0F"/>
    <w:rsid w:val="00E32971"/>
    <w:rsid w:val="00E33118"/>
    <w:rsid w:val="00E3341C"/>
    <w:rsid w:val="00E33CD7"/>
    <w:rsid w:val="00E3413D"/>
    <w:rsid w:val="00E3657B"/>
    <w:rsid w:val="00E37554"/>
    <w:rsid w:val="00E41F98"/>
    <w:rsid w:val="00E44995"/>
    <w:rsid w:val="00E44D04"/>
    <w:rsid w:val="00E45CE3"/>
    <w:rsid w:val="00E46566"/>
    <w:rsid w:val="00E506FC"/>
    <w:rsid w:val="00E5182E"/>
    <w:rsid w:val="00E526A4"/>
    <w:rsid w:val="00E52A5D"/>
    <w:rsid w:val="00E52EE6"/>
    <w:rsid w:val="00E539F4"/>
    <w:rsid w:val="00E557E9"/>
    <w:rsid w:val="00E56C12"/>
    <w:rsid w:val="00E56CEB"/>
    <w:rsid w:val="00E5705D"/>
    <w:rsid w:val="00E571F1"/>
    <w:rsid w:val="00E60BE9"/>
    <w:rsid w:val="00E61413"/>
    <w:rsid w:val="00E62119"/>
    <w:rsid w:val="00E63759"/>
    <w:rsid w:val="00E649CE"/>
    <w:rsid w:val="00E65FEC"/>
    <w:rsid w:val="00E67826"/>
    <w:rsid w:val="00E67F87"/>
    <w:rsid w:val="00E71128"/>
    <w:rsid w:val="00E7119E"/>
    <w:rsid w:val="00E71208"/>
    <w:rsid w:val="00E7316E"/>
    <w:rsid w:val="00E73883"/>
    <w:rsid w:val="00E740C7"/>
    <w:rsid w:val="00E749AD"/>
    <w:rsid w:val="00E74AAB"/>
    <w:rsid w:val="00E75E76"/>
    <w:rsid w:val="00E76CAA"/>
    <w:rsid w:val="00E77198"/>
    <w:rsid w:val="00E77A1E"/>
    <w:rsid w:val="00E80379"/>
    <w:rsid w:val="00E80445"/>
    <w:rsid w:val="00E81494"/>
    <w:rsid w:val="00E81663"/>
    <w:rsid w:val="00E81A70"/>
    <w:rsid w:val="00E84112"/>
    <w:rsid w:val="00E8570D"/>
    <w:rsid w:val="00E86A5C"/>
    <w:rsid w:val="00E90246"/>
    <w:rsid w:val="00E91FC9"/>
    <w:rsid w:val="00E9215A"/>
    <w:rsid w:val="00E938F4"/>
    <w:rsid w:val="00E93EE8"/>
    <w:rsid w:val="00E95FEC"/>
    <w:rsid w:val="00E9677D"/>
    <w:rsid w:val="00E96BA7"/>
    <w:rsid w:val="00E970FF"/>
    <w:rsid w:val="00E973D5"/>
    <w:rsid w:val="00E974A9"/>
    <w:rsid w:val="00EA0C52"/>
    <w:rsid w:val="00EA130A"/>
    <w:rsid w:val="00EA1E88"/>
    <w:rsid w:val="00EA2618"/>
    <w:rsid w:val="00EA5702"/>
    <w:rsid w:val="00EA7235"/>
    <w:rsid w:val="00EB41E9"/>
    <w:rsid w:val="00EB448F"/>
    <w:rsid w:val="00EC09CF"/>
    <w:rsid w:val="00EC3D1B"/>
    <w:rsid w:val="00EC3D3F"/>
    <w:rsid w:val="00EC3FA6"/>
    <w:rsid w:val="00EC6778"/>
    <w:rsid w:val="00EC6A41"/>
    <w:rsid w:val="00EC6D32"/>
    <w:rsid w:val="00ED056D"/>
    <w:rsid w:val="00ED12C3"/>
    <w:rsid w:val="00ED1AB8"/>
    <w:rsid w:val="00ED3AC7"/>
    <w:rsid w:val="00ED4346"/>
    <w:rsid w:val="00ED59C8"/>
    <w:rsid w:val="00ED7A05"/>
    <w:rsid w:val="00EE069B"/>
    <w:rsid w:val="00EE197E"/>
    <w:rsid w:val="00EE1D78"/>
    <w:rsid w:val="00EE2C6C"/>
    <w:rsid w:val="00EE2D5E"/>
    <w:rsid w:val="00EE3BF2"/>
    <w:rsid w:val="00EE439D"/>
    <w:rsid w:val="00EE47FF"/>
    <w:rsid w:val="00EE51CD"/>
    <w:rsid w:val="00EE55FF"/>
    <w:rsid w:val="00EE6A52"/>
    <w:rsid w:val="00EE6BF2"/>
    <w:rsid w:val="00EE7911"/>
    <w:rsid w:val="00EF0015"/>
    <w:rsid w:val="00EF101C"/>
    <w:rsid w:val="00EF2384"/>
    <w:rsid w:val="00EF55BF"/>
    <w:rsid w:val="00EF72A1"/>
    <w:rsid w:val="00EF780E"/>
    <w:rsid w:val="00EF7B60"/>
    <w:rsid w:val="00F019EB"/>
    <w:rsid w:val="00F02B6C"/>
    <w:rsid w:val="00F04F3B"/>
    <w:rsid w:val="00F05418"/>
    <w:rsid w:val="00F057DC"/>
    <w:rsid w:val="00F05DAD"/>
    <w:rsid w:val="00F070C3"/>
    <w:rsid w:val="00F07E0E"/>
    <w:rsid w:val="00F101B3"/>
    <w:rsid w:val="00F10831"/>
    <w:rsid w:val="00F110CF"/>
    <w:rsid w:val="00F1165D"/>
    <w:rsid w:val="00F12FE2"/>
    <w:rsid w:val="00F13A1C"/>
    <w:rsid w:val="00F13B9C"/>
    <w:rsid w:val="00F141DD"/>
    <w:rsid w:val="00F149B8"/>
    <w:rsid w:val="00F14B8E"/>
    <w:rsid w:val="00F157DA"/>
    <w:rsid w:val="00F15EE0"/>
    <w:rsid w:val="00F16E1B"/>
    <w:rsid w:val="00F16FB1"/>
    <w:rsid w:val="00F201B0"/>
    <w:rsid w:val="00F201C1"/>
    <w:rsid w:val="00F20AD6"/>
    <w:rsid w:val="00F20C0F"/>
    <w:rsid w:val="00F20E76"/>
    <w:rsid w:val="00F21972"/>
    <w:rsid w:val="00F21D90"/>
    <w:rsid w:val="00F24690"/>
    <w:rsid w:val="00F252B0"/>
    <w:rsid w:val="00F25F41"/>
    <w:rsid w:val="00F26590"/>
    <w:rsid w:val="00F2731E"/>
    <w:rsid w:val="00F27AF3"/>
    <w:rsid w:val="00F321BA"/>
    <w:rsid w:val="00F32D56"/>
    <w:rsid w:val="00F33C7D"/>
    <w:rsid w:val="00F34C5D"/>
    <w:rsid w:val="00F359C4"/>
    <w:rsid w:val="00F411DC"/>
    <w:rsid w:val="00F41656"/>
    <w:rsid w:val="00F41879"/>
    <w:rsid w:val="00F43FF3"/>
    <w:rsid w:val="00F44A7D"/>
    <w:rsid w:val="00F44B4C"/>
    <w:rsid w:val="00F45535"/>
    <w:rsid w:val="00F460C7"/>
    <w:rsid w:val="00F46A88"/>
    <w:rsid w:val="00F5124B"/>
    <w:rsid w:val="00F5171C"/>
    <w:rsid w:val="00F51A42"/>
    <w:rsid w:val="00F53FED"/>
    <w:rsid w:val="00F5439C"/>
    <w:rsid w:val="00F54C96"/>
    <w:rsid w:val="00F5628C"/>
    <w:rsid w:val="00F562DE"/>
    <w:rsid w:val="00F64B98"/>
    <w:rsid w:val="00F64C9A"/>
    <w:rsid w:val="00F6536C"/>
    <w:rsid w:val="00F65CE7"/>
    <w:rsid w:val="00F65D87"/>
    <w:rsid w:val="00F67733"/>
    <w:rsid w:val="00F71A6A"/>
    <w:rsid w:val="00F73A78"/>
    <w:rsid w:val="00F73D18"/>
    <w:rsid w:val="00F80077"/>
    <w:rsid w:val="00F80653"/>
    <w:rsid w:val="00F8161D"/>
    <w:rsid w:val="00F82302"/>
    <w:rsid w:val="00F82E8C"/>
    <w:rsid w:val="00F8325E"/>
    <w:rsid w:val="00F8517D"/>
    <w:rsid w:val="00F858AC"/>
    <w:rsid w:val="00F92A1F"/>
    <w:rsid w:val="00F947D2"/>
    <w:rsid w:val="00FA297A"/>
    <w:rsid w:val="00FA3882"/>
    <w:rsid w:val="00FA5780"/>
    <w:rsid w:val="00FA6916"/>
    <w:rsid w:val="00FA6DEC"/>
    <w:rsid w:val="00FB0791"/>
    <w:rsid w:val="00FB138E"/>
    <w:rsid w:val="00FB231A"/>
    <w:rsid w:val="00FB30F1"/>
    <w:rsid w:val="00FB3FB8"/>
    <w:rsid w:val="00FB6E11"/>
    <w:rsid w:val="00FB76EB"/>
    <w:rsid w:val="00FC2939"/>
    <w:rsid w:val="00FC2DEB"/>
    <w:rsid w:val="00FC35DE"/>
    <w:rsid w:val="00FC4A92"/>
    <w:rsid w:val="00FC4F99"/>
    <w:rsid w:val="00FC600C"/>
    <w:rsid w:val="00FC613A"/>
    <w:rsid w:val="00FC6AE9"/>
    <w:rsid w:val="00FD6787"/>
    <w:rsid w:val="00FD7A11"/>
    <w:rsid w:val="00FE123E"/>
    <w:rsid w:val="00FE18B6"/>
    <w:rsid w:val="00FE1B0A"/>
    <w:rsid w:val="00FE3FD8"/>
    <w:rsid w:val="00FE518D"/>
    <w:rsid w:val="00FE67C3"/>
    <w:rsid w:val="00FE6A78"/>
    <w:rsid w:val="00FE6E31"/>
    <w:rsid w:val="00FE730D"/>
    <w:rsid w:val="00FF0448"/>
    <w:rsid w:val="00FF11DA"/>
    <w:rsid w:val="00FF23CF"/>
    <w:rsid w:val="00FF3456"/>
    <w:rsid w:val="00FF4CE5"/>
    <w:rsid w:val="00FF5120"/>
    <w:rsid w:val="00FF51F1"/>
    <w:rsid w:val="00FF593F"/>
    <w:rsid w:val="00FF72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link w:val="JuHIRomanChar"/>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aliases w:val="Left,First line:  0 cm"/>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customStyle="1" w:styleId="JuParaChar">
    <w:name w:val="Ju_Para Char"/>
    <w:link w:val="JuPara"/>
    <w:rsid w:val="00B921A8"/>
    <w:rPr>
      <w:sz w:val="24"/>
      <w:lang w:val="en-GB" w:eastAsia="fr-FR" w:bidi="ar-SA"/>
    </w:rPr>
  </w:style>
  <w:style w:type="paragraph" w:customStyle="1" w:styleId="JuHAA">
    <w:name w:val="Ju_H_AA"/>
    <w:basedOn w:val="JuHIRoman"/>
    <w:next w:val="JuPara"/>
    <w:link w:val="JuHAACharChar"/>
    <w:rsid w:val="009B039E"/>
    <w:pPr>
      <w:tabs>
        <w:tab w:val="clear" w:pos="357"/>
        <w:tab w:val="left" w:pos="584"/>
      </w:tabs>
      <w:ind w:left="584" w:hanging="352"/>
    </w:pPr>
    <w:rPr>
      <w:b/>
    </w:rPr>
  </w:style>
  <w:style w:type="paragraph" w:customStyle="1" w:styleId="JuQuot">
    <w:name w:val="Ju_Quot"/>
    <w:basedOn w:val="JuPara"/>
    <w:link w:val="JuQuotChar"/>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link w:val="JuCaseChar"/>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
    <w:next w:val="JuQuot"/>
    <w:rsid w:val="009B039E"/>
    <w:pPr>
      <w:ind w:left="0" w:firstLine="0"/>
      <w:jc w:val="center"/>
    </w:pPr>
  </w:style>
  <w:style w:type="paragraph" w:customStyle="1" w:styleId="JuHa">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A"/>
    <w:next w:val="JuPara"/>
    <w:link w:val="JuH1Char"/>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semiHidden/>
    <w:rsid w:val="009B039E"/>
    <w:rPr>
      <w:vertAlign w:val="superscript"/>
    </w:rPr>
  </w:style>
  <w:style w:type="paragraph" w:customStyle="1" w:styleId="JuHi">
    <w:name w:val="Ju_H_i"/>
    <w:basedOn w:val="JuHa"/>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link w:val="JuSigned"/>
    <w:rsid w:val="000726F6"/>
    <w:rPr>
      <w:sz w:val="24"/>
      <w:lang w:val="en-GB" w:eastAsia="fr-FR" w:bidi="ar-SA"/>
    </w:rPr>
  </w:style>
  <w:style w:type="character" w:customStyle="1" w:styleId="JuJudgesChar">
    <w:name w:val="Ju_Judges Char"/>
    <w:link w:val="JuJudges"/>
    <w:locked/>
    <w:rsid w:val="00D15473"/>
    <w:rPr>
      <w:sz w:val="24"/>
      <w:lang w:val="en-GB" w:eastAsia="fr-FR" w:bidi="ar-SA"/>
    </w:rPr>
  </w:style>
  <w:style w:type="character" w:customStyle="1" w:styleId="JuCaseChar">
    <w:name w:val="Ju_Case Char"/>
    <w:link w:val="JuCase"/>
    <w:rsid w:val="00B921A8"/>
    <w:rPr>
      <w:b/>
      <w:sz w:val="24"/>
      <w:lang w:val="en-GB" w:eastAsia="fr-FR" w:bidi="ar-SA"/>
    </w:rPr>
  </w:style>
  <w:style w:type="character" w:customStyle="1" w:styleId="JuParaCar">
    <w:name w:val="Ju_Para Car"/>
    <w:rsid w:val="00F73D18"/>
    <w:rPr>
      <w:sz w:val="24"/>
      <w:lang w:val="en-GB" w:eastAsia="fr-FR" w:bidi="ar-SA"/>
    </w:rPr>
  </w:style>
  <w:style w:type="character" w:styleId="Hyperlink">
    <w:name w:val="Hyperlink"/>
    <w:rsid w:val="005027B8"/>
    <w:rPr>
      <w:color w:val="0000FF"/>
      <w:u w:val="single"/>
    </w:rPr>
  </w:style>
  <w:style w:type="character" w:customStyle="1" w:styleId="JuHIRomanChar">
    <w:name w:val="Ju_H_I_Roman Char"/>
    <w:link w:val="JuHIRoman"/>
    <w:rsid w:val="00DE668F"/>
    <w:rPr>
      <w:sz w:val="24"/>
      <w:lang w:val="en-GB" w:eastAsia="fr-FR" w:bidi="ar-SA"/>
    </w:rPr>
  </w:style>
  <w:style w:type="character" w:customStyle="1" w:styleId="JuHAACharChar">
    <w:name w:val="Ju_H_AA Char Char"/>
    <w:link w:val="JuHAA"/>
    <w:rsid w:val="00DE668F"/>
    <w:rPr>
      <w:b/>
      <w:sz w:val="24"/>
      <w:lang w:val="en-GB" w:eastAsia="fr-FR" w:bidi="ar-SA"/>
    </w:rPr>
  </w:style>
  <w:style w:type="character" w:customStyle="1" w:styleId="JuQuotChar">
    <w:name w:val="Ju_Quot Char"/>
    <w:link w:val="JuQuot"/>
    <w:rsid w:val="00DE668F"/>
    <w:rPr>
      <w:lang w:val="en-GB" w:eastAsia="fr-FR" w:bidi="ar-SA"/>
    </w:rPr>
  </w:style>
  <w:style w:type="paragraph" w:customStyle="1" w:styleId="ParaHeading">
    <w:name w:val="ParaHeading"/>
    <w:basedOn w:val="Normal"/>
    <w:next w:val="ParaLevel1"/>
    <w:rsid w:val="00B32557"/>
    <w:pPr>
      <w:keepNext/>
      <w:suppressAutoHyphens w:val="0"/>
      <w:spacing w:before="240" w:after="240"/>
    </w:pPr>
    <w:rPr>
      <w:szCs w:val="24"/>
      <w:lang w:eastAsia="en-US"/>
    </w:rPr>
  </w:style>
  <w:style w:type="paragraph" w:customStyle="1" w:styleId="ParaLevel1">
    <w:name w:val="ParaLevel1"/>
    <w:basedOn w:val="Normal"/>
    <w:rsid w:val="00B32557"/>
    <w:pPr>
      <w:numPr>
        <w:numId w:val="1"/>
      </w:numPr>
      <w:spacing w:before="240" w:after="240"/>
      <w:jc w:val="both"/>
      <w:outlineLvl w:val="0"/>
    </w:pPr>
    <w:rPr>
      <w:szCs w:val="24"/>
      <w:lang w:eastAsia="en-US"/>
    </w:rPr>
  </w:style>
  <w:style w:type="paragraph" w:customStyle="1" w:styleId="ParaLevel2">
    <w:name w:val="ParaLevel2"/>
    <w:basedOn w:val="Normal"/>
    <w:rsid w:val="00B32557"/>
    <w:pPr>
      <w:numPr>
        <w:ilvl w:val="1"/>
        <w:numId w:val="1"/>
      </w:numPr>
      <w:spacing w:before="240" w:after="240"/>
      <w:jc w:val="both"/>
      <w:outlineLvl w:val="1"/>
    </w:pPr>
    <w:rPr>
      <w:szCs w:val="24"/>
      <w:lang w:eastAsia="en-US"/>
    </w:rPr>
  </w:style>
  <w:style w:type="paragraph" w:customStyle="1" w:styleId="ParaLevel3">
    <w:name w:val="ParaLevel3"/>
    <w:basedOn w:val="Normal"/>
    <w:rsid w:val="00B32557"/>
    <w:pPr>
      <w:numPr>
        <w:ilvl w:val="2"/>
        <w:numId w:val="1"/>
      </w:numPr>
      <w:spacing w:before="240" w:after="240"/>
      <w:jc w:val="both"/>
      <w:outlineLvl w:val="2"/>
    </w:pPr>
    <w:rPr>
      <w:szCs w:val="24"/>
      <w:lang w:eastAsia="en-US"/>
    </w:rPr>
  </w:style>
  <w:style w:type="paragraph" w:customStyle="1" w:styleId="ParaLevel4">
    <w:name w:val="ParaLevel4"/>
    <w:basedOn w:val="Normal"/>
    <w:rsid w:val="00B32557"/>
    <w:pPr>
      <w:numPr>
        <w:ilvl w:val="3"/>
        <w:numId w:val="1"/>
      </w:numPr>
      <w:spacing w:before="240" w:after="240"/>
      <w:jc w:val="both"/>
      <w:outlineLvl w:val="3"/>
    </w:pPr>
    <w:rPr>
      <w:szCs w:val="24"/>
      <w:lang w:eastAsia="en-US"/>
    </w:rPr>
  </w:style>
  <w:style w:type="paragraph" w:customStyle="1" w:styleId="ParaLevel5">
    <w:name w:val="ParaLevel5"/>
    <w:basedOn w:val="Normal"/>
    <w:rsid w:val="00B32557"/>
    <w:pPr>
      <w:numPr>
        <w:ilvl w:val="4"/>
        <w:numId w:val="1"/>
      </w:numPr>
      <w:spacing w:before="240" w:after="240"/>
      <w:jc w:val="both"/>
      <w:outlineLvl w:val="4"/>
    </w:pPr>
    <w:rPr>
      <w:szCs w:val="24"/>
      <w:lang w:eastAsia="en-US"/>
    </w:rPr>
  </w:style>
  <w:style w:type="paragraph" w:customStyle="1" w:styleId="ParaLevel6">
    <w:name w:val="ParaLevel6"/>
    <w:basedOn w:val="Normal"/>
    <w:rsid w:val="00B32557"/>
    <w:pPr>
      <w:numPr>
        <w:ilvl w:val="5"/>
        <w:numId w:val="1"/>
      </w:numPr>
      <w:spacing w:before="240" w:after="240"/>
      <w:jc w:val="both"/>
      <w:outlineLvl w:val="5"/>
    </w:pPr>
    <w:rPr>
      <w:szCs w:val="24"/>
      <w:lang w:eastAsia="en-US"/>
    </w:rPr>
  </w:style>
  <w:style w:type="paragraph" w:customStyle="1" w:styleId="ParaLevel7">
    <w:name w:val="ParaLevel7"/>
    <w:basedOn w:val="Normal"/>
    <w:rsid w:val="00B32557"/>
    <w:pPr>
      <w:numPr>
        <w:ilvl w:val="6"/>
        <w:numId w:val="1"/>
      </w:numPr>
      <w:spacing w:before="240" w:after="240"/>
      <w:jc w:val="both"/>
      <w:outlineLvl w:val="6"/>
    </w:pPr>
    <w:rPr>
      <w:szCs w:val="24"/>
      <w:lang w:eastAsia="en-US"/>
    </w:rPr>
  </w:style>
  <w:style w:type="paragraph" w:customStyle="1" w:styleId="ParaLevel8">
    <w:name w:val="ParaLevel8"/>
    <w:basedOn w:val="Normal"/>
    <w:rsid w:val="00B32557"/>
    <w:pPr>
      <w:numPr>
        <w:ilvl w:val="7"/>
        <w:numId w:val="1"/>
      </w:numPr>
      <w:spacing w:before="240" w:after="240"/>
      <w:jc w:val="both"/>
      <w:outlineLvl w:val="7"/>
    </w:pPr>
    <w:rPr>
      <w:szCs w:val="24"/>
      <w:lang w:eastAsia="en-US"/>
    </w:rPr>
  </w:style>
  <w:style w:type="paragraph" w:customStyle="1" w:styleId="ParaLevel9">
    <w:name w:val="ParaLevel9"/>
    <w:basedOn w:val="Normal"/>
    <w:rsid w:val="00B32557"/>
    <w:pPr>
      <w:numPr>
        <w:ilvl w:val="8"/>
        <w:numId w:val="1"/>
      </w:numPr>
      <w:spacing w:before="240" w:after="240"/>
      <w:jc w:val="both"/>
      <w:outlineLvl w:val="8"/>
    </w:pPr>
    <w:rPr>
      <w:szCs w:val="24"/>
      <w:lang w:eastAsia="en-US"/>
    </w:rPr>
  </w:style>
  <w:style w:type="paragraph" w:styleId="ColorfulGrid-Accent1">
    <w:name w:val="Colorful Grid Accent 1"/>
    <w:basedOn w:val="Normal"/>
    <w:next w:val="ParaLevel1"/>
    <w:qFormat/>
    <w:rsid w:val="00B32557"/>
    <w:pPr>
      <w:suppressAutoHyphens w:val="0"/>
      <w:spacing w:after="240"/>
      <w:ind w:left="1440" w:right="1440"/>
      <w:jc w:val="both"/>
    </w:pPr>
    <w:rPr>
      <w:szCs w:val="24"/>
      <w:lang w:eastAsia="en-US"/>
    </w:rPr>
  </w:style>
  <w:style w:type="character" w:customStyle="1" w:styleId="JuNames">
    <w:name w:val="Ju_Names"/>
    <w:rsid w:val="005A504B"/>
    <w:rPr>
      <w:smallCaps/>
    </w:rPr>
  </w:style>
  <w:style w:type="character" w:customStyle="1" w:styleId="JuH1Char">
    <w:name w:val="Ju_H_1. Char"/>
    <w:link w:val="JuH1"/>
    <w:rsid w:val="002431B6"/>
    <w:rPr>
      <w:b/>
      <w:i/>
      <w:sz w:val="24"/>
      <w:lang w:val="en-GB" w:eastAsia="fr-FR" w:bidi="ar-SA"/>
    </w:rPr>
  </w:style>
  <w:style w:type="character" w:customStyle="1" w:styleId="ju-005fpara-002cleft-002cfirst-0020line-003a-0020-00200-0020cm--char">
    <w:name w:val="ju-005fpara-002cleft-002cfirst-0020line-003a-0020-00200-0020cm--char"/>
    <w:basedOn w:val="DefaultParagraphFont"/>
    <w:rsid w:val="007E1596"/>
  </w:style>
  <w:style w:type="character" w:customStyle="1" w:styleId="default--char">
    <w:name w:val="default--char"/>
    <w:basedOn w:val="DefaultParagraphFont"/>
    <w:rsid w:val="00A01AAE"/>
  </w:style>
  <w:style w:type="character" w:customStyle="1" w:styleId="ju-005fpara--char">
    <w:name w:val="ju-005fpara--char"/>
    <w:basedOn w:val="DefaultParagraphFont"/>
    <w:rsid w:val="00B17C5F"/>
  </w:style>
  <w:style w:type="paragraph" w:customStyle="1" w:styleId="ju-005fpara">
    <w:name w:val="ju-005fpara"/>
    <w:basedOn w:val="Normal"/>
    <w:rsid w:val="00E114B3"/>
    <w:pPr>
      <w:suppressAutoHyphens w:val="0"/>
      <w:spacing w:before="100" w:beforeAutospacing="1" w:after="100" w:afterAutospacing="1"/>
    </w:pPr>
    <w:rPr>
      <w:szCs w:val="24"/>
      <w:lang w:eastAsia="en-GB"/>
    </w:rPr>
  </w:style>
  <w:style w:type="paragraph" w:styleId="TOC2">
    <w:name w:val="toc 2"/>
    <w:basedOn w:val="Normal"/>
    <w:next w:val="Normal"/>
    <w:autoRedefine/>
    <w:semiHidden/>
    <w:rsid w:val="005C5A1D"/>
    <w:pPr>
      <w:ind w:left="240"/>
    </w:pPr>
  </w:style>
  <w:style w:type="paragraph" w:styleId="TOC1">
    <w:name w:val="toc 1"/>
    <w:basedOn w:val="Normal"/>
    <w:next w:val="Normal"/>
    <w:autoRedefine/>
    <w:semiHidden/>
    <w:rsid w:val="00490C6A"/>
  </w:style>
  <w:style w:type="paragraph" w:styleId="TOC4">
    <w:name w:val="toc 4"/>
    <w:basedOn w:val="Normal"/>
    <w:next w:val="Normal"/>
    <w:autoRedefine/>
    <w:semiHidden/>
    <w:rsid w:val="00114525"/>
    <w:pPr>
      <w:tabs>
        <w:tab w:val="left" w:pos="1200"/>
        <w:tab w:val="right" w:leader="dot" w:pos="7348"/>
      </w:tabs>
      <w:ind w:left="720"/>
    </w:pPr>
    <w:rPr>
      <w:noProof/>
    </w:rPr>
  </w:style>
  <w:style w:type="paragraph" w:styleId="TOC5">
    <w:name w:val="toc 5"/>
    <w:basedOn w:val="Normal"/>
    <w:next w:val="Normal"/>
    <w:autoRedefine/>
    <w:semiHidden/>
    <w:rsid w:val="00114525"/>
    <w:pPr>
      <w:tabs>
        <w:tab w:val="left" w:pos="1440"/>
        <w:tab w:val="right" w:leader="dot" w:pos="7348"/>
      </w:tabs>
      <w:ind w:left="960"/>
    </w:pPr>
    <w:rPr>
      <w:noProof/>
    </w:rPr>
  </w:style>
  <w:style w:type="paragraph" w:styleId="TOC6">
    <w:name w:val="toc 6"/>
    <w:basedOn w:val="Normal"/>
    <w:next w:val="Normal"/>
    <w:autoRedefine/>
    <w:semiHidden/>
    <w:rsid w:val="005C5A1D"/>
    <w:pPr>
      <w:ind w:left="1200"/>
    </w:pPr>
  </w:style>
  <w:style w:type="paragraph" w:styleId="TOC3">
    <w:name w:val="toc 3"/>
    <w:basedOn w:val="Normal"/>
    <w:next w:val="Normal"/>
    <w:autoRedefine/>
    <w:semiHidden/>
    <w:rsid w:val="006458CE"/>
    <w:pPr>
      <w:tabs>
        <w:tab w:val="left" w:pos="960"/>
        <w:tab w:val="right" w:leader="dot" w:pos="7348"/>
      </w:tabs>
      <w:ind w:left="480"/>
    </w:pPr>
    <w:rPr>
      <w:noProof/>
    </w:rPr>
  </w:style>
  <w:style w:type="paragraph" w:customStyle="1" w:styleId="jupara0">
    <w:name w:val="jupara"/>
    <w:basedOn w:val="Normal"/>
    <w:rsid w:val="00FF11DA"/>
    <w:pPr>
      <w:suppressAutoHyphens w:val="0"/>
      <w:spacing w:before="100" w:beforeAutospacing="1" w:after="100" w:afterAutospacing="1"/>
    </w:pPr>
    <w:rPr>
      <w:szCs w:val="24"/>
      <w:lang w:eastAsia="en-GB"/>
    </w:rPr>
  </w:style>
  <w:style w:type="character" w:customStyle="1" w:styleId="juquotchar0">
    <w:name w:val="juquotchar"/>
    <w:basedOn w:val="DefaultParagraphFont"/>
    <w:rsid w:val="00FF11DA"/>
  </w:style>
  <w:style w:type="paragraph" w:styleId="TOC7">
    <w:name w:val="toc 7"/>
    <w:basedOn w:val="Normal"/>
    <w:next w:val="Normal"/>
    <w:autoRedefine/>
    <w:semiHidden/>
    <w:rsid w:val="00051562"/>
    <w:pPr>
      <w:ind w:left="1440"/>
    </w:pPr>
  </w:style>
  <w:style w:type="paragraph" w:customStyle="1" w:styleId="ju-005fpara-002cleft-002cfirst-0020line-003a-0020-00200-0020cm">
    <w:name w:val="ju-005fpara-002cleft-002cfirst-0020line-003a-0020-00200-0020cm"/>
    <w:basedOn w:val="Normal"/>
    <w:rsid w:val="005315A5"/>
    <w:pPr>
      <w:suppressAutoHyphens w:val="0"/>
      <w:spacing w:before="100" w:beforeAutospacing="1" w:after="100" w:afterAutospacing="1"/>
    </w:pPr>
    <w:rPr>
      <w:szCs w:val="24"/>
      <w:lang w:eastAsia="en-GB"/>
    </w:rPr>
  </w:style>
  <w:style w:type="character" w:customStyle="1" w:styleId="ju--005fpara--002cleft--002cfirst--0020line--003a--0020--00200--0020cm----char--char">
    <w:name w:val="ju--005fpara--002cleft--002cfirst--0020line--003a--0020--00200--0020cm----char--char"/>
    <w:basedOn w:val="DefaultParagraphFont"/>
    <w:rsid w:val="005315A5"/>
  </w:style>
  <w:style w:type="character" w:customStyle="1" w:styleId="ju--005fpara----char--char">
    <w:name w:val="ju--005fpara----char--char"/>
    <w:basedOn w:val="DefaultParagraphFont"/>
    <w:rsid w:val="005315A5"/>
  </w:style>
  <w:style w:type="paragraph" w:customStyle="1" w:styleId="ju-005fh-005fa">
    <w:name w:val="ju-005fh-005fa"/>
    <w:basedOn w:val="Normal"/>
    <w:rsid w:val="005315A5"/>
    <w:pPr>
      <w:suppressAutoHyphens w:val="0"/>
      <w:spacing w:before="100" w:beforeAutospacing="1" w:after="100" w:afterAutospacing="1"/>
    </w:pPr>
    <w:rPr>
      <w:szCs w:val="24"/>
      <w:lang w:eastAsia="en-GB"/>
    </w:rPr>
  </w:style>
  <w:style w:type="paragraph" w:customStyle="1" w:styleId="ju-005fh-005f1-002e">
    <w:name w:val="ju-005fh-005f1-002e"/>
    <w:basedOn w:val="Normal"/>
    <w:rsid w:val="005315A5"/>
    <w:pPr>
      <w:suppressAutoHyphens w:val="0"/>
      <w:spacing w:before="100" w:beforeAutospacing="1" w:after="100" w:afterAutospacing="1"/>
    </w:pPr>
    <w:rPr>
      <w:szCs w:val="24"/>
      <w:lang w:eastAsia="en-GB"/>
    </w:rPr>
  </w:style>
  <w:style w:type="character" w:customStyle="1" w:styleId="dec-005flist--char">
    <w:name w:val="dec-005flist--char"/>
    <w:basedOn w:val="DefaultParagraphFont"/>
    <w:rsid w:val="00AA022F"/>
  </w:style>
  <w:style w:type="paragraph" w:styleId="ColorfulShading-Accent1">
    <w:name w:val="Colorful Shading Accent 1"/>
    <w:hidden/>
    <w:uiPriority w:val="99"/>
    <w:semiHidden/>
    <w:rsid w:val="00B4464C"/>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1579094396">
      <w:bodyDiv w:val="1"/>
      <w:marLeft w:val="0"/>
      <w:marRight w:val="0"/>
      <w:marTop w:val="0"/>
      <w:marBottom w:val="0"/>
      <w:divBdr>
        <w:top w:val="none" w:sz="0" w:space="0" w:color="auto"/>
        <w:left w:val="none" w:sz="0" w:space="0" w:color="auto"/>
        <w:bottom w:val="none" w:sz="0" w:space="0" w:color="auto"/>
        <w:right w:val="none" w:sz="0" w:space="0" w:color="auto"/>
      </w:divBdr>
    </w:div>
    <w:div w:id="1744907044">
      <w:bodyDiv w:val="1"/>
      <w:marLeft w:val="0"/>
      <w:marRight w:val="0"/>
      <w:marTop w:val="0"/>
      <w:marBottom w:val="0"/>
      <w:divBdr>
        <w:top w:val="none" w:sz="0" w:space="0" w:color="auto"/>
        <w:left w:val="none" w:sz="0" w:space="0" w:color="auto"/>
        <w:bottom w:val="none" w:sz="0" w:space="0" w:color="auto"/>
        <w:right w:val="none" w:sz="0" w:space="0" w:color="auto"/>
      </w:divBdr>
    </w:div>
    <w:div w:id="1797677619">
      <w:bodyDiv w:val="1"/>
      <w:marLeft w:val="0"/>
      <w:marRight w:val="0"/>
      <w:marTop w:val="0"/>
      <w:marBottom w:val="0"/>
      <w:divBdr>
        <w:top w:val="none" w:sz="0" w:space="0" w:color="auto"/>
        <w:left w:val="none" w:sz="0" w:space="0" w:color="auto"/>
        <w:bottom w:val="none" w:sz="0" w:space="0" w:color="auto"/>
        <w:right w:val="none" w:sz="0" w:space="0" w:color="auto"/>
      </w:divBdr>
      <w:divsChild>
        <w:div w:id="1302074586">
          <w:marLeft w:val="0"/>
          <w:marRight w:val="0"/>
          <w:marTop w:val="0"/>
          <w:marBottom w:val="0"/>
          <w:divBdr>
            <w:top w:val="none" w:sz="0" w:space="0" w:color="auto"/>
            <w:left w:val="none" w:sz="0" w:space="0" w:color="auto"/>
            <w:bottom w:val="none" w:sz="0" w:space="0" w:color="auto"/>
            <w:right w:val="none" w:sz="0" w:space="0" w:color="auto"/>
          </w:divBdr>
        </w:div>
        <w:div w:id="1975865476">
          <w:marLeft w:val="0"/>
          <w:marRight w:val="0"/>
          <w:marTop w:val="0"/>
          <w:marBottom w:val="0"/>
          <w:divBdr>
            <w:top w:val="none" w:sz="0" w:space="0" w:color="auto"/>
            <w:left w:val="none" w:sz="0" w:space="0" w:color="auto"/>
            <w:bottom w:val="none" w:sz="0" w:space="0" w:color="auto"/>
            <w:right w:val="none" w:sz="0" w:space="0" w:color="auto"/>
          </w:divBdr>
        </w:div>
      </w:divsChild>
    </w:div>
    <w:div w:id="2037148418">
      <w:bodyDiv w:val="1"/>
      <w:marLeft w:val="0"/>
      <w:marRight w:val="0"/>
      <w:marTop w:val="0"/>
      <w:marBottom w:val="0"/>
      <w:divBdr>
        <w:top w:val="none" w:sz="0" w:space="0" w:color="auto"/>
        <w:left w:val="none" w:sz="0" w:space="0" w:color="auto"/>
        <w:bottom w:val="none" w:sz="0" w:space="0" w:color="auto"/>
        <w:right w:val="none" w:sz="0" w:space="0" w:color="auto"/>
      </w:divBdr>
    </w:div>
    <w:div w:id="211389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F09AA7-4890-4DD1-A419-2623C7D1F44B}"/>
</file>

<file path=customXml/itemProps2.xml><?xml version="1.0" encoding="utf-8"?>
<ds:datastoreItem xmlns:ds="http://schemas.openxmlformats.org/officeDocument/2006/customXml" ds:itemID="{EA5A2967-8AB3-4F74-B182-651609FFB9F0}"/>
</file>

<file path=customXml/itemProps3.xml><?xml version="1.0" encoding="utf-8"?>
<ds:datastoreItem xmlns:ds="http://schemas.openxmlformats.org/officeDocument/2006/customXml" ds:itemID="{22CE0BF8-C965-4F6C-8961-E0A827888620}"/>
</file>

<file path=customXml/itemProps4.xml><?xml version="1.0" encoding="utf-8"?>
<ds:datastoreItem xmlns:ds="http://schemas.openxmlformats.org/officeDocument/2006/customXml" ds:itemID="{9E76A326-AE85-42D9-9B9F-5BF5FCB516F4}"/>
</file>

<file path=docProps/app.xml><?xml version="1.0" encoding="utf-8"?>
<Properties xmlns="http://schemas.openxmlformats.org/officeDocument/2006/extended-properties" xmlns:vt="http://schemas.openxmlformats.org/officeDocument/2006/docPropsVTypes">
  <Template>Normal.dotm</Template>
  <TotalTime>0</TotalTime>
  <Pages>1</Pages>
  <Words>38175</Words>
  <Characters>217600</Characters>
  <Application>Microsoft Office Word</Application>
  <DocSecurity>0</DocSecurity>
  <Lines>1813</Lines>
  <Paragraphs>510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255265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2011-07-04T08:51:00Z</cp:lastPrinted>
  <dcterms:created xsi:type="dcterms:W3CDTF">2018-05-29T09:16:00Z</dcterms:created>
  <dcterms:modified xsi:type="dcterms:W3CDTF">2018-05-29T09:16:00Z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