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30B" w:rsidP="008824B9" w:rsidRDefault="0009330B">
      <w:pPr>
        <w:jc w:val="center"/>
      </w:pPr>
    </w:p>
    <w:p w:rsidR="0009330B" w:rsidP="008824B9" w:rsidRDefault="0009330B">
      <w:pPr>
        <w:jc w:val="center"/>
      </w:pPr>
    </w:p>
    <w:p w:rsidRPr="001C0B3D" w:rsidR="00F71A6A" w:rsidP="008824B9" w:rsidRDefault="00F71A6A">
      <w:pPr>
        <w:jc w:val="center"/>
      </w:pPr>
    </w:p>
    <w:p w:rsidRPr="001C0B3D" w:rsidR="00F71A6A" w:rsidP="008824B9" w:rsidRDefault="001C0B3D">
      <w:pPr>
        <w:jc w:val="center"/>
      </w:pPr>
      <w:r w:rsidRPr="001C0B3D">
        <w:t>THIRD SECTION</w:t>
      </w:r>
    </w:p>
    <w:p w:rsidR="0009330B" w:rsidP="008824B9" w:rsidRDefault="0009330B">
      <w:pPr>
        <w:jc w:val="center"/>
      </w:pPr>
    </w:p>
    <w:p w:rsidR="0009330B" w:rsidP="008824B9" w:rsidRDefault="0009330B">
      <w:pPr>
        <w:jc w:val="center"/>
      </w:pPr>
    </w:p>
    <w:p w:rsidR="0009330B" w:rsidP="008824B9" w:rsidRDefault="0009330B">
      <w:pPr>
        <w:jc w:val="center"/>
      </w:pPr>
    </w:p>
    <w:p w:rsidRPr="001C0B3D" w:rsidR="00F71A6A" w:rsidP="008824B9" w:rsidRDefault="00F71A6A">
      <w:pPr>
        <w:jc w:val="center"/>
      </w:pPr>
    </w:p>
    <w:p w:rsidRPr="001C0B3D" w:rsidR="00F71A6A" w:rsidP="008824B9" w:rsidRDefault="00F71A6A">
      <w:pPr>
        <w:jc w:val="center"/>
        <w:rPr>
          <w:b/>
        </w:rPr>
      </w:pPr>
      <w:bookmarkStart w:name="To" w:id="0"/>
      <w:r w:rsidRPr="001C0B3D">
        <w:rPr>
          <w:b/>
        </w:rPr>
        <w:t xml:space="preserve">CASE OF </w:t>
      </w:r>
      <w:bookmarkEnd w:id="0"/>
      <w:r w:rsidRPr="001C0B3D" w:rsidR="001C0B3D">
        <w:rPr>
          <w:b/>
        </w:rPr>
        <w:t xml:space="preserve">GIURAN v. </w:t>
      </w:r>
      <w:smartTag w:uri="urn:schemas-microsoft-com:office:smarttags" w:element="place">
        <w:smartTag w:uri="urn:schemas-microsoft-com:office:smarttags" w:element="country-region">
          <w:r w:rsidR="001C0B3D" w:rsidRPr="001C0B3D">
            <w:rPr>
              <w:b/>
            </w:rPr>
            <w:t>ROMANIA</w:t>
          </w:r>
        </w:smartTag>
      </w:smartTag>
    </w:p>
    <w:p w:rsidRPr="001C0B3D" w:rsidR="00F71A6A" w:rsidP="008824B9" w:rsidRDefault="00F71A6A">
      <w:pPr>
        <w:jc w:val="center"/>
      </w:pPr>
    </w:p>
    <w:p w:rsidRPr="001C0B3D" w:rsidR="00F71A6A" w:rsidP="008824B9" w:rsidRDefault="00F71A6A">
      <w:pPr>
        <w:jc w:val="center"/>
        <w:rPr>
          <w:i/>
        </w:rPr>
      </w:pPr>
      <w:r w:rsidRPr="001C0B3D">
        <w:rPr>
          <w:i/>
        </w:rPr>
        <w:t>(</w:t>
      </w:r>
      <w:r w:rsidRPr="001C0B3D" w:rsidR="001C0B3D">
        <w:rPr>
          <w:i/>
        </w:rPr>
        <w:t>Application no. 24360/04</w:t>
      </w:r>
      <w:r w:rsidRPr="001C0B3D">
        <w:rPr>
          <w:i/>
        </w:rPr>
        <w:t>)</w:t>
      </w:r>
    </w:p>
    <w:p w:rsidR="0009330B" w:rsidP="0009330B" w:rsidRDefault="0009330B">
      <w:pPr>
        <w:jc w:val="center"/>
      </w:pPr>
    </w:p>
    <w:p w:rsidR="0009330B" w:rsidP="0009330B" w:rsidRDefault="0009330B">
      <w:pPr>
        <w:jc w:val="center"/>
      </w:pPr>
    </w:p>
    <w:p w:rsidR="0009330B" w:rsidP="0009330B" w:rsidRDefault="0009330B">
      <w:pPr>
        <w:jc w:val="center"/>
      </w:pPr>
    </w:p>
    <w:p w:rsidR="0009330B" w:rsidP="0009330B" w:rsidRDefault="0009330B">
      <w:pPr>
        <w:jc w:val="center"/>
      </w:pPr>
    </w:p>
    <w:p w:rsidR="0009330B" w:rsidP="0009330B" w:rsidRDefault="0009330B">
      <w:pPr>
        <w:jc w:val="center"/>
      </w:pPr>
    </w:p>
    <w:p w:rsidR="0009330B" w:rsidP="0009330B" w:rsidRDefault="0009330B">
      <w:pPr>
        <w:jc w:val="center"/>
      </w:pPr>
    </w:p>
    <w:p w:rsidR="0009330B" w:rsidP="0009330B" w:rsidRDefault="0009330B">
      <w:pPr>
        <w:jc w:val="center"/>
      </w:pPr>
      <w:r>
        <w:t>JUDGMENT</w:t>
      </w:r>
    </w:p>
    <w:p w:rsidR="0009330B" w:rsidP="0009330B" w:rsidRDefault="0009330B">
      <w:pPr>
        <w:jc w:val="center"/>
      </w:pPr>
    </w:p>
    <w:p w:rsidR="0009330B" w:rsidP="0009330B" w:rsidRDefault="0009330B">
      <w:pPr>
        <w:jc w:val="center"/>
      </w:pPr>
    </w:p>
    <w:p w:rsidR="0009330B" w:rsidP="0009330B" w:rsidRDefault="0009330B">
      <w:pPr>
        <w:jc w:val="center"/>
      </w:pPr>
    </w:p>
    <w:p w:rsidR="0009330B" w:rsidP="0009330B" w:rsidRDefault="0009330B">
      <w:pPr>
        <w:jc w:val="center"/>
      </w:pPr>
      <w:smartTag w:uri="urn:schemas-microsoft-com:office:smarttags" w:element="place">
        <w:smartTag w:uri="urn:schemas-microsoft-com:office:smarttags" w:element="City">
          <w:r>
            <w:t>STRASBOURG</w:t>
          </w:r>
        </w:smartTag>
      </w:smartTag>
    </w:p>
    <w:p w:rsidR="0009330B" w:rsidP="0009330B" w:rsidRDefault="0009330B">
      <w:pPr>
        <w:jc w:val="center"/>
      </w:pPr>
    </w:p>
    <w:p w:rsidR="0009330B" w:rsidP="0009330B" w:rsidRDefault="0009330B">
      <w:pPr>
        <w:jc w:val="center"/>
      </w:pPr>
      <w:r>
        <w:t>21 June 2011</w:t>
      </w:r>
    </w:p>
    <w:p w:rsidR="0009330B" w:rsidP="0009330B" w:rsidRDefault="0009330B">
      <w:pPr>
        <w:jc w:val="center"/>
      </w:pPr>
    </w:p>
    <w:p w:rsidR="0009330B" w:rsidP="0009330B" w:rsidRDefault="0009330B">
      <w:pPr>
        <w:jc w:val="center"/>
      </w:pPr>
    </w:p>
    <w:p w:rsidR="000A0B63" w:rsidP="000A0B63" w:rsidRDefault="000A0B63">
      <w:pPr>
        <w:jc w:val="center"/>
        <w:rPr>
          <w:b/>
          <w:bCs/>
          <w:color w:val="FF0000"/>
          <w:sz w:val="28"/>
          <w:szCs w:val="28"/>
          <w:u w:val="single"/>
        </w:rPr>
      </w:pPr>
      <w:r>
        <w:rPr>
          <w:b/>
          <w:bCs/>
          <w:color w:val="FF0000"/>
          <w:sz w:val="28"/>
          <w:szCs w:val="28"/>
          <w:u w:val="single"/>
        </w:rPr>
        <w:t>FINAL</w:t>
      </w:r>
    </w:p>
    <w:p w:rsidRPr="00B54AEE" w:rsidR="000A0B63" w:rsidP="000A0B63" w:rsidRDefault="000A0B63">
      <w:pPr>
        <w:jc w:val="center"/>
        <w:rPr>
          <w:b/>
          <w:color w:val="FF0000"/>
          <w:u w:val="single"/>
        </w:rPr>
      </w:pPr>
    </w:p>
    <w:p w:rsidRPr="00B54AEE" w:rsidR="000A0B63" w:rsidP="000A0B63" w:rsidRDefault="000A0B63">
      <w:pPr>
        <w:jc w:val="center"/>
        <w:rPr>
          <w:i/>
          <w:color w:val="FF0000"/>
          <w:sz w:val="28"/>
          <w:szCs w:val="28"/>
        </w:rPr>
      </w:pPr>
      <w:r w:rsidRPr="00B54AEE">
        <w:rPr>
          <w:i/>
          <w:color w:val="FF0000"/>
          <w:sz w:val="28"/>
          <w:szCs w:val="28"/>
        </w:rPr>
        <w:t>21/09/2011</w:t>
      </w:r>
    </w:p>
    <w:p w:rsidRPr="00B54AEE" w:rsidR="000A0B63" w:rsidP="000A0B63" w:rsidRDefault="000A0B63">
      <w:pPr>
        <w:jc w:val="center"/>
        <w:rPr>
          <w:i/>
        </w:rPr>
      </w:pPr>
    </w:p>
    <w:p w:rsidRPr="00B54AEE" w:rsidR="000A0B63" w:rsidP="000A0B63" w:rsidRDefault="000A0B63">
      <w:pPr>
        <w:jc w:val="center"/>
        <w:rPr>
          <w:i/>
        </w:rPr>
      </w:pPr>
    </w:p>
    <w:p w:rsidRPr="0009330B" w:rsidR="00B921A8" w:rsidP="000A0B63" w:rsidRDefault="000A0B63">
      <w:pPr>
        <w:jc w:val="both"/>
      </w:pPr>
      <w:r w:rsidRPr="00B54AEE">
        <w:rPr>
          <w:i/>
          <w:color w:val="000000"/>
        </w:rPr>
        <w:t xml:space="preserve">This judgment has become final under Article 44 § 2 of the Convention. </w:t>
      </w:r>
      <w:r w:rsidRPr="006540F9">
        <w:rPr>
          <w:i/>
          <w:color w:val="000000"/>
        </w:rPr>
        <w:t>It may be subject to editorial revision</w:t>
      </w:r>
      <w:r>
        <w:rPr>
          <w:i/>
          <w:sz w:val="22"/>
        </w:rPr>
        <w:t>.</w:t>
      </w:r>
    </w:p>
    <w:p w:rsidR="0009330B" w:rsidP="008824B9" w:rsidRDefault="0009330B">
      <w:pPr>
        <w:pStyle w:val="JuCase"/>
        <w:sectPr w:rsidR="0009330B" w:rsidSect="0009330B">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254"/>
        </w:sectPr>
      </w:pPr>
    </w:p>
    <w:p w:rsidRPr="001C0B3D" w:rsidR="00F71A6A" w:rsidP="008824B9" w:rsidRDefault="00F71A6A">
      <w:pPr>
        <w:pStyle w:val="JuCase"/>
      </w:pPr>
      <w:bookmarkStart w:name="_GoBack" w:id="1"/>
      <w:bookmarkEnd w:id="1"/>
      <w:r w:rsidRPr="001C0B3D">
        <w:t xml:space="preserve">In the case of </w:t>
      </w:r>
      <w:r w:rsidRPr="001C0B3D" w:rsidR="001C0B3D">
        <w:rPr>
          <w:rStyle w:val="JuCaseChar"/>
        </w:rPr>
        <w:t xml:space="preserve">Giuran v. </w:t>
      </w:r>
      <w:smartTag w:uri="urn:schemas-microsoft-com:office:smarttags" w:element="place">
        <w:smartTag w:uri="urn:schemas-microsoft-com:office:smarttags" w:element="country-region">
          <w:r w:rsidR="001C0B3D" w:rsidRPr="001C0B3D">
            <w:rPr>
              <w:rStyle w:val="JuCaseChar"/>
            </w:rPr>
            <w:t>Romania</w:t>
          </w:r>
        </w:smartTag>
      </w:smartTag>
      <w:r w:rsidRPr="001C0B3D">
        <w:t>,</w:t>
      </w:r>
    </w:p>
    <w:p w:rsidRPr="001C0B3D" w:rsidR="00730433" w:rsidP="008824B9" w:rsidRDefault="00F71A6A">
      <w:pPr>
        <w:pStyle w:val="JuPara"/>
      </w:pPr>
      <w:r w:rsidRPr="001C0B3D">
        <w:t>The European Court of Human Rights (</w:t>
      </w:r>
      <w:r w:rsidRPr="001C0B3D" w:rsidR="001C0B3D">
        <w:t>Third Section</w:t>
      </w:r>
      <w:r w:rsidRPr="001C0B3D">
        <w:t xml:space="preserve">), sitting as a </w:t>
      </w:r>
      <w:r w:rsidRPr="001C0B3D" w:rsidR="001C0B3D">
        <w:t>Chamber</w:t>
      </w:r>
      <w:r w:rsidRPr="001C0B3D" w:rsidR="00730433">
        <w:t xml:space="preserve"> composed of:</w:t>
      </w:r>
    </w:p>
    <w:p w:rsidRPr="001C0B3D" w:rsidR="00F71A6A" w:rsidP="008824B9" w:rsidRDefault="0009330B">
      <w:pPr>
        <w:pStyle w:val="JuJudges"/>
      </w:pPr>
      <w:r w:rsidRPr="0009330B">
        <w:rPr>
          <w:rStyle w:val="JuJudgesChar"/>
          <w:szCs w:val="24"/>
        </w:rPr>
        <w:tab/>
        <w:t>Josep Casadevall,</w:t>
      </w:r>
      <w:r w:rsidRPr="0009330B">
        <w:rPr>
          <w:rStyle w:val="JuJudgesChar"/>
          <w:i/>
          <w:szCs w:val="24"/>
        </w:rPr>
        <w:t xml:space="preserve"> President,</w:t>
      </w:r>
      <w:r w:rsidRPr="0009330B">
        <w:rPr>
          <w:rStyle w:val="JuJudgesChar"/>
          <w:i/>
          <w:szCs w:val="24"/>
        </w:rPr>
        <w:br/>
      </w:r>
      <w:r w:rsidRPr="0009330B">
        <w:rPr>
          <w:rStyle w:val="JuJudgesChar"/>
          <w:szCs w:val="24"/>
        </w:rPr>
        <w:tab/>
        <w:t>Corneliu Bîrsan,</w:t>
      </w:r>
      <w:r w:rsidRPr="0009330B">
        <w:rPr>
          <w:rStyle w:val="JuJudgesChar"/>
          <w:i/>
          <w:szCs w:val="24"/>
        </w:rPr>
        <w:br/>
      </w:r>
      <w:r w:rsidRPr="0009330B">
        <w:rPr>
          <w:rStyle w:val="JuJudgesChar"/>
          <w:szCs w:val="24"/>
        </w:rPr>
        <w:tab/>
        <w:t>Alvina Gyulumyan,</w:t>
      </w:r>
      <w:r w:rsidRPr="0009330B">
        <w:rPr>
          <w:rStyle w:val="JuJudgesChar"/>
          <w:i/>
          <w:szCs w:val="24"/>
        </w:rPr>
        <w:br/>
      </w:r>
      <w:r w:rsidRPr="0009330B">
        <w:rPr>
          <w:rStyle w:val="JuJudgesChar"/>
          <w:szCs w:val="24"/>
        </w:rPr>
        <w:tab/>
        <w:t>Ján Šikuta,</w:t>
      </w:r>
      <w:r w:rsidRPr="0009330B">
        <w:rPr>
          <w:rStyle w:val="JuJudgesChar"/>
          <w:i/>
          <w:szCs w:val="24"/>
        </w:rPr>
        <w:br/>
      </w:r>
      <w:r w:rsidRPr="0009330B">
        <w:rPr>
          <w:rStyle w:val="JuJudgesChar"/>
          <w:szCs w:val="24"/>
        </w:rPr>
        <w:tab/>
        <w:t>Luis López Guerra,</w:t>
      </w:r>
      <w:r w:rsidRPr="0009330B">
        <w:rPr>
          <w:rStyle w:val="JuJudgesChar"/>
          <w:i/>
          <w:szCs w:val="24"/>
        </w:rPr>
        <w:br/>
      </w:r>
      <w:r w:rsidRPr="0009330B">
        <w:rPr>
          <w:rStyle w:val="JuJudgesChar"/>
          <w:szCs w:val="24"/>
        </w:rPr>
        <w:tab/>
        <w:t>Nona Tsotsoria,</w:t>
      </w:r>
      <w:r w:rsidRPr="0009330B">
        <w:rPr>
          <w:rStyle w:val="JuJudgesChar"/>
          <w:i/>
          <w:szCs w:val="24"/>
        </w:rPr>
        <w:br/>
      </w:r>
      <w:r w:rsidRPr="0009330B">
        <w:rPr>
          <w:rStyle w:val="JuJudgesChar"/>
          <w:szCs w:val="24"/>
        </w:rPr>
        <w:tab/>
        <w:t>Mihai Poalelungi,</w:t>
      </w:r>
      <w:r w:rsidRPr="0009330B">
        <w:rPr>
          <w:rStyle w:val="JuJudgesChar"/>
          <w:i/>
          <w:szCs w:val="24"/>
        </w:rPr>
        <w:t xml:space="preserve"> judges,</w:t>
      </w:r>
      <w:r w:rsidRPr="0009330B">
        <w:rPr>
          <w:rStyle w:val="JuJudgesChar"/>
          <w:i/>
          <w:szCs w:val="24"/>
        </w:rPr>
        <w:br/>
      </w:r>
      <w:r w:rsidRPr="001C0B3D" w:rsidR="00F71A6A">
        <w:t>and</w:t>
      </w:r>
      <w:r w:rsidRPr="001C0B3D" w:rsidR="000726F6">
        <w:t xml:space="preserve"> </w:t>
      </w:r>
      <w:r w:rsidRPr="001C0B3D" w:rsidR="001C0B3D">
        <w:t>Santiago Quesada</w:t>
      </w:r>
      <w:r w:rsidRPr="001C0B3D" w:rsidR="009D4B87">
        <w:rPr>
          <w:rStyle w:val="JuJudgesChar"/>
        </w:rPr>
        <w:t xml:space="preserve">, </w:t>
      </w:r>
      <w:r w:rsidRPr="001C0B3D" w:rsidR="001C0B3D">
        <w:rPr>
          <w:i/>
        </w:rPr>
        <w:t xml:space="preserve">Section </w:t>
      </w:r>
      <w:r w:rsidRPr="001C0B3D" w:rsidR="001C0B3D">
        <w:rPr>
          <w:i/>
          <w:iCs/>
        </w:rPr>
        <w:t>Registrar</w:t>
      </w:r>
      <w:r w:rsidRPr="001C0B3D" w:rsidR="00F71A6A">
        <w:rPr>
          <w:i/>
        </w:rPr>
        <w:t>,</w:t>
      </w:r>
    </w:p>
    <w:p w:rsidRPr="001C0B3D" w:rsidR="00F71A6A" w:rsidP="008824B9" w:rsidRDefault="00F71A6A">
      <w:pPr>
        <w:pStyle w:val="JuPara"/>
      </w:pPr>
      <w:r w:rsidRPr="001C0B3D">
        <w:t xml:space="preserve">Having deliberated in private on </w:t>
      </w:r>
      <w:r w:rsidR="0009330B">
        <w:t>24 May 2011</w:t>
      </w:r>
      <w:r w:rsidRPr="001C0B3D">
        <w:t>,</w:t>
      </w:r>
    </w:p>
    <w:p w:rsidRPr="001C0B3D" w:rsidR="00F71A6A" w:rsidP="008824B9" w:rsidRDefault="00F71A6A">
      <w:pPr>
        <w:pStyle w:val="JuPara"/>
      </w:pPr>
      <w:r w:rsidRPr="001C0B3D">
        <w:t>Delivers the following judgment, which was adopted on that date:</w:t>
      </w:r>
    </w:p>
    <w:p w:rsidRPr="001C0B3D" w:rsidR="00F71A6A" w:rsidP="008824B9" w:rsidRDefault="00F71A6A">
      <w:pPr>
        <w:pStyle w:val="JuHHead"/>
      </w:pPr>
      <w:r w:rsidRPr="001C0B3D">
        <w:t>PROCEDURE</w:t>
      </w:r>
    </w:p>
    <w:p w:rsidRPr="001C0B3D" w:rsidR="00F71A6A" w:rsidP="00AE2F4F" w:rsidRDefault="001C0B3D">
      <w:pPr>
        <w:pStyle w:val="JuPara"/>
      </w:pPr>
      <w:r w:rsidRPr="001C0B3D">
        <w:fldChar w:fldCharType="begin"/>
      </w:r>
      <w:r w:rsidRPr="001C0B3D">
        <w:instrText xml:space="preserve"> SEQ level0 \*arabic </w:instrText>
      </w:r>
      <w:r w:rsidRPr="001C0B3D">
        <w:fldChar w:fldCharType="separate"/>
      </w:r>
      <w:r w:rsidR="001E5484">
        <w:rPr>
          <w:noProof/>
        </w:rPr>
        <w:t>1</w:t>
      </w:r>
      <w:r w:rsidRPr="001C0B3D">
        <w:fldChar w:fldCharType="end"/>
      </w:r>
      <w:r w:rsidRPr="001C0B3D" w:rsidR="00F71A6A">
        <w:t xml:space="preserve">.  The case originated in </w:t>
      </w:r>
      <w:r w:rsidRPr="001C0B3D">
        <w:t>an application (no. 24360/04)</w:t>
      </w:r>
      <w:r w:rsidRPr="001C0B3D" w:rsidR="00F71A6A">
        <w:t xml:space="preserve"> against </w:t>
      </w:r>
      <w:smartTag w:uri="urn:schemas-microsoft-com:office:smarttags" w:element="place">
        <w:smartTag w:uri="urn:schemas-microsoft-com:office:smarttags" w:element="country-region">
          <w:r w:rsidRPr="001C0B3D">
            <w:t>Romania</w:t>
          </w:r>
        </w:smartTag>
      </w:smartTag>
      <w:r w:rsidRPr="001C0B3D" w:rsidR="00F71A6A">
        <w:t xml:space="preserve"> lodged with the </w:t>
      </w:r>
      <w:r w:rsidRPr="001C0B3D">
        <w:t>Court under Article 34</w:t>
      </w:r>
      <w:r w:rsidRPr="001C0B3D" w:rsidR="004920B1">
        <w:t xml:space="preserve"> of the Convention for the Protection of Human Rights and Fundamental Freedoms (“the Convention”)</w:t>
      </w:r>
      <w:r w:rsidRPr="001C0B3D" w:rsidR="00F71A6A">
        <w:t xml:space="preserve"> by </w:t>
      </w:r>
      <w:r w:rsidRPr="001C0B3D">
        <w:t xml:space="preserve">a </w:t>
      </w:r>
      <w:r w:rsidR="006A4E55">
        <w:t xml:space="preserve">Romanian and </w:t>
      </w:r>
      <w:r w:rsidRPr="001C0B3D">
        <w:t>British national, Mr Mihai-Ion Giuran (“the applicant”), on 1</w:t>
      </w:r>
      <w:r w:rsidR="006A4E55">
        <w:t> </w:t>
      </w:r>
      <w:r w:rsidRPr="001C0B3D">
        <w:t>May 2004</w:t>
      </w:r>
      <w:r w:rsidRPr="001C0B3D" w:rsidR="00F71A6A">
        <w:t>.</w:t>
      </w:r>
    </w:p>
    <w:p w:rsidR="00274842" w:rsidP="00B81192" w:rsidRDefault="001C0B3D">
      <w:pPr>
        <w:pStyle w:val="JuPara"/>
      </w:pPr>
      <w:r w:rsidRPr="001C0B3D">
        <w:fldChar w:fldCharType="begin"/>
      </w:r>
      <w:r w:rsidRPr="001C0B3D">
        <w:instrText xml:space="preserve"> SEQ level0 \*arabic </w:instrText>
      </w:r>
      <w:r w:rsidRPr="001C0B3D">
        <w:fldChar w:fldCharType="separate"/>
      </w:r>
      <w:r w:rsidR="001E5484">
        <w:rPr>
          <w:noProof/>
        </w:rPr>
        <w:t>2</w:t>
      </w:r>
      <w:r w:rsidRPr="001C0B3D">
        <w:fldChar w:fldCharType="end"/>
      </w:r>
      <w:r w:rsidRPr="001C0B3D" w:rsidR="00F71A6A">
        <w:t xml:space="preserve">.  The </w:t>
      </w:r>
      <w:r w:rsidRPr="001C0B3D">
        <w:t>Romanian</w:t>
      </w:r>
      <w:r w:rsidRPr="001C0B3D" w:rsidR="00F71A6A">
        <w:t xml:space="preserve"> Government (“the Government”) were represented by their Agent, Mr </w:t>
      </w:r>
      <w:r w:rsidR="0009330B">
        <w:rPr>
          <w:color w:val="000000"/>
        </w:rPr>
        <w:t>Răzvan-</w:t>
      </w:r>
      <w:r w:rsidR="00B823C2">
        <w:rPr>
          <w:color w:val="000000"/>
        </w:rPr>
        <w:t>Horaţiu Radu, from the Ministry of Foreign Affairs</w:t>
      </w:r>
      <w:r w:rsidRPr="001C0B3D">
        <w:t>.</w:t>
      </w:r>
    </w:p>
    <w:p w:rsidRPr="001C0B3D" w:rsidR="00F71A6A" w:rsidP="00B81192" w:rsidRDefault="00B823C2">
      <w:pPr>
        <w:pStyle w:val="JuPara"/>
      </w:pPr>
      <w:r>
        <w:fldChar w:fldCharType="begin"/>
      </w:r>
      <w:r>
        <w:instrText xml:space="preserve"> SEQ level0 \*arabic </w:instrText>
      </w:r>
      <w:r>
        <w:fldChar w:fldCharType="separate"/>
      </w:r>
      <w:r w:rsidR="001E5484">
        <w:rPr>
          <w:noProof/>
        </w:rPr>
        <w:t>3</w:t>
      </w:r>
      <w:r>
        <w:fldChar w:fldCharType="end"/>
      </w:r>
      <w:r>
        <w:t>.  </w:t>
      </w:r>
      <w:r w:rsidRPr="001C0B3D" w:rsidR="001C0B3D">
        <w:t>The applicant alleged, in particular,</w:t>
      </w:r>
      <w:r w:rsidR="006A4E55">
        <w:t xml:space="preserve"> a violation of his right to a fair trial and peaceful enjoyment of his possessions as a result of the quashing, by way of extraordinary appeal, of a final judgment issued in his favour</w:t>
      </w:r>
      <w:r w:rsidRPr="001C0B3D" w:rsidR="001C0B3D">
        <w:t>.</w:t>
      </w:r>
    </w:p>
    <w:p w:rsidR="00F71A6A" w:rsidP="00A80135" w:rsidRDefault="001C0B3D">
      <w:pPr>
        <w:pStyle w:val="JuPara"/>
      </w:pPr>
      <w:r w:rsidRPr="001C0B3D">
        <w:fldChar w:fldCharType="begin"/>
      </w:r>
      <w:r w:rsidRPr="001C0B3D">
        <w:instrText xml:space="preserve"> SEQ level0 \*arabic </w:instrText>
      </w:r>
      <w:r w:rsidRPr="001C0B3D">
        <w:fldChar w:fldCharType="separate"/>
      </w:r>
      <w:r w:rsidR="001E5484">
        <w:rPr>
          <w:noProof/>
        </w:rPr>
        <w:t>4</w:t>
      </w:r>
      <w:r w:rsidRPr="001C0B3D">
        <w:fldChar w:fldCharType="end"/>
      </w:r>
      <w:r w:rsidRPr="001C0B3D" w:rsidR="00F71A6A">
        <w:t xml:space="preserve">.  On </w:t>
      </w:r>
      <w:r w:rsidR="006A4E55">
        <w:t>19 March 2010,</w:t>
      </w:r>
      <w:r w:rsidRPr="001C0B3D" w:rsidR="00F71A6A">
        <w:t xml:space="preserve"> </w:t>
      </w:r>
      <w:r w:rsidRPr="001C0B3D">
        <w:t>the President of the Third Section</w:t>
      </w:r>
      <w:r w:rsidRPr="001C0B3D" w:rsidR="00F71A6A">
        <w:t xml:space="preserve"> decided to communicate the</w:t>
      </w:r>
      <w:r w:rsidR="006A4E55">
        <w:t>se</w:t>
      </w:r>
      <w:r w:rsidRPr="001C0B3D" w:rsidR="00F71A6A">
        <w:t xml:space="preserve"> complaint</w:t>
      </w:r>
      <w:r w:rsidR="006A4E55">
        <w:t>s</w:t>
      </w:r>
      <w:r w:rsidRPr="001C0B3D" w:rsidR="00F71A6A">
        <w:t xml:space="preserve"> </w:t>
      </w:r>
      <w:r w:rsidR="006A4E55">
        <w:t>t</w:t>
      </w:r>
      <w:r w:rsidRPr="001C0B3D" w:rsidR="00F71A6A">
        <w:t>o the Gove</w:t>
      </w:r>
      <w:r w:rsidRPr="001C0B3D" w:rsidR="00485A6F">
        <w:t>rnment.</w:t>
      </w:r>
      <w:r w:rsidRPr="001C0B3D">
        <w:t xml:space="preserve"> It was also decided to rule on the admissibility and merits of the application at the same time (Article 29 § 1).</w:t>
      </w:r>
    </w:p>
    <w:p w:rsidRPr="001C0B3D" w:rsidR="006A4E55" w:rsidP="00A80135" w:rsidRDefault="006A4E55">
      <w:pPr>
        <w:pStyle w:val="JuPara"/>
      </w:pPr>
      <w:r>
        <w:fldChar w:fldCharType="begin"/>
      </w:r>
      <w:r>
        <w:instrText xml:space="preserve"> SEQ level0 \*arabic </w:instrText>
      </w:r>
      <w:r>
        <w:fldChar w:fldCharType="separate"/>
      </w:r>
      <w:r w:rsidR="001E5484">
        <w:rPr>
          <w:noProof/>
        </w:rPr>
        <w:t>5</w:t>
      </w:r>
      <w:r>
        <w:fldChar w:fldCharType="end"/>
      </w:r>
      <w:r>
        <w:t>.  </w:t>
      </w:r>
      <w:r>
        <w:rPr>
          <w:color w:val="000000"/>
        </w:rPr>
        <w:t>The United Kingdom Governments were informed of the application, in view of the applicant</w:t>
      </w:r>
      <w:r w:rsidR="000A0B63">
        <w:rPr>
          <w:color w:val="000000"/>
        </w:rPr>
        <w:t>’</w:t>
      </w:r>
      <w:r>
        <w:rPr>
          <w:color w:val="000000"/>
        </w:rPr>
        <w:t>s nationality (Article 36 § 1 of the Convention and Rule 44 of the Rules of Court). They did not wish to intervene.</w:t>
      </w:r>
    </w:p>
    <w:p w:rsidRPr="001C0B3D" w:rsidR="00F71A6A" w:rsidP="008824B9" w:rsidRDefault="00F71A6A">
      <w:pPr>
        <w:pStyle w:val="JuHHead"/>
      </w:pPr>
      <w:r w:rsidRPr="001C0B3D">
        <w:t>THE FACTS</w:t>
      </w:r>
    </w:p>
    <w:p w:rsidRPr="001C0B3D" w:rsidR="00D353F4" w:rsidP="008824B9" w:rsidRDefault="007352DD">
      <w:pPr>
        <w:pStyle w:val="JuHIRoman"/>
        <w:outlineLvl w:val="0"/>
      </w:pPr>
      <w:r w:rsidRPr="001C0B3D">
        <w:t xml:space="preserve">I.  THE CIRCUMSTANCES OF THE </w:t>
      </w:r>
      <w:r w:rsidRPr="001C0B3D" w:rsidR="00D353F4">
        <w:t>CASE</w:t>
      </w:r>
    </w:p>
    <w:p w:rsidRPr="001C0B3D" w:rsidR="00F71A6A" w:rsidRDefault="001C0B3D">
      <w:pPr>
        <w:pStyle w:val="JuPara"/>
      </w:pPr>
      <w:r w:rsidRPr="001C0B3D">
        <w:fldChar w:fldCharType="begin"/>
      </w:r>
      <w:r w:rsidRPr="001C0B3D">
        <w:instrText xml:space="preserve"> SEQ level0 \*arabic </w:instrText>
      </w:r>
      <w:r w:rsidRPr="001C0B3D">
        <w:fldChar w:fldCharType="separate"/>
      </w:r>
      <w:r w:rsidR="001E5484">
        <w:rPr>
          <w:noProof/>
        </w:rPr>
        <w:t>6</w:t>
      </w:r>
      <w:r w:rsidRPr="001C0B3D">
        <w:fldChar w:fldCharType="end"/>
      </w:r>
      <w:r w:rsidRPr="001C0B3D" w:rsidR="00F71A6A">
        <w:t xml:space="preserve">.  The </w:t>
      </w:r>
      <w:r w:rsidRPr="001C0B3D">
        <w:t>applicant was born in 1930 and lives</w:t>
      </w:r>
      <w:r w:rsidRPr="001C0B3D" w:rsidR="00F71A6A">
        <w:t xml:space="preserve"> in </w:t>
      </w:r>
      <w:r w:rsidRPr="001C0B3D">
        <w:t>Slatina</w:t>
      </w:r>
      <w:r w:rsidRPr="001C0B3D" w:rsidR="00F71A6A">
        <w:t>.</w:t>
      </w:r>
      <w:r w:rsidR="006A4E55">
        <w:t xml:space="preserve"> </w:t>
      </w:r>
      <w:r w:rsidR="00F1504C">
        <w:t>He is retired.</w:t>
      </w:r>
    </w:p>
    <w:p w:rsidR="001E0463" w:rsidP="006A4E55" w:rsidRDefault="001C0B3D">
      <w:pPr>
        <w:pStyle w:val="JuPara"/>
      </w:pPr>
      <w:r w:rsidRPr="001C0B3D">
        <w:fldChar w:fldCharType="begin"/>
      </w:r>
      <w:r w:rsidRPr="001C0B3D">
        <w:instrText xml:space="preserve"> SEQ level0 \*arabic </w:instrText>
      </w:r>
      <w:r w:rsidRPr="001C0B3D">
        <w:fldChar w:fldCharType="separate"/>
      </w:r>
      <w:r w:rsidR="001E5484">
        <w:rPr>
          <w:noProof/>
        </w:rPr>
        <w:t>7</w:t>
      </w:r>
      <w:r w:rsidRPr="001C0B3D">
        <w:fldChar w:fldCharType="end"/>
      </w:r>
      <w:r w:rsidRPr="001C0B3D" w:rsidR="00F71A6A">
        <w:t>.  </w:t>
      </w:r>
      <w:r w:rsidR="006A4E55">
        <w:t>On 7 August 2001 he lodged a criminal complaint against E.I.</w:t>
      </w:r>
      <w:r w:rsidR="00F15DDB">
        <w:t>,</w:t>
      </w:r>
      <w:r w:rsidR="006A4E55">
        <w:t xml:space="preserve"> claiming that she had stolen certain items from his flat. He stated that E.I. regularly </w:t>
      </w:r>
      <w:r w:rsidR="004C71BF">
        <w:t xml:space="preserve">came to </w:t>
      </w:r>
      <w:r w:rsidR="006A4E55">
        <w:t>his flat to clean</w:t>
      </w:r>
      <w:r w:rsidR="004C71BF">
        <w:t xml:space="preserve"> it</w:t>
      </w:r>
      <w:r w:rsidR="006A4E55">
        <w:t xml:space="preserve"> and</w:t>
      </w:r>
      <w:r w:rsidR="004C71BF">
        <w:t xml:space="preserve"> that</w:t>
      </w:r>
      <w:r w:rsidR="006A4E55">
        <w:t xml:space="preserve"> on 20 January 2001 she had removed several items</w:t>
      </w:r>
      <w:r w:rsidRPr="00C65858" w:rsidR="006A4E55">
        <w:t xml:space="preserve"> </w:t>
      </w:r>
      <w:r w:rsidR="006A4E55">
        <w:t xml:space="preserve">of jewellery and clothing from his flat. </w:t>
      </w:r>
      <w:r w:rsidR="003D1338">
        <w:t>H</w:t>
      </w:r>
      <w:r w:rsidR="006A4E55">
        <w:t xml:space="preserve">e had only realised in July </w:t>
      </w:r>
      <w:r w:rsidR="001E0463">
        <w:t xml:space="preserve">2001 </w:t>
      </w:r>
      <w:r w:rsidR="006A4E55">
        <w:t xml:space="preserve">that those </w:t>
      </w:r>
      <w:r w:rsidR="00520437">
        <w:t xml:space="preserve">items </w:t>
      </w:r>
      <w:r w:rsidR="0009330B">
        <w:t>had disappeared from his flat.</w:t>
      </w:r>
    </w:p>
    <w:p w:rsidR="006A4E55" w:rsidP="006A4E55" w:rsidRDefault="001E0463">
      <w:pPr>
        <w:pStyle w:val="JuPara"/>
      </w:pPr>
      <w:r>
        <w:fldChar w:fldCharType="begin"/>
      </w:r>
      <w:r>
        <w:instrText xml:space="preserve"> SEQ level0 \*arabic </w:instrText>
      </w:r>
      <w:r>
        <w:fldChar w:fldCharType="separate"/>
      </w:r>
      <w:r w:rsidR="001E5484">
        <w:rPr>
          <w:noProof/>
        </w:rPr>
        <w:t>8</w:t>
      </w:r>
      <w:r>
        <w:fldChar w:fldCharType="end"/>
      </w:r>
      <w:r>
        <w:t>.  </w:t>
      </w:r>
      <w:r w:rsidR="0009330B">
        <w:t>The case was heard by the Dră</w:t>
      </w:r>
      <w:r w:rsidR="006A4E55">
        <w:t>g</w:t>
      </w:r>
      <w:r w:rsidR="0009330B">
        <w:t>ăş</w:t>
      </w:r>
      <w:r w:rsidR="006A4E55">
        <w:t>ani District Court</w:t>
      </w:r>
      <w:r w:rsidR="00F15DDB">
        <w:t>, which</w:t>
      </w:r>
      <w:r w:rsidR="006A4E55">
        <w:t xml:space="preserve"> delivered its first-instance judgment on 14 January 2002</w:t>
      </w:r>
      <w:r w:rsidR="00520437">
        <w:t xml:space="preserve"> finding</w:t>
      </w:r>
      <w:r w:rsidR="006A4E55">
        <w:t xml:space="preserve"> E.I. guilty and sentenc</w:t>
      </w:r>
      <w:r w:rsidR="00520437">
        <w:t>ing her</w:t>
      </w:r>
      <w:r w:rsidR="006A4E55">
        <w:t xml:space="preserve"> to three months</w:t>
      </w:r>
      <w:r w:rsidR="000A0B63">
        <w:t>’</w:t>
      </w:r>
      <w:r w:rsidR="006A4E55">
        <w:t xml:space="preserve"> imprisonment</w:t>
      </w:r>
      <w:r w:rsidR="00F15DDB">
        <w:t>, suspended</w:t>
      </w:r>
      <w:r w:rsidR="002B4602">
        <w:t>.</w:t>
      </w:r>
      <w:r w:rsidR="006A4E55">
        <w:t xml:space="preserve"> </w:t>
      </w:r>
      <w:r w:rsidR="002B4602">
        <w:t>E.I. was</w:t>
      </w:r>
      <w:r w:rsidR="006A4E55">
        <w:t xml:space="preserve"> ordered to pay the applicant damages of 10,000,000 Romanian lei </w:t>
      </w:r>
      <w:r w:rsidR="00F15DDB">
        <w:t>(ROL</w:t>
      </w:r>
      <w:r w:rsidR="00520437">
        <w:t xml:space="preserve"> –</w:t>
      </w:r>
      <w:r w:rsidR="00F15DDB">
        <w:t xml:space="preserve"> </w:t>
      </w:r>
      <w:r w:rsidR="006A4E55">
        <w:t xml:space="preserve">approximately 350 </w:t>
      </w:r>
      <w:r w:rsidR="00F15DDB">
        <w:t>euros (EUR)</w:t>
      </w:r>
      <w:r w:rsidR="006A4E55">
        <w:t xml:space="preserve"> at the time), representing the </w:t>
      </w:r>
      <w:r w:rsidR="00B70801">
        <w:t>estimated</w:t>
      </w:r>
      <w:r w:rsidR="006A4E55">
        <w:t xml:space="preserve"> value of the stolen items</w:t>
      </w:r>
      <w:r w:rsidR="002B4602">
        <w:t xml:space="preserve">, and </w:t>
      </w:r>
      <w:r w:rsidR="00F15DDB">
        <w:t xml:space="preserve">ROL </w:t>
      </w:r>
      <w:r w:rsidR="008F2C80">
        <w:t>2</w:t>
      </w:r>
      <w:r w:rsidR="00F15DDB">
        <w:t>,</w:t>
      </w:r>
      <w:r w:rsidR="008F2C80">
        <w:t>500</w:t>
      </w:r>
      <w:r w:rsidR="00F15DDB">
        <w:t>,</w:t>
      </w:r>
      <w:r w:rsidR="008F2C80">
        <w:t>000</w:t>
      </w:r>
      <w:r w:rsidR="007A46E6">
        <w:t xml:space="preserve"> </w:t>
      </w:r>
      <w:r w:rsidR="008F2C80">
        <w:t xml:space="preserve">(approximately </w:t>
      </w:r>
      <w:r w:rsidR="00F15DDB">
        <w:t xml:space="preserve">EUR </w:t>
      </w:r>
      <w:r w:rsidR="008F2C80">
        <w:t xml:space="preserve">90) </w:t>
      </w:r>
      <w:r w:rsidR="00F15DDB">
        <w:t>in</w:t>
      </w:r>
      <w:r w:rsidR="008F2C80">
        <w:t xml:space="preserve"> legal fees. </w:t>
      </w:r>
      <w:r w:rsidR="006A4E55">
        <w:t xml:space="preserve">The District Court based its decision on the statements of the parties and </w:t>
      </w:r>
      <w:r w:rsidR="00C30C9E">
        <w:t xml:space="preserve">of </w:t>
      </w:r>
      <w:r w:rsidR="006A4E55">
        <w:t xml:space="preserve">two witnesses. According to one of the witnesses, the applicant had complained to him in July 2001 that several items </w:t>
      </w:r>
      <w:r w:rsidR="00F15DDB">
        <w:t>were</w:t>
      </w:r>
      <w:r w:rsidR="006A4E55">
        <w:t xml:space="preserve"> missing from his flat. According to the second witness, in February 2001 the defendant had shown him several items of jewellery and clothing</w:t>
      </w:r>
      <w:r w:rsidR="00F15DDB">
        <w:t>,</w:t>
      </w:r>
      <w:r w:rsidR="006A4E55">
        <w:t xml:space="preserve"> mentioning that she had received them as a gift from the applicant.</w:t>
      </w:r>
    </w:p>
    <w:p w:rsidR="00D511D8" w:rsidP="006A4E55" w:rsidRDefault="001E0463">
      <w:pPr>
        <w:pStyle w:val="JuPara"/>
      </w:pPr>
      <w:r>
        <w:fldChar w:fldCharType="begin"/>
      </w:r>
      <w:r>
        <w:instrText xml:space="preserve"> SEQ level0 \*arabic </w:instrText>
      </w:r>
      <w:r>
        <w:fldChar w:fldCharType="separate"/>
      </w:r>
      <w:r w:rsidR="001E5484">
        <w:rPr>
          <w:noProof/>
        </w:rPr>
        <w:t>9</w:t>
      </w:r>
      <w:r>
        <w:fldChar w:fldCharType="end"/>
      </w:r>
      <w:r>
        <w:t>.  </w:t>
      </w:r>
      <w:r w:rsidR="006A4E55">
        <w:t xml:space="preserve">On 1 April 2002 the </w:t>
      </w:r>
      <w:smartTag w:uri="urn:schemas-microsoft-com:office:smarttags" w:element="Street">
        <w:smartTag w:uri="urn:schemas-microsoft-com:office:smarttags" w:element="address">
          <w:r w:rsidR="006A4E55">
            <w:t>V</w:t>
          </w:r>
          <w:r w:rsidR="0009330B">
            <w:t>â</w:t>
          </w:r>
          <w:r w:rsidR="006A4E55">
            <w:t>lcea County Court</w:t>
          </w:r>
        </w:smartTag>
      </w:smartTag>
      <w:r w:rsidR="006A4E55">
        <w:t xml:space="preserve"> dismissed</w:t>
      </w:r>
      <w:r w:rsidR="00520437">
        <w:t xml:space="preserve"> an appeal by</w:t>
      </w:r>
      <w:r w:rsidR="006A4E55">
        <w:t xml:space="preserve"> E.I. and the judgment of 14 January 2002 thus became final and enforceable.</w:t>
      </w:r>
    </w:p>
    <w:p w:rsidR="001E0463" w:rsidP="006A4E55" w:rsidRDefault="001E0463">
      <w:pPr>
        <w:pStyle w:val="JuPara"/>
      </w:pPr>
      <w:r>
        <w:fldChar w:fldCharType="begin"/>
      </w:r>
      <w:r>
        <w:instrText xml:space="preserve"> SEQ level0 \*arabic </w:instrText>
      </w:r>
      <w:r>
        <w:fldChar w:fldCharType="separate"/>
      </w:r>
      <w:r w:rsidR="001E5484">
        <w:rPr>
          <w:noProof/>
        </w:rPr>
        <w:t>10</w:t>
      </w:r>
      <w:r>
        <w:fldChar w:fldCharType="end"/>
      </w:r>
      <w:r>
        <w:t>.  </w:t>
      </w:r>
      <w:r w:rsidR="006A4E55">
        <w:t xml:space="preserve">On an unspecified date the Prosecutor </w:t>
      </w:r>
      <w:r w:rsidR="006757E4">
        <w:t xml:space="preserve">General </w:t>
      </w:r>
      <w:r w:rsidR="006A4E55">
        <w:t xml:space="preserve">of </w:t>
      </w:r>
      <w:smartTag w:uri="urn:schemas-microsoft-com:office:smarttags" w:element="place">
        <w:smartTag w:uri="urn:schemas-microsoft-com:office:smarttags" w:element="country-region">
          <w:r w:rsidR="006A4E55">
            <w:t>Romania</w:t>
          </w:r>
        </w:smartTag>
      </w:smartTag>
      <w:r w:rsidR="006A4E55">
        <w:t xml:space="preserve"> lodged an extraordinary appeal (</w:t>
      </w:r>
      <w:r w:rsidRPr="00600E0D" w:rsidR="006A4E55">
        <w:rPr>
          <w:i/>
        </w:rPr>
        <w:t>recurs in anulare</w:t>
      </w:r>
      <w:r w:rsidR="006A4E55">
        <w:t xml:space="preserve">) against the judgment of 14 January 2002. </w:t>
      </w:r>
      <w:r w:rsidR="00C30C9E">
        <w:t xml:space="preserve">The Prosecutor </w:t>
      </w:r>
      <w:r w:rsidR="006757E4">
        <w:t xml:space="preserve">General </w:t>
      </w:r>
      <w:r w:rsidR="00C30C9E">
        <w:t xml:space="preserve">argued that E.I. had been wrongfully </w:t>
      </w:r>
      <w:r w:rsidR="00B70801">
        <w:t>convicted</w:t>
      </w:r>
      <w:r w:rsidR="00C30C9E">
        <w:t xml:space="preserve">, as none of the evidence adduced was conclusive as to her guilt. </w:t>
      </w:r>
      <w:r w:rsidR="00C5183A">
        <w:t>This</w:t>
      </w:r>
      <w:r w:rsidR="00520437">
        <w:t xml:space="preserve"> had</w:t>
      </w:r>
      <w:r w:rsidR="00C5183A">
        <w:t xml:space="preserve"> led to a breach of her right to be presumed innocent until proved guilty. </w:t>
      </w:r>
      <w:r w:rsidR="00C30C9E">
        <w:t>The prosecutor also indicated that E.I. had submitted two pieces of evidence as part of her defence which had been ignored in the ordinary proceedings. One of the documents was a request lodged by the applicant to the owners</w:t>
      </w:r>
      <w:r w:rsidR="000A0B63">
        <w:t>’</w:t>
      </w:r>
      <w:r w:rsidR="00512E82">
        <w:t xml:space="preserve"> association</w:t>
      </w:r>
      <w:r w:rsidR="00C30C9E">
        <w:t xml:space="preserve"> in which he </w:t>
      </w:r>
      <w:r w:rsidR="00520437">
        <w:t>sought an</w:t>
      </w:r>
      <w:r w:rsidR="00C30C9E">
        <w:t xml:space="preserve"> exempt</w:t>
      </w:r>
      <w:r w:rsidR="00520437">
        <w:t>ion</w:t>
      </w:r>
      <w:r w:rsidR="00C30C9E">
        <w:t xml:space="preserve"> from utility costs for the period December 2000-April 2001, when he would be away in </w:t>
      </w:r>
      <w:r w:rsidR="00512E82">
        <w:t xml:space="preserve">the </w:t>
      </w:r>
      <w:smartTag w:uri="urn:schemas-microsoft-com:office:smarttags" w:element="place">
        <w:smartTag w:uri="urn:schemas-microsoft-com:office:smarttags" w:element="country-region">
          <w:r w:rsidR="00C30C9E">
            <w:t>United Kingdom</w:t>
          </w:r>
        </w:smartTag>
      </w:smartTag>
      <w:r w:rsidR="00C30C9E">
        <w:t xml:space="preserve">. </w:t>
      </w:r>
      <w:r w:rsidR="00570EB1">
        <w:t>This document was relevant</w:t>
      </w:r>
      <w:r w:rsidR="00512E82">
        <w:t>,</w:t>
      </w:r>
      <w:r w:rsidR="00570EB1">
        <w:t xml:space="preserve"> as the applicant stated that E.I. enter</w:t>
      </w:r>
      <w:r w:rsidR="00512E82">
        <w:t>ed</w:t>
      </w:r>
      <w:r w:rsidR="00570EB1">
        <w:t xml:space="preserve"> his flat only when he was there</w:t>
      </w:r>
      <w:r w:rsidR="003E4692">
        <w:t xml:space="preserve"> and </w:t>
      </w:r>
      <w:r w:rsidR="00570EB1">
        <w:t xml:space="preserve">he </w:t>
      </w:r>
      <w:r w:rsidR="00512E82">
        <w:t xml:space="preserve">had </w:t>
      </w:r>
      <w:r w:rsidR="00570EB1">
        <w:t xml:space="preserve">declared that the items </w:t>
      </w:r>
      <w:r w:rsidR="00512E82">
        <w:t>had</w:t>
      </w:r>
      <w:r w:rsidR="00570EB1">
        <w:t xml:space="preserve"> been stolen on the exact date of 20 January 2001, when</w:t>
      </w:r>
      <w:r w:rsidR="00512E82">
        <w:t>,</w:t>
      </w:r>
      <w:r w:rsidR="00570EB1">
        <w:t xml:space="preserve"> according to th</w:t>
      </w:r>
      <w:r w:rsidR="006757E4">
        <w:t>at</w:t>
      </w:r>
      <w:r w:rsidR="002B4602">
        <w:t xml:space="preserve"> document</w:t>
      </w:r>
      <w:r w:rsidR="00512E82">
        <w:t>,</w:t>
      </w:r>
      <w:r w:rsidR="002B4602">
        <w:t xml:space="preserve"> he was not in </w:t>
      </w:r>
      <w:smartTag w:uri="urn:schemas-microsoft-com:office:smarttags" w:element="place">
        <w:smartTag w:uri="urn:schemas-microsoft-com:office:smarttags" w:element="country-region">
          <w:r w:rsidR="002B4602">
            <w:t>Romania</w:t>
          </w:r>
        </w:smartTag>
      </w:smartTag>
      <w:r w:rsidR="00570EB1">
        <w:t xml:space="preserve">. </w:t>
      </w:r>
      <w:r w:rsidR="00C30C9E">
        <w:t>The second document was a report of a search conducted by the police at the home of the defendant</w:t>
      </w:r>
      <w:r w:rsidR="002B4602">
        <w:t>, which indicated that</w:t>
      </w:r>
      <w:r w:rsidR="00C30C9E">
        <w:t xml:space="preserve"> </w:t>
      </w:r>
      <w:r w:rsidR="002B4602">
        <w:t xml:space="preserve">none </w:t>
      </w:r>
      <w:r w:rsidR="00C30C9E">
        <w:t>of the items claimed to have been stolen from the applicant</w:t>
      </w:r>
      <w:r w:rsidR="000A0B63">
        <w:t>’</w:t>
      </w:r>
      <w:r w:rsidR="00C30C9E">
        <w:t xml:space="preserve">s </w:t>
      </w:r>
      <w:r w:rsidR="006757E4">
        <w:t xml:space="preserve">flat </w:t>
      </w:r>
      <w:r w:rsidR="00512E82">
        <w:t>had been</w:t>
      </w:r>
      <w:r w:rsidR="002B4602">
        <w:t xml:space="preserve"> found there</w:t>
      </w:r>
      <w:r w:rsidR="00C30C9E">
        <w:t>.</w:t>
      </w:r>
    </w:p>
    <w:p w:rsidR="007B1EE0" w:rsidP="006A4E55" w:rsidRDefault="001E0463">
      <w:pPr>
        <w:pStyle w:val="JuPara"/>
      </w:pPr>
      <w:r>
        <w:fldChar w:fldCharType="begin"/>
      </w:r>
      <w:r>
        <w:instrText xml:space="preserve"> SEQ level0 \*arabic </w:instrText>
      </w:r>
      <w:r>
        <w:fldChar w:fldCharType="separate"/>
      </w:r>
      <w:r w:rsidR="001E5484">
        <w:rPr>
          <w:noProof/>
        </w:rPr>
        <w:t>11</w:t>
      </w:r>
      <w:r>
        <w:fldChar w:fldCharType="end"/>
      </w:r>
      <w:r>
        <w:t>.  </w:t>
      </w:r>
      <w:r w:rsidR="006A4E55">
        <w:t xml:space="preserve">In a decision of 4 November 2003 the High Court of Cassation and Justice allowed the extraordinary appeal, quashed the </w:t>
      </w:r>
      <w:r w:rsidR="007B1EE0">
        <w:t>judgments</w:t>
      </w:r>
      <w:r w:rsidR="006A4E55">
        <w:t xml:space="preserve"> of 14</w:t>
      </w:r>
      <w:r w:rsidR="002B635E">
        <w:t> </w:t>
      </w:r>
      <w:r w:rsidR="006A4E55">
        <w:t>January and 1 April 2002, acquitted E.I. and relieved her of the obligation to pay the applicant compensation</w:t>
      </w:r>
      <w:r w:rsidR="00B70801">
        <w:t xml:space="preserve"> for the stolen </w:t>
      </w:r>
      <w:r w:rsidR="006757E4">
        <w:t xml:space="preserve">items </w:t>
      </w:r>
      <w:r w:rsidR="003D1338">
        <w:t xml:space="preserve">and </w:t>
      </w:r>
      <w:r w:rsidR="006757E4">
        <w:t xml:space="preserve">the </w:t>
      </w:r>
      <w:r w:rsidR="003D1338">
        <w:t>legal costs</w:t>
      </w:r>
      <w:r w:rsidR="0009330B">
        <w:t>.</w:t>
      </w:r>
    </w:p>
    <w:p w:rsidR="007B1EE0" w:rsidP="006A4E55" w:rsidRDefault="007B1EE0">
      <w:pPr>
        <w:pStyle w:val="JuPara"/>
      </w:pPr>
      <w:r>
        <w:t xml:space="preserve">The court held that the prior conviction had been based on the statements of two witnesses who declared that they knew that E.I. was doing housework for the applicant, that he </w:t>
      </w:r>
      <w:r w:rsidR="00AA66E5">
        <w:t>owned</w:t>
      </w:r>
      <w:r w:rsidR="00B70801">
        <w:t xml:space="preserve"> </w:t>
      </w:r>
      <w:r>
        <w:t xml:space="preserve">the items mentioned in his criminal complaint and that after 20 January 2001 </w:t>
      </w:r>
      <w:r w:rsidR="008339FB">
        <w:t>some</w:t>
      </w:r>
      <w:r>
        <w:t xml:space="preserve"> of the </w:t>
      </w:r>
      <w:r w:rsidR="00AA66E5">
        <w:t>items</w:t>
      </w:r>
      <w:r>
        <w:t xml:space="preserve"> </w:t>
      </w:r>
      <w:r w:rsidR="008339FB">
        <w:t>were</w:t>
      </w:r>
      <w:r>
        <w:t xml:space="preserve"> seen by one of the witnesses in the house of E.I.</w:t>
      </w:r>
      <w:r w:rsidR="00B70801">
        <w:t xml:space="preserve"> Nevertheless, the court indicated that these statements were contradicted by the evidence </w:t>
      </w:r>
      <w:r w:rsidR="00AA66E5">
        <w:t>in</w:t>
      </w:r>
      <w:r w:rsidR="00B70801">
        <w:t xml:space="preserve"> the case file indicating that the applicant </w:t>
      </w:r>
      <w:r w:rsidR="00F37104">
        <w:t xml:space="preserve">had been </w:t>
      </w:r>
      <w:r w:rsidR="00B70801">
        <w:t>away</w:t>
      </w:r>
      <w:r w:rsidR="00112F74">
        <w:t xml:space="preserve"> </w:t>
      </w:r>
      <w:r w:rsidR="00B70801">
        <w:t xml:space="preserve">from </w:t>
      </w:r>
      <w:smartTag w:uri="urn:schemas-microsoft-com:office:smarttags" w:element="place">
        <w:smartTag w:uri="urn:schemas-microsoft-com:office:smarttags" w:element="country-region">
          <w:r w:rsidR="00B70801">
            <w:t>Romania</w:t>
          </w:r>
        </w:smartTag>
      </w:smartTag>
      <w:r w:rsidR="00B70801">
        <w:t xml:space="preserve"> </w:t>
      </w:r>
      <w:r w:rsidR="008339FB">
        <w:t>between</w:t>
      </w:r>
      <w:r w:rsidR="00B70801">
        <w:t xml:space="preserve"> December 2000</w:t>
      </w:r>
      <w:r w:rsidR="008339FB">
        <w:t xml:space="preserve"> and</w:t>
      </w:r>
      <w:r w:rsidR="00B70801">
        <w:t xml:space="preserve"> April 2001. </w:t>
      </w:r>
      <w:r w:rsidR="00C11A0C">
        <w:t>Furthermore, t</w:t>
      </w:r>
      <w:r w:rsidR="00B70801">
        <w:t xml:space="preserve">aking into account that he had always stated that E.I. </w:t>
      </w:r>
      <w:r w:rsidR="008339FB">
        <w:t xml:space="preserve">only did </w:t>
      </w:r>
      <w:r w:rsidR="00B70801">
        <w:t xml:space="preserve">housework in his flat when he was there, the court indicated that </w:t>
      </w:r>
      <w:r w:rsidR="00F9327A">
        <w:t>his submission</w:t>
      </w:r>
      <w:r w:rsidR="00B70801">
        <w:t xml:space="preserve"> that he </w:t>
      </w:r>
      <w:r w:rsidR="008339FB">
        <w:t>had</w:t>
      </w:r>
      <w:r w:rsidR="00B70801">
        <w:t xml:space="preserve"> not noticed E.I. </w:t>
      </w:r>
      <w:r w:rsidR="008339FB">
        <w:t xml:space="preserve">leaving </w:t>
      </w:r>
      <w:r w:rsidR="0009330B">
        <w:t>the flat with so many items</w:t>
      </w:r>
      <w:r w:rsidRPr="00F9327A" w:rsidR="00F9327A">
        <w:t xml:space="preserve"> </w:t>
      </w:r>
      <w:r w:rsidR="00F9327A">
        <w:t>was not credible</w:t>
      </w:r>
      <w:r w:rsidR="0009330B">
        <w:t>.</w:t>
      </w:r>
    </w:p>
    <w:p w:rsidR="008C203B" w:rsidP="006A4E55" w:rsidRDefault="008C203B">
      <w:pPr>
        <w:pStyle w:val="JuPara"/>
      </w:pPr>
      <w:r>
        <w:t xml:space="preserve">The </w:t>
      </w:r>
      <w:r w:rsidR="00B70801">
        <w:t>c</w:t>
      </w:r>
      <w:r>
        <w:t xml:space="preserve">ourt further concluded that the evidence adduced </w:t>
      </w:r>
      <w:r w:rsidR="00520437">
        <w:t>in the case</w:t>
      </w:r>
      <w:r>
        <w:t xml:space="preserve"> was </w:t>
      </w:r>
      <w:r w:rsidR="00B70801">
        <w:t xml:space="preserve">both </w:t>
      </w:r>
      <w:r>
        <w:t xml:space="preserve">contradictory and </w:t>
      </w:r>
      <w:r w:rsidR="008339FB">
        <w:t>in</w:t>
      </w:r>
      <w:r>
        <w:t xml:space="preserve">conclusive in respect of the date the alleged theft </w:t>
      </w:r>
      <w:r w:rsidR="008339FB">
        <w:t>was committed</w:t>
      </w:r>
      <w:r>
        <w:t xml:space="preserve"> and </w:t>
      </w:r>
      <w:r w:rsidR="008339FB">
        <w:t>of whether</w:t>
      </w:r>
      <w:r>
        <w:t xml:space="preserve"> the defendant </w:t>
      </w:r>
      <w:r w:rsidR="003E4692">
        <w:t xml:space="preserve">had </w:t>
      </w:r>
      <w:r>
        <w:t>committed the theft.</w:t>
      </w:r>
      <w:r w:rsidR="008F2C80">
        <w:t xml:space="preserve"> It therefore</w:t>
      </w:r>
      <w:r w:rsidR="00F37104">
        <w:t xml:space="preserve"> quashed</w:t>
      </w:r>
      <w:r w:rsidR="008F2C80">
        <w:t xml:space="preserve"> the earlier decisions</w:t>
      </w:r>
      <w:r w:rsidR="00F37104">
        <w:t xml:space="preserve"> on the ground that they</w:t>
      </w:r>
      <w:r w:rsidR="008F2C80">
        <w:t xml:space="preserve"> had not been lawful and acquitted E.</w:t>
      </w:r>
      <w:r w:rsidR="003D1338">
        <w:t>I</w:t>
      </w:r>
      <w:r w:rsidR="008F2C80">
        <w:t xml:space="preserve">. of all charges, relieving her also of the obligation to pay compensation for the stolen </w:t>
      </w:r>
      <w:r w:rsidR="00F37104">
        <w:t xml:space="preserve">items </w:t>
      </w:r>
      <w:r w:rsidR="008F2C80">
        <w:t>and</w:t>
      </w:r>
      <w:r w:rsidR="00F37104">
        <w:t xml:space="preserve"> for the</w:t>
      </w:r>
      <w:r w:rsidR="008F2C80">
        <w:t xml:space="preserve"> </w:t>
      </w:r>
      <w:r w:rsidR="008339FB">
        <w:t>court costs</w:t>
      </w:r>
      <w:r w:rsidR="008F2C80">
        <w:t xml:space="preserve"> incurred by the applicant.</w:t>
      </w:r>
    </w:p>
    <w:p w:rsidRPr="00FC4F67" w:rsidR="006A4E55" w:rsidP="006A4E55" w:rsidRDefault="008C203B">
      <w:pPr>
        <w:pStyle w:val="JuPara"/>
      </w:pPr>
      <w:r>
        <w:fldChar w:fldCharType="begin"/>
      </w:r>
      <w:r>
        <w:instrText xml:space="preserve"> SEQ level0 \*arabic </w:instrText>
      </w:r>
      <w:r>
        <w:fldChar w:fldCharType="separate"/>
      </w:r>
      <w:r w:rsidR="001E5484">
        <w:rPr>
          <w:noProof/>
        </w:rPr>
        <w:t>12</w:t>
      </w:r>
      <w:r>
        <w:fldChar w:fldCharType="end"/>
      </w:r>
      <w:r>
        <w:t>.  </w:t>
      </w:r>
      <w:r w:rsidR="006A4E55">
        <w:t xml:space="preserve">The applicant attended the hearing and submitted </w:t>
      </w:r>
      <w:r>
        <w:t xml:space="preserve">his </w:t>
      </w:r>
      <w:r w:rsidR="006A4E55">
        <w:t>arguments</w:t>
      </w:r>
      <w:r w:rsidR="009276C7">
        <w:t xml:space="preserve"> in support of his claims</w:t>
      </w:r>
      <w:r w:rsidR="006A4E55">
        <w:t>.</w:t>
      </w:r>
    </w:p>
    <w:p w:rsidRPr="001C0B3D" w:rsidR="007352DD" w:rsidP="008824B9" w:rsidRDefault="007352DD">
      <w:pPr>
        <w:pStyle w:val="JuHIRoman"/>
        <w:outlineLvl w:val="0"/>
      </w:pPr>
      <w:r w:rsidRPr="001C0B3D">
        <w:t>II.  RELEVANT DOMESTIC LAW</w:t>
      </w:r>
    </w:p>
    <w:p w:rsidRPr="001C0B3D" w:rsidR="007352DD" w:rsidP="007352DD" w:rsidRDefault="001E0463">
      <w:pPr>
        <w:pStyle w:val="JuPara"/>
      </w:pPr>
      <w:r>
        <w:fldChar w:fldCharType="begin"/>
      </w:r>
      <w:r>
        <w:instrText xml:space="preserve"> SEQ level0 \*arabic </w:instrText>
      </w:r>
      <w:r>
        <w:fldChar w:fldCharType="separate"/>
      </w:r>
      <w:r w:rsidR="001E5484">
        <w:rPr>
          <w:noProof/>
        </w:rPr>
        <w:t>13</w:t>
      </w:r>
      <w:r>
        <w:fldChar w:fldCharType="end"/>
      </w:r>
      <w:r>
        <w:t xml:space="preserve">.  For </w:t>
      </w:r>
      <w:r w:rsidR="00F9327A">
        <w:t xml:space="preserve">a </w:t>
      </w:r>
      <w:r>
        <w:t xml:space="preserve">summary of </w:t>
      </w:r>
      <w:r w:rsidR="008A5C6F">
        <w:t xml:space="preserve">the </w:t>
      </w:r>
      <w:r>
        <w:t>relevant domestic-law provisions concerning this type of extraordinary appeal (</w:t>
      </w:r>
      <w:r w:rsidRPr="001E0463">
        <w:rPr>
          <w:i/>
        </w:rPr>
        <w:t>recurs in anulare</w:t>
      </w:r>
      <w:r>
        <w:t xml:space="preserve">) see the judgment in the case of </w:t>
      </w:r>
      <w:r>
        <w:rPr>
          <w:i/>
          <w:lang w:eastAsia="en-US"/>
        </w:rPr>
        <w:t>Precup v. </w:t>
      </w:r>
      <w:r w:rsidRPr="004A17BA">
        <w:rPr>
          <w:i/>
          <w:lang w:eastAsia="en-US"/>
        </w:rPr>
        <w:t>Romania</w:t>
      </w:r>
      <w:r w:rsidRPr="004A17BA">
        <w:rPr>
          <w:lang w:eastAsia="en-US"/>
        </w:rPr>
        <w:t xml:space="preserve"> </w:t>
      </w:r>
      <w:r>
        <w:rPr>
          <w:lang w:eastAsia="en-US"/>
        </w:rPr>
        <w:t>(</w:t>
      </w:r>
      <w:r w:rsidRPr="004A17BA">
        <w:rPr>
          <w:lang w:val="pt-BR" w:eastAsia="en-US"/>
        </w:rPr>
        <w:t>no.</w:t>
      </w:r>
      <w:r>
        <w:rPr>
          <w:lang w:val="pt-BR" w:eastAsia="en-US"/>
        </w:rPr>
        <w:t> </w:t>
      </w:r>
      <w:r w:rsidRPr="004A17BA">
        <w:rPr>
          <w:lang w:val="pt-BR" w:eastAsia="en-US"/>
        </w:rPr>
        <w:t xml:space="preserve">17771/03, </w:t>
      </w:r>
      <w:r w:rsidRPr="004A17BA">
        <w:rPr>
          <w:lang w:eastAsia="en-US"/>
        </w:rPr>
        <w:t xml:space="preserve">§ </w:t>
      </w:r>
      <w:r>
        <w:rPr>
          <w:lang w:eastAsia="en-US"/>
        </w:rPr>
        <w:t>15</w:t>
      </w:r>
      <w:r w:rsidRPr="004A17BA">
        <w:rPr>
          <w:lang w:eastAsia="en-US"/>
        </w:rPr>
        <w:t>, 27</w:t>
      </w:r>
      <w:r>
        <w:rPr>
          <w:lang w:eastAsia="en-US"/>
        </w:rPr>
        <w:t> </w:t>
      </w:r>
      <w:r w:rsidRPr="004A17BA">
        <w:rPr>
          <w:lang w:eastAsia="en-US"/>
        </w:rPr>
        <w:t>January 2009</w:t>
      </w:r>
      <w:r>
        <w:rPr>
          <w:lang w:eastAsia="en-US"/>
        </w:rPr>
        <w:t>).</w:t>
      </w:r>
    </w:p>
    <w:p w:rsidRPr="001C0B3D" w:rsidR="00F71A6A" w:rsidP="008824B9" w:rsidRDefault="00F71A6A">
      <w:pPr>
        <w:pStyle w:val="JuHHead"/>
      </w:pPr>
      <w:r w:rsidRPr="001C0B3D">
        <w:t>THE LAW</w:t>
      </w:r>
    </w:p>
    <w:p w:rsidRPr="001C0B3D" w:rsidR="00F71A6A" w:rsidRDefault="00F71A6A">
      <w:pPr>
        <w:pStyle w:val="JuHIRoman"/>
      </w:pPr>
      <w:smartTag w:uri="urn:schemas-microsoft-com:office:smarttags" w:element="place">
        <w:r w:rsidRPr="001C0B3D">
          <w:t>I.</w:t>
        </w:r>
      </w:smartTag>
      <w:r w:rsidRPr="001C0B3D">
        <w:t>  ALLEGED VIOLATION OF ARTICLE</w:t>
      </w:r>
      <w:r w:rsidR="001E0463">
        <w:t xml:space="preserve"> 6</w:t>
      </w:r>
      <w:r w:rsidRPr="001C0B3D">
        <w:t xml:space="preserve"> OF THE CONVENTION</w:t>
      </w:r>
      <w:r w:rsidR="003E5ACD">
        <w:t xml:space="preserve"> AND ARTICLE 1 OF PROTOCOL No</w:t>
      </w:r>
      <w:r w:rsidR="001E0463">
        <w:t>. 1</w:t>
      </w:r>
    </w:p>
    <w:p w:rsidR="0066465D" w:rsidRDefault="001C0B3D">
      <w:pPr>
        <w:pStyle w:val="JuPara"/>
      </w:pPr>
      <w:r w:rsidRPr="001C0B3D">
        <w:fldChar w:fldCharType="begin"/>
      </w:r>
      <w:r w:rsidRPr="001C0B3D">
        <w:instrText xml:space="preserve"> SEQ level0 \*arabic </w:instrText>
      </w:r>
      <w:r w:rsidRPr="001C0B3D">
        <w:fldChar w:fldCharType="separate"/>
      </w:r>
      <w:r w:rsidR="001E5484">
        <w:rPr>
          <w:noProof/>
        </w:rPr>
        <w:t>14</w:t>
      </w:r>
      <w:r w:rsidRPr="001C0B3D">
        <w:fldChar w:fldCharType="end"/>
      </w:r>
      <w:r w:rsidRPr="001C0B3D" w:rsidR="00F71A6A">
        <w:t xml:space="preserve">.  The </w:t>
      </w:r>
      <w:r w:rsidRPr="001C0B3D">
        <w:t>applicant</w:t>
      </w:r>
      <w:r w:rsidRPr="001C0B3D" w:rsidR="00F71A6A">
        <w:t xml:space="preserve"> complained </w:t>
      </w:r>
      <w:r w:rsidR="0066465D">
        <w:t>under Article 6 § 1 of the Convention and Article 1 of Protocol No. 1 to the Convention that the quashing</w:t>
      </w:r>
      <w:r w:rsidR="00F37104">
        <w:t xml:space="preserve"> of</w:t>
      </w:r>
      <w:r w:rsidR="0066465D">
        <w:t xml:space="preserve"> the final </w:t>
      </w:r>
      <w:r w:rsidR="003D1338">
        <w:t>judgment</w:t>
      </w:r>
      <w:r w:rsidR="0066465D">
        <w:t xml:space="preserve"> of 14 January 2002</w:t>
      </w:r>
      <w:r w:rsidR="003D1338">
        <w:t>,</w:t>
      </w:r>
      <w:r w:rsidR="008A5C6F">
        <w:t xml:space="preserve"> </w:t>
      </w:r>
      <w:r w:rsidR="003D1338">
        <w:t>as confirmed on 1 April 2002,</w:t>
      </w:r>
      <w:r w:rsidR="0066465D">
        <w:t xml:space="preserve"> had violated his right to a fair trial and his right to peaceful enjoyment of possessions. The relevant parts of these provisions read as follows:</w:t>
      </w:r>
    </w:p>
    <w:p w:rsidRPr="0066465D" w:rsidR="0066465D" w:rsidP="0066465D" w:rsidRDefault="0009330B">
      <w:pPr>
        <w:pStyle w:val="JuQuot"/>
        <w:jc w:val="center"/>
        <w:rPr>
          <w:b/>
        </w:rPr>
      </w:pPr>
      <w:r>
        <w:rPr>
          <w:b/>
        </w:rPr>
        <w:t>Article 6 § 1</w:t>
      </w:r>
    </w:p>
    <w:p w:rsidR="0066465D" w:rsidP="0066465D" w:rsidRDefault="0066465D">
      <w:pPr>
        <w:pStyle w:val="JuQuot"/>
      </w:pPr>
      <w:r>
        <w:t>“In the determination of his civil rights and obligations ... everyone is entitled to a fair ... hearing ... by [a] ... tribunal ...”</w:t>
      </w:r>
    </w:p>
    <w:p w:rsidR="0066465D" w:rsidP="0066465D" w:rsidRDefault="0066465D">
      <w:pPr>
        <w:pStyle w:val="JuQuot"/>
        <w:jc w:val="center"/>
        <w:rPr>
          <w:b/>
        </w:rPr>
      </w:pPr>
      <w:r w:rsidRPr="0066465D">
        <w:rPr>
          <w:b/>
        </w:rPr>
        <w:t>Article 1 of Protocol No. 1</w:t>
      </w:r>
    </w:p>
    <w:p w:rsidR="00007530" w:rsidRDefault="00007530">
      <w:pPr>
        <w:pStyle w:val="JuQuot"/>
      </w:pPr>
      <w:r>
        <w:t>“Every natural or legal person is entitled to the peaceful enjoyment of his possessions. No one shall be deprived of his possessions except in the public interest and subject to the conditions provided for by law and by the general principles of international law</w:t>
      </w:r>
      <w:r w:rsidR="0009330B">
        <w:t>...</w:t>
      </w:r>
      <w:r>
        <w:t>”</w:t>
      </w:r>
    </w:p>
    <w:p w:rsidRPr="001C0B3D" w:rsidR="00F71A6A" w:rsidP="008824B9" w:rsidRDefault="00F71A6A">
      <w:pPr>
        <w:pStyle w:val="JuHA"/>
        <w:outlineLvl w:val="0"/>
      </w:pPr>
      <w:r w:rsidRPr="001C0B3D">
        <w:t>A.  Admissibility</w:t>
      </w:r>
    </w:p>
    <w:p w:rsidR="0076124F" w:rsidP="00EB41E9" w:rsidRDefault="001C0B3D">
      <w:pPr>
        <w:pStyle w:val="JuPara"/>
      </w:pPr>
      <w:r w:rsidRPr="001C0B3D">
        <w:fldChar w:fldCharType="begin"/>
      </w:r>
      <w:r w:rsidRPr="001C0B3D">
        <w:instrText xml:space="preserve"> SEQ level0 \*arabic </w:instrText>
      </w:r>
      <w:r w:rsidRPr="001C0B3D">
        <w:fldChar w:fldCharType="separate"/>
      </w:r>
      <w:r w:rsidR="001E5484">
        <w:rPr>
          <w:noProof/>
        </w:rPr>
        <w:t>15</w:t>
      </w:r>
      <w:r w:rsidRPr="001C0B3D">
        <w:fldChar w:fldCharType="end"/>
      </w:r>
      <w:r w:rsidRPr="001C0B3D" w:rsidR="00F71A6A">
        <w:t xml:space="preserve">.  The </w:t>
      </w:r>
      <w:r w:rsidR="0076124F">
        <w:t xml:space="preserve">Government raised a plea of inadmissibility, arguing that the applicant had not suffered a significant disadvantage. They indicated in this </w:t>
      </w:r>
      <w:r w:rsidR="00F37104">
        <w:t xml:space="preserve">connection </w:t>
      </w:r>
      <w:r w:rsidR="0076124F">
        <w:t xml:space="preserve">that the </w:t>
      </w:r>
      <w:r w:rsidR="008C203B">
        <w:t>civil head of the proceedings</w:t>
      </w:r>
      <w:r w:rsidR="00F37104">
        <w:t xml:space="preserve"> in issue</w:t>
      </w:r>
      <w:r w:rsidR="00F9327A">
        <w:t xml:space="preserve"> </w:t>
      </w:r>
      <w:r w:rsidR="008C203B">
        <w:t xml:space="preserve">concerned an amount of 350 </w:t>
      </w:r>
      <w:r w:rsidR="00356971">
        <w:t>euro</w:t>
      </w:r>
      <w:r w:rsidR="008339FB">
        <w:t>s</w:t>
      </w:r>
      <w:r w:rsidR="00356971">
        <w:t xml:space="preserve"> (EUR)</w:t>
      </w:r>
      <w:r w:rsidR="009F7F29">
        <w:t xml:space="preserve"> and that there wa</w:t>
      </w:r>
      <w:r w:rsidR="008C203B">
        <w:t>s no evidence in the case file that the applicant</w:t>
      </w:r>
      <w:r w:rsidR="00F37104">
        <w:t>’s</w:t>
      </w:r>
      <w:r w:rsidR="00CA63FB">
        <w:t xml:space="preserve"> financial </w:t>
      </w:r>
      <w:r w:rsidR="008339FB">
        <w:t>position</w:t>
      </w:r>
      <w:r w:rsidR="00F37104">
        <w:t xml:space="preserve"> was</w:t>
      </w:r>
      <w:r w:rsidR="008339FB">
        <w:t xml:space="preserve"> such </w:t>
      </w:r>
      <w:r w:rsidR="00CA63FB">
        <w:t xml:space="preserve">that the outcome of the litigation </w:t>
      </w:r>
      <w:r w:rsidR="008339FB">
        <w:t xml:space="preserve">could </w:t>
      </w:r>
      <w:r w:rsidR="00CA63FB">
        <w:t>have a significant impact on his personal life</w:t>
      </w:r>
      <w:r w:rsidR="00C27204">
        <w:t>.</w:t>
      </w:r>
      <w:r w:rsidR="007D1732">
        <w:t xml:space="preserve"> The Government further submitted that the two safeguard clauses set </w:t>
      </w:r>
      <w:r w:rsidR="00F37104">
        <w:t>forth in</w:t>
      </w:r>
      <w:r w:rsidR="007D1732">
        <w:t xml:space="preserve"> Article 35 § 3 (b) of the Convention </w:t>
      </w:r>
      <w:r w:rsidR="009F7F29">
        <w:t>wer</w:t>
      </w:r>
      <w:r w:rsidR="007D1732">
        <w:t>e met, as the Court ha</w:t>
      </w:r>
      <w:r w:rsidR="00F37104">
        <w:t>d</w:t>
      </w:r>
      <w:r w:rsidR="007D1732">
        <w:t xml:space="preserve"> ruled numerous times before on issues analogous to that arising in the instant case</w:t>
      </w:r>
      <w:r w:rsidR="00F37104">
        <w:t>,</w:t>
      </w:r>
      <w:r w:rsidR="007D1732">
        <w:t xml:space="preserve"> and the applicant</w:t>
      </w:r>
      <w:r w:rsidR="000A0B63">
        <w:t>’</w:t>
      </w:r>
      <w:r w:rsidR="007D1732">
        <w:t>s case ha</w:t>
      </w:r>
      <w:r w:rsidR="00F37104">
        <w:t>d</w:t>
      </w:r>
      <w:r w:rsidR="007D1732">
        <w:t xml:space="preserve"> been duly examined by the domestic courts.</w:t>
      </w:r>
    </w:p>
    <w:p w:rsidR="00A74F9B" w:rsidP="00EB41E9" w:rsidRDefault="00A74F9B">
      <w:pPr>
        <w:pStyle w:val="JuPara"/>
      </w:pPr>
      <w:r>
        <w:fldChar w:fldCharType="begin"/>
      </w:r>
      <w:r>
        <w:instrText xml:space="preserve"> SEQ level0 \*arabic </w:instrText>
      </w:r>
      <w:r>
        <w:fldChar w:fldCharType="separate"/>
      </w:r>
      <w:r w:rsidR="001E5484">
        <w:rPr>
          <w:noProof/>
        </w:rPr>
        <w:t>16</w:t>
      </w:r>
      <w:r>
        <w:fldChar w:fldCharType="end"/>
      </w:r>
      <w:r>
        <w:t>.  The applicant disagreed.</w:t>
      </w:r>
    </w:p>
    <w:p w:rsidR="007D1732" w:rsidP="00EB41E9" w:rsidRDefault="007D1732">
      <w:pPr>
        <w:pStyle w:val="JuPara"/>
        <w:rPr>
          <w:szCs w:val="24"/>
        </w:rPr>
      </w:pPr>
      <w:r>
        <w:fldChar w:fldCharType="begin"/>
      </w:r>
      <w:r>
        <w:instrText xml:space="preserve"> SEQ level0 \*arabic </w:instrText>
      </w:r>
      <w:r>
        <w:fldChar w:fldCharType="separate"/>
      </w:r>
      <w:r w:rsidR="001E5484">
        <w:rPr>
          <w:noProof/>
        </w:rPr>
        <w:t>17</w:t>
      </w:r>
      <w:r>
        <w:fldChar w:fldCharType="end"/>
      </w:r>
      <w:r>
        <w:t xml:space="preserve">.  The Court notes </w:t>
      </w:r>
      <w:r w:rsidR="00A74F9B">
        <w:t xml:space="preserve">that </w:t>
      </w:r>
      <w:r w:rsidR="00356971">
        <w:t xml:space="preserve">the main element of the criterion </w:t>
      </w:r>
      <w:r w:rsidR="008A5C6F">
        <w:t xml:space="preserve">set </w:t>
      </w:r>
      <w:r w:rsidR="00F37104">
        <w:t xml:space="preserve">forth in </w:t>
      </w:r>
      <w:r w:rsidR="008A5C6F">
        <w:t xml:space="preserve">Article 35 § 3 (b) of the Convention </w:t>
      </w:r>
      <w:r w:rsidR="00356971">
        <w:t xml:space="preserve">is whether the applicant has suffered a significant disadvantage (see </w:t>
      </w:r>
      <w:r w:rsidRPr="0031513B" w:rsidR="00356971">
        <w:rPr>
          <w:i/>
        </w:rPr>
        <w:t xml:space="preserve">Adrian Mihai </w:t>
      </w:r>
      <w:r w:rsidRPr="0031513B" w:rsidR="00356971">
        <w:rPr>
          <w:i/>
          <w:szCs w:val="24"/>
        </w:rPr>
        <w:t xml:space="preserve">Ionescu v. Romania </w:t>
      </w:r>
      <w:r w:rsidR="003E5ACD">
        <w:rPr>
          <w:szCs w:val="24"/>
        </w:rPr>
        <w:t>(dec.), no. </w:t>
      </w:r>
      <w:r w:rsidRPr="0031513B" w:rsidR="00356971">
        <w:rPr>
          <w:szCs w:val="24"/>
        </w:rPr>
        <w:t>36659/04, 1 June 2010</w:t>
      </w:r>
      <w:r w:rsidR="008339FB">
        <w:rPr>
          <w:szCs w:val="24"/>
        </w:rPr>
        <w:t>,</w:t>
      </w:r>
      <w:r w:rsidRPr="0031513B" w:rsidR="00356971">
        <w:rPr>
          <w:szCs w:val="24"/>
        </w:rPr>
        <w:t xml:space="preserve"> and </w:t>
      </w:r>
      <w:r w:rsidRPr="0031513B" w:rsidR="00356971">
        <w:rPr>
          <w:i/>
          <w:szCs w:val="24"/>
        </w:rPr>
        <w:t xml:space="preserve">Korolev v. Russia </w:t>
      </w:r>
      <w:r w:rsidRPr="0031513B" w:rsidR="00356971">
        <w:rPr>
          <w:szCs w:val="24"/>
        </w:rPr>
        <w:t>(dec.), no. 25551/05, 1</w:t>
      </w:r>
      <w:r w:rsidR="004F3F3D">
        <w:rPr>
          <w:szCs w:val="24"/>
        </w:rPr>
        <w:t> </w:t>
      </w:r>
      <w:r w:rsidRPr="0031513B" w:rsidR="00356971">
        <w:rPr>
          <w:szCs w:val="24"/>
        </w:rPr>
        <w:t>July 2010</w:t>
      </w:r>
      <w:r w:rsidR="00356971">
        <w:rPr>
          <w:szCs w:val="24"/>
        </w:rPr>
        <w:t>)</w:t>
      </w:r>
      <w:r w:rsidR="0009330B">
        <w:rPr>
          <w:szCs w:val="24"/>
        </w:rPr>
        <w:t>.</w:t>
      </w:r>
    </w:p>
    <w:p w:rsidR="003E1EDF" w:rsidP="00EB41E9" w:rsidRDefault="00EA1739">
      <w:pPr>
        <w:pStyle w:val="JuPara"/>
        <w:rPr>
          <w:szCs w:val="24"/>
        </w:rPr>
      </w:pPr>
      <w:r>
        <w:rPr>
          <w:color w:val="000000"/>
          <w:szCs w:val="24"/>
          <w:lang w:eastAsia="en-GB"/>
        </w:rPr>
        <w:fldChar w:fldCharType="begin"/>
      </w:r>
      <w:r>
        <w:rPr>
          <w:color w:val="000000"/>
          <w:szCs w:val="24"/>
          <w:lang w:eastAsia="en-GB"/>
        </w:rPr>
        <w:instrText xml:space="preserve"> SEQ level0 \*arabic </w:instrText>
      </w:r>
      <w:r>
        <w:rPr>
          <w:color w:val="000000"/>
          <w:szCs w:val="24"/>
          <w:lang w:eastAsia="en-GB"/>
        </w:rPr>
        <w:fldChar w:fldCharType="separate"/>
      </w:r>
      <w:r w:rsidR="001E5484">
        <w:rPr>
          <w:noProof/>
          <w:color w:val="000000"/>
          <w:szCs w:val="24"/>
          <w:lang w:eastAsia="en-GB"/>
        </w:rPr>
        <w:t>18</w:t>
      </w:r>
      <w:r>
        <w:rPr>
          <w:color w:val="000000"/>
          <w:szCs w:val="24"/>
          <w:lang w:eastAsia="en-GB"/>
        </w:rPr>
        <w:fldChar w:fldCharType="end"/>
      </w:r>
      <w:r>
        <w:rPr>
          <w:color w:val="000000"/>
          <w:szCs w:val="24"/>
          <w:lang w:eastAsia="en-GB"/>
        </w:rPr>
        <w:t>.  </w:t>
      </w:r>
      <w:r w:rsidR="003E1EDF">
        <w:rPr>
          <w:color w:val="000000"/>
          <w:szCs w:val="24"/>
          <w:lang w:eastAsia="en-GB"/>
        </w:rPr>
        <w:t xml:space="preserve">Inspired by the general principle </w:t>
      </w:r>
      <w:r w:rsidR="003E1EDF">
        <w:rPr>
          <w:i/>
          <w:iCs/>
          <w:color w:val="000000"/>
          <w:szCs w:val="24"/>
          <w:lang w:eastAsia="en-GB"/>
        </w:rPr>
        <w:t>de minimis non curat praetor</w:t>
      </w:r>
      <w:r w:rsidR="001F36A0">
        <w:rPr>
          <w:color w:val="000000"/>
          <w:szCs w:val="24"/>
          <w:lang w:eastAsia="en-GB"/>
        </w:rPr>
        <w:t xml:space="preserve">, this </w:t>
      </w:r>
      <w:r w:rsidR="003E1EDF">
        <w:rPr>
          <w:color w:val="000000"/>
          <w:szCs w:val="24"/>
          <w:lang w:eastAsia="en-GB"/>
        </w:rPr>
        <w:t>admissibility criterion hinges on the idea that a violation of a right, however real from a purely legal point of view, should attain a minimum level of severity to warrant consideration by an international court. The assessment of this minimum level is, in the nature of things, relative</w:t>
      </w:r>
      <w:r w:rsidR="008339FB">
        <w:rPr>
          <w:color w:val="000000"/>
          <w:szCs w:val="24"/>
          <w:lang w:eastAsia="en-GB"/>
        </w:rPr>
        <w:t>,</w:t>
      </w:r>
      <w:r w:rsidR="003E1EDF">
        <w:rPr>
          <w:color w:val="000000"/>
          <w:szCs w:val="24"/>
          <w:lang w:eastAsia="en-GB"/>
        </w:rPr>
        <w:t xml:space="preserve"> and depends on all the circumstances of the case. The severity of a violation should be assessed taking </w:t>
      </w:r>
      <w:r w:rsidR="008339FB">
        <w:rPr>
          <w:color w:val="000000"/>
          <w:szCs w:val="24"/>
          <w:lang w:eastAsia="en-GB"/>
        </w:rPr>
        <w:t xml:space="preserve">into </w:t>
      </w:r>
      <w:r w:rsidR="003E1EDF">
        <w:rPr>
          <w:color w:val="000000"/>
          <w:szCs w:val="24"/>
          <w:lang w:eastAsia="en-GB"/>
        </w:rPr>
        <w:t>account both the applicant</w:t>
      </w:r>
      <w:r w:rsidR="000A0B63">
        <w:rPr>
          <w:color w:val="000000"/>
          <w:szCs w:val="24"/>
          <w:lang w:eastAsia="en-GB"/>
        </w:rPr>
        <w:t>’</w:t>
      </w:r>
      <w:r w:rsidR="003E1EDF">
        <w:rPr>
          <w:color w:val="000000"/>
          <w:szCs w:val="24"/>
          <w:lang w:eastAsia="en-GB"/>
        </w:rPr>
        <w:t xml:space="preserve">s subjective perceptions and what is objectively at stake in a particular case (see </w:t>
      </w:r>
      <w:r w:rsidR="003E1EDF">
        <w:rPr>
          <w:i/>
          <w:iCs/>
          <w:color w:val="000000"/>
          <w:szCs w:val="24"/>
          <w:lang w:eastAsia="en-GB"/>
        </w:rPr>
        <w:t>Korolev</w:t>
      </w:r>
      <w:r w:rsidR="003E1EDF">
        <w:rPr>
          <w:color w:val="000000"/>
          <w:szCs w:val="24"/>
          <w:lang w:eastAsia="en-GB"/>
        </w:rPr>
        <w:t xml:space="preserve">, cited above). </w:t>
      </w:r>
      <w:r w:rsidR="00734EF4">
        <w:rPr>
          <w:color w:val="000000"/>
          <w:szCs w:val="24"/>
          <w:lang w:eastAsia="en-GB"/>
        </w:rPr>
        <w:t>I</w:t>
      </w:r>
      <w:r w:rsidR="003E1EDF">
        <w:rPr>
          <w:color w:val="000000"/>
          <w:szCs w:val="24"/>
          <w:lang w:eastAsia="en-GB"/>
        </w:rPr>
        <w:t xml:space="preserve">n other words, the absence of any significant disadvantage can be based on criteria such as the financial impact of the matter in dispute or the importance of the case for the applicant (see </w:t>
      </w:r>
      <w:r w:rsidR="003E1EDF">
        <w:rPr>
          <w:i/>
          <w:iCs/>
          <w:color w:val="000000"/>
          <w:szCs w:val="24"/>
          <w:lang w:eastAsia="en-GB"/>
        </w:rPr>
        <w:t>Adrian Mihai Ionescu</w:t>
      </w:r>
      <w:r w:rsidR="003E1EDF">
        <w:rPr>
          <w:color w:val="000000"/>
          <w:szCs w:val="24"/>
          <w:lang w:eastAsia="en-GB"/>
        </w:rPr>
        <w:t>, cited above).</w:t>
      </w:r>
    </w:p>
    <w:p w:rsidR="002B635E" w:rsidP="002B635E" w:rsidRDefault="002B635E">
      <w:pPr>
        <w:pStyle w:val="JuPara"/>
        <w:rPr>
          <w:szCs w:val="24"/>
        </w:rPr>
      </w:pPr>
      <w:r>
        <w:rPr>
          <w:szCs w:val="24"/>
        </w:rPr>
        <w:fldChar w:fldCharType="begin"/>
      </w:r>
      <w:r>
        <w:rPr>
          <w:szCs w:val="24"/>
        </w:rPr>
        <w:instrText xml:space="preserve"> SEQ level0 \*arabic </w:instrText>
      </w:r>
      <w:r>
        <w:rPr>
          <w:szCs w:val="24"/>
        </w:rPr>
        <w:fldChar w:fldCharType="separate"/>
      </w:r>
      <w:r w:rsidR="001E5484">
        <w:rPr>
          <w:noProof/>
          <w:szCs w:val="24"/>
        </w:rPr>
        <w:t>19</w:t>
      </w:r>
      <w:r>
        <w:rPr>
          <w:szCs w:val="24"/>
        </w:rPr>
        <w:fldChar w:fldCharType="end"/>
      </w:r>
      <w:r>
        <w:rPr>
          <w:szCs w:val="24"/>
        </w:rPr>
        <w:t xml:space="preserve">.  The Court </w:t>
      </w:r>
      <w:r w:rsidR="00F37104">
        <w:rPr>
          <w:szCs w:val="24"/>
        </w:rPr>
        <w:t xml:space="preserve">observes </w:t>
      </w:r>
      <w:r>
        <w:rPr>
          <w:szCs w:val="24"/>
        </w:rPr>
        <w:t xml:space="preserve">in this </w:t>
      </w:r>
      <w:r w:rsidR="00F37104">
        <w:rPr>
          <w:szCs w:val="24"/>
        </w:rPr>
        <w:t xml:space="preserve">connection </w:t>
      </w:r>
      <w:r>
        <w:rPr>
          <w:szCs w:val="24"/>
        </w:rPr>
        <w:t>that i</w:t>
      </w:r>
      <w:r w:rsidR="003E1EDF">
        <w:rPr>
          <w:szCs w:val="24"/>
        </w:rPr>
        <w:t>t ha</w:t>
      </w:r>
      <w:r w:rsidR="00F64B65">
        <w:rPr>
          <w:szCs w:val="24"/>
        </w:rPr>
        <w:t>s</w:t>
      </w:r>
      <w:r w:rsidR="003E1EDF">
        <w:rPr>
          <w:szCs w:val="24"/>
        </w:rPr>
        <w:t xml:space="preserve"> </w:t>
      </w:r>
      <w:r w:rsidR="00EA1739">
        <w:rPr>
          <w:szCs w:val="24"/>
        </w:rPr>
        <w:t xml:space="preserve">previously </w:t>
      </w:r>
      <w:r w:rsidR="00276F23">
        <w:rPr>
          <w:szCs w:val="24"/>
        </w:rPr>
        <w:t xml:space="preserve">considered </w:t>
      </w:r>
      <w:r w:rsidR="003A292E">
        <w:rPr>
          <w:szCs w:val="24"/>
        </w:rPr>
        <w:t>in</w:t>
      </w:r>
      <w:r w:rsidR="00276F23">
        <w:rPr>
          <w:szCs w:val="24"/>
        </w:rPr>
        <w:t xml:space="preserve">significant the pecuniary loss of some </w:t>
      </w:r>
      <w:r w:rsidR="00F64B65">
        <w:rPr>
          <w:szCs w:val="24"/>
        </w:rPr>
        <w:t xml:space="preserve">EUR </w:t>
      </w:r>
      <w:r w:rsidR="00276F23">
        <w:rPr>
          <w:szCs w:val="24"/>
        </w:rPr>
        <w:t xml:space="preserve">90 </w:t>
      </w:r>
      <w:r w:rsidR="003A292E">
        <w:rPr>
          <w:szCs w:val="24"/>
        </w:rPr>
        <w:t xml:space="preserve">allegedly </w:t>
      </w:r>
      <w:r w:rsidR="00276F23">
        <w:rPr>
          <w:szCs w:val="24"/>
        </w:rPr>
        <w:t>sustained by the applicant i</w:t>
      </w:r>
      <w:r>
        <w:rPr>
          <w:szCs w:val="24"/>
        </w:rPr>
        <w:t xml:space="preserve">n the case of </w:t>
      </w:r>
      <w:r w:rsidRPr="009A57AF">
        <w:rPr>
          <w:i/>
          <w:szCs w:val="24"/>
        </w:rPr>
        <w:t xml:space="preserve">Adrian Mihai Ionescu </w:t>
      </w:r>
      <w:r w:rsidRPr="00276F23" w:rsidR="00276F23">
        <w:rPr>
          <w:szCs w:val="24"/>
        </w:rPr>
        <w:t>(cited above)</w:t>
      </w:r>
      <w:r w:rsidR="00276F23">
        <w:rPr>
          <w:i/>
          <w:szCs w:val="24"/>
        </w:rPr>
        <w:t xml:space="preserve"> </w:t>
      </w:r>
      <w:r w:rsidRPr="009A57AF">
        <w:rPr>
          <w:szCs w:val="24"/>
        </w:rPr>
        <w:t>and</w:t>
      </w:r>
      <w:r w:rsidR="00276F23">
        <w:rPr>
          <w:i/>
          <w:szCs w:val="24"/>
        </w:rPr>
        <w:t xml:space="preserve"> </w:t>
      </w:r>
      <w:r w:rsidR="00F37104">
        <w:rPr>
          <w:szCs w:val="24"/>
        </w:rPr>
        <w:t>assessed</w:t>
      </w:r>
      <w:r w:rsidR="00276F23">
        <w:rPr>
          <w:szCs w:val="24"/>
        </w:rPr>
        <w:t xml:space="preserve"> as negligible</w:t>
      </w:r>
      <w:r w:rsidR="00276F23">
        <w:rPr>
          <w:i/>
          <w:szCs w:val="24"/>
        </w:rPr>
        <w:t xml:space="preserve"> </w:t>
      </w:r>
      <w:r w:rsidRPr="003A292E" w:rsidR="00276F23">
        <w:rPr>
          <w:szCs w:val="24"/>
        </w:rPr>
        <w:t>a p</w:t>
      </w:r>
      <w:r w:rsidRPr="00276F23" w:rsidR="00276F23">
        <w:rPr>
          <w:szCs w:val="24"/>
        </w:rPr>
        <w:t xml:space="preserve">ecuniary loss of some </w:t>
      </w:r>
      <w:r w:rsidR="00F64B65">
        <w:rPr>
          <w:szCs w:val="24"/>
        </w:rPr>
        <w:t xml:space="preserve">EUR </w:t>
      </w:r>
      <w:r w:rsidRPr="00276F23" w:rsidR="00276F23">
        <w:rPr>
          <w:szCs w:val="24"/>
        </w:rPr>
        <w:t>0</w:t>
      </w:r>
      <w:r w:rsidR="00F64B65">
        <w:rPr>
          <w:szCs w:val="24"/>
        </w:rPr>
        <w:t>.</w:t>
      </w:r>
      <w:r w:rsidRPr="00276F23" w:rsidR="00276F23">
        <w:rPr>
          <w:szCs w:val="24"/>
        </w:rPr>
        <w:t xml:space="preserve">5 allegedly sustained by the applicant in the case of </w:t>
      </w:r>
      <w:r w:rsidRPr="009A57AF">
        <w:rPr>
          <w:i/>
          <w:szCs w:val="24"/>
        </w:rPr>
        <w:t>Korolev</w:t>
      </w:r>
      <w:r w:rsidR="0009330B">
        <w:rPr>
          <w:szCs w:val="24"/>
        </w:rPr>
        <w:t xml:space="preserve">, </w:t>
      </w:r>
      <w:r>
        <w:rPr>
          <w:szCs w:val="24"/>
        </w:rPr>
        <w:t>cited above.</w:t>
      </w:r>
    </w:p>
    <w:p w:rsidR="00FC0FE0" w:rsidP="00EB41E9" w:rsidRDefault="00FC0FE0">
      <w:pPr>
        <w:pStyle w:val="JuPara"/>
        <w:rPr>
          <w:szCs w:val="24"/>
        </w:rPr>
      </w:pPr>
      <w:r>
        <w:rPr>
          <w:szCs w:val="24"/>
        </w:rPr>
        <w:fldChar w:fldCharType="begin"/>
      </w:r>
      <w:r>
        <w:rPr>
          <w:szCs w:val="24"/>
        </w:rPr>
        <w:instrText xml:space="preserve"> SEQ level0 \*arabic </w:instrText>
      </w:r>
      <w:r>
        <w:rPr>
          <w:szCs w:val="24"/>
        </w:rPr>
        <w:fldChar w:fldCharType="separate"/>
      </w:r>
      <w:r w:rsidR="001E5484">
        <w:rPr>
          <w:noProof/>
          <w:szCs w:val="24"/>
        </w:rPr>
        <w:t>20</w:t>
      </w:r>
      <w:r>
        <w:rPr>
          <w:szCs w:val="24"/>
        </w:rPr>
        <w:fldChar w:fldCharType="end"/>
      </w:r>
      <w:r>
        <w:rPr>
          <w:szCs w:val="24"/>
        </w:rPr>
        <w:t xml:space="preserve">.  In the present case the Court notes that the applicant sought compensation for </w:t>
      </w:r>
      <w:r w:rsidR="00F37104">
        <w:rPr>
          <w:szCs w:val="24"/>
        </w:rPr>
        <w:t xml:space="preserve">items </w:t>
      </w:r>
      <w:r>
        <w:rPr>
          <w:szCs w:val="24"/>
        </w:rPr>
        <w:t xml:space="preserve">allegedly stolen from his flat by a third person. In the ordinary criminal proceedings, the domestic courts </w:t>
      </w:r>
      <w:r w:rsidR="00F37104">
        <w:rPr>
          <w:szCs w:val="24"/>
        </w:rPr>
        <w:t>gave</w:t>
      </w:r>
      <w:r w:rsidRPr="00F37104" w:rsidR="00F37104">
        <w:rPr>
          <w:szCs w:val="24"/>
        </w:rPr>
        <w:t xml:space="preserve"> </w:t>
      </w:r>
      <w:r w:rsidR="00F37104">
        <w:rPr>
          <w:szCs w:val="24"/>
        </w:rPr>
        <w:t xml:space="preserve">a final decision finding </w:t>
      </w:r>
      <w:r w:rsidR="003A292E">
        <w:rPr>
          <w:szCs w:val="24"/>
        </w:rPr>
        <w:t>a</w:t>
      </w:r>
      <w:r>
        <w:rPr>
          <w:szCs w:val="24"/>
        </w:rPr>
        <w:t xml:space="preserve"> third party guilty </w:t>
      </w:r>
      <w:r w:rsidR="003A292E">
        <w:rPr>
          <w:szCs w:val="24"/>
        </w:rPr>
        <w:t>o</w:t>
      </w:r>
      <w:r>
        <w:rPr>
          <w:szCs w:val="24"/>
        </w:rPr>
        <w:t xml:space="preserve">f theft </w:t>
      </w:r>
      <w:r w:rsidR="003A292E">
        <w:rPr>
          <w:szCs w:val="24"/>
        </w:rPr>
        <w:t xml:space="preserve">of a </w:t>
      </w:r>
      <w:r w:rsidR="00F64B65">
        <w:rPr>
          <w:szCs w:val="24"/>
        </w:rPr>
        <w:t>number</w:t>
      </w:r>
      <w:r w:rsidR="003A292E">
        <w:rPr>
          <w:szCs w:val="24"/>
        </w:rPr>
        <w:t xml:space="preserve"> of items belonging to the applicant </w:t>
      </w:r>
      <w:r>
        <w:rPr>
          <w:szCs w:val="24"/>
        </w:rPr>
        <w:t>and ordered her to pay the applicant compensation for th</w:t>
      </w:r>
      <w:r w:rsidR="003A292E">
        <w:rPr>
          <w:szCs w:val="24"/>
        </w:rPr>
        <w:t>ose stolen items</w:t>
      </w:r>
      <w:r>
        <w:rPr>
          <w:szCs w:val="24"/>
        </w:rPr>
        <w:t xml:space="preserve">, their </w:t>
      </w:r>
      <w:r w:rsidR="003A292E">
        <w:rPr>
          <w:szCs w:val="24"/>
        </w:rPr>
        <w:t xml:space="preserve">estimated value being some </w:t>
      </w:r>
      <w:r w:rsidR="00F64B65">
        <w:rPr>
          <w:szCs w:val="24"/>
        </w:rPr>
        <w:t xml:space="preserve">EUR </w:t>
      </w:r>
      <w:r>
        <w:rPr>
          <w:szCs w:val="24"/>
        </w:rPr>
        <w:t xml:space="preserve">350. </w:t>
      </w:r>
      <w:r w:rsidR="00EA1739">
        <w:rPr>
          <w:szCs w:val="24"/>
        </w:rPr>
        <w:t xml:space="preserve">By virtue of the same final decision the applicant </w:t>
      </w:r>
      <w:r w:rsidR="00112F74">
        <w:rPr>
          <w:szCs w:val="24"/>
        </w:rPr>
        <w:t xml:space="preserve">was </w:t>
      </w:r>
      <w:r w:rsidR="00EA1739">
        <w:rPr>
          <w:szCs w:val="24"/>
        </w:rPr>
        <w:t xml:space="preserve">also </w:t>
      </w:r>
      <w:r w:rsidR="00112F74">
        <w:rPr>
          <w:szCs w:val="24"/>
        </w:rPr>
        <w:t xml:space="preserve">awarded </w:t>
      </w:r>
      <w:r w:rsidR="00EA1739">
        <w:rPr>
          <w:szCs w:val="24"/>
        </w:rPr>
        <w:t xml:space="preserve">costs. </w:t>
      </w:r>
      <w:r w:rsidR="009A57AF">
        <w:rPr>
          <w:szCs w:val="24"/>
        </w:rPr>
        <w:t>T</w:t>
      </w:r>
      <w:r>
        <w:rPr>
          <w:szCs w:val="24"/>
        </w:rPr>
        <w:t xml:space="preserve">he extraordinary appeal and </w:t>
      </w:r>
      <w:r w:rsidR="009A57AF">
        <w:rPr>
          <w:szCs w:val="24"/>
        </w:rPr>
        <w:t xml:space="preserve">the </w:t>
      </w:r>
      <w:r>
        <w:rPr>
          <w:szCs w:val="24"/>
        </w:rPr>
        <w:t xml:space="preserve">quashing </w:t>
      </w:r>
      <w:r w:rsidR="009A57AF">
        <w:rPr>
          <w:szCs w:val="24"/>
        </w:rPr>
        <w:t xml:space="preserve">of </w:t>
      </w:r>
      <w:r>
        <w:rPr>
          <w:szCs w:val="24"/>
        </w:rPr>
        <w:t>that final decision</w:t>
      </w:r>
      <w:r w:rsidR="009A57AF">
        <w:rPr>
          <w:szCs w:val="24"/>
        </w:rPr>
        <w:t xml:space="preserve"> </w:t>
      </w:r>
      <w:r w:rsidR="00F64B65">
        <w:rPr>
          <w:szCs w:val="24"/>
        </w:rPr>
        <w:t xml:space="preserve">resulted in the </w:t>
      </w:r>
      <w:r>
        <w:rPr>
          <w:szCs w:val="24"/>
        </w:rPr>
        <w:t xml:space="preserve">applicant </w:t>
      </w:r>
      <w:r w:rsidR="00F64B65">
        <w:rPr>
          <w:szCs w:val="24"/>
        </w:rPr>
        <w:t>losing</w:t>
      </w:r>
      <w:r w:rsidR="009A57AF">
        <w:rPr>
          <w:szCs w:val="24"/>
        </w:rPr>
        <w:t xml:space="preserve"> entitlement to the compensation for the </w:t>
      </w:r>
      <w:r w:rsidR="006358EC">
        <w:rPr>
          <w:szCs w:val="24"/>
        </w:rPr>
        <w:t>stolen</w:t>
      </w:r>
      <w:r w:rsidR="009A57AF">
        <w:rPr>
          <w:szCs w:val="24"/>
        </w:rPr>
        <w:t xml:space="preserve"> </w:t>
      </w:r>
      <w:r w:rsidR="00F37104">
        <w:rPr>
          <w:szCs w:val="24"/>
        </w:rPr>
        <w:t xml:space="preserve">items </w:t>
      </w:r>
      <w:r w:rsidR="00EA1739">
        <w:rPr>
          <w:szCs w:val="24"/>
        </w:rPr>
        <w:t>and</w:t>
      </w:r>
      <w:r w:rsidR="00F37104">
        <w:rPr>
          <w:szCs w:val="24"/>
        </w:rPr>
        <w:t xml:space="preserve"> the</w:t>
      </w:r>
      <w:r w:rsidR="00EA1739">
        <w:rPr>
          <w:szCs w:val="24"/>
        </w:rPr>
        <w:t xml:space="preserve"> legal costs</w:t>
      </w:r>
      <w:r w:rsidR="009A57AF">
        <w:rPr>
          <w:szCs w:val="24"/>
        </w:rPr>
        <w:t>.</w:t>
      </w:r>
    </w:p>
    <w:p w:rsidR="00482536" w:rsidP="00EB41E9" w:rsidRDefault="009A57AF">
      <w:pPr>
        <w:pStyle w:val="JuPara"/>
        <w:rPr>
          <w:szCs w:val="24"/>
        </w:rPr>
      </w:pPr>
      <w:r>
        <w:rPr>
          <w:szCs w:val="24"/>
        </w:rPr>
        <w:fldChar w:fldCharType="begin"/>
      </w:r>
      <w:r>
        <w:rPr>
          <w:szCs w:val="24"/>
        </w:rPr>
        <w:instrText xml:space="preserve"> SEQ level0 \*arabic </w:instrText>
      </w:r>
      <w:r>
        <w:rPr>
          <w:szCs w:val="24"/>
        </w:rPr>
        <w:fldChar w:fldCharType="separate"/>
      </w:r>
      <w:r w:rsidR="001E5484">
        <w:rPr>
          <w:noProof/>
          <w:szCs w:val="24"/>
        </w:rPr>
        <w:t>21</w:t>
      </w:r>
      <w:r>
        <w:rPr>
          <w:szCs w:val="24"/>
        </w:rPr>
        <w:fldChar w:fldCharType="end"/>
      </w:r>
      <w:r>
        <w:rPr>
          <w:szCs w:val="24"/>
        </w:rPr>
        <w:t>.  </w:t>
      </w:r>
      <w:r w:rsidR="00343B5F">
        <w:rPr>
          <w:szCs w:val="24"/>
        </w:rPr>
        <w:t xml:space="preserve">The </w:t>
      </w:r>
      <w:r w:rsidR="00667217">
        <w:rPr>
          <w:szCs w:val="24"/>
        </w:rPr>
        <w:t>Court</w:t>
      </w:r>
      <w:r w:rsidR="00343B5F">
        <w:rPr>
          <w:szCs w:val="24"/>
        </w:rPr>
        <w:t xml:space="preserve"> notes that none of the parties submitted information concerning the financial </w:t>
      </w:r>
      <w:r w:rsidR="00F37104">
        <w:rPr>
          <w:szCs w:val="24"/>
        </w:rPr>
        <w:t xml:space="preserve">position </w:t>
      </w:r>
      <w:r w:rsidR="00343B5F">
        <w:rPr>
          <w:szCs w:val="24"/>
        </w:rPr>
        <w:t>of the applicant. Nevertheless, it observes that the applicant is re</w:t>
      </w:r>
      <w:r w:rsidR="00EA1739">
        <w:rPr>
          <w:szCs w:val="24"/>
        </w:rPr>
        <w:t>tired and that</w:t>
      </w:r>
      <w:r w:rsidR="00F37104">
        <w:rPr>
          <w:szCs w:val="24"/>
        </w:rPr>
        <w:t>,</w:t>
      </w:r>
      <w:r w:rsidR="00EA1739">
        <w:rPr>
          <w:szCs w:val="24"/>
        </w:rPr>
        <w:t xml:space="preserve"> according to the Romanian </w:t>
      </w:r>
      <w:r w:rsidR="00F64B65">
        <w:rPr>
          <w:szCs w:val="24"/>
        </w:rPr>
        <w:t>Department</w:t>
      </w:r>
      <w:r w:rsidR="00343B5F">
        <w:rPr>
          <w:szCs w:val="24"/>
        </w:rPr>
        <w:t xml:space="preserve"> of Pensions and Social Insurance</w:t>
      </w:r>
      <w:r w:rsidR="00F37104">
        <w:rPr>
          <w:szCs w:val="24"/>
        </w:rPr>
        <w:t>,</w:t>
      </w:r>
      <w:r w:rsidR="00343B5F">
        <w:rPr>
          <w:szCs w:val="24"/>
        </w:rPr>
        <w:t xml:space="preserve"> the average pension level in </w:t>
      </w:r>
      <w:smartTag w:uri="urn:schemas-microsoft-com:office:smarttags" w:element="place">
        <w:smartTag w:uri="urn:schemas-microsoft-com:office:smarttags" w:element="country-region">
          <w:r w:rsidR="00214D6A">
            <w:rPr>
              <w:szCs w:val="24"/>
            </w:rPr>
            <w:t>Romania</w:t>
          </w:r>
        </w:smartTag>
      </w:smartTag>
      <w:r w:rsidR="00214D6A">
        <w:rPr>
          <w:szCs w:val="24"/>
        </w:rPr>
        <w:t xml:space="preserve"> in </w:t>
      </w:r>
      <w:r w:rsidR="00343B5F">
        <w:rPr>
          <w:szCs w:val="24"/>
        </w:rPr>
        <w:t xml:space="preserve">2003, when the applicant lost </w:t>
      </w:r>
      <w:r w:rsidR="00F37104">
        <w:rPr>
          <w:szCs w:val="24"/>
        </w:rPr>
        <w:t xml:space="preserve">his </w:t>
      </w:r>
      <w:r w:rsidR="00343B5F">
        <w:rPr>
          <w:szCs w:val="24"/>
        </w:rPr>
        <w:t xml:space="preserve">entitlement to </w:t>
      </w:r>
      <w:r w:rsidR="00EA1739">
        <w:rPr>
          <w:szCs w:val="24"/>
        </w:rPr>
        <w:t xml:space="preserve">the sums of money determined by the final judgment of 14 January 2002, </w:t>
      </w:r>
      <w:r w:rsidR="00667217">
        <w:rPr>
          <w:szCs w:val="24"/>
        </w:rPr>
        <w:t xml:space="preserve">was the equivalent of some </w:t>
      </w:r>
      <w:r w:rsidR="0009330B">
        <w:rPr>
          <w:szCs w:val="24"/>
        </w:rPr>
        <w:t>EUR </w:t>
      </w:r>
      <w:r w:rsidR="00667217">
        <w:rPr>
          <w:szCs w:val="24"/>
        </w:rPr>
        <w:t>50.</w:t>
      </w:r>
    </w:p>
    <w:p w:rsidR="00FE4AA0" w:rsidP="00EB41E9" w:rsidRDefault="00FE4AA0">
      <w:pPr>
        <w:pStyle w:val="JuPara"/>
        <w:rPr>
          <w:szCs w:val="24"/>
        </w:rPr>
      </w:pPr>
      <w:r>
        <w:rPr>
          <w:szCs w:val="24"/>
        </w:rPr>
        <w:fldChar w:fldCharType="begin"/>
      </w:r>
      <w:r>
        <w:rPr>
          <w:szCs w:val="24"/>
        </w:rPr>
        <w:instrText xml:space="preserve"> SEQ level0 \*arabic </w:instrText>
      </w:r>
      <w:r>
        <w:rPr>
          <w:szCs w:val="24"/>
        </w:rPr>
        <w:fldChar w:fldCharType="separate"/>
      </w:r>
      <w:r w:rsidR="001E5484">
        <w:rPr>
          <w:noProof/>
          <w:szCs w:val="24"/>
        </w:rPr>
        <w:t>22</w:t>
      </w:r>
      <w:r>
        <w:rPr>
          <w:szCs w:val="24"/>
        </w:rPr>
        <w:fldChar w:fldCharType="end"/>
      </w:r>
      <w:r>
        <w:rPr>
          <w:szCs w:val="24"/>
        </w:rPr>
        <w:t xml:space="preserve">.  The Court also takes note of the fact that the domestic proceedings </w:t>
      </w:r>
      <w:r w:rsidR="00AA66E5">
        <w:rPr>
          <w:szCs w:val="24"/>
        </w:rPr>
        <w:t>which are the subject</w:t>
      </w:r>
      <w:r>
        <w:rPr>
          <w:szCs w:val="24"/>
        </w:rPr>
        <w:t xml:space="preserve"> of the complaint before it were </w:t>
      </w:r>
      <w:r w:rsidR="00F37104">
        <w:rPr>
          <w:szCs w:val="24"/>
        </w:rPr>
        <w:t>instituted in order to</w:t>
      </w:r>
      <w:r>
        <w:rPr>
          <w:szCs w:val="24"/>
        </w:rPr>
        <w:t xml:space="preserve"> recover </w:t>
      </w:r>
      <w:r w:rsidR="00F37104">
        <w:rPr>
          <w:szCs w:val="24"/>
        </w:rPr>
        <w:t xml:space="preserve">items </w:t>
      </w:r>
      <w:r>
        <w:rPr>
          <w:szCs w:val="24"/>
        </w:rPr>
        <w:t>stolen from the applicant</w:t>
      </w:r>
      <w:r w:rsidR="000A0B63">
        <w:rPr>
          <w:szCs w:val="24"/>
        </w:rPr>
        <w:t>’</w:t>
      </w:r>
      <w:r>
        <w:rPr>
          <w:szCs w:val="24"/>
        </w:rPr>
        <w:t xml:space="preserve">s own apartment. Therefore, in addition to the pecuniary interest in the actual </w:t>
      </w:r>
      <w:r w:rsidR="00F37104">
        <w:rPr>
          <w:szCs w:val="24"/>
        </w:rPr>
        <w:t xml:space="preserve">items </w:t>
      </w:r>
      <w:r w:rsidR="00F91EB8">
        <w:rPr>
          <w:szCs w:val="24"/>
        </w:rPr>
        <w:t xml:space="preserve">and the </w:t>
      </w:r>
      <w:r w:rsidR="00192788">
        <w:rPr>
          <w:szCs w:val="24"/>
        </w:rPr>
        <w:t>sentimental</w:t>
      </w:r>
      <w:r w:rsidR="00F91EB8">
        <w:rPr>
          <w:szCs w:val="24"/>
        </w:rPr>
        <w:t xml:space="preserve"> value attached to them</w:t>
      </w:r>
      <w:r>
        <w:rPr>
          <w:szCs w:val="24"/>
        </w:rPr>
        <w:t xml:space="preserve">, </w:t>
      </w:r>
      <w:r w:rsidR="00F64B65">
        <w:rPr>
          <w:szCs w:val="24"/>
        </w:rPr>
        <w:t xml:space="preserve">it is </w:t>
      </w:r>
      <w:r w:rsidR="00F9327A">
        <w:rPr>
          <w:szCs w:val="24"/>
        </w:rPr>
        <w:t xml:space="preserve">also </w:t>
      </w:r>
      <w:r w:rsidR="00F64B65">
        <w:rPr>
          <w:szCs w:val="24"/>
        </w:rPr>
        <w:t xml:space="preserve">necessary </w:t>
      </w:r>
      <w:r>
        <w:rPr>
          <w:szCs w:val="24"/>
        </w:rPr>
        <w:t xml:space="preserve">to take into account the fact that the proceedings concerned a question of principle for </w:t>
      </w:r>
      <w:r w:rsidR="00F91EB8">
        <w:rPr>
          <w:szCs w:val="24"/>
        </w:rPr>
        <w:t>the applicant</w:t>
      </w:r>
      <w:r w:rsidRPr="00EA1739">
        <w:rPr>
          <w:szCs w:val="24"/>
        </w:rPr>
        <w:t>, namely</w:t>
      </w:r>
      <w:r w:rsidR="00F37104">
        <w:rPr>
          <w:szCs w:val="24"/>
        </w:rPr>
        <w:t>,</w:t>
      </w:r>
      <w:r w:rsidRPr="00EA1739">
        <w:rPr>
          <w:szCs w:val="24"/>
        </w:rPr>
        <w:t xml:space="preserve"> his right to respect </w:t>
      </w:r>
      <w:r w:rsidR="00F64B65">
        <w:rPr>
          <w:szCs w:val="24"/>
        </w:rPr>
        <w:t>for</w:t>
      </w:r>
      <w:r w:rsidRPr="00EA1739">
        <w:rPr>
          <w:szCs w:val="24"/>
        </w:rPr>
        <w:t xml:space="preserve"> his </w:t>
      </w:r>
      <w:r w:rsidR="00F91EB8">
        <w:rPr>
          <w:szCs w:val="24"/>
        </w:rPr>
        <w:t xml:space="preserve">possessions </w:t>
      </w:r>
      <w:r w:rsidR="00E641A8">
        <w:rPr>
          <w:szCs w:val="24"/>
        </w:rPr>
        <w:t>and for his home.</w:t>
      </w:r>
    </w:p>
    <w:p w:rsidR="00667217" w:rsidP="00EB41E9" w:rsidRDefault="00667217">
      <w:pPr>
        <w:pStyle w:val="JuPara"/>
        <w:rPr>
          <w:szCs w:val="24"/>
        </w:rPr>
      </w:pPr>
      <w:r>
        <w:rPr>
          <w:szCs w:val="24"/>
        </w:rPr>
        <w:fldChar w:fldCharType="begin"/>
      </w:r>
      <w:r>
        <w:rPr>
          <w:szCs w:val="24"/>
        </w:rPr>
        <w:instrText xml:space="preserve"> SEQ level0 \*arabic </w:instrText>
      </w:r>
      <w:r>
        <w:rPr>
          <w:szCs w:val="24"/>
        </w:rPr>
        <w:fldChar w:fldCharType="separate"/>
      </w:r>
      <w:r w:rsidR="001E5484">
        <w:rPr>
          <w:noProof/>
          <w:szCs w:val="24"/>
        </w:rPr>
        <w:t>23</w:t>
      </w:r>
      <w:r>
        <w:rPr>
          <w:szCs w:val="24"/>
        </w:rPr>
        <w:fldChar w:fldCharType="end"/>
      </w:r>
      <w:r>
        <w:rPr>
          <w:szCs w:val="24"/>
        </w:rPr>
        <w:t>.  Under these circumstances</w:t>
      </w:r>
      <w:r w:rsidR="00FE4AA0">
        <w:rPr>
          <w:szCs w:val="24"/>
        </w:rPr>
        <w:t xml:space="preserve"> the applicant cannot</w:t>
      </w:r>
      <w:r w:rsidR="00F9327A">
        <w:rPr>
          <w:szCs w:val="24"/>
        </w:rPr>
        <w:t>,</w:t>
      </w:r>
      <w:r w:rsidRPr="00F9327A" w:rsidR="00F9327A">
        <w:rPr>
          <w:szCs w:val="24"/>
        </w:rPr>
        <w:t xml:space="preserve"> </w:t>
      </w:r>
      <w:r w:rsidR="00F9327A">
        <w:rPr>
          <w:szCs w:val="24"/>
        </w:rPr>
        <w:t xml:space="preserve">in the Court’s view, </w:t>
      </w:r>
      <w:r w:rsidR="00FE4AA0">
        <w:rPr>
          <w:szCs w:val="24"/>
        </w:rPr>
        <w:t>be deemed not to have suffered a significant disadvantage.</w:t>
      </w:r>
    </w:p>
    <w:p w:rsidR="00D511D8" w:rsidP="00EB41E9" w:rsidRDefault="00667217">
      <w:pPr>
        <w:pStyle w:val="JuPara"/>
        <w:rPr>
          <w:szCs w:val="24"/>
        </w:rPr>
      </w:pPr>
      <w:r>
        <w:rPr>
          <w:szCs w:val="24"/>
        </w:rPr>
        <w:fldChar w:fldCharType="begin"/>
      </w:r>
      <w:r>
        <w:rPr>
          <w:szCs w:val="24"/>
        </w:rPr>
        <w:instrText xml:space="preserve"> SEQ level0 \*arabic </w:instrText>
      </w:r>
      <w:r>
        <w:rPr>
          <w:szCs w:val="24"/>
        </w:rPr>
        <w:fldChar w:fldCharType="separate"/>
      </w:r>
      <w:r w:rsidR="001E5484">
        <w:rPr>
          <w:noProof/>
          <w:szCs w:val="24"/>
        </w:rPr>
        <w:t>24</w:t>
      </w:r>
      <w:r>
        <w:rPr>
          <w:szCs w:val="24"/>
        </w:rPr>
        <w:fldChar w:fldCharType="end"/>
      </w:r>
      <w:r>
        <w:rPr>
          <w:szCs w:val="24"/>
        </w:rPr>
        <w:t>.  </w:t>
      </w:r>
      <w:r w:rsidR="004F3F3D">
        <w:rPr>
          <w:szCs w:val="24"/>
        </w:rPr>
        <w:t>The Court note</w:t>
      </w:r>
      <w:r w:rsidR="00F37104">
        <w:rPr>
          <w:szCs w:val="24"/>
        </w:rPr>
        <w:t>s</w:t>
      </w:r>
      <w:r w:rsidR="004F3F3D">
        <w:rPr>
          <w:szCs w:val="24"/>
        </w:rPr>
        <w:t xml:space="preserve"> </w:t>
      </w:r>
      <w:r>
        <w:rPr>
          <w:szCs w:val="24"/>
        </w:rPr>
        <w:t>that the admissibil</w:t>
      </w:r>
      <w:r w:rsidR="0009330B">
        <w:rPr>
          <w:szCs w:val="24"/>
        </w:rPr>
        <w:t xml:space="preserve">ity criterion set </w:t>
      </w:r>
      <w:r w:rsidR="00F37104">
        <w:rPr>
          <w:szCs w:val="24"/>
        </w:rPr>
        <w:t xml:space="preserve">forth in </w:t>
      </w:r>
      <w:r w:rsidR="0009330B">
        <w:rPr>
          <w:szCs w:val="24"/>
        </w:rPr>
        <w:t>Article 35 </w:t>
      </w:r>
      <w:r w:rsidR="008C5660">
        <w:rPr>
          <w:szCs w:val="24"/>
        </w:rPr>
        <w:t xml:space="preserve">§ 3 (b) </w:t>
      </w:r>
      <w:r>
        <w:rPr>
          <w:szCs w:val="24"/>
        </w:rPr>
        <w:t xml:space="preserve">of the Convention is applicable </w:t>
      </w:r>
      <w:r w:rsidR="008C5660">
        <w:rPr>
          <w:szCs w:val="24"/>
        </w:rPr>
        <w:t xml:space="preserve">only </w:t>
      </w:r>
      <w:r>
        <w:rPr>
          <w:szCs w:val="24"/>
        </w:rPr>
        <w:t xml:space="preserve">when </w:t>
      </w:r>
      <w:r w:rsidR="004F3F3D">
        <w:rPr>
          <w:szCs w:val="24"/>
        </w:rPr>
        <w:t>the applicant has suffered no significant disadvantage and prov</w:t>
      </w:r>
      <w:r w:rsidR="00010788">
        <w:rPr>
          <w:szCs w:val="24"/>
        </w:rPr>
        <w:t>ided that the two </w:t>
      </w:r>
      <w:r w:rsidR="004F3F3D">
        <w:rPr>
          <w:szCs w:val="24"/>
        </w:rPr>
        <w:t>safeguard clauses</w:t>
      </w:r>
      <w:r w:rsidR="00F37104">
        <w:rPr>
          <w:szCs w:val="24"/>
        </w:rPr>
        <w:t xml:space="preserve"> contained in</w:t>
      </w:r>
      <w:r w:rsidR="004F3F3D">
        <w:rPr>
          <w:szCs w:val="24"/>
        </w:rPr>
        <w:t xml:space="preserve"> the same provision are respected. It follows that where it has not been determined that the applicant has suffe</w:t>
      </w:r>
      <w:r w:rsidR="003E5ACD">
        <w:rPr>
          <w:szCs w:val="24"/>
        </w:rPr>
        <w:t>red no significant disadvantage</w:t>
      </w:r>
      <w:r w:rsidR="00F37104">
        <w:rPr>
          <w:szCs w:val="24"/>
        </w:rPr>
        <w:t>, this admissibility criterion does not apply</w:t>
      </w:r>
      <w:r w:rsidR="003E5ACD">
        <w:rPr>
          <w:szCs w:val="24"/>
        </w:rPr>
        <w:t>.</w:t>
      </w:r>
    </w:p>
    <w:p w:rsidRPr="007373A7" w:rsidR="00A46BE1" w:rsidP="007373A7" w:rsidRDefault="004457C2">
      <w:pPr>
        <w:pStyle w:val="JuPara"/>
      </w:pPr>
      <w:r w:rsidRPr="007373A7">
        <w:fldChar w:fldCharType="begin"/>
      </w:r>
      <w:r w:rsidRPr="007373A7">
        <w:instrText xml:space="preserve"> SEQ level0 \*arabic </w:instrText>
      </w:r>
      <w:r w:rsidRPr="007373A7">
        <w:fldChar w:fldCharType="separate"/>
      </w:r>
      <w:r w:rsidR="001E5484">
        <w:rPr>
          <w:noProof/>
        </w:rPr>
        <w:t>25</w:t>
      </w:r>
      <w:r w:rsidRPr="007373A7">
        <w:fldChar w:fldCharType="end"/>
      </w:r>
      <w:r w:rsidRPr="007373A7">
        <w:t>.  </w:t>
      </w:r>
      <w:r w:rsidRPr="007373A7" w:rsidR="00024C21">
        <w:t>The Court accordingly dismisses the Government</w:t>
      </w:r>
      <w:r w:rsidR="000A0B63">
        <w:t>’</w:t>
      </w:r>
      <w:r w:rsidRPr="007373A7" w:rsidR="00024C21">
        <w:t xml:space="preserve">s objections. </w:t>
      </w:r>
      <w:r w:rsidRPr="007373A7" w:rsidR="00A46BE1">
        <w:t>Noting that these complaint</w:t>
      </w:r>
      <w:r w:rsidRPr="007373A7" w:rsidR="00BB44EC">
        <w:t>s</w:t>
      </w:r>
      <w:r w:rsidRPr="007373A7" w:rsidR="00A46BE1">
        <w:t xml:space="preserve"> are not manifestly ill-founded within the meaning of Article 35 § 3 of the Convention and that they are not inadmissible on any other grounds, it declares them admissible.</w:t>
      </w:r>
    </w:p>
    <w:p w:rsidR="00F71A6A" w:rsidP="008824B9" w:rsidRDefault="00F71A6A">
      <w:pPr>
        <w:pStyle w:val="JuHA"/>
        <w:outlineLvl w:val="0"/>
      </w:pPr>
      <w:r w:rsidRPr="001C0B3D">
        <w:t>B.  Merits</w:t>
      </w:r>
    </w:p>
    <w:p w:rsidR="00A46BE1" w:rsidP="00A46BE1" w:rsidRDefault="00A46BE1">
      <w:pPr>
        <w:pStyle w:val="JuH1"/>
      </w:pPr>
      <w:r>
        <w:t>1.</w:t>
      </w:r>
      <w:r w:rsidR="0009330B">
        <w:t>  </w:t>
      </w:r>
      <w:r>
        <w:t>Article 6 § 1 of the Convention</w:t>
      </w:r>
    </w:p>
    <w:p w:rsidR="00A46BE1" w:rsidP="00C80286" w:rsidRDefault="0009330B">
      <w:pPr>
        <w:pStyle w:val="JuHa0"/>
      </w:pPr>
      <w:r>
        <w:t>(</w:t>
      </w:r>
      <w:r w:rsidR="00C80286">
        <w:t>a)</w:t>
      </w:r>
      <w:r>
        <w:t>  </w:t>
      </w:r>
      <w:r w:rsidR="00F37104">
        <w:t>The parties’ s</w:t>
      </w:r>
      <w:r w:rsidR="00C80286">
        <w:t>ubmissions</w:t>
      </w:r>
    </w:p>
    <w:p w:rsidR="00C80286" w:rsidP="00C80286" w:rsidRDefault="00FE20E3">
      <w:pPr>
        <w:pStyle w:val="JuPara"/>
      </w:pPr>
      <w:r>
        <w:fldChar w:fldCharType="begin"/>
      </w:r>
      <w:r>
        <w:instrText xml:space="preserve"> SEQ level0 \*arabic </w:instrText>
      </w:r>
      <w:r>
        <w:fldChar w:fldCharType="separate"/>
      </w:r>
      <w:r w:rsidR="001E5484">
        <w:rPr>
          <w:noProof/>
        </w:rPr>
        <w:t>26</w:t>
      </w:r>
      <w:r>
        <w:fldChar w:fldCharType="end"/>
      </w:r>
      <w:r>
        <w:t xml:space="preserve">.  The applicant complained that the quashing of the final decision of 14 January 2002 </w:t>
      </w:r>
      <w:r w:rsidR="00F37104">
        <w:t xml:space="preserve">had </w:t>
      </w:r>
      <w:r>
        <w:t>violated his right to a fair trial, breaching the principle of legal certainty.</w:t>
      </w:r>
    </w:p>
    <w:p w:rsidRPr="007A0BA7" w:rsidR="007A0BA7" w:rsidP="00E557F6" w:rsidRDefault="00FE20E3">
      <w:pPr>
        <w:pStyle w:val="JuPara"/>
      </w:pPr>
      <w:r>
        <w:fldChar w:fldCharType="begin"/>
      </w:r>
      <w:r>
        <w:instrText xml:space="preserve"> SEQ level0 \*arabic </w:instrText>
      </w:r>
      <w:r>
        <w:fldChar w:fldCharType="separate"/>
      </w:r>
      <w:r w:rsidR="001E5484">
        <w:rPr>
          <w:noProof/>
        </w:rPr>
        <w:t>27</w:t>
      </w:r>
      <w:r>
        <w:fldChar w:fldCharType="end"/>
      </w:r>
      <w:r>
        <w:t>.  </w:t>
      </w:r>
      <w:r w:rsidRPr="007A0BA7" w:rsidR="007A0BA7">
        <w:t xml:space="preserve">The Government </w:t>
      </w:r>
      <w:r w:rsidR="007A0BA7">
        <w:t xml:space="preserve">indicated at the outset that the applicant </w:t>
      </w:r>
      <w:r w:rsidR="00F37104">
        <w:t xml:space="preserve">had been </w:t>
      </w:r>
      <w:r w:rsidR="007A0BA7">
        <w:t xml:space="preserve">a civil party to the criminal proceedings against E.I. and that his civil claims </w:t>
      </w:r>
      <w:r w:rsidR="00F37104">
        <w:t xml:space="preserve">had been </w:t>
      </w:r>
      <w:r w:rsidR="00DD6106">
        <w:t>closely linked to</w:t>
      </w:r>
      <w:r w:rsidR="007A0BA7">
        <w:t xml:space="preserve"> the outcome of the criminal head of the proceedings. </w:t>
      </w:r>
      <w:r w:rsidR="00E557F6">
        <w:t xml:space="preserve">They further argued that </w:t>
      </w:r>
      <w:r w:rsidRPr="007A0BA7" w:rsidR="007A0BA7">
        <w:t>the final decision had been quashed in order to remedy a fundamental defect in the criminal proceedings before the lower courts</w:t>
      </w:r>
      <w:r w:rsidR="00E557F6">
        <w:t>. The only way to remedy the miscarriage of justice was by quashing the final decision convicting E.I.</w:t>
      </w:r>
      <w:r w:rsidRPr="007A0BA7" w:rsidR="007A0BA7">
        <w:t xml:space="preserve"> </w:t>
      </w:r>
      <w:r w:rsidR="00E557F6">
        <w:t>The Government submitted that the extraordinary appeal had been lodged within a short time</w:t>
      </w:r>
      <w:r w:rsidR="00F64B65">
        <w:t>-</w:t>
      </w:r>
      <w:r w:rsidR="00E557F6">
        <w:t xml:space="preserve">frame </w:t>
      </w:r>
      <w:r w:rsidR="00BA0B53">
        <w:t xml:space="preserve">after </w:t>
      </w:r>
      <w:r w:rsidR="00E557F6">
        <w:t xml:space="preserve">the adoption of the final decision and that the applicant </w:t>
      </w:r>
      <w:r w:rsidR="00BA0B53">
        <w:t xml:space="preserve">had taken </w:t>
      </w:r>
      <w:r w:rsidR="00E557F6">
        <w:t xml:space="preserve">part in the proceedings before the </w:t>
      </w:r>
      <w:r w:rsidR="00EA1739">
        <w:t>High</w:t>
      </w:r>
      <w:r w:rsidR="00E557F6">
        <w:t xml:space="preserve"> Court of </w:t>
      </w:r>
      <w:r w:rsidR="00EA1739">
        <w:t xml:space="preserve">Cassation and </w:t>
      </w:r>
      <w:r w:rsidR="00E557F6">
        <w:t>Justice and had</w:t>
      </w:r>
      <w:r w:rsidR="00BA0B53">
        <w:t xml:space="preserve"> had</w:t>
      </w:r>
      <w:r w:rsidR="00E557F6">
        <w:t xml:space="preserve"> the opportunity to submit arguments in support of his claims. </w:t>
      </w:r>
      <w:r w:rsidRPr="007A0BA7" w:rsidR="007A0BA7">
        <w:t>The Government further observed that the relevant provisions of the C</w:t>
      </w:r>
      <w:r w:rsidR="00E41453">
        <w:t xml:space="preserve">ode </w:t>
      </w:r>
      <w:r w:rsidR="00BA0B53">
        <w:t xml:space="preserve">of </w:t>
      </w:r>
      <w:r w:rsidRPr="007A0BA7" w:rsidR="007A0BA7">
        <w:t>C</w:t>
      </w:r>
      <w:r w:rsidR="00E41453">
        <w:t xml:space="preserve">riminal </w:t>
      </w:r>
      <w:r w:rsidRPr="007A0BA7" w:rsidR="007A0BA7">
        <w:t>P</w:t>
      </w:r>
      <w:r w:rsidR="00E41453">
        <w:t>roce</w:t>
      </w:r>
      <w:r w:rsidR="00BA0B53">
        <w:t>dure</w:t>
      </w:r>
      <w:r w:rsidRPr="007A0BA7" w:rsidR="007A0BA7">
        <w:t xml:space="preserve"> </w:t>
      </w:r>
      <w:r w:rsidR="009B3B2E">
        <w:t xml:space="preserve">concerning this type of extraordinary appeal </w:t>
      </w:r>
      <w:r w:rsidRPr="007A0BA7" w:rsidR="007A0BA7">
        <w:t>had been repealed in the meantime.</w:t>
      </w:r>
    </w:p>
    <w:p w:rsidR="00A46BE1" w:rsidP="00A46BE1" w:rsidRDefault="0009330B">
      <w:pPr>
        <w:pStyle w:val="JuHa0"/>
      </w:pPr>
      <w:r>
        <w:t>(</w:t>
      </w:r>
      <w:r w:rsidR="00FE20E3">
        <w:t>b</w:t>
      </w:r>
      <w:r w:rsidR="00A46BE1">
        <w:t>)</w:t>
      </w:r>
      <w:r>
        <w:t>  </w:t>
      </w:r>
      <w:r w:rsidR="00A46BE1">
        <w:t>General principles</w:t>
      </w:r>
    </w:p>
    <w:p w:rsidRPr="00FE0434" w:rsidR="00A46BE1" w:rsidP="004C7576" w:rsidRDefault="00A46BE1">
      <w:pPr>
        <w:pStyle w:val="JuPara"/>
        <w:rPr>
          <w:lang w:eastAsia="en-US"/>
        </w:rPr>
      </w:pPr>
      <w:r>
        <w:fldChar w:fldCharType="begin"/>
      </w:r>
      <w:r>
        <w:instrText xml:space="preserve"> SEQ level0 \*arabic </w:instrText>
      </w:r>
      <w:r>
        <w:fldChar w:fldCharType="separate"/>
      </w:r>
      <w:r w:rsidR="001E5484">
        <w:rPr>
          <w:noProof/>
        </w:rPr>
        <w:t>28</w:t>
      </w:r>
      <w:r>
        <w:fldChar w:fldCharType="end"/>
      </w:r>
      <w:r>
        <w:t>.  The Court reiterates that t</w:t>
      </w:r>
      <w:r w:rsidRPr="00FE0434">
        <w:t xml:space="preserve">he right to a fair hearing before a tribunal as guaranteed by Article 6 § 1 of the Convention must be interpreted in the light of the Preamble to the Convention, which declares, in its relevant part, the rule of law to be part of the common heritage of the Contracting States. One of the fundamental aspects of the rule of law is the principle of legal certainty, which requires, among other things, that where the courts have finally determined an issue their ruling should not be called into question (see </w:t>
      </w:r>
      <w:r w:rsidRPr="004C7576" w:rsidR="004C7576">
        <w:rPr>
          <w:i/>
          <w:lang w:eastAsia="en-US"/>
        </w:rPr>
        <w:t xml:space="preserve">Brumărescu v. </w:t>
      </w:r>
      <w:smartTag w:uri="urn:schemas-microsoft-com:office:smarttags" w:element="country-region">
        <w:smartTag w:uri="urn:schemas-microsoft-com:office:smarttags" w:element="place">
          <w:r w:rsidR="004C7576" w:rsidRPr="004C7576">
            <w:rPr>
              <w:i/>
              <w:lang w:eastAsia="en-US"/>
            </w:rPr>
            <w:t>Romania</w:t>
          </w:r>
        </w:smartTag>
      </w:smartTag>
      <w:r w:rsidRPr="004C7576" w:rsidR="004C7576">
        <w:rPr>
          <w:lang w:eastAsia="en-US"/>
        </w:rPr>
        <w:t xml:space="preserve"> [GC], no. 28342/95, § </w:t>
      </w:r>
      <w:r w:rsidR="004C7576">
        <w:rPr>
          <w:lang w:eastAsia="en-US"/>
        </w:rPr>
        <w:t>61, ECHR 1999</w:t>
      </w:r>
      <w:r w:rsidR="004C7576">
        <w:rPr>
          <w:lang w:eastAsia="en-US"/>
        </w:rPr>
        <w:noBreakHyphen/>
        <w:t>VII</w:t>
      </w:r>
      <w:r w:rsidRPr="00FE0434">
        <w:t>).</w:t>
      </w:r>
    </w:p>
    <w:p w:rsidR="00A46BE1" w:rsidP="00A46BE1" w:rsidRDefault="00A46BE1">
      <w:pPr>
        <w:pStyle w:val="JuPara"/>
      </w:pPr>
      <w:r>
        <w:fldChar w:fldCharType="begin"/>
      </w:r>
      <w:r>
        <w:instrText xml:space="preserve"> SEQ level0 \*arabic </w:instrText>
      </w:r>
      <w:r>
        <w:fldChar w:fldCharType="separate"/>
      </w:r>
      <w:r w:rsidR="001E5484">
        <w:rPr>
          <w:noProof/>
        </w:rPr>
        <w:t>29</w:t>
      </w:r>
      <w:r>
        <w:fldChar w:fldCharType="end"/>
      </w:r>
      <w:r>
        <w:t>.  </w:t>
      </w:r>
      <w:r w:rsidRPr="00FE0434">
        <w:t xml:space="preserve">This principle </w:t>
      </w:r>
      <w:r w:rsidR="00BA0B53">
        <w:t>does not allow a</w:t>
      </w:r>
      <w:r w:rsidRPr="00FE0434">
        <w:t xml:space="preserve"> party to seek </w:t>
      </w:r>
      <w:r w:rsidR="00BA0B53">
        <w:t xml:space="preserve">the </w:t>
      </w:r>
      <w:r>
        <w:t xml:space="preserve">reopening of proceedings </w:t>
      </w:r>
      <w:r w:rsidRPr="00FE0434">
        <w:t xml:space="preserve">merely for the purpose of a rehearing and a fresh decision </w:t>
      </w:r>
      <w:r>
        <w:t>on</w:t>
      </w:r>
      <w:r w:rsidRPr="00FE0434">
        <w:t xml:space="preserve"> the case. </w:t>
      </w:r>
      <w:r>
        <w:t>T</w:t>
      </w:r>
      <w:r w:rsidRPr="00FE0434">
        <w:t xml:space="preserve">he mere possibility of </w:t>
      </w:r>
      <w:r>
        <w:t xml:space="preserve">there being </w:t>
      </w:r>
      <w:r w:rsidRPr="00FE0434">
        <w:t>two views on the subject is not a ground for re-examination.</w:t>
      </w:r>
    </w:p>
    <w:p w:rsidR="00A46BE1" w:rsidP="00A46BE1" w:rsidRDefault="00A46BE1">
      <w:pPr>
        <w:pStyle w:val="JuPara"/>
      </w:pPr>
      <w:r>
        <w:fldChar w:fldCharType="begin"/>
      </w:r>
      <w:r>
        <w:instrText xml:space="preserve"> SEQ level0 \*arabic </w:instrText>
      </w:r>
      <w:r>
        <w:fldChar w:fldCharType="separate"/>
      </w:r>
      <w:r w:rsidR="001E5484">
        <w:rPr>
          <w:noProof/>
        </w:rPr>
        <w:t>30</w:t>
      </w:r>
      <w:r>
        <w:fldChar w:fldCharType="end"/>
      </w:r>
      <w:r>
        <w:t>.  </w:t>
      </w:r>
      <w:r w:rsidRPr="00FE0434">
        <w:t>Departures from that principle are justified only when made necessary by circumstances of a substantial and compelling character (see</w:t>
      </w:r>
      <w:r>
        <w:t xml:space="preserve">, </w:t>
      </w:r>
      <w:r w:rsidRPr="00136999">
        <w:rPr>
          <w:i/>
        </w:rPr>
        <w:t>mutatis mutandis</w:t>
      </w:r>
      <w:r>
        <w:t>,</w:t>
      </w:r>
      <w:r w:rsidRPr="00FE0434">
        <w:t xml:space="preserve"> </w:t>
      </w:r>
      <w:r w:rsidRPr="00FE0434">
        <w:rPr>
          <w:i/>
        </w:rPr>
        <w:t>Ryabykh v. Russia</w:t>
      </w:r>
      <w:r w:rsidRPr="00FE0434">
        <w:t>, no. 52854/99, § 52, ECHR 2003</w:t>
      </w:r>
      <w:r>
        <w:t>-</w:t>
      </w:r>
      <w:r w:rsidRPr="00FE0434">
        <w:t>X</w:t>
      </w:r>
      <w:r>
        <w:t xml:space="preserve">, and </w:t>
      </w:r>
      <w:r w:rsidRPr="00F738FF">
        <w:rPr>
          <w:i/>
          <w:szCs w:val="24"/>
          <w:lang w:val="pt-BR" w:eastAsia="en-US"/>
        </w:rPr>
        <w:t>Pravednaya v.</w:t>
      </w:r>
      <w:r>
        <w:rPr>
          <w:i/>
          <w:szCs w:val="24"/>
          <w:lang w:val="pt-BR" w:eastAsia="en-US"/>
        </w:rPr>
        <w:t> </w:t>
      </w:r>
      <w:r w:rsidRPr="00F738FF">
        <w:rPr>
          <w:i/>
          <w:szCs w:val="24"/>
          <w:lang w:val="pt-BR" w:eastAsia="en-US"/>
        </w:rPr>
        <w:t>Russia</w:t>
      </w:r>
      <w:r w:rsidRPr="00F738FF">
        <w:rPr>
          <w:szCs w:val="24"/>
          <w:lang w:val="pt-BR" w:eastAsia="en-US"/>
        </w:rPr>
        <w:t>, no. 69529/01, § </w:t>
      </w:r>
      <w:r>
        <w:rPr>
          <w:szCs w:val="24"/>
          <w:lang w:val="pt-BR" w:eastAsia="en-US"/>
        </w:rPr>
        <w:t>25</w:t>
      </w:r>
      <w:r w:rsidRPr="00F738FF">
        <w:rPr>
          <w:szCs w:val="24"/>
          <w:lang w:val="pt-BR" w:eastAsia="en-US"/>
        </w:rPr>
        <w:t>, 18 November 2004</w:t>
      </w:r>
      <w:r w:rsidRPr="00FE0434">
        <w:t>).</w:t>
      </w:r>
      <w:r>
        <w:t xml:space="preserve"> </w:t>
      </w:r>
      <w:r w:rsidRPr="00FE0434">
        <w:t>Higher courts</w:t>
      </w:r>
      <w:r w:rsidR="000A0B63">
        <w:t>’</w:t>
      </w:r>
      <w:r w:rsidRPr="00FE0434">
        <w:t xml:space="preserve"> power</w:t>
      </w:r>
      <w:r>
        <w:t>s</w:t>
      </w:r>
      <w:r w:rsidRPr="00FE0434">
        <w:t xml:space="preserve"> </w:t>
      </w:r>
      <w:r>
        <w:t>to quash or alter binding and enforceable judicial decisions</w:t>
      </w:r>
      <w:r w:rsidRPr="00FE0434">
        <w:t xml:space="preserve"> should be exercised for </w:t>
      </w:r>
      <w:r w:rsidR="00BA0B53">
        <w:t xml:space="preserve">the purpose of </w:t>
      </w:r>
      <w:r w:rsidRPr="00FE0434">
        <w:t>correcti</w:t>
      </w:r>
      <w:r w:rsidR="00BA0B53">
        <w:t>ng</w:t>
      </w:r>
      <w:r w:rsidRPr="00FE0434">
        <w:t xml:space="preserve"> </w:t>
      </w:r>
      <w:r>
        <w:t>fundamental defects</w:t>
      </w:r>
      <w:r w:rsidRPr="00FE0434">
        <w:t>.</w:t>
      </w:r>
      <w:r>
        <w:t xml:space="preserve"> That power must be exercised so as to strike, to the maximum extent possible, a fair balance between the interests of an individual and the need to ensure the effectiveness of the system of justice (see, </w:t>
      </w:r>
      <w:r>
        <w:rPr>
          <w:i/>
        </w:rPr>
        <w:t>mutatis mutandis,</w:t>
      </w:r>
      <w:r>
        <w:t xml:space="preserve"> </w:t>
      </w:r>
      <w:r w:rsidR="00A43909">
        <w:rPr>
          <w:i/>
          <w:lang w:eastAsia="en-US"/>
        </w:rPr>
        <w:t>Nikitin v. </w:t>
      </w:r>
      <w:r w:rsidRPr="00FB7786">
        <w:rPr>
          <w:i/>
          <w:lang w:eastAsia="en-US"/>
        </w:rPr>
        <w:t>Russia</w:t>
      </w:r>
      <w:r w:rsidRPr="00FB7786">
        <w:rPr>
          <w:lang w:eastAsia="en-US"/>
        </w:rPr>
        <w:t xml:space="preserve">, no. 50178/99, </w:t>
      </w:r>
      <w:r>
        <w:rPr>
          <w:lang w:eastAsia="en-US"/>
        </w:rPr>
        <w:t>§§ 54-61</w:t>
      </w:r>
      <w:r w:rsidRPr="00FB7786">
        <w:rPr>
          <w:lang w:eastAsia="en-US"/>
        </w:rPr>
        <w:t>, ECHR 2004</w:t>
      </w:r>
      <w:r w:rsidRPr="00FB7786">
        <w:rPr>
          <w:lang w:eastAsia="en-US"/>
        </w:rPr>
        <w:noBreakHyphen/>
        <w:t>VIII</w:t>
      </w:r>
      <w:r>
        <w:t>).</w:t>
      </w:r>
    </w:p>
    <w:p w:rsidRPr="00081EE9" w:rsidR="00A46BE1" w:rsidP="00A46BE1" w:rsidRDefault="00A46BE1">
      <w:pPr>
        <w:pStyle w:val="JuPara"/>
        <w:rPr>
          <w:lang w:eastAsia="en-US"/>
        </w:rPr>
      </w:pPr>
      <w:r w:rsidRPr="00081EE9">
        <w:fldChar w:fldCharType="begin"/>
      </w:r>
      <w:r w:rsidRPr="00081EE9">
        <w:instrText xml:space="preserve"> SEQ level0 \*arabic </w:instrText>
      </w:r>
      <w:r w:rsidRPr="00081EE9">
        <w:fldChar w:fldCharType="separate"/>
      </w:r>
      <w:r w:rsidR="001E5484">
        <w:rPr>
          <w:noProof/>
        </w:rPr>
        <w:t>31</w:t>
      </w:r>
      <w:r w:rsidRPr="00081EE9">
        <w:fldChar w:fldCharType="end"/>
      </w:r>
      <w:r w:rsidRPr="00081EE9">
        <w:t>.  The relevant considerations to be taken into account in this connection include, in particular, the effect of the reopening and any subsequent proceedings on the applicant</w:t>
      </w:r>
      <w:r w:rsidR="000A0B63">
        <w:t>’</w:t>
      </w:r>
      <w:r w:rsidRPr="00081EE9">
        <w:t>s individual situation and whether the reopening resulted from the applicant</w:t>
      </w:r>
      <w:r w:rsidR="000A0B63">
        <w:t>’</w:t>
      </w:r>
      <w:r w:rsidRPr="00081EE9">
        <w:t xml:space="preserve">s own request; the grounds on which the domestic authorities </w:t>
      </w:r>
      <w:r w:rsidR="00BA0B53">
        <w:t>overturned</w:t>
      </w:r>
      <w:r w:rsidRPr="00081EE9">
        <w:t xml:space="preserve"> the judgment in the applicant</w:t>
      </w:r>
      <w:r w:rsidR="000A0B63">
        <w:t>’</w:t>
      </w:r>
      <w:r w:rsidRPr="00081EE9">
        <w:t xml:space="preserve">s case; the compliance of the procedure at issue with the requirements of domestic law; the existence and operation of procedural safeguards in the domestic legal system capable of preventing abuses of this procedure by the domestic authorities; and other pertinent circumstances of the case (see </w:t>
      </w:r>
      <w:r w:rsidRPr="00081EE9">
        <w:rPr>
          <w:rStyle w:val="ju-005fpara--char"/>
          <w:i/>
          <w:iCs/>
        </w:rPr>
        <w:t>Nikitin</w:t>
      </w:r>
      <w:r w:rsidRPr="00081EE9">
        <w:t xml:space="preserve">, cited above, § 60; </w:t>
      </w:r>
      <w:r w:rsidRPr="00081EE9">
        <w:rPr>
          <w:rStyle w:val="ju-005fpara--char"/>
          <w:i/>
          <w:iCs/>
        </w:rPr>
        <w:t xml:space="preserve">Bratyakin v. </w:t>
      </w:r>
      <w:bookmarkStart w:name="HIT20" w:id="2"/>
      <w:bookmarkEnd w:id="2"/>
      <w:r w:rsidRPr="00081EE9">
        <w:rPr>
          <w:rStyle w:val="ju-005fpara--char"/>
          <w:bCs/>
          <w:i/>
          <w:iCs/>
        </w:rPr>
        <w:t>Russia</w:t>
      </w:r>
      <w:r w:rsidRPr="00081EE9">
        <w:t xml:space="preserve"> (dec.), no. 72776/01, 9 March 2006; </w:t>
      </w:r>
      <w:r w:rsidRPr="00081EE9">
        <w:rPr>
          <w:rStyle w:val="ju-005fpara--char"/>
          <w:i/>
          <w:iCs/>
        </w:rPr>
        <w:t xml:space="preserve">Fadin v. </w:t>
      </w:r>
      <w:bookmarkStart w:name="HIT21" w:id="3"/>
      <w:bookmarkEnd w:id="3"/>
      <w:r w:rsidRPr="00081EE9">
        <w:rPr>
          <w:rStyle w:val="ju-005fpara--char"/>
          <w:bCs/>
          <w:i/>
          <w:iCs/>
        </w:rPr>
        <w:t>Russia</w:t>
      </w:r>
      <w:r w:rsidRPr="00081EE9">
        <w:rPr>
          <w:i/>
        </w:rPr>
        <w:t>,</w:t>
      </w:r>
      <w:r w:rsidRPr="00081EE9">
        <w:t xml:space="preserve"> no. 58079/00, § 34, 27 July 2006</w:t>
      </w:r>
      <w:r w:rsidR="00F9327A">
        <w:t>;</w:t>
      </w:r>
      <w:r w:rsidRPr="00081EE9">
        <w:t xml:space="preserve"> and </w:t>
      </w:r>
      <w:r w:rsidRPr="00081EE9">
        <w:rPr>
          <w:i/>
          <w:lang w:eastAsia="en-US"/>
        </w:rPr>
        <w:t>Savinskiy v. Ukraine</w:t>
      </w:r>
      <w:r w:rsidRPr="00081EE9">
        <w:rPr>
          <w:lang w:eastAsia="en-US"/>
        </w:rPr>
        <w:t>, no. 6965/02, §§ 24-26, 28 February 2006</w:t>
      </w:r>
      <w:r w:rsidRPr="00081EE9">
        <w:t>). In addition, the review must afford all the procedural safeguards of Article</w:t>
      </w:r>
      <w:r w:rsidRPr="00081EE9" w:rsidR="00B33AEB">
        <w:t> </w:t>
      </w:r>
      <w:r w:rsidRPr="00081EE9">
        <w:t>6</w:t>
      </w:r>
      <w:r w:rsidRPr="00081EE9" w:rsidR="00B33AEB">
        <w:t> § </w:t>
      </w:r>
      <w:r w:rsidRPr="00081EE9">
        <w:t xml:space="preserve">1 and must ensure the overall fairness of the proceedings (see </w:t>
      </w:r>
      <w:r w:rsidRPr="00081EE9" w:rsidR="00A43909">
        <w:rPr>
          <w:i/>
          <w:lang w:eastAsia="en-US"/>
        </w:rPr>
        <w:t>Vanyan v. </w:t>
      </w:r>
      <w:r w:rsidRPr="00081EE9">
        <w:rPr>
          <w:i/>
          <w:lang w:eastAsia="en-US"/>
        </w:rPr>
        <w:t>Russia</w:t>
      </w:r>
      <w:r w:rsidRPr="00081EE9">
        <w:rPr>
          <w:lang w:eastAsia="en-US"/>
        </w:rPr>
        <w:t>, no. 53203/99, §§ 63-68, 15 December 2005).</w:t>
      </w:r>
    </w:p>
    <w:p w:rsidRPr="008F4687" w:rsidR="00A46BE1" w:rsidP="00A46BE1" w:rsidRDefault="00A46BE1">
      <w:pPr>
        <w:pStyle w:val="JuPara"/>
      </w:pPr>
      <w:r w:rsidRPr="008F4687">
        <w:rPr>
          <w:lang w:eastAsia="en-US"/>
        </w:rPr>
        <w:fldChar w:fldCharType="begin"/>
      </w:r>
      <w:r w:rsidRPr="008F4687">
        <w:rPr>
          <w:lang w:eastAsia="en-US"/>
        </w:rPr>
        <w:instrText xml:space="preserve"> SEQ level0 \*arabic </w:instrText>
      </w:r>
      <w:r w:rsidRPr="008F4687">
        <w:rPr>
          <w:lang w:eastAsia="en-US"/>
        </w:rPr>
        <w:fldChar w:fldCharType="separate"/>
      </w:r>
      <w:r w:rsidR="001E5484">
        <w:rPr>
          <w:noProof/>
          <w:lang w:eastAsia="en-US"/>
        </w:rPr>
        <w:t>32</w:t>
      </w:r>
      <w:r w:rsidRPr="008F4687">
        <w:rPr>
          <w:lang w:eastAsia="en-US"/>
        </w:rPr>
        <w:fldChar w:fldCharType="end"/>
      </w:r>
      <w:r w:rsidRPr="008F4687">
        <w:rPr>
          <w:lang w:eastAsia="en-US"/>
        </w:rPr>
        <w:t xml:space="preserve">.  In a number of cases the Court, while addressing the notion of “a fundamental defect”, </w:t>
      </w:r>
      <w:r w:rsidR="007D48CD">
        <w:rPr>
          <w:lang w:eastAsia="en-US"/>
        </w:rPr>
        <w:t xml:space="preserve">has </w:t>
      </w:r>
      <w:r w:rsidRPr="008F4687">
        <w:rPr>
          <w:lang w:eastAsia="en-US"/>
        </w:rPr>
        <w:t xml:space="preserve">stressed that </w:t>
      </w:r>
      <w:r w:rsidRPr="008F4687">
        <w:t>mere</w:t>
      </w:r>
      <w:r w:rsidR="007D48CD">
        <w:t>ly</w:t>
      </w:r>
      <w:r w:rsidRPr="008F4687">
        <w:t xml:space="preserve"> consider</w:t>
      </w:r>
      <w:r w:rsidR="007D48CD">
        <w:t>ing</w:t>
      </w:r>
      <w:r w:rsidRPr="008F4687">
        <w:t xml:space="preserve"> that the investigation in the applicant</w:t>
      </w:r>
      <w:r w:rsidR="000A0B63">
        <w:t>’</w:t>
      </w:r>
      <w:r w:rsidRPr="008F4687">
        <w:t xml:space="preserve">s case was “incomplete and one-sided” or led to an “erroneous” acquittal cannot in itself, in the absence of </w:t>
      </w:r>
      <w:r w:rsidR="007D48CD">
        <w:t>judicial</w:t>
      </w:r>
      <w:r w:rsidRPr="008F4687" w:rsidR="007D48CD">
        <w:t xml:space="preserve"> </w:t>
      </w:r>
      <w:r w:rsidRPr="008F4687">
        <w:t xml:space="preserve">errors or serious breaches of court procedure, abuses of power, manifest errors in the application of substantive law or any other weighty reasons stemming from the interests of justice, indicate the presence of a </w:t>
      </w:r>
      <w:bookmarkStart w:name="HIT23" w:id="4"/>
      <w:bookmarkEnd w:id="4"/>
      <w:r w:rsidRPr="008F4687">
        <w:rPr>
          <w:bCs/>
        </w:rPr>
        <w:t>fundamental</w:t>
      </w:r>
      <w:r w:rsidRPr="008F4687">
        <w:t xml:space="preserve"> </w:t>
      </w:r>
      <w:bookmarkStart w:name="HIT24" w:id="5"/>
      <w:bookmarkEnd w:id="5"/>
      <w:r w:rsidRPr="008F4687">
        <w:rPr>
          <w:bCs/>
        </w:rPr>
        <w:t>defect</w:t>
      </w:r>
      <w:r w:rsidRPr="008F4687">
        <w:t xml:space="preserve"> in the previous proceedings (see </w:t>
      </w:r>
      <w:r w:rsidRPr="008F4687">
        <w:rPr>
          <w:i/>
          <w:lang w:eastAsia="en-US"/>
        </w:rPr>
        <w:t>Radchikov v. Russia</w:t>
      </w:r>
      <w:r w:rsidRPr="008F4687">
        <w:rPr>
          <w:lang w:eastAsia="en-US"/>
        </w:rPr>
        <w:t>, no. 65582/01, § 48, 24 May 2007)</w:t>
      </w:r>
      <w:r w:rsidRPr="008F4687">
        <w:t>.</w:t>
      </w:r>
    </w:p>
    <w:p w:rsidRPr="008F4687" w:rsidR="00A46BE1" w:rsidP="00E86AA2" w:rsidRDefault="00A46BE1">
      <w:pPr>
        <w:pStyle w:val="JuPara"/>
        <w:rPr>
          <w:lang w:eastAsia="en-US"/>
        </w:rPr>
      </w:pPr>
      <w:r w:rsidRPr="008F4687">
        <w:fldChar w:fldCharType="begin"/>
      </w:r>
      <w:r w:rsidRPr="008F4687">
        <w:instrText xml:space="preserve"> SEQ level0 \*arabic </w:instrText>
      </w:r>
      <w:r w:rsidRPr="008F4687">
        <w:fldChar w:fldCharType="separate"/>
      </w:r>
      <w:r w:rsidR="001E5484">
        <w:rPr>
          <w:noProof/>
        </w:rPr>
        <w:t>33</w:t>
      </w:r>
      <w:r w:rsidRPr="008F4687">
        <w:fldChar w:fldCharType="end"/>
      </w:r>
      <w:r w:rsidRPr="008F4687">
        <w:t xml:space="preserve">.  The Court further reiterates its findings in the case of </w:t>
      </w:r>
      <w:r w:rsidRPr="008F4687" w:rsidR="004457C2">
        <w:rPr>
          <w:i/>
          <w:lang w:eastAsia="en-US"/>
        </w:rPr>
        <w:t>Lenskaya</w:t>
      </w:r>
      <w:r w:rsidRPr="008F4687" w:rsidR="00A43909">
        <w:rPr>
          <w:i/>
          <w:lang w:eastAsia="en-US"/>
        </w:rPr>
        <w:t xml:space="preserve"> v. </w:t>
      </w:r>
      <w:r w:rsidRPr="008F4687">
        <w:rPr>
          <w:i/>
          <w:lang w:eastAsia="en-US"/>
        </w:rPr>
        <w:t>Russia</w:t>
      </w:r>
      <w:r w:rsidRPr="008F4687">
        <w:rPr>
          <w:lang w:eastAsia="en-US"/>
        </w:rPr>
        <w:t xml:space="preserve"> (</w:t>
      </w:r>
      <w:r w:rsidRPr="008F4687">
        <w:rPr>
          <w:lang w:val="pt-BR" w:eastAsia="en-US"/>
        </w:rPr>
        <w:t xml:space="preserve">no. 13151/04, </w:t>
      </w:r>
      <w:r w:rsidRPr="008F4687" w:rsidR="004457C2">
        <w:rPr>
          <w:lang w:val="pt-BR" w:eastAsia="en-US"/>
        </w:rPr>
        <w:t xml:space="preserve">§ 18, </w:t>
      </w:r>
      <w:r w:rsidRPr="008F4687">
        <w:rPr>
          <w:lang w:eastAsia="en-US"/>
        </w:rPr>
        <w:t>31 July 2008). In that case the final judgment in the applicant</w:t>
      </w:r>
      <w:r w:rsidR="000A0B63">
        <w:rPr>
          <w:lang w:eastAsia="en-US"/>
        </w:rPr>
        <w:t>’</w:t>
      </w:r>
      <w:r w:rsidRPr="008F4687">
        <w:rPr>
          <w:lang w:eastAsia="en-US"/>
        </w:rPr>
        <w:t xml:space="preserve">s favour was quashed by way of supervisory review, on the ground that the </w:t>
      </w:r>
      <w:r w:rsidRPr="008F4687" w:rsidR="004457C2">
        <w:rPr>
          <w:lang w:eastAsia="en-US"/>
        </w:rPr>
        <w:t>lower</w:t>
      </w:r>
      <w:r w:rsidRPr="008F4687">
        <w:rPr>
          <w:lang w:eastAsia="en-US"/>
        </w:rPr>
        <w:t xml:space="preserve"> court</w:t>
      </w:r>
      <w:r w:rsidRPr="008F4687" w:rsidR="004457C2">
        <w:rPr>
          <w:lang w:eastAsia="en-US"/>
        </w:rPr>
        <w:t>s</w:t>
      </w:r>
      <w:r w:rsidRPr="008F4687">
        <w:rPr>
          <w:lang w:eastAsia="en-US"/>
        </w:rPr>
        <w:t xml:space="preserve"> “had </w:t>
      </w:r>
      <w:r w:rsidRPr="008F4687" w:rsidR="004457C2">
        <w:rPr>
          <w:lang w:eastAsia="en-US"/>
        </w:rPr>
        <w:t xml:space="preserve">not established what constituted the criminal conduct under the particular head of the criminal charge, whether it had in fact taken place and whether it had been committed” by the defendant in that case. The decision to quash that final judgment was also based on the </w:t>
      </w:r>
      <w:r w:rsidR="007D48CD">
        <w:rPr>
          <w:lang w:eastAsia="en-US"/>
        </w:rPr>
        <w:t>ground</w:t>
      </w:r>
      <w:r w:rsidRPr="008F4687" w:rsidR="007D48CD">
        <w:rPr>
          <w:lang w:eastAsia="en-US"/>
        </w:rPr>
        <w:t xml:space="preserve"> </w:t>
      </w:r>
      <w:r w:rsidRPr="008F4687" w:rsidR="004457C2">
        <w:rPr>
          <w:lang w:eastAsia="en-US"/>
        </w:rPr>
        <w:t>that the lower courts, without proper</w:t>
      </w:r>
      <w:r w:rsidR="007D48CD">
        <w:rPr>
          <w:lang w:eastAsia="en-US"/>
        </w:rPr>
        <w:t>ly</w:t>
      </w:r>
      <w:r w:rsidRPr="008F4687" w:rsidR="004457C2">
        <w:rPr>
          <w:lang w:eastAsia="en-US"/>
        </w:rPr>
        <w:t xml:space="preserve"> assess</w:t>
      </w:r>
      <w:r w:rsidR="007D48CD">
        <w:rPr>
          <w:lang w:eastAsia="en-US"/>
        </w:rPr>
        <w:t>ing</w:t>
      </w:r>
      <w:r w:rsidRPr="008F4687" w:rsidR="004457C2">
        <w:rPr>
          <w:lang w:eastAsia="en-US"/>
        </w:rPr>
        <w:t xml:space="preserve"> the evidence,</w:t>
      </w:r>
      <w:r w:rsidR="007D48CD">
        <w:rPr>
          <w:lang w:eastAsia="en-US"/>
        </w:rPr>
        <w:t xml:space="preserve"> had</w:t>
      </w:r>
      <w:r w:rsidRPr="008F4687" w:rsidR="004457C2">
        <w:rPr>
          <w:lang w:eastAsia="en-US"/>
        </w:rPr>
        <w:t xml:space="preserve"> presumed that the applicant</w:t>
      </w:r>
      <w:r w:rsidR="000A0B63">
        <w:rPr>
          <w:lang w:eastAsia="en-US"/>
        </w:rPr>
        <w:t>’</w:t>
      </w:r>
      <w:r w:rsidRPr="008F4687" w:rsidR="004457C2">
        <w:rPr>
          <w:lang w:eastAsia="en-US"/>
        </w:rPr>
        <w:t>s injuries had been committed by the defendant in that case, without prov</w:t>
      </w:r>
      <w:r w:rsidRPr="008F4687" w:rsidR="00C62C3A">
        <w:rPr>
          <w:lang w:eastAsia="en-US"/>
        </w:rPr>
        <w:t>ing</w:t>
      </w:r>
      <w:r w:rsidRPr="008F4687" w:rsidR="004457C2">
        <w:rPr>
          <w:lang w:eastAsia="en-US"/>
        </w:rPr>
        <w:t xml:space="preserve"> his guilt</w:t>
      </w:r>
      <w:r w:rsidRPr="008F4687" w:rsidR="00C62C3A">
        <w:rPr>
          <w:lang w:eastAsia="en-US"/>
        </w:rPr>
        <w:t>,</w:t>
      </w:r>
      <w:r w:rsidRPr="008F4687" w:rsidR="004457C2">
        <w:rPr>
          <w:lang w:eastAsia="en-US"/>
        </w:rPr>
        <w:t xml:space="preserve"> thus violating the principle of </w:t>
      </w:r>
      <w:r w:rsidR="007D48CD">
        <w:rPr>
          <w:lang w:eastAsia="en-US"/>
        </w:rPr>
        <w:t xml:space="preserve">the </w:t>
      </w:r>
      <w:r w:rsidRPr="008F4687" w:rsidR="004457C2">
        <w:rPr>
          <w:lang w:eastAsia="en-US"/>
        </w:rPr>
        <w:t>presumption of innocence. W</w:t>
      </w:r>
      <w:r w:rsidRPr="008F4687">
        <w:rPr>
          <w:lang w:eastAsia="en-US"/>
        </w:rPr>
        <w:t>hile concluding that there had been no breach of Article 6 § 1 of the Convention in that case, the Court held (§§ 3</w:t>
      </w:r>
      <w:r w:rsidRPr="008F4687" w:rsidR="00E86AA2">
        <w:rPr>
          <w:lang w:eastAsia="en-US"/>
        </w:rPr>
        <w:t>6</w:t>
      </w:r>
      <w:r w:rsidRPr="008F4687">
        <w:rPr>
          <w:lang w:eastAsia="en-US"/>
        </w:rPr>
        <w:t xml:space="preserve"> et seq.) </w:t>
      </w:r>
      <w:r w:rsidRPr="008F4687" w:rsidR="00E86AA2">
        <w:rPr>
          <w:lang w:eastAsia="en-US"/>
        </w:rPr>
        <w:t>that the proceedings had been reopened for the purposes of correcting a fundamental judicial error which could not have been neutralised or corrected by any means</w:t>
      </w:r>
      <w:r w:rsidR="007D48CD">
        <w:rPr>
          <w:lang w:eastAsia="en-US"/>
        </w:rPr>
        <w:t xml:space="preserve"> other than</w:t>
      </w:r>
      <w:r w:rsidRPr="008F4687" w:rsidR="00E86AA2">
        <w:rPr>
          <w:lang w:eastAsia="en-US"/>
        </w:rPr>
        <w:t xml:space="preserve"> quashing the final judgment which was grossly prejudicial to the convicted person. The Court also </w:t>
      </w:r>
      <w:r w:rsidRPr="008F4687" w:rsidR="007D48CD">
        <w:rPr>
          <w:lang w:eastAsia="en-US"/>
        </w:rPr>
        <w:t xml:space="preserve">found </w:t>
      </w:r>
      <w:r w:rsidRPr="008F4687" w:rsidR="00E86AA2">
        <w:rPr>
          <w:lang w:eastAsia="en-US"/>
        </w:rPr>
        <w:t>that all the procedural guarantees of Article 6 had been available to the applicant in the course of the supervisory review proceedings.</w:t>
      </w:r>
    </w:p>
    <w:p w:rsidRPr="003E060A" w:rsidR="00A46BE1" w:rsidP="00A46BE1" w:rsidRDefault="0009330B">
      <w:pPr>
        <w:pStyle w:val="JuHa0"/>
        <w:rPr>
          <w:lang w:eastAsia="en-US"/>
        </w:rPr>
      </w:pPr>
      <w:r>
        <w:rPr>
          <w:lang w:eastAsia="en-US"/>
        </w:rPr>
        <w:t>(</w:t>
      </w:r>
      <w:r w:rsidR="00FE20E3">
        <w:rPr>
          <w:lang w:eastAsia="en-US"/>
        </w:rPr>
        <w:t>c</w:t>
      </w:r>
      <w:r w:rsidR="00A46BE1">
        <w:rPr>
          <w:lang w:eastAsia="en-US"/>
        </w:rPr>
        <w:t>)  Application to the present case</w:t>
      </w:r>
    </w:p>
    <w:p w:rsidRPr="00872764" w:rsidR="004D7505" w:rsidP="00F662D9" w:rsidRDefault="001C0B3D">
      <w:pPr>
        <w:pStyle w:val="JuPara"/>
        <w:rPr>
          <w:i/>
          <w:lang w:eastAsia="en-US"/>
        </w:rPr>
      </w:pPr>
      <w:r w:rsidRPr="001C0B3D">
        <w:fldChar w:fldCharType="begin"/>
      </w:r>
      <w:r w:rsidRPr="001C0B3D">
        <w:instrText xml:space="preserve"> SEQ level0 \*arabic </w:instrText>
      </w:r>
      <w:r w:rsidRPr="001C0B3D">
        <w:fldChar w:fldCharType="separate"/>
      </w:r>
      <w:r w:rsidR="001E5484">
        <w:rPr>
          <w:noProof/>
        </w:rPr>
        <w:t>34</w:t>
      </w:r>
      <w:r w:rsidRPr="001C0B3D">
        <w:fldChar w:fldCharType="end"/>
      </w:r>
      <w:r w:rsidRPr="001C0B3D" w:rsidR="00F71A6A">
        <w:t>.  </w:t>
      </w:r>
      <w:r w:rsidRPr="00872764" w:rsidR="00F662D9">
        <w:t xml:space="preserve">At the outset, the Court notes that in </w:t>
      </w:r>
      <w:r w:rsidR="007D48CD">
        <w:t>previous</w:t>
      </w:r>
      <w:r w:rsidRPr="00872764" w:rsidR="007D48CD">
        <w:t xml:space="preserve"> </w:t>
      </w:r>
      <w:r w:rsidRPr="00872764" w:rsidR="00F662D9">
        <w:t xml:space="preserve">cases against Romania it </w:t>
      </w:r>
      <w:r w:rsidRPr="00872764" w:rsidR="0041555D">
        <w:t xml:space="preserve">has </w:t>
      </w:r>
      <w:r w:rsidRPr="00872764" w:rsidR="00F662D9">
        <w:t xml:space="preserve">been </w:t>
      </w:r>
      <w:r w:rsidR="007D48CD">
        <w:t>required</w:t>
      </w:r>
      <w:r w:rsidRPr="00872764" w:rsidR="007D48CD">
        <w:t xml:space="preserve"> </w:t>
      </w:r>
      <w:r w:rsidRPr="00872764" w:rsidR="00F662D9">
        <w:t xml:space="preserve">to examine </w:t>
      </w:r>
      <w:r w:rsidRPr="00872764" w:rsidR="00C96211">
        <w:t>whether</w:t>
      </w:r>
      <w:r w:rsidR="00F9327A">
        <w:t xml:space="preserve"> the</w:t>
      </w:r>
      <w:r w:rsidRPr="00872764" w:rsidR="00C96211">
        <w:t xml:space="preserve"> quashing </w:t>
      </w:r>
      <w:r w:rsidRPr="00872764" w:rsidR="0041555D">
        <w:t xml:space="preserve">of a final decision </w:t>
      </w:r>
      <w:r w:rsidRPr="00872764" w:rsidR="00C96211">
        <w:t xml:space="preserve">by means of an extraordinary appeal was in </w:t>
      </w:r>
      <w:r w:rsidRPr="00872764" w:rsidR="00F662D9">
        <w:t>compliance with the</w:t>
      </w:r>
      <w:r w:rsidRPr="00872764" w:rsidR="00C96211">
        <w:t xml:space="preserve"> requirements of the Convention</w:t>
      </w:r>
      <w:r w:rsidRPr="00872764" w:rsidR="00B94343">
        <w:t xml:space="preserve"> and it</w:t>
      </w:r>
      <w:r w:rsidRPr="00872764" w:rsidR="009A52B1">
        <w:t xml:space="preserve"> has</w:t>
      </w:r>
      <w:r w:rsidRPr="00872764" w:rsidR="00B94343">
        <w:t xml:space="preserve"> systematically found that </w:t>
      </w:r>
      <w:r w:rsidRPr="00872764" w:rsidR="0041555D">
        <w:t xml:space="preserve">such </w:t>
      </w:r>
      <w:r w:rsidRPr="00872764" w:rsidR="00B94343">
        <w:t xml:space="preserve">quashing amounted to a breach of the right to a fair trial. </w:t>
      </w:r>
      <w:r w:rsidRPr="00872764" w:rsidR="00F662D9">
        <w:t>Those cases concerned either the quashing of a civil decision (see</w:t>
      </w:r>
      <w:r w:rsidRPr="00872764" w:rsidR="0041555D">
        <w:t>,</w:t>
      </w:r>
      <w:r w:rsidRPr="00872764" w:rsidR="00F662D9">
        <w:t xml:space="preserve"> among others, </w:t>
      </w:r>
      <w:r w:rsidRPr="00872764" w:rsidR="00F662D9">
        <w:rPr>
          <w:i/>
          <w:lang w:eastAsia="en-US"/>
        </w:rPr>
        <w:t>Brumărescu v. Romania</w:t>
      </w:r>
      <w:r w:rsidRPr="00872764" w:rsidR="00F662D9">
        <w:rPr>
          <w:lang w:eastAsia="en-US"/>
        </w:rPr>
        <w:t xml:space="preserve"> [GC], no. 28342/95, ECHR 1999</w:t>
      </w:r>
      <w:r w:rsidRPr="00872764" w:rsidR="00F662D9">
        <w:rPr>
          <w:lang w:eastAsia="en-US"/>
        </w:rPr>
        <w:noBreakHyphen/>
        <w:t>VII</w:t>
      </w:r>
      <w:r w:rsidRPr="00872764" w:rsidR="0041555D">
        <w:rPr>
          <w:lang w:eastAsia="en-US"/>
        </w:rPr>
        <w:t xml:space="preserve">, and </w:t>
      </w:r>
      <w:r w:rsidRPr="00872764" w:rsidR="00F662D9">
        <w:rPr>
          <w:i/>
          <w:szCs w:val="24"/>
          <w:lang w:eastAsia="en-US"/>
        </w:rPr>
        <w:t>Cornif v. Romania</w:t>
      </w:r>
      <w:r w:rsidRPr="00872764" w:rsidR="00F662D9">
        <w:rPr>
          <w:szCs w:val="24"/>
          <w:lang w:eastAsia="en-US"/>
        </w:rPr>
        <w:t xml:space="preserve">, no. </w:t>
      </w:r>
      <w:bookmarkStart w:name="OLE_LINK1" w:id="6"/>
      <w:bookmarkStart w:name="OLE_LINK2" w:id="7"/>
      <w:r w:rsidRPr="00872764" w:rsidR="00F662D9">
        <w:rPr>
          <w:szCs w:val="24"/>
          <w:lang w:eastAsia="en-US"/>
        </w:rPr>
        <w:t>42872/02, 11 January 2007</w:t>
      </w:r>
      <w:bookmarkEnd w:id="6"/>
      <w:bookmarkEnd w:id="7"/>
      <w:r w:rsidRPr="00872764" w:rsidR="00F662D9">
        <w:rPr>
          <w:szCs w:val="24"/>
          <w:lang w:eastAsia="en-US"/>
        </w:rPr>
        <w:t>)</w:t>
      </w:r>
      <w:r w:rsidRPr="00872764" w:rsidR="002D4C91">
        <w:rPr>
          <w:szCs w:val="24"/>
          <w:lang w:eastAsia="en-US"/>
        </w:rPr>
        <w:t xml:space="preserve"> or</w:t>
      </w:r>
      <w:r w:rsidRPr="00872764" w:rsidR="00F662D9">
        <w:t xml:space="preserve"> the quashing of a criminal decision</w:t>
      </w:r>
      <w:r w:rsidRPr="00872764" w:rsidR="0045387D">
        <w:t xml:space="preserve">. As regards the </w:t>
      </w:r>
      <w:r w:rsidRPr="00872764" w:rsidR="00C96211">
        <w:t>latter type of decision,</w:t>
      </w:r>
      <w:r w:rsidRPr="00872764" w:rsidR="0045387D">
        <w:t xml:space="preserve"> the quashing </w:t>
      </w:r>
      <w:r w:rsidRPr="00872764" w:rsidR="00C96211">
        <w:t xml:space="preserve">either </w:t>
      </w:r>
      <w:r w:rsidRPr="00872764" w:rsidR="0045387D">
        <w:t>concerned only</w:t>
      </w:r>
      <w:r w:rsidRPr="00872764" w:rsidR="00F662D9">
        <w:t xml:space="preserve"> the civil head of those proceedings (see </w:t>
      </w:r>
      <w:r w:rsidRPr="00872764" w:rsidR="00F662D9">
        <w:rPr>
          <w:i/>
        </w:rPr>
        <w:t>SC Plastik ABC v. Romania</w:t>
      </w:r>
      <w:r w:rsidR="0009330B">
        <w:t>, no. 32299/03, § 15, 7 </w:t>
      </w:r>
      <w:r w:rsidRPr="00872764" w:rsidR="00F662D9">
        <w:t>April 2008</w:t>
      </w:r>
      <w:r w:rsidRPr="00872764" w:rsidR="0041555D">
        <w:t>,</w:t>
      </w:r>
      <w:r w:rsidRPr="00872764" w:rsidR="00F662D9">
        <w:t xml:space="preserve"> and </w:t>
      </w:r>
      <w:r w:rsidRPr="00872764" w:rsidR="00F662D9">
        <w:rPr>
          <w:i/>
        </w:rPr>
        <w:t>Igna and Igna (Valea) v. Romania</w:t>
      </w:r>
      <w:r w:rsidRPr="00872764" w:rsidR="00F662D9">
        <w:t>, nos. 1526/02 and 1528/02, §§ 44-56, 14 February 2008</w:t>
      </w:r>
      <w:r w:rsidRPr="00872764" w:rsidR="00F662D9">
        <w:rPr>
          <w:lang w:eastAsia="en-US"/>
        </w:rPr>
        <w:t>)</w:t>
      </w:r>
      <w:r w:rsidRPr="00872764" w:rsidR="0045387D">
        <w:rPr>
          <w:lang w:eastAsia="en-US"/>
        </w:rPr>
        <w:t xml:space="preserve"> or led to </w:t>
      </w:r>
      <w:r w:rsidRPr="00872764" w:rsidR="009C3C8F">
        <w:rPr>
          <w:lang w:eastAsia="en-US"/>
        </w:rPr>
        <w:t>the imposition of a heavier sentence on a defendant or</w:t>
      </w:r>
      <w:r w:rsidR="007D48CD">
        <w:rPr>
          <w:lang w:eastAsia="en-US"/>
        </w:rPr>
        <w:t xml:space="preserve"> to</w:t>
      </w:r>
      <w:r w:rsidRPr="00872764" w:rsidR="009C3C8F">
        <w:rPr>
          <w:lang w:eastAsia="en-US"/>
        </w:rPr>
        <w:t xml:space="preserve"> his or her conviction after an initial acquittal (see, among others, </w:t>
      </w:r>
      <w:r w:rsidRPr="00872764" w:rsidR="009C3C8F">
        <w:rPr>
          <w:i/>
          <w:lang w:eastAsia="en-US"/>
        </w:rPr>
        <w:t>Bota v. Romania</w:t>
      </w:r>
      <w:r w:rsidRPr="00872764" w:rsidR="009C3C8F">
        <w:rPr>
          <w:lang w:eastAsia="en-US"/>
        </w:rPr>
        <w:t xml:space="preserve">, no. 16382/03, 4 November 2008; </w:t>
      </w:r>
      <w:r w:rsidRPr="00872764" w:rsidR="009C3C8F">
        <w:rPr>
          <w:i/>
          <w:lang w:eastAsia="en-US"/>
        </w:rPr>
        <w:t>Precup v. Romania</w:t>
      </w:r>
      <w:r w:rsidRPr="00872764" w:rsidR="009C3C8F">
        <w:rPr>
          <w:lang w:eastAsia="en-US"/>
        </w:rPr>
        <w:t>, no. 17771/03, 27 January 2009</w:t>
      </w:r>
      <w:r w:rsidR="007D48CD">
        <w:rPr>
          <w:lang w:eastAsia="en-US"/>
        </w:rPr>
        <w:t>;</w:t>
      </w:r>
      <w:r w:rsidRPr="00872764" w:rsidR="0041555D">
        <w:rPr>
          <w:lang w:eastAsia="en-US"/>
        </w:rPr>
        <w:t xml:space="preserve"> and</w:t>
      </w:r>
      <w:r w:rsidRPr="00872764" w:rsidR="009C3C8F">
        <w:rPr>
          <w:lang w:eastAsia="en-US"/>
        </w:rPr>
        <w:t xml:space="preserve"> </w:t>
      </w:r>
      <w:r w:rsidRPr="00872764" w:rsidR="009C3C8F">
        <w:rPr>
          <w:i/>
          <w:lang w:eastAsia="en-US"/>
        </w:rPr>
        <w:t>Ştefan v. Romania</w:t>
      </w:r>
      <w:r w:rsidRPr="00872764" w:rsidR="009C3C8F">
        <w:rPr>
          <w:lang w:eastAsia="en-US"/>
        </w:rPr>
        <w:t>, no. 28319/03</w:t>
      </w:r>
      <w:r w:rsidRPr="00872764" w:rsidR="009C3C8F">
        <w:rPr>
          <w:snapToGrid w:val="0"/>
          <w:lang w:eastAsia="en-US"/>
        </w:rPr>
        <w:t>, 6 April 2010).</w:t>
      </w:r>
    </w:p>
    <w:p w:rsidRPr="00872764" w:rsidR="00F662D9" w:rsidP="00F662D9" w:rsidRDefault="004D7505">
      <w:pPr>
        <w:pStyle w:val="JuPara"/>
        <w:rPr>
          <w:lang w:eastAsia="en-US"/>
        </w:rPr>
      </w:pPr>
      <w:r w:rsidRPr="00872764">
        <w:rPr>
          <w:lang w:eastAsia="en-US"/>
        </w:rPr>
        <w:fldChar w:fldCharType="begin"/>
      </w:r>
      <w:r w:rsidRPr="00872764">
        <w:rPr>
          <w:lang w:eastAsia="en-US"/>
        </w:rPr>
        <w:instrText xml:space="preserve"> SEQ level0 \*arabic </w:instrText>
      </w:r>
      <w:r w:rsidRPr="00872764">
        <w:rPr>
          <w:lang w:eastAsia="en-US"/>
        </w:rPr>
        <w:fldChar w:fldCharType="separate"/>
      </w:r>
      <w:r w:rsidR="001E5484">
        <w:rPr>
          <w:noProof/>
          <w:lang w:eastAsia="en-US"/>
        </w:rPr>
        <w:t>35</w:t>
      </w:r>
      <w:r w:rsidRPr="00872764">
        <w:rPr>
          <w:lang w:eastAsia="en-US"/>
        </w:rPr>
        <w:fldChar w:fldCharType="end"/>
      </w:r>
      <w:r w:rsidRPr="00872764">
        <w:rPr>
          <w:lang w:eastAsia="en-US"/>
        </w:rPr>
        <w:t>.  </w:t>
      </w:r>
      <w:r w:rsidRPr="00872764" w:rsidR="00F662D9">
        <w:rPr>
          <w:lang w:eastAsia="en-US"/>
        </w:rPr>
        <w:t xml:space="preserve">However, the factual situation in the instant case is different </w:t>
      </w:r>
      <w:r w:rsidRPr="00872764" w:rsidR="002D4C91">
        <w:rPr>
          <w:lang w:eastAsia="en-US"/>
        </w:rPr>
        <w:t xml:space="preserve">from the cases </w:t>
      </w:r>
      <w:r w:rsidRPr="00872764" w:rsidR="0041555D">
        <w:rPr>
          <w:lang w:eastAsia="en-US"/>
        </w:rPr>
        <w:t xml:space="preserve">previously </w:t>
      </w:r>
      <w:r w:rsidRPr="00872764" w:rsidR="002D4C91">
        <w:rPr>
          <w:lang w:eastAsia="en-US"/>
        </w:rPr>
        <w:t>examined against Romania</w:t>
      </w:r>
      <w:r w:rsidRPr="00872764" w:rsidR="00727C6A">
        <w:rPr>
          <w:lang w:eastAsia="en-US"/>
        </w:rPr>
        <w:t xml:space="preserve">, </w:t>
      </w:r>
      <w:r w:rsidRPr="00872764" w:rsidR="00F662D9">
        <w:rPr>
          <w:lang w:eastAsia="en-US"/>
        </w:rPr>
        <w:t>as the extraordinary appeal concern</w:t>
      </w:r>
      <w:r w:rsidR="00872764">
        <w:rPr>
          <w:lang w:eastAsia="en-US"/>
        </w:rPr>
        <w:t>ing mainly</w:t>
      </w:r>
      <w:r w:rsidRPr="00872764" w:rsidR="00F662D9">
        <w:rPr>
          <w:lang w:eastAsia="en-US"/>
        </w:rPr>
        <w:t xml:space="preserve"> the criminal head of the proceedings </w:t>
      </w:r>
      <w:r w:rsidRPr="00872764" w:rsidR="009C3C8F">
        <w:rPr>
          <w:lang w:eastAsia="en-US"/>
        </w:rPr>
        <w:t>was lodged in favour of the defendant with a view to correct</w:t>
      </w:r>
      <w:r w:rsidRPr="00872764" w:rsidR="00016EEF">
        <w:rPr>
          <w:lang w:eastAsia="en-US"/>
        </w:rPr>
        <w:t>ing</w:t>
      </w:r>
      <w:r w:rsidRPr="00872764" w:rsidR="009C3C8F">
        <w:rPr>
          <w:lang w:eastAsia="en-US"/>
        </w:rPr>
        <w:t xml:space="preserve"> a miscarriage of justice</w:t>
      </w:r>
      <w:r w:rsidRPr="00872764" w:rsidR="00F662D9">
        <w:rPr>
          <w:lang w:eastAsia="en-US"/>
        </w:rPr>
        <w:t xml:space="preserve">, thus </w:t>
      </w:r>
      <w:r w:rsidRPr="00872764" w:rsidR="00016EEF">
        <w:rPr>
          <w:lang w:eastAsia="en-US"/>
        </w:rPr>
        <w:t xml:space="preserve">being </w:t>
      </w:r>
      <w:r w:rsidRPr="00872764" w:rsidR="00F662D9">
        <w:rPr>
          <w:lang w:eastAsia="en-US"/>
        </w:rPr>
        <w:t xml:space="preserve">similar to the factual situation in the case of </w:t>
      </w:r>
      <w:r w:rsidRPr="00872764" w:rsidR="00F662D9">
        <w:rPr>
          <w:i/>
          <w:lang w:eastAsia="en-US"/>
        </w:rPr>
        <w:t>Lenskaya</w:t>
      </w:r>
      <w:r w:rsidRPr="00872764">
        <w:rPr>
          <w:lang w:eastAsia="en-US"/>
        </w:rPr>
        <w:t>,</w:t>
      </w:r>
      <w:r w:rsidR="0009330B">
        <w:rPr>
          <w:lang w:eastAsia="en-US"/>
        </w:rPr>
        <w:t xml:space="preserve"> cited above.</w:t>
      </w:r>
    </w:p>
    <w:p w:rsidRPr="00081EE9" w:rsidR="004D7505" w:rsidP="004D7505" w:rsidRDefault="004D7505">
      <w:pPr>
        <w:pStyle w:val="JuPara"/>
        <w:rPr>
          <w:szCs w:val="24"/>
        </w:rPr>
      </w:pPr>
      <w:r w:rsidRPr="00081EE9">
        <w:rPr>
          <w:szCs w:val="24"/>
          <w:lang w:eastAsia="en-US"/>
        </w:rPr>
        <w:fldChar w:fldCharType="begin"/>
      </w:r>
      <w:r w:rsidRPr="00081EE9">
        <w:rPr>
          <w:szCs w:val="24"/>
          <w:lang w:eastAsia="en-US"/>
        </w:rPr>
        <w:instrText xml:space="preserve"> SEQ level0 \*arabic </w:instrText>
      </w:r>
      <w:r w:rsidRPr="00081EE9">
        <w:rPr>
          <w:szCs w:val="24"/>
          <w:lang w:eastAsia="en-US"/>
        </w:rPr>
        <w:fldChar w:fldCharType="separate"/>
      </w:r>
      <w:r w:rsidR="001E5484">
        <w:rPr>
          <w:noProof/>
          <w:szCs w:val="24"/>
          <w:lang w:eastAsia="en-US"/>
        </w:rPr>
        <w:t>36</w:t>
      </w:r>
      <w:r w:rsidRPr="00081EE9">
        <w:rPr>
          <w:szCs w:val="24"/>
          <w:lang w:eastAsia="en-US"/>
        </w:rPr>
        <w:fldChar w:fldCharType="end"/>
      </w:r>
      <w:r w:rsidRPr="00081EE9">
        <w:rPr>
          <w:szCs w:val="24"/>
          <w:lang w:eastAsia="en-US"/>
        </w:rPr>
        <w:t>.  In this</w:t>
      </w:r>
      <w:r w:rsidR="00F9327A">
        <w:rPr>
          <w:szCs w:val="24"/>
          <w:lang w:eastAsia="en-US"/>
        </w:rPr>
        <w:t xml:space="preserve"> </w:t>
      </w:r>
      <w:r w:rsidR="007D48CD">
        <w:rPr>
          <w:szCs w:val="24"/>
          <w:lang w:eastAsia="en-US"/>
        </w:rPr>
        <w:t>connection</w:t>
      </w:r>
      <w:r w:rsidRPr="00081EE9">
        <w:rPr>
          <w:szCs w:val="24"/>
          <w:lang w:eastAsia="en-US"/>
        </w:rPr>
        <w:t xml:space="preserve"> </w:t>
      </w:r>
      <w:r w:rsidRPr="00081EE9">
        <w:rPr>
          <w:szCs w:val="24"/>
        </w:rPr>
        <w:t xml:space="preserve">the Court reiterates that it </w:t>
      </w:r>
      <w:r w:rsidRPr="00081EE9" w:rsidR="00016EEF">
        <w:rPr>
          <w:szCs w:val="24"/>
        </w:rPr>
        <w:t xml:space="preserve">has </w:t>
      </w:r>
      <w:r w:rsidRPr="00081EE9">
        <w:rPr>
          <w:szCs w:val="24"/>
        </w:rPr>
        <w:t>previously held that while the institution of supervisory review can give rise to problems of legal certainty</w:t>
      </w:r>
      <w:r w:rsidRPr="00081EE9" w:rsidR="00016EEF">
        <w:rPr>
          <w:szCs w:val="24"/>
        </w:rPr>
        <w:t xml:space="preserve"> because</w:t>
      </w:r>
      <w:r w:rsidRPr="00081EE9">
        <w:rPr>
          <w:szCs w:val="24"/>
        </w:rPr>
        <w:t xml:space="preserve"> judgments in civil cases remain open to review </w:t>
      </w:r>
      <w:r w:rsidRPr="00081EE9" w:rsidR="00016EEF">
        <w:rPr>
          <w:szCs w:val="24"/>
        </w:rPr>
        <w:t xml:space="preserve">on relatively minor grounds </w:t>
      </w:r>
      <w:r w:rsidRPr="00081EE9">
        <w:rPr>
          <w:szCs w:val="24"/>
        </w:rPr>
        <w:t xml:space="preserve">indefinitely (see </w:t>
      </w:r>
      <w:r w:rsidRPr="00081EE9">
        <w:rPr>
          <w:i/>
          <w:szCs w:val="24"/>
        </w:rPr>
        <w:t>Brumărescu</w:t>
      </w:r>
      <w:r w:rsidRPr="00081EE9">
        <w:rPr>
          <w:szCs w:val="24"/>
        </w:rPr>
        <w:t xml:space="preserve"> and </w:t>
      </w:r>
      <w:r w:rsidRPr="00081EE9">
        <w:rPr>
          <w:i/>
          <w:szCs w:val="24"/>
        </w:rPr>
        <w:t>Ryabykh</w:t>
      </w:r>
      <w:r w:rsidRPr="00081EE9">
        <w:rPr>
          <w:szCs w:val="24"/>
        </w:rPr>
        <w:t xml:space="preserve">, both cited above), </w:t>
      </w:r>
      <w:r w:rsidR="007D48CD">
        <w:rPr>
          <w:szCs w:val="24"/>
        </w:rPr>
        <w:t>t</w:t>
      </w:r>
      <w:r w:rsidRPr="00081EE9">
        <w:rPr>
          <w:szCs w:val="24"/>
        </w:rPr>
        <w:t xml:space="preserve">he position regarding criminal cases </w:t>
      </w:r>
      <w:r w:rsidRPr="00081EE9" w:rsidR="00016EEF">
        <w:rPr>
          <w:szCs w:val="24"/>
        </w:rPr>
        <w:t xml:space="preserve">is </w:t>
      </w:r>
      <w:r w:rsidRPr="00081EE9">
        <w:rPr>
          <w:szCs w:val="24"/>
        </w:rPr>
        <w:t xml:space="preserve">somewhat different. The Court </w:t>
      </w:r>
      <w:r w:rsidRPr="00081EE9" w:rsidR="00016EEF">
        <w:rPr>
          <w:szCs w:val="24"/>
        </w:rPr>
        <w:t xml:space="preserve">has </w:t>
      </w:r>
      <w:r w:rsidRPr="00081EE9">
        <w:rPr>
          <w:szCs w:val="24"/>
        </w:rPr>
        <w:t xml:space="preserve">emphasised that the requirements of legal certainty </w:t>
      </w:r>
      <w:r w:rsidRPr="00081EE9" w:rsidR="00016EEF">
        <w:rPr>
          <w:szCs w:val="24"/>
        </w:rPr>
        <w:t xml:space="preserve">are </w:t>
      </w:r>
      <w:r w:rsidRPr="00081EE9">
        <w:rPr>
          <w:szCs w:val="24"/>
        </w:rPr>
        <w:t>not absolute</w:t>
      </w:r>
      <w:r w:rsidRPr="00081EE9" w:rsidR="003A6BE7">
        <w:rPr>
          <w:szCs w:val="24"/>
        </w:rPr>
        <w:t>, in particular in criminal proce</w:t>
      </w:r>
      <w:r w:rsidR="00F9327A">
        <w:rPr>
          <w:szCs w:val="24"/>
        </w:rPr>
        <w:t>e</w:t>
      </w:r>
      <w:r w:rsidRPr="00081EE9" w:rsidR="003A6BE7">
        <w:rPr>
          <w:szCs w:val="24"/>
        </w:rPr>
        <w:t>d</w:t>
      </w:r>
      <w:r w:rsidR="00F9327A">
        <w:rPr>
          <w:szCs w:val="24"/>
        </w:rPr>
        <w:t>ings</w:t>
      </w:r>
      <w:r w:rsidRPr="00081EE9">
        <w:rPr>
          <w:szCs w:val="24"/>
        </w:rPr>
        <w:t xml:space="preserve">. In </w:t>
      </w:r>
      <w:r w:rsidRPr="00081EE9" w:rsidR="003A6BE7">
        <w:rPr>
          <w:szCs w:val="24"/>
        </w:rPr>
        <w:t xml:space="preserve">such </w:t>
      </w:r>
      <w:r w:rsidRPr="00081EE9">
        <w:rPr>
          <w:szCs w:val="24"/>
        </w:rPr>
        <w:t>cases, they must be assessed in the light of, for example, Article 4 § 2 of Protocol No. 7, which expressly permits a State to reopen a case</w:t>
      </w:r>
      <w:r w:rsidR="007D48CD">
        <w:rPr>
          <w:szCs w:val="24"/>
        </w:rPr>
        <w:t xml:space="preserve"> if</w:t>
      </w:r>
      <w:r w:rsidRPr="00081EE9">
        <w:rPr>
          <w:szCs w:val="24"/>
        </w:rPr>
        <w:t xml:space="preserve"> new facts</w:t>
      </w:r>
      <w:r w:rsidR="007D48CD">
        <w:rPr>
          <w:szCs w:val="24"/>
        </w:rPr>
        <w:t xml:space="preserve"> emerge</w:t>
      </w:r>
      <w:r w:rsidRPr="00081EE9">
        <w:rPr>
          <w:szCs w:val="24"/>
        </w:rPr>
        <w:t xml:space="preserve">, or where a fundamental defect which could </w:t>
      </w:r>
      <w:r w:rsidRPr="00081EE9" w:rsidR="00ED3D7C">
        <w:rPr>
          <w:szCs w:val="24"/>
        </w:rPr>
        <w:t xml:space="preserve">have </w:t>
      </w:r>
      <w:r w:rsidRPr="00081EE9">
        <w:rPr>
          <w:szCs w:val="24"/>
        </w:rPr>
        <w:t>affect</w:t>
      </w:r>
      <w:r w:rsidRPr="00081EE9" w:rsidR="00ED3D7C">
        <w:rPr>
          <w:szCs w:val="24"/>
        </w:rPr>
        <w:t>ed</w:t>
      </w:r>
      <w:r w:rsidRPr="00081EE9">
        <w:rPr>
          <w:szCs w:val="24"/>
        </w:rPr>
        <w:t xml:space="preserve"> the outcome of the case</w:t>
      </w:r>
      <w:r w:rsidRPr="00081EE9" w:rsidR="00ED3D7C">
        <w:rPr>
          <w:szCs w:val="24"/>
        </w:rPr>
        <w:t xml:space="preserve"> is detected in previous proceeding</w:t>
      </w:r>
      <w:r w:rsidRPr="00081EE9" w:rsidR="00557E19">
        <w:rPr>
          <w:szCs w:val="24"/>
        </w:rPr>
        <w:t xml:space="preserve">s (see </w:t>
      </w:r>
      <w:r w:rsidRPr="00081EE9" w:rsidR="00557E19">
        <w:rPr>
          <w:rStyle w:val="ju-005fpara--char"/>
          <w:i/>
          <w:iCs/>
          <w:szCs w:val="24"/>
        </w:rPr>
        <w:t>Nikitin</w:t>
      </w:r>
      <w:r w:rsidRPr="00081EE9" w:rsidR="00557E19">
        <w:rPr>
          <w:szCs w:val="24"/>
        </w:rPr>
        <w:t>, cited above, §</w:t>
      </w:r>
      <w:r w:rsidRPr="00081EE9" w:rsidR="003A6BE7">
        <w:rPr>
          <w:szCs w:val="24"/>
        </w:rPr>
        <w:t>§ </w:t>
      </w:r>
      <w:r w:rsidRPr="00081EE9" w:rsidR="00557E19">
        <w:rPr>
          <w:szCs w:val="24"/>
        </w:rPr>
        <w:t>55 and 56)</w:t>
      </w:r>
      <w:r w:rsidRPr="00081EE9">
        <w:rPr>
          <w:szCs w:val="24"/>
        </w:rPr>
        <w:t xml:space="preserve">. The possibility of re-examining or reopening cases </w:t>
      </w:r>
      <w:r w:rsidRPr="00081EE9" w:rsidR="00016EEF">
        <w:rPr>
          <w:szCs w:val="24"/>
        </w:rPr>
        <w:t xml:space="preserve">has </w:t>
      </w:r>
      <w:r w:rsidRPr="00081EE9">
        <w:rPr>
          <w:szCs w:val="24"/>
        </w:rPr>
        <w:t xml:space="preserve">also </w:t>
      </w:r>
      <w:r w:rsidRPr="00081EE9" w:rsidR="00016EEF">
        <w:rPr>
          <w:szCs w:val="24"/>
        </w:rPr>
        <w:t xml:space="preserve">been </w:t>
      </w:r>
      <w:r w:rsidRPr="00081EE9">
        <w:rPr>
          <w:szCs w:val="24"/>
        </w:rPr>
        <w:t xml:space="preserve">considered by the Committee of Ministers as a </w:t>
      </w:r>
      <w:r w:rsidRPr="00081EE9" w:rsidR="00531F95">
        <w:rPr>
          <w:szCs w:val="24"/>
        </w:rPr>
        <w:t xml:space="preserve">means of achieving </w:t>
      </w:r>
      <w:r w:rsidRPr="00081EE9" w:rsidR="00531F95">
        <w:rPr>
          <w:i/>
          <w:szCs w:val="24"/>
        </w:rPr>
        <w:t>restitutio in integrum</w:t>
      </w:r>
      <w:r w:rsidRPr="00081EE9">
        <w:rPr>
          <w:szCs w:val="24"/>
        </w:rPr>
        <w:t>, particularly in the context of the execution of the Court</w:t>
      </w:r>
      <w:r w:rsidR="000A0B63">
        <w:rPr>
          <w:szCs w:val="24"/>
        </w:rPr>
        <w:t>’</w:t>
      </w:r>
      <w:r w:rsidRPr="00081EE9">
        <w:rPr>
          <w:szCs w:val="24"/>
        </w:rPr>
        <w:t xml:space="preserve">s judgments. In its Recommendation No. R (2000) 2 on the re-examination or reopening of certain cases at the domestic level following judgments of the European Court of Human Rights, it </w:t>
      </w:r>
      <w:r w:rsidRPr="00081EE9" w:rsidR="00531F95">
        <w:rPr>
          <w:szCs w:val="24"/>
        </w:rPr>
        <w:t>encouraged</w:t>
      </w:r>
      <w:r w:rsidRPr="00081EE9">
        <w:rPr>
          <w:szCs w:val="24"/>
        </w:rPr>
        <w:t xml:space="preserve"> </w:t>
      </w:r>
      <w:r w:rsidRPr="00081EE9" w:rsidR="00531F95">
        <w:rPr>
          <w:szCs w:val="24"/>
        </w:rPr>
        <w:t>the Contracting Parties</w:t>
      </w:r>
      <w:r w:rsidRPr="00081EE9">
        <w:rPr>
          <w:szCs w:val="24"/>
        </w:rPr>
        <w:t xml:space="preserve"> to </w:t>
      </w:r>
      <w:r w:rsidRPr="00081EE9" w:rsidR="00531F95">
        <w:rPr>
          <w:szCs w:val="24"/>
        </w:rPr>
        <w:t xml:space="preserve">review their </w:t>
      </w:r>
      <w:r w:rsidRPr="00081EE9">
        <w:rPr>
          <w:szCs w:val="24"/>
        </w:rPr>
        <w:t xml:space="preserve">domestic legal systems </w:t>
      </w:r>
      <w:r w:rsidRPr="00081EE9" w:rsidR="00531F95">
        <w:rPr>
          <w:szCs w:val="24"/>
        </w:rPr>
        <w:t xml:space="preserve">with a view to ensuring that adequate </w:t>
      </w:r>
      <w:r w:rsidRPr="00081EE9" w:rsidR="00ED3D7C">
        <w:rPr>
          <w:szCs w:val="24"/>
        </w:rPr>
        <w:t>opportunity</w:t>
      </w:r>
      <w:r w:rsidRPr="00081EE9" w:rsidR="00531F95">
        <w:rPr>
          <w:szCs w:val="24"/>
        </w:rPr>
        <w:t xml:space="preserve"> </w:t>
      </w:r>
      <w:r w:rsidRPr="00081EE9" w:rsidR="00ED3D7C">
        <w:rPr>
          <w:szCs w:val="24"/>
        </w:rPr>
        <w:t xml:space="preserve">for the </w:t>
      </w:r>
      <w:r w:rsidRPr="00081EE9" w:rsidR="00531F95">
        <w:rPr>
          <w:szCs w:val="24"/>
        </w:rPr>
        <w:t xml:space="preserve">re-examination of </w:t>
      </w:r>
      <w:r w:rsidRPr="00081EE9" w:rsidR="00016EEF">
        <w:rPr>
          <w:szCs w:val="24"/>
        </w:rPr>
        <w:t xml:space="preserve">a </w:t>
      </w:r>
      <w:r w:rsidRPr="00081EE9" w:rsidR="00531F95">
        <w:rPr>
          <w:szCs w:val="24"/>
        </w:rPr>
        <w:t xml:space="preserve">case, including reopening of proceedings, </w:t>
      </w:r>
      <w:r w:rsidRPr="00081EE9" w:rsidR="00ED3D7C">
        <w:rPr>
          <w:szCs w:val="24"/>
        </w:rPr>
        <w:t xml:space="preserve">exists </w:t>
      </w:r>
      <w:r w:rsidRPr="00081EE9" w:rsidR="00531F95">
        <w:rPr>
          <w:szCs w:val="24"/>
        </w:rPr>
        <w:t>in instances where the Court has found</w:t>
      </w:r>
      <w:r w:rsidRPr="00081EE9" w:rsidR="0009330B">
        <w:rPr>
          <w:szCs w:val="24"/>
        </w:rPr>
        <w:t xml:space="preserve"> a violation of the Convention.</w:t>
      </w:r>
    </w:p>
    <w:p w:rsidRPr="00872764" w:rsidR="00337600" w:rsidRDefault="002D4C91">
      <w:pPr>
        <w:pStyle w:val="JuPara"/>
      </w:pPr>
      <w:r w:rsidRPr="00872764">
        <w:rPr>
          <w:szCs w:val="24"/>
        </w:rPr>
        <w:fldChar w:fldCharType="begin"/>
      </w:r>
      <w:r w:rsidRPr="00872764">
        <w:rPr>
          <w:szCs w:val="24"/>
        </w:rPr>
        <w:instrText xml:space="preserve"> SEQ level0 \*arabic </w:instrText>
      </w:r>
      <w:r w:rsidRPr="00872764">
        <w:rPr>
          <w:szCs w:val="24"/>
        </w:rPr>
        <w:fldChar w:fldCharType="separate"/>
      </w:r>
      <w:r w:rsidR="001E5484">
        <w:rPr>
          <w:noProof/>
          <w:szCs w:val="24"/>
        </w:rPr>
        <w:t>37</w:t>
      </w:r>
      <w:r w:rsidRPr="00872764">
        <w:rPr>
          <w:szCs w:val="24"/>
        </w:rPr>
        <w:fldChar w:fldCharType="end"/>
      </w:r>
      <w:r w:rsidRPr="00872764">
        <w:rPr>
          <w:szCs w:val="24"/>
        </w:rPr>
        <w:t>.  </w:t>
      </w:r>
      <w:r w:rsidRPr="00872764" w:rsidR="00A34111">
        <w:rPr>
          <w:szCs w:val="24"/>
        </w:rPr>
        <w:t>Having regard to the above-mentioned principles</w:t>
      </w:r>
      <w:r w:rsidRPr="00872764" w:rsidR="00A34111">
        <w:t xml:space="preserve">, the Court has to ascertain whether the High Court of Cassation and Justice, in its decision of 4 November 2003, reopened the </w:t>
      </w:r>
      <w:r w:rsidRPr="00872764" w:rsidR="00C96211">
        <w:t xml:space="preserve">criminal </w:t>
      </w:r>
      <w:r w:rsidRPr="00872764" w:rsidR="00A34111">
        <w:t xml:space="preserve">proceedings and quashed the final </w:t>
      </w:r>
      <w:r w:rsidRPr="00872764" w:rsidR="00EA1739">
        <w:t>judgment of 14 January 2002, as confirmed on</w:t>
      </w:r>
      <w:r w:rsidRPr="00872764" w:rsidR="00A34111">
        <w:t xml:space="preserve"> 1 April 2002, with a view to </w:t>
      </w:r>
      <w:r w:rsidRPr="00872764" w:rsidR="005854BA">
        <w:t>correcting a fundamental judicial error</w:t>
      </w:r>
      <w:r w:rsidRPr="00872764" w:rsidR="00C62C3A">
        <w:t>,</w:t>
      </w:r>
      <w:r w:rsidRPr="00872764" w:rsidR="005854BA">
        <w:t xml:space="preserve"> and if so whether the actual manner in which the High Court exercised that power undermined the overall fairness of the proceedings at stake (see, </w:t>
      </w:r>
      <w:r w:rsidRPr="00872764" w:rsidR="005854BA">
        <w:rPr>
          <w:i/>
        </w:rPr>
        <w:t>mutatis mutandis</w:t>
      </w:r>
      <w:r w:rsidRPr="00872764" w:rsidR="005854BA">
        <w:t xml:space="preserve">, </w:t>
      </w:r>
      <w:r w:rsidRPr="00872764" w:rsidR="005854BA">
        <w:rPr>
          <w:i/>
        </w:rPr>
        <w:t>Lenskaya</w:t>
      </w:r>
      <w:r w:rsidRPr="00872764" w:rsidR="005854BA">
        <w:t>, cited above, § 36).</w:t>
      </w:r>
    </w:p>
    <w:p w:rsidR="00D52752" w:rsidRDefault="00105E83">
      <w:pPr>
        <w:pStyle w:val="JuPara"/>
      </w:pPr>
      <w:r w:rsidRPr="00872764">
        <w:fldChar w:fldCharType="begin"/>
      </w:r>
      <w:r w:rsidRPr="00872764">
        <w:instrText xml:space="preserve"> SEQ level0 \*arabic </w:instrText>
      </w:r>
      <w:r w:rsidRPr="00872764">
        <w:fldChar w:fldCharType="separate"/>
      </w:r>
      <w:r w:rsidR="001E5484">
        <w:rPr>
          <w:noProof/>
        </w:rPr>
        <w:t>38</w:t>
      </w:r>
      <w:r w:rsidRPr="00872764">
        <w:fldChar w:fldCharType="end"/>
      </w:r>
      <w:r w:rsidRPr="00872764">
        <w:t>. </w:t>
      </w:r>
      <w:r w:rsidRPr="00872764" w:rsidR="004B449C">
        <w:t xml:space="preserve">As regards the purpose of the quashing, </w:t>
      </w:r>
      <w:r w:rsidRPr="00872764" w:rsidR="00A53110">
        <w:t xml:space="preserve">the Court notes that the </w:t>
      </w:r>
      <w:r w:rsidRPr="00872764" w:rsidR="002D4C91">
        <w:t>Prosecutor</w:t>
      </w:r>
      <w:r w:rsidRPr="007D48CD" w:rsidR="007D48CD">
        <w:t xml:space="preserve"> </w:t>
      </w:r>
      <w:r w:rsidRPr="00872764" w:rsidR="007D48CD">
        <w:t>General</w:t>
      </w:r>
      <w:r w:rsidRPr="00872764" w:rsidR="002D4C91">
        <w:t xml:space="preserve">, in lodging the request </w:t>
      </w:r>
      <w:r w:rsidR="007D48CD">
        <w:t>to</w:t>
      </w:r>
      <w:r w:rsidRPr="00872764" w:rsidR="007D48CD">
        <w:t xml:space="preserve"> </w:t>
      </w:r>
      <w:r w:rsidRPr="00872764" w:rsidR="002D4C91">
        <w:t>reopen</w:t>
      </w:r>
      <w:r w:rsidRPr="00872764" w:rsidR="00C92F80">
        <w:t xml:space="preserve"> </w:t>
      </w:r>
      <w:r w:rsidRPr="00872764" w:rsidR="002D4C91">
        <w:t>the proceedings</w:t>
      </w:r>
      <w:r w:rsidRPr="00872764" w:rsidR="00C92F80">
        <w:t>,</w:t>
      </w:r>
      <w:r w:rsidRPr="00872764" w:rsidR="002D4C91">
        <w:t xml:space="preserve"> had underlined that important pieces of evidence submitted by the defendant </w:t>
      </w:r>
      <w:r w:rsidRPr="00872764" w:rsidR="006236AA">
        <w:t xml:space="preserve">in </w:t>
      </w:r>
      <w:r w:rsidRPr="00872764" w:rsidR="00A83F18">
        <w:t xml:space="preserve">her </w:t>
      </w:r>
      <w:r w:rsidRPr="00872764" w:rsidR="006236AA">
        <w:t xml:space="preserve">defence </w:t>
      </w:r>
      <w:r w:rsidRPr="00872764" w:rsidR="002D4C91">
        <w:t xml:space="preserve">had not been taken into account during the ordinary proceedings. Furthermore, the </w:t>
      </w:r>
      <w:r w:rsidRPr="00872764" w:rsidR="00A53110">
        <w:t>High Court of Cassation and Justice</w:t>
      </w:r>
      <w:r w:rsidR="007D48CD">
        <w:t>,</w:t>
      </w:r>
      <w:r w:rsidR="00A53110">
        <w:t xml:space="preserve"> </w:t>
      </w:r>
      <w:r w:rsidR="00C96211">
        <w:t xml:space="preserve">in its decision </w:t>
      </w:r>
      <w:r w:rsidR="007D48CD">
        <w:t>quashing the judgments of</w:t>
      </w:r>
      <w:r w:rsidR="00A53110">
        <w:t xml:space="preserve"> the lower courts</w:t>
      </w:r>
      <w:r w:rsidR="007D48CD">
        <w:t>,</w:t>
      </w:r>
      <w:r w:rsidR="00A53110">
        <w:t xml:space="preserve"> ha</w:t>
      </w:r>
      <w:r w:rsidR="00A43909">
        <w:t>d</w:t>
      </w:r>
      <w:r w:rsidR="00A53110">
        <w:t xml:space="preserve"> failed to</w:t>
      </w:r>
      <w:r w:rsidR="000547ED">
        <w:t xml:space="preserve"> give consideration to the fact that the evidence was contradictory and not conclusive in respect of the date when the alleged theft </w:t>
      </w:r>
      <w:r w:rsidR="00A43909">
        <w:t xml:space="preserve">had taken </w:t>
      </w:r>
      <w:r w:rsidR="000547ED">
        <w:t>place and in respect of the question whether the defendant had actually committed the alleged theft.</w:t>
      </w:r>
    </w:p>
    <w:p w:rsidR="00B82DEB" w:rsidRDefault="002D4C91">
      <w:pPr>
        <w:pStyle w:val="JuPara"/>
        <w:rPr>
          <w:lang w:eastAsia="en-US"/>
        </w:rPr>
      </w:pPr>
      <w:r>
        <w:fldChar w:fldCharType="begin"/>
      </w:r>
      <w:r>
        <w:instrText xml:space="preserve"> SEQ level0 \*arabic </w:instrText>
      </w:r>
      <w:r>
        <w:fldChar w:fldCharType="separate"/>
      </w:r>
      <w:r w:rsidR="001E5484">
        <w:rPr>
          <w:noProof/>
        </w:rPr>
        <w:t>39</w:t>
      </w:r>
      <w:r>
        <w:fldChar w:fldCharType="end"/>
      </w:r>
      <w:r>
        <w:t>.  </w:t>
      </w:r>
      <w:r w:rsidR="00B82DEB">
        <w:t xml:space="preserve">The </w:t>
      </w:r>
      <w:r w:rsidR="00F63CF6">
        <w:t>C</w:t>
      </w:r>
      <w:r w:rsidR="00B82DEB">
        <w:t xml:space="preserve">ourt considers that in such circumstances the </w:t>
      </w:r>
      <w:r>
        <w:t xml:space="preserve">grounds for reopening the proceedings were based on serious procedural defects, affecting the procedural rights of the defendant and the </w:t>
      </w:r>
      <w:r w:rsidR="00B82DEB">
        <w:t>decision to quash the final judgment convicting E.I. does not appear unreasonable or arbitrary (see</w:t>
      </w:r>
      <w:r w:rsidR="0009330B">
        <w:t>,</w:t>
      </w:r>
      <w:r w:rsidR="00B82DEB">
        <w:t xml:space="preserve"> </w:t>
      </w:r>
      <w:r w:rsidRPr="00214D6A" w:rsidR="00214D6A">
        <w:rPr>
          <w:i/>
        </w:rPr>
        <w:t>mutatis mutandis</w:t>
      </w:r>
      <w:r w:rsidRPr="0009330B" w:rsidR="0009330B">
        <w:t>,</w:t>
      </w:r>
      <w:r w:rsidR="00214D6A">
        <w:t xml:space="preserve"> </w:t>
      </w:r>
      <w:r w:rsidRPr="00F63CF6" w:rsidR="00B82DEB">
        <w:rPr>
          <w:i/>
        </w:rPr>
        <w:t>Lenskaya</w:t>
      </w:r>
      <w:r w:rsidR="00B82DEB">
        <w:t xml:space="preserve">, cited </w:t>
      </w:r>
      <w:r w:rsidR="00C62C3A">
        <w:t>above</w:t>
      </w:r>
      <w:r w:rsidR="00B82DEB">
        <w:t xml:space="preserve">, § 38). In this connection the Court again reiterates that the Convention in principle permits the reopening of a final judgment to enable the State to correct miscarriages of criminal justice. A verdict ignoring key evidence may well constitute such a miscarriage (see </w:t>
      </w:r>
      <w:r w:rsidRPr="00B82DEB" w:rsidR="00B82DEB">
        <w:rPr>
          <w:i/>
          <w:lang w:eastAsia="en-US"/>
        </w:rPr>
        <w:t xml:space="preserve">Vedernikova v. </w:t>
      </w:r>
      <w:smartTag w:uri="urn:schemas-microsoft-com:office:smarttags" w:element="country-region">
        <w:smartTag w:uri="urn:schemas-microsoft-com:office:smarttags" w:element="place">
          <w:r w:rsidR="00B82DEB" w:rsidRPr="00B82DEB">
            <w:rPr>
              <w:i/>
              <w:lang w:eastAsia="en-US"/>
            </w:rPr>
            <w:t>Russia</w:t>
          </w:r>
        </w:smartTag>
      </w:smartTag>
      <w:r w:rsidRPr="00B82DEB" w:rsidR="00B82DEB">
        <w:rPr>
          <w:lang w:eastAsia="en-US"/>
        </w:rPr>
        <w:t xml:space="preserve">, </w:t>
      </w:r>
      <w:r w:rsidR="00B82DEB">
        <w:rPr>
          <w:lang w:eastAsia="en-US"/>
        </w:rPr>
        <w:t>no. 25580/02, § 25, 12 July 2007).</w:t>
      </w:r>
    </w:p>
    <w:p w:rsidR="00F63CF6" w:rsidRDefault="00F63CF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E5484">
        <w:rPr>
          <w:noProof/>
          <w:lang w:eastAsia="en-US"/>
        </w:rPr>
        <w:t>40</w:t>
      </w:r>
      <w:r>
        <w:rPr>
          <w:lang w:eastAsia="en-US"/>
        </w:rPr>
        <w:fldChar w:fldCharType="end"/>
      </w:r>
      <w:r>
        <w:rPr>
          <w:lang w:eastAsia="en-US"/>
        </w:rPr>
        <w:t>.  The Court attributes particular weight to the fact that the judicial error committed by the lower courts could not be neutralised or corrected by any means</w:t>
      </w:r>
      <w:r w:rsidR="00C62C3A">
        <w:rPr>
          <w:lang w:eastAsia="en-US"/>
        </w:rPr>
        <w:t xml:space="preserve"> </w:t>
      </w:r>
      <w:r w:rsidR="007D48CD">
        <w:rPr>
          <w:lang w:eastAsia="en-US"/>
        </w:rPr>
        <w:t xml:space="preserve">other </w:t>
      </w:r>
      <w:r w:rsidR="00C62C3A">
        <w:rPr>
          <w:lang w:eastAsia="en-US"/>
        </w:rPr>
        <w:t>than</w:t>
      </w:r>
      <w:r>
        <w:rPr>
          <w:lang w:eastAsia="en-US"/>
        </w:rPr>
        <w:t xml:space="preserve"> quashing the final judgment by which E.I had been found guilty. The quashing of the final judgment in the instant case was </w:t>
      </w:r>
      <w:r w:rsidR="002D4C91">
        <w:rPr>
          <w:lang w:eastAsia="en-US"/>
        </w:rPr>
        <w:t>the only</w:t>
      </w:r>
      <w:r w:rsidR="001806F1">
        <w:rPr>
          <w:lang w:eastAsia="en-US"/>
        </w:rPr>
        <w:t xml:space="preserve"> means of indemnifying the convicted person for the mistakes in th</w:t>
      </w:r>
      <w:r w:rsidR="0009330B">
        <w:rPr>
          <w:lang w:eastAsia="en-US"/>
        </w:rPr>
        <w:t>e administration of justice.</w:t>
      </w:r>
    </w:p>
    <w:p w:rsidR="00B847AF" w:rsidRDefault="00B847A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E5484">
        <w:rPr>
          <w:noProof/>
          <w:lang w:eastAsia="en-US"/>
        </w:rPr>
        <w:t>41</w:t>
      </w:r>
      <w:r>
        <w:rPr>
          <w:lang w:eastAsia="en-US"/>
        </w:rPr>
        <w:fldChar w:fldCharType="end"/>
      </w:r>
      <w:r>
        <w:rPr>
          <w:lang w:eastAsia="en-US"/>
        </w:rPr>
        <w:t xml:space="preserve">.  In the circumstances of the instant case, the Court </w:t>
      </w:r>
      <w:r w:rsidR="003A6BE7">
        <w:rPr>
          <w:lang w:eastAsia="en-US"/>
        </w:rPr>
        <w:t>notes</w:t>
      </w:r>
      <w:r>
        <w:rPr>
          <w:lang w:eastAsia="en-US"/>
        </w:rPr>
        <w:t xml:space="preserve"> that the proceedings </w:t>
      </w:r>
      <w:r w:rsidR="007D48CD">
        <w:rPr>
          <w:lang w:eastAsia="en-US"/>
        </w:rPr>
        <w:t>were</w:t>
      </w:r>
      <w:r>
        <w:rPr>
          <w:lang w:eastAsia="en-US"/>
        </w:rPr>
        <w:t xml:space="preserve"> reopened </w:t>
      </w:r>
      <w:r w:rsidR="00C62C3A">
        <w:rPr>
          <w:lang w:eastAsia="en-US"/>
        </w:rPr>
        <w:t>f</w:t>
      </w:r>
      <w:r>
        <w:rPr>
          <w:lang w:eastAsia="en-US"/>
        </w:rPr>
        <w:t>or the purpose of correcting a fundamental judicial error</w:t>
      </w:r>
      <w:r w:rsidR="00105E83">
        <w:rPr>
          <w:lang w:eastAsia="en-US"/>
        </w:rPr>
        <w:t xml:space="preserve"> </w:t>
      </w:r>
      <w:r w:rsidR="007D48CD">
        <w:rPr>
          <w:lang w:eastAsia="en-US"/>
        </w:rPr>
        <w:t xml:space="preserve">that had resulted in </w:t>
      </w:r>
      <w:r w:rsidR="00105E83">
        <w:rPr>
          <w:lang w:eastAsia="en-US"/>
        </w:rPr>
        <w:t>serious unfavourable consequences for the defendant</w:t>
      </w:r>
      <w:r>
        <w:rPr>
          <w:lang w:eastAsia="en-US"/>
        </w:rPr>
        <w:t xml:space="preserve">. It remains to be </w:t>
      </w:r>
      <w:r w:rsidR="007D48CD">
        <w:rPr>
          <w:lang w:eastAsia="en-US"/>
        </w:rPr>
        <w:t>determined</w:t>
      </w:r>
      <w:r>
        <w:rPr>
          <w:lang w:eastAsia="en-US"/>
        </w:rPr>
        <w:t xml:space="preserve"> whether the procedural guarantees of Article 6 of the Convention were available in the proceedings before the High </w:t>
      </w:r>
      <w:r w:rsidR="0009330B">
        <w:rPr>
          <w:lang w:eastAsia="en-US"/>
        </w:rPr>
        <w:t>Court of Cassation and Justice.</w:t>
      </w:r>
    </w:p>
    <w:p w:rsidR="00FC07FF" w:rsidRDefault="00FC07F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E5484">
        <w:rPr>
          <w:noProof/>
          <w:lang w:eastAsia="en-US"/>
        </w:rPr>
        <w:t>42</w:t>
      </w:r>
      <w:r>
        <w:rPr>
          <w:lang w:eastAsia="en-US"/>
        </w:rPr>
        <w:fldChar w:fldCharType="end"/>
      </w:r>
      <w:r>
        <w:rPr>
          <w:lang w:eastAsia="en-US"/>
        </w:rPr>
        <w:t>. In this</w:t>
      </w:r>
      <w:r w:rsidR="00F9327A">
        <w:rPr>
          <w:lang w:eastAsia="en-US"/>
        </w:rPr>
        <w:t xml:space="preserve"> </w:t>
      </w:r>
      <w:r w:rsidR="007D48CD">
        <w:rPr>
          <w:lang w:eastAsia="en-US"/>
        </w:rPr>
        <w:t>connection</w:t>
      </w:r>
      <w:r>
        <w:rPr>
          <w:lang w:eastAsia="en-US"/>
        </w:rPr>
        <w:t xml:space="preserve"> the Court observes that the applicant had the opportunity to present his arguments and to challenge the submissions of the </w:t>
      </w:r>
      <w:r w:rsidR="007D48CD">
        <w:rPr>
          <w:lang w:eastAsia="en-US"/>
        </w:rPr>
        <w:t xml:space="preserve">opposing party </w:t>
      </w:r>
      <w:r>
        <w:rPr>
          <w:lang w:eastAsia="en-US"/>
        </w:rPr>
        <w:t xml:space="preserve">in the proceedings. Furthermore, he attended the </w:t>
      </w:r>
      <w:r w:rsidR="007D48CD">
        <w:rPr>
          <w:lang w:eastAsia="en-US"/>
        </w:rPr>
        <w:t xml:space="preserve">court hearings </w:t>
      </w:r>
      <w:r>
        <w:rPr>
          <w:lang w:eastAsia="en-US"/>
        </w:rPr>
        <w:t xml:space="preserve">and made oral submissions. The Court finds that there is nothing to indicate that the way in which the High Court of Cassation and Justice established and assessed the evidence was unfair or arbitrary. Therefore, it cannot but conclude that the extraordinary appeal proceedings </w:t>
      </w:r>
      <w:r w:rsidR="00C96211">
        <w:rPr>
          <w:lang w:eastAsia="en-US"/>
        </w:rPr>
        <w:t xml:space="preserve">in the instant case </w:t>
      </w:r>
      <w:r>
        <w:rPr>
          <w:lang w:eastAsia="en-US"/>
        </w:rPr>
        <w:t>afforded the applicant all the procedural safeguards of A</w:t>
      </w:r>
      <w:r w:rsidR="0009330B">
        <w:rPr>
          <w:lang w:eastAsia="en-US"/>
        </w:rPr>
        <w:t>rticle 6 § 1 of the Convention.</w:t>
      </w:r>
    </w:p>
    <w:p w:rsidR="00FC07FF" w:rsidRDefault="00FC07F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E5484">
        <w:rPr>
          <w:noProof/>
          <w:lang w:eastAsia="en-US"/>
        </w:rPr>
        <w:t>43</w:t>
      </w:r>
      <w:r>
        <w:rPr>
          <w:lang w:eastAsia="en-US"/>
        </w:rPr>
        <w:fldChar w:fldCharType="end"/>
      </w:r>
      <w:r>
        <w:rPr>
          <w:lang w:eastAsia="en-US"/>
        </w:rPr>
        <w:t xml:space="preserve">.  Having regard to the foregoing, the Court finds that in the circumstances of the </w:t>
      </w:r>
      <w:r w:rsidR="006236AA">
        <w:rPr>
          <w:lang w:eastAsia="en-US"/>
        </w:rPr>
        <w:t xml:space="preserve">present </w:t>
      </w:r>
      <w:r>
        <w:rPr>
          <w:lang w:eastAsia="en-US"/>
        </w:rPr>
        <w:t xml:space="preserve">case the High Court of Cassation and Justice </w:t>
      </w:r>
      <w:r w:rsidR="00C62C3A">
        <w:rPr>
          <w:lang w:eastAsia="en-US"/>
        </w:rPr>
        <w:t>struck the correct balance between</w:t>
      </w:r>
      <w:r>
        <w:rPr>
          <w:lang w:eastAsia="en-US"/>
        </w:rPr>
        <w:t xml:space="preserve"> the competing interests of finality and justice. It therefore finds that the quashing of the final </w:t>
      </w:r>
      <w:r w:rsidR="00EA1739">
        <w:rPr>
          <w:lang w:eastAsia="en-US"/>
        </w:rPr>
        <w:t>judgment of 14</w:t>
      </w:r>
      <w:r w:rsidR="00B33AEB">
        <w:rPr>
          <w:lang w:eastAsia="en-US"/>
        </w:rPr>
        <w:t> </w:t>
      </w:r>
      <w:r w:rsidR="00EA1739">
        <w:rPr>
          <w:lang w:eastAsia="en-US"/>
        </w:rPr>
        <w:t>January 2002, as confirmed on 1 April 2002,</w:t>
      </w:r>
      <w:r>
        <w:rPr>
          <w:lang w:eastAsia="en-US"/>
        </w:rPr>
        <w:t xml:space="preserve"> did not </w:t>
      </w:r>
      <w:r w:rsidR="00A52D2E">
        <w:rPr>
          <w:lang w:eastAsia="en-US"/>
        </w:rPr>
        <w:t>amount to a breach of</w:t>
      </w:r>
      <w:r>
        <w:rPr>
          <w:lang w:eastAsia="en-US"/>
        </w:rPr>
        <w:t xml:space="preserve"> Article 6 § 1 of the Convention. There has accordingly </w:t>
      </w:r>
      <w:r w:rsidR="00CC1E75">
        <w:rPr>
          <w:lang w:eastAsia="en-US"/>
        </w:rPr>
        <w:t xml:space="preserve">been </w:t>
      </w:r>
      <w:r w:rsidR="0009330B">
        <w:rPr>
          <w:lang w:eastAsia="en-US"/>
        </w:rPr>
        <w:t>no violation of that Article.</w:t>
      </w:r>
    </w:p>
    <w:p w:rsidR="00B469B3" w:rsidP="00A42003" w:rsidRDefault="0009330B">
      <w:pPr>
        <w:pStyle w:val="JuH1"/>
        <w:rPr>
          <w:lang w:eastAsia="en-US"/>
        </w:rPr>
      </w:pPr>
      <w:r>
        <w:rPr>
          <w:lang w:eastAsia="en-US"/>
        </w:rPr>
        <w:t>2.  </w:t>
      </w:r>
      <w:r w:rsidR="00B469B3">
        <w:rPr>
          <w:lang w:eastAsia="en-US"/>
        </w:rPr>
        <w:t>Article 1 of Protocol No. 1 to the Convention</w:t>
      </w:r>
    </w:p>
    <w:p w:rsidR="00F34EBE" w:rsidP="00B469B3" w:rsidRDefault="000D714A">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E5484">
        <w:rPr>
          <w:noProof/>
          <w:lang w:eastAsia="en-US"/>
        </w:rPr>
        <w:t>44</w:t>
      </w:r>
      <w:r>
        <w:rPr>
          <w:lang w:eastAsia="en-US"/>
        </w:rPr>
        <w:fldChar w:fldCharType="end"/>
      </w:r>
      <w:r>
        <w:rPr>
          <w:lang w:eastAsia="en-US"/>
        </w:rPr>
        <w:t xml:space="preserve">.  The applicant complained that the quashing of the final </w:t>
      </w:r>
      <w:r w:rsidR="00EA1739">
        <w:rPr>
          <w:lang w:eastAsia="en-US"/>
        </w:rPr>
        <w:t>judgment of 14 January 2002</w:t>
      </w:r>
      <w:r>
        <w:rPr>
          <w:lang w:eastAsia="en-US"/>
        </w:rPr>
        <w:t xml:space="preserve"> </w:t>
      </w:r>
      <w:r w:rsidR="001E5484">
        <w:rPr>
          <w:lang w:eastAsia="en-US"/>
        </w:rPr>
        <w:t xml:space="preserve">had </w:t>
      </w:r>
      <w:r>
        <w:rPr>
          <w:lang w:eastAsia="en-US"/>
        </w:rPr>
        <w:t xml:space="preserve">deprived him of the right to compensation </w:t>
      </w:r>
      <w:r w:rsidR="00F9327A">
        <w:rPr>
          <w:lang w:eastAsia="en-US"/>
        </w:rPr>
        <w:t>upheldin</w:t>
      </w:r>
      <w:r>
        <w:rPr>
          <w:lang w:eastAsia="en-US"/>
        </w:rPr>
        <w:t xml:space="preserve"> that judgment.</w:t>
      </w:r>
    </w:p>
    <w:p w:rsidR="000D714A" w:rsidP="00B469B3" w:rsidRDefault="000D714A">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E5484">
        <w:rPr>
          <w:noProof/>
          <w:lang w:eastAsia="en-US"/>
        </w:rPr>
        <w:t>45</w:t>
      </w:r>
      <w:r>
        <w:rPr>
          <w:lang w:eastAsia="en-US"/>
        </w:rPr>
        <w:fldChar w:fldCharType="end"/>
      </w:r>
      <w:r>
        <w:rPr>
          <w:lang w:eastAsia="en-US"/>
        </w:rPr>
        <w:t xml:space="preserve">.  The Government </w:t>
      </w:r>
      <w:r w:rsidR="001E5484">
        <w:rPr>
          <w:lang w:eastAsia="en-US"/>
        </w:rPr>
        <w:t xml:space="preserve">acknowledged </w:t>
      </w:r>
      <w:r>
        <w:rPr>
          <w:lang w:eastAsia="en-US"/>
        </w:rPr>
        <w:t>that there ha</w:t>
      </w:r>
      <w:r w:rsidR="001E5484">
        <w:rPr>
          <w:lang w:eastAsia="en-US"/>
        </w:rPr>
        <w:t>d</w:t>
      </w:r>
      <w:r>
        <w:rPr>
          <w:lang w:eastAsia="en-US"/>
        </w:rPr>
        <w:t xml:space="preserve"> been an interference with the applicant</w:t>
      </w:r>
      <w:r w:rsidR="000A0B63">
        <w:rPr>
          <w:lang w:eastAsia="en-US"/>
        </w:rPr>
        <w:t>’</w:t>
      </w:r>
      <w:r>
        <w:rPr>
          <w:lang w:eastAsia="en-US"/>
        </w:rPr>
        <w:t xml:space="preserve">s right to property in respect of the damages awarded </w:t>
      </w:r>
      <w:r w:rsidR="001E5484">
        <w:rPr>
          <w:lang w:eastAsia="en-US"/>
        </w:rPr>
        <w:t xml:space="preserve">him </w:t>
      </w:r>
      <w:r>
        <w:rPr>
          <w:lang w:eastAsia="en-US"/>
        </w:rPr>
        <w:t xml:space="preserve">by the final </w:t>
      </w:r>
      <w:r w:rsidR="00CF600E">
        <w:rPr>
          <w:lang w:eastAsia="en-US"/>
        </w:rPr>
        <w:t>judgment of 14 January 2002</w:t>
      </w:r>
      <w:r>
        <w:rPr>
          <w:lang w:eastAsia="en-US"/>
        </w:rPr>
        <w:t>. Nevertheless, they underline</w:t>
      </w:r>
      <w:r w:rsidR="001E5484">
        <w:rPr>
          <w:lang w:eastAsia="en-US"/>
        </w:rPr>
        <w:t>d</w:t>
      </w:r>
      <w:r>
        <w:rPr>
          <w:lang w:eastAsia="en-US"/>
        </w:rPr>
        <w:t xml:space="preserve"> that th</w:t>
      </w:r>
      <w:r w:rsidR="001E5484">
        <w:rPr>
          <w:lang w:eastAsia="en-US"/>
        </w:rPr>
        <w:t>at</w:t>
      </w:r>
      <w:r>
        <w:rPr>
          <w:lang w:eastAsia="en-US"/>
        </w:rPr>
        <w:t xml:space="preserve"> interference </w:t>
      </w:r>
      <w:r w:rsidR="001E5484">
        <w:rPr>
          <w:lang w:eastAsia="en-US"/>
        </w:rPr>
        <w:t xml:space="preserve">had been </w:t>
      </w:r>
      <w:r>
        <w:rPr>
          <w:lang w:eastAsia="en-US"/>
        </w:rPr>
        <w:t>justified in the interest</w:t>
      </w:r>
      <w:r w:rsidR="001E5484">
        <w:rPr>
          <w:lang w:eastAsia="en-US"/>
        </w:rPr>
        <w:t>s</w:t>
      </w:r>
      <w:r>
        <w:rPr>
          <w:lang w:eastAsia="en-US"/>
        </w:rPr>
        <w:t xml:space="preserve"> of justice in order to remedy a judicial error.</w:t>
      </w:r>
    </w:p>
    <w:p w:rsidRPr="00872764" w:rsidR="00F34EBE" w:rsidP="00F34EBE" w:rsidRDefault="00B20A02">
      <w:pPr>
        <w:pStyle w:val="JuPara"/>
        <w:rPr>
          <w:lang w:eastAsia="en-US"/>
        </w:rPr>
      </w:pPr>
      <w:r>
        <w:fldChar w:fldCharType="begin"/>
      </w:r>
      <w:r>
        <w:instrText xml:space="preserve"> SEQ level0 \*arabic </w:instrText>
      </w:r>
      <w:r>
        <w:fldChar w:fldCharType="separate"/>
      </w:r>
      <w:r w:rsidR="001E5484">
        <w:rPr>
          <w:noProof/>
        </w:rPr>
        <w:t>46</w:t>
      </w:r>
      <w:r>
        <w:fldChar w:fldCharType="end"/>
      </w:r>
      <w:r>
        <w:t>.  </w:t>
      </w:r>
      <w:r w:rsidR="00F34EBE">
        <w:t xml:space="preserve">The Court reiterates that the existence of a debt confirmed by a binding and enforceable judgment furnishes the judgment beneficiary with a “legitimate expectation” that the debt </w:t>
      </w:r>
      <w:r w:rsidR="001E5484">
        <w:t xml:space="preserve">will </w:t>
      </w:r>
      <w:r w:rsidR="00F34EBE">
        <w:t>be paid, and constitutes the beneficiary</w:t>
      </w:r>
      <w:r w:rsidR="000A0B63">
        <w:t>’</w:t>
      </w:r>
      <w:r w:rsidR="00F34EBE">
        <w:t>s “possession” within the meaning of Article 1 of Protocol No. 1. Quashing such a judgment amounts to an interference with his or her right to peaceful enjoyment of possessions (see, among other authorities,</w:t>
      </w:r>
      <w:r w:rsidRPr="00A21775" w:rsidR="00F34EBE">
        <w:t xml:space="preserve"> </w:t>
      </w:r>
      <w:r w:rsidRPr="00ED75A9" w:rsidR="00F34EBE">
        <w:rPr>
          <w:i/>
          <w:lang w:eastAsia="en-US"/>
        </w:rPr>
        <w:t>Brumărescu v. Romania</w:t>
      </w:r>
      <w:r w:rsidRPr="00ED75A9" w:rsidR="00F34EBE">
        <w:rPr>
          <w:lang w:eastAsia="en-US"/>
        </w:rPr>
        <w:t xml:space="preserve">, </w:t>
      </w:r>
      <w:r w:rsidR="00F34EBE">
        <w:rPr>
          <w:lang w:eastAsia="en-US"/>
        </w:rPr>
        <w:t xml:space="preserve">cited above, </w:t>
      </w:r>
      <w:r w:rsidRPr="00ED75A9" w:rsidR="00F34EBE">
        <w:rPr>
          <w:lang w:eastAsia="en-US"/>
        </w:rPr>
        <w:t>§ </w:t>
      </w:r>
      <w:r w:rsidR="00F34EBE">
        <w:rPr>
          <w:lang w:eastAsia="en-US"/>
        </w:rPr>
        <w:t>74</w:t>
      </w:r>
      <w:r w:rsidRPr="00ED75A9" w:rsidR="00F34EBE">
        <w:rPr>
          <w:lang w:eastAsia="en-US"/>
        </w:rPr>
        <w:t>, ECHR</w:t>
      </w:r>
      <w:r w:rsidR="00F34EBE">
        <w:rPr>
          <w:lang w:eastAsia="en-US"/>
        </w:rPr>
        <w:t>,</w:t>
      </w:r>
      <w:r w:rsidRPr="00A21775" w:rsidR="00F34EBE">
        <w:t xml:space="preserve"> and </w:t>
      </w:r>
      <w:r w:rsidRPr="00A21775" w:rsidR="00F34EBE">
        <w:rPr>
          <w:i/>
        </w:rPr>
        <w:t>Androsov v. Russia</w:t>
      </w:r>
      <w:r w:rsidRPr="00A21775" w:rsidR="00F34EBE">
        <w:t>, no.</w:t>
      </w:r>
      <w:r w:rsidR="00F34EBE">
        <w:t> </w:t>
      </w:r>
      <w:r w:rsidRPr="00A21775" w:rsidR="00F34EBE">
        <w:t>63973/00, § 69, 6 October 2005</w:t>
      </w:r>
      <w:r w:rsidR="00F34EBE">
        <w:t>). An interference with the peaceful enjoyment of possessions must strike a fair balance between the demands of the general interests of the community and the requirements of the protection of the individual</w:t>
      </w:r>
      <w:r w:rsidR="000A0B63">
        <w:t>’</w:t>
      </w:r>
      <w:r w:rsidR="00F34EBE">
        <w:t>s fundamental rights (see, among other authorities,</w:t>
      </w:r>
      <w:r>
        <w:t xml:space="preserve"> </w:t>
      </w:r>
      <w:r w:rsidRPr="00B20A02">
        <w:rPr>
          <w:i/>
          <w:lang w:eastAsia="en-US"/>
        </w:rPr>
        <w:t>Sporrong and Lönnroth v. Sweden</w:t>
      </w:r>
      <w:r w:rsidRPr="00B20A02">
        <w:rPr>
          <w:lang w:eastAsia="en-US"/>
        </w:rPr>
        <w:t>, 23 Septe</w:t>
      </w:r>
      <w:r>
        <w:rPr>
          <w:lang w:eastAsia="en-US"/>
        </w:rPr>
        <w:t>mber 1982, § 69, Series A no. 52</w:t>
      </w:r>
      <w:r w:rsidR="00F34EBE">
        <w:t xml:space="preserve">). In particular, there must be a reasonable relationship of </w:t>
      </w:r>
      <w:r w:rsidRPr="00872764" w:rsidR="00F34EBE">
        <w:t>proportionality between the means employed and the aim sought to be realised by any measure depriving a person of his possessions.</w:t>
      </w:r>
    </w:p>
    <w:p w:rsidR="00F34EBE" w:rsidP="00F34EBE" w:rsidRDefault="00F34EBE">
      <w:pPr>
        <w:pStyle w:val="JuPara"/>
      </w:pPr>
      <w:r w:rsidRPr="00872764">
        <w:fldChar w:fldCharType="begin"/>
      </w:r>
      <w:r w:rsidRPr="00872764">
        <w:instrText xml:space="preserve"> SEQ level0 \*arabic </w:instrText>
      </w:r>
      <w:r w:rsidRPr="00872764">
        <w:fldChar w:fldCharType="separate"/>
      </w:r>
      <w:r w:rsidR="001E5484">
        <w:rPr>
          <w:noProof/>
        </w:rPr>
        <w:t>47</w:t>
      </w:r>
      <w:r w:rsidRPr="00872764">
        <w:fldChar w:fldCharType="end"/>
      </w:r>
      <w:r w:rsidRPr="00872764">
        <w:t>.  Turning to the facts of the present case, the Court observes that by virtue of the judgment of 1</w:t>
      </w:r>
      <w:r w:rsidRPr="00872764" w:rsidR="009C4E24">
        <w:t>4</w:t>
      </w:r>
      <w:r w:rsidRPr="00872764">
        <w:t xml:space="preserve"> </w:t>
      </w:r>
      <w:r w:rsidRPr="00872764" w:rsidR="009C4E24">
        <w:t xml:space="preserve">January </w:t>
      </w:r>
      <w:r w:rsidRPr="00872764" w:rsidR="008A65AE">
        <w:t>2</w:t>
      </w:r>
      <w:r w:rsidRPr="00872764">
        <w:t xml:space="preserve">002, as </w:t>
      </w:r>
      <w:r w:rsidRPr="00872764" w:rsidR="009C4E24">
        <w:t>confirmed on</w:t>
      </w:r>
      <w:r w:rsidRPr="00872764">
        <w:t xml:space="preserve"> </w:t>
      </w:r>
      <w:r w:rsidRPr="00872764" w:rsidR="009C4E24">
        <w:t>1 April</w:t>
      </w:r>
      <w:r w:rsidRPr="00872764">
        <w:t xml:space="preserve"> 2002, </w:t>
      </w:r>
      <w:r w:rsidRPr="00872764" w:rsidR="009C4E24">
        <w:t>E.I.</w:t>
      </w:r>
      <w:r w:rsidRPr="00872764" w:rsidR="006236AA">
        <w:t xml:space="preserve">, </w:t>
      </w:r>
      <w:r w:rsidR="001E5484">
        <w:t xml:space="preserve">who had been </w:t>
      </w:r>
      <w:r w:rsidRPr="00872764" w:rsidR="006236AA">
        <w:t xml:space="preserve">found guilty </w:t>
      </w:r>
      <w:r w:rsidRPr="00872764" w:rsidR="0041555D">
        <w:t xml:space="preserve">of </w:t>
      </w:r>
      <w:r w:rsidRPr="00872764" w:rsidR="008A65AE">
        <w:t xml:space="preserve">theft of </w:t>
      </w:r>
      <w:r w:rsidR="001E5484">
        <w:t xml:space="preserve">property </w:t>
      </w:r>
      <w:r w:rsidRPr="00872764" w:rsidR="008A65AE">
        <w:t>from the applicant</w:t>
      </w:r>
      <w:r w:rsidR="000A0B63">
        <w:t>’</w:t>
      </w:r>
      <w:r w:rsidRPr="00872764" w:rsidR="008A65AE">
        <w:t xml:space="preserve">s flat, </w:t>
      </w:r>
      <w:r w:rsidRPr="00872764">
        <w:t xml:space="preserve">was </w:t>
      </w:r>
      <w:r w:rsidRPr="00872764" w:rsidR="0041555D">
        <w:t xml:space="preserve">ordered </w:t>
      </w:r>
      <w:r w:rsidRPr="00872764">
        <w:t xml:space="preserve">to pay </w:t>
      </w:r>
      <w:r w:rsidRPr="00872764" w:rsidR="008A65AE">
        <w:t>him</w:t>
      </w:r>
      <w:r w:rsidRPr="00872764">
        <w:t xml:space="preserve"> a sum of money in compensation for damage caused as </w:t>
      </w:r>
      <w:r w:rsidRPr="00872764" w:rsidR="0041555D">
        <w:t xml:space="preserve">a </w:t>
      </w:r>
      <w:r w:rsidRPr="00872764">
        <w:t>result of the</w:t>
      </w:r>
      <w:r w:rsidRPr="00872764" w:rsidR="009C4E24">
        <w:t xml:space="preserve"> theft and for legal costs</w:t>
      </w:r>
      <w:r w:rsidRPr="00872764">
        <w:t>. By operation of law</w:t>
      </w:r>
      <w:r w:rsidRPr="00872764" w:rsidR="006236AA">
        <w:t>,</w:t>
      </w:r>
      <w:r w:rsidRPr="00872764">
        <w:t xml:space="preserve"> the payment of the compensation </w:t>
      </w:r>
      <w:r w:rsidRPr="00872764" w:rsidR="006236AA">
        <w:t xml:space="preserve">by E.I. </w:t>
      </w:r>
      <w:r w:rsidRPr="00872764">
        <w:t xml:space="preserve">was conditional on </w:t>
      </w:r>
      <w:r w:rsidRPr="00872764" w:rsidR="006236AA">
        <w:t>her</w:t>
      </w:r>
      <w:r w:rsidRPr="00872764">
        <w:t xml:space="preserve"> conviction </w:t>
      </w:r>
      <w:r w:rsidRPr="00872764" w:rsidR="009C4E24">
        <w:t>for</w:t>
      </w:r>
      <w:r w:rsidRPr="00872764">
        <w:t xml:space="preserve"> </w:t>
      </w:r>
      <w:r w:rsidRPr="00872764" w:rsidR="006236AA">
        <w:t xml:space="preserve">the alleged </w:t>
      </w:r>
      <w:r w:rsidRPr="00872764" w:rsidR="009C4E24">
        <w:t>theft</w:t>
      </w:r>
      <w:r w:rsidRPr="00872764">
        <w:t xml:space="preserve">. </w:t>
      </w:r>
      <w:r w:rsidRPr="00872764">
        <w:rPr>
          <w:lang w:eastAsia="en-US"/>
        </w:rPr>
        <w:t xml:space="preserve">Following </w:t>
      </w:r>
      <w:r w:rsidRPr="00872764">
        <w:t xml:space="preserve">the quashing of the judgments and the acquittal of </w:t>
      </w:r>
      <w:r w:rsidRPr="00872764" w:rsidR="008A65AE">
        <w:t>the defendant</w:t>
      </w:r>
      <w:r w:rsidRPr="00872764">
        <w:t xml:space="preserve">, </w:t>
      </w:r>
      <w:r w:rsidRPr="00872764" w:rsidR="008A65AE">
        <w:t>her obligation to pay compensation to the applicant</w:t>
      </w:r>
      <w:r w:rsidRPr="00872764" w:rsidR="0041555D">
        <w:t xml:space="preserve"> ceased to exist</w:t>
      </w:r>
      <w:r w:rsidRPr="00872764" w:rsidR="008A65AE">
        <w:t xml:space="preserve"> </w:t>
      </w:r>
      <w:r w:rsidRPr="00872764" w:rsidR="0041555D">
        <w:t>because</w:t>
      </w:r>
      <w:r w:rsidRPr="00872764" w:rsidR="008A65AE">
        <w:t xml:space="preserve"> it had not been established that she had stolen</w:t>
      </w:r>
      <w:r w:rsidRPr="00872764" w:rsidR="0041555D">
        <w:t xml:space="preserve"> </w:t>
      </w:r>
      <w:r w:rsidR="001E5484">
        <w:t>property</w:t>
      </w:r>
      <w:r w:rsidRPr="00872764" w:rsidR="001E5484">
        <w:t xml:space="preserve"> </w:t>
      </w:r>
      <w:r w:rsidRPr="00872764" w:rsidR="0041555D">
        <w:t>from him</w:t>
      </w:r>
      <w:r w:rsidRPr="00872764" w:rsidR="008A65AE">
        <w:t>.</w:t>
      </w:r>
    </w:p>
    <w:p w:rsidR="00D511D8" w:rsidP="00F34EBE" w:rsidRDefault="00F34EBE">
      <w:pPr>
        <w:pStyle w:val="JuPara"/>
      </w:pPr>
      <w:r>
        <w:fldChar w:fldCharType="begin"/>
      </w:r>
      <w:r>
        <w:instrText xml:space="preserve"> SEQ level0 \*arabic </w:instrText>
      </w:r>
      <w:r>
        <w:fldChar w:fldCharType="separate"/>
      </w:r>
      <w:r w:rsidR="001E5484">
        <w:rPr>
          <w:noProof/>
        </w:rPr>
        <w:t>48</w:t>
      </w:r>
      <w:r>
        <w:fldChar w:fldCharType="end"/>
      </w:r>
      <w:r>
        <w:t xml:space="preserve">.  Having regard to </w:t>
      </w:r>
      <w:r>
        <w:rPr>
          <w:lang w:eastAsia="en-US"/>
        </w:rPr>
        <w:t>the Court</w:t>
      </w:r>
      <w:r w:rsidR="000A0B63">
        <w:rPr>
          <w:lang w:eastAsia="en-US"/>
        </w:rPr>
        <w:t>’</w:t>
      </w:r>
      <w:r>
        <w:rPr>
          <w:lang w:eastAsia="en-US"/>
        </w:rPr>
        <w:t>s findings under Article 6 of the Convention</w:t>
      </w:r>
      <w:r>
        <w:t xml:space="preserve">, the Court concludes that the special circumstances of the present case can be regarded as exceptional grounds justifying the </w:t>
      </w:r>
      <w:r>
        <w:rPr>
          <w:lang w:eastAsia="en-US"/>
        </w:rPr>
        <w:t xml:space="preserve">quashing of the judgment of </w:t>
      </w:r>
      <w:r w:rsidR="009C4E24">
        <w:rPr>
          <w:lang w:eastAsia="en-US"/>
        </w:rPr>
        <w:t>14 January 2002</w:t>
      </w:r>
      <w:r w:rsidR="00EC46A9">
        <w:rPr>
          <w:lang w:eastAsia="en-US"/>
        </w:rPr>
        <w:t xml:space="preserve">, as confirmed on </w:t>
      </w:r>
      <w:r w:rsidR="009C4E24">
        <w:rPr>
          <w:lang w:eastAsia="en-US"/>
        </w:rPr>
        <w:t>1 April 2002</w:t>
      </w:r>
      <w:r w:rsidR="00EC46A9">
        <w:rPr>
          <w:lang w:eastAsia="en-US"/>
        </w:rPr>
        <w:t>,</w:t>
      </w:r>
      <w:r>
        <w:rPr>
          <w:lang w:eastAsia="en-US"/>
        </w:rPr>
        <w:t xml:space="preserve"> </w:t>
      </w:r>
      <w:r>
        <w:t>and the dismissal of the applicant</w:t>
      </w:r>
      <w:r w:rsidR="000A0B63">
        <w:t>’</w:t>
      </w:r>
      <w:r>
        <w:t>s claim for compensation</w:t>
      </w:r>
      <w:r w:rsidR="00B316DC">
        <w:t xml:space="preserve"> (see, </w:t>
      </w:r>
      <w:r w:rsidRPr="00B316DC" w:rsidR="00B316DC">
        <w:rPr>
          <w:i/>
        </w:rPr>
        <w:t>mutatis mutandis</w:t>
      </w:r>
      <w:r w:rsidR="00B316DC">
        <w:t xml:space="preserve">, </w:t>
      </w:r>
      <w:r w:rsidRPr="00B316DC" w:rsidR="00B316DC">
        <w:rPr>
          <w:i/>
        </w:rPr>
        <w:t>Lenskaya</w:t>
      </w:r>
      <w:r w:rsidR="00B316DC">
        <w:t>, cited above, § 47)</w:t>
      </w:r>
      <w:r>
        <w:t>.</w:t>
      </w:r>
      <w:r w:rsidR="004F3F3D">
        <w:t xml:space="preserve"> </w:t>
      </w:r>
      <w:r w:rsidR="00D47013">
        <w:t>The Court finds that the domestic courts struck a fair balance between the applicant</w:t>
      </w:r>
      <w:r w:rsidR="000A0B63">
        <w:t>’</w:t>
      </w:r>
      <w:r w:rsidR="00D47013">
        <w:t xml:space="preserve">s rights to protection of property and the general interest </w:t>
      </w:r>
      <w:r w:rsidR="001E5484">
        <w:t xml:space="preserve">in </w:t>
      </w:r>
      <w:r w:rsidR="00D47013">
        <w:t>correct</w:t>
      </w:r>
      <w:r w:rsidR="001E5484">
        <w:t>ing</w:t>
      </w:r>
      <w:r w:rsidR="00D47013">
        <w:t xml:space="preserve"> miscarriages of criminal justice.</w:t>
      </w:r>
    </w:p>
    <w:p w:rsidRPr="00B43E93" w:rsidR="00F34EBE" w:rsidP="00F34EBE" w:rsidRDefault="00F34EBE">
      <w:pPr>
        <w:pStyle w:val="JuPara"/>
      </w:pPr>
      <w:r w:rsidRPr="00B43E93">
        <w:fldChar w:fldCharType="begin"/>
      </w:r>
      <w:r w:rsidRPr="00B43E93">
        <w:instrText xml:space="preserve"> SEQ level0 \*arabic </w:instrText>
      </w:r>
      <w:r w:rsidRPr="00B43E93">
        <w:fldChar w:fldCharType="separate"/>
      </w:r>
      <w:r w:rsidR="001E5484">
        <w:rPr>
          <w:noProof/>
        </w:rPr>
        <w:t>49</w:t>
      </w:r>
      <w:r w:rsidRPr="00B43E93">
        <w:fldChar w:fldCharType="end"/>
      </w:r>
      <w:r w:rsidRPr="00B43E93">
        <w:t>.  The Court therefore considers that the</w:t>
      </w:r>
      <w:r w:rsidRPr="00B43E93">
        <w:rPr>
          <w:lang w:eastAsia="en-US"/>
        </w:rPr>
        <w:t xml:space="preserve"> quashing</w:t>
      </w:r>
      <w:r w:rsidR="001E5484">
        <w:rPr>
          <w:lang w:eastAsia="en-US"/>
        </w:rPr>
        <w:t xml:space="preserve"> of the lower courts’ judgments</w:t>
      </w:r>
      <w:r w:rsidRPr="00B43E93">
        <w:rPr>
          <w:lang w:eastAsia="en-US"/>
        </w:rPr>
        <w:t xml:space="preserve"> in the present case did not amount to an unjustified interference with </w:t>
      </w:r>
      <w:r w:rsidR="001E5484">
        <w:rPr>
          <w:lang w:eastAsia="en-US"/>
        </w:rPr>
        <w:t>the applicant’s</w:t>
      </w:r>
      <w:r w:rsidRPr="00B43E93" w:rsidR="001E5484">
        <w:rPr>
          <w:lang w:eastAsia="en-US"/>
        </w:rPr>
        <w:t xml:space="preserve"> </w:t>
      </w:r>
      <w:r w:rsidRPr="00B43E93">
        <w:rPr>
          <w:lang w:eastAsia="en-US"/>
        </w:rPr>
        <w:t xml:space="preserve">property rights as guaranteed by Article 1 of Protocol No. 1. </w:t>
      </w:r>
      <w:r w:rsidRPr="00B43E93">
        <w:t xml:space="preserve">There has therefore been </w:t>
      </w:r>
      <w:bookmarkStart w:name="HIT27" w:id="8"/>
      <w:bookmarkEnd w:id="8"/>
      <w:r w:rsidRPr="00B43E93">
        <w:rPr>
          <w:bCs/>
        </w:rPr>
        <w:t>no</w:t>
      </w:r>
      <w:r w:rsidRPr="00B43E93">
        <w:t xml:space="preserve"> </w:t>
      </w:r>
      <w:bookmarkStart w:name="HIT28" w:id="9"/>
      <w:bookmarkEnd w:id="9"/>
      <w:r w:rsidRPr="00B43E93">
        <w:rPr>
          <w:bCs/>
        </w:rPr>
        <w:t>violation</w:t>
      </w:r>
      <w:r w:rsidRPr="00B43E93">
        <w:t xml:space="preserve"> of </w:t>
      </w:r>
      <w:bookmarkStart w:name="HIT29" w:id="10"/>
      <w:bookmarkEnd w:id="10"/>
      <w:r w:rsidRPr="00B43E93">
        <w:rPr>
          <w:bCs/>
        </w:rPr>
        <w:t>that Convention provision</w:t>
      </w:r>
      <w:r w:rsidRPr="00B43E93">
        <w:t>.</w:t>
      </w:r>
    </w:p>
    <w:p w:rsidR="009C4E24" w:rsidP="009B4216" w:rsidRDefault="003C021C">
      <w:pPr>
        <w:pStyle w:val="JuHIRoman"/>
        <w:rPr>
          <w:lang w:eastAsia="en-US"/>
        </w:rPr>
      </w:pPr>
      <w:r>
        <w:rPr>
          <w:lang w:eastAsia="en-US"/>
        </w:rPr>
        <w:t>II.  </w:t>
      </w:r>
      <w:r w:rsidR="009B4216">
        <w:rPr>
          <w:lang w:eastAsia="en-US"/>
        </w:rPr>
        <w:t>OTHER ALLEGED VIOLATIONS OF THE CONVENTION</w:t>
      </w:r>
    </w:p>
    <w:p w:rsidR="001F0EEF" w:rsidP="001F0EEF" w:rsidRDefault="001F0EE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E5484">
        <w:rPr>
          <w:noProof/>
          <w:lang w:eastAsia="en-US"/>
        </w:rPr>
        <w:t>50</w:t>
      </w:r>
      <w:r>
        <w:rPr>
          <w:lang w:eastAsia="en-US"/>
        </w:rPr>
        <w:fldChar w:fldCharType="end"/>
      </w:r>
      <w:r>
        <w:rPr>
          <w:lang w:eastAsia="en-US"/>
        </w:rPr>
        <w:t>.  The applicant, relying on Article 6 § 1 of the Convention</w:t>
      </w:r>
      <w:r w:rsidR="00F9327A">
        <w:rPr>
          <w:lang w:eastAsia="en-US"/>
        </w:rPr>
        <w:t>,</w:t>
      </w:r>
      <w:r>
        <w:rPr>
          <w:lang w:eastAsia="en-US"/>
        </w:rPr>
        <w:t xml:space="preserve"> complained that the prosecutor and the judges involved in the judicial proceedings against E.I. had not been impartial and that </w:t>
      </w:r>
      <w:r w:rsidR="00280B36">
        <w:rPr>
          <w:lang w:eastAsia="en-US"/>
        </w:rPr>
        <w:t xml:space="preserve">the authorities </w:t>
      </w:r>
      <w:r w:rsidR="007069EF">
        <w:rPr>
          <w:lang w:eastAsia="en-US"/>
        </w:rPr>
        <w:t xml:space="preserve">had </w:t>
      </w:r>
      <w:r w:rsidR="00280B36">
        <w:rPr>
          <w:lang w:eastAsia="en-US"/>
        </w:rPr>
        <w:t xml:space="preserve">tried to </w:t>
      </w:r>
      <w:r w:rsidR="00EA1739">
        <w:rPr>
          <w:lang w:eastAsia="en-US"/>
        </w:rPr>
        <w:t>discourage</w:t>
      </w:r>
      <w:r w:rsidR="00280B36">
        <w:rPr>
          <w:lang w:eastAsia="en-US"/>
        </w:rPr>
        <w:t xml:space="preserve"> him from lodging a complaint with the Court by preventing him </w:t>
      </w:r>
      <w:r w:rsidR="001E5484">
        <w:rPr>
          <w:lang w:eastAsia="en-US"/>
        </w:rPr>
        <w:t>from</w:t>
      </w:r>
      <w:r w:rsidR="00280B36">
        <w:rPr>
          <w:lang w:eastAsia="en-US"/>
        </w:rPr>
        <w:t xml:space="preserve"> obtain</w:t>
      </w:r>
      <w:r w:rsidR="001E5484">
        <w:rPr>
          <w:lang w:eastAsia="en-US"/>
        </w:rPr>
        <w:t>ing</w:t>
      </w:r>
      <w:r w:rsidR="00280B36">
        <w:rPr>
          <w:lang w:eastAsia="en-US"/>
        </w:rPr>
        <w:t xml:space="preserve"> a copy of the final decision of 4 November 2003.</w:t>
      </w:r>
    </w:p>
    <w:p w:rsidR="00BE35C1" w:rsidP="00BE35C1" w:rsidRDefault="00280B36">
      <w:pPr>
        <w:suppressAutoHyphens w:val="0"/>
        <w:autoSpaceDE w:val="0"/>
        <w:autoSpaceDN w:val="0"/>
        <w:adjustRightInd w:val="0"/>
        <w:ind w:firstLine="284"/>
        <w:jc w:val="both"/>
        <w:rPr>
          <w:color w:val="000000"/>
          <w:szCs w:val="24"/>
          <w:lang w:eastAsia="en-GB"/>
        </w:rPr>
      </w:pPr>
      <w:r>
        <w:rPr>
          <w:lang w:eastAsia="en-US"/>
        </w:rPr>
        <w:fldChar w:fldCharType="begin"/>
      </w:r>
      <w:r>
        <w:rPr>
          <w:lang w:eastAsia="en-US"/>
        </w:rPr>
        <w:instrText xml:space="preserve"> SEQ level0 \*arabic </w:instrText>
      </w:r>
      <w:r>
        <w:rPr>
          <w:lang w:eastAsia="en-US"/>
        </w:rPr>
        <w:fldChar w:fldCharType="separate"/>
      </w:r>
      <w:r w:rsidR="001E5484">
        <w:rPr>
          <w:noProof/>
          <w:lang w:eastAsia="en-US"/>
        </w:rPr>
        <w:t>51</w:t>
      </w:r>
      <w:r>
        <w:rPr>
          <w:lang w:eastAsia="en-US"/>
        </w:rPr>
        <w:fldChar w:fldCharType="end"/>
      </w:r>
      <w:r>
        <w:rPr>
          <w:lang w:eastAsia="en-US"/>
        </w:rPr>
        <w:t>.  </w:t>
      </w:r>
      <w:r w:rsidR="00BE35C1">
        <w:rPr>
          <w:color w:val="000000"/>
          <w:szCs w:val="24"/>
          <w:lang w:eastAsia="en-GB"/>
        </w:rPr>
        <w:t>However,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Pr="001F0EEF" w:rsidR="00280B36" w:rsidP="00BE35C1" w:rsidRDefault="00BE35C1">
      <w:pPr>
        <w:pStyle w:val="JuPara"/>
        <w:rPr>
          <w:lang w:eastAsia="en-US"/>
        </w:rPr>
      </w:pPr>
      <w:r>
        <w:rPr>
          <w:color w:val="000000"/>
          <w:szCs w:val="24"/>
          <w:lang w:eastAsia="en-GB"/>
        </w:rPr>
        <w:t>It follows that this part of the application is manifestly ill-founded and must be rejected in accordance with Article 35 §§ 3 and 4 of the Convention.</w:t>
      </w:r>
    </w:p>
    <w:p w:rsidRPr="001C0B3D" w:rsidR="00F71A6A" w:rsidP="008824B9" w:rsidRDefault="00F71A6A">
      <w:pPr>
        <w:pStyle w:val="JuHHead"/>
      </w:pPr>
      <w:r w:rsidRPr="001C0B3D">
        <w:t xml:space="preserve">FOR THESE REASONS, THE COURT </w:t>
      </w:r>
      <w:r w:rsidRPr="001C0B3D" w:rsidR="001C0B3D">
        <w:t>UNANIMOUSLY</w:t>
      </w:r>
    </w:p>
    <w:p w:rsidRPr="001C0B3D" w:rsidR="00F71A6A" w:rsidRDefault="0098630C">
      <w:pPr>
        <w:pStyle w:val="JuList"/>
      </w:pPr>
      <w:r>
        <w:t>1</w:t>
      </w:r>
      <w:r w:rsidRPr="001C0B3D" w:rsidR="009F07CC">
        <w:t>.  </w:t>
      </w:r>
      <w:r w:rsidRPr="001C0B3D" w:rsidR="00F71A6A">
        <w:rPr>
          <w:i/>
        </w:rPr>
        <w:t>Declares</w:t>
      </w:r>
      <w:r w:rsidRPr="001C0B3D" w:rsidR="00F71A6A">
        <w:t xml:space="preserve"> </w:t>
      </w:r>
      <w:r w:rsidRPr="001C0B3D" w:rsidR="001E5484">
        <w:t xml:space="preserve">admissible </w:t>
      </w:r>
      <w:r w:rsidRPr="001C0B3D" w:rsidR="00F71A6A">
        <w:t>the complaint</w:t>
      </w:r>
      <w:r>
        <w:t>s under Article 6 § 1 and Article 1 of Protocol No. 1 to the Convention</w:t>
      </w:r>
      <w:r w:rsidRPr="001C0B3D" w:rsidR="00F71A6A">
        <w:t xml:space="preserve"> concerning </w:t>
      </w:r>
      <w:r w:rsidR="00BA05AB">
        <w:t xml:space="preserve">the </w:t>
      </w:r>
      <w:r>
        <w:t>quashing</w:t>
      </w:r>
      <w:r w:rsidR="00BA05AB">
        <w:t>, by means of an extraordinary appeal,</w:t>
      </w:r>
      <w:r>
        <w:t xml:space="preserve"> of the judgment of 14</w:t>
      </w:r>
      <w:r w:rsidR="00CF600E">
        <w:t> </w:t>
      </w:r>
      <w:r>
        <w:t>January 2002, as confirmed on 1 April 2002,</w:t>
      </w:r>
      <w:r w:rsidRPr="001C0B3D" w:rsidR="00F71A6A">
        <w:t xml:space="preserve"> and the remainder of the </w:t>
      </w:r>
      <w:r w:rsidRPr="001C0B3D" w:rsidR="001C0B3D">
        <w:t>application</w:t>
      </w:r>
      <w:r w:rsidRPr="001C0B3D" w:rsidR="0011665B">
        <w:t xml:space="preserve"> inadmissible;</w:t>
      </w:r>
    </w:p>
    <w:p w:rsidRPr="001C0B3D" w:rsidR="00F71A6A" w:rsidRDefault="00F71A6A">
      <w:pPr>
        <w:pStyle w:val="JuList"/>
      </w:pPr>
    </w:p>
    <w:p w:rsidRPr="001C0B3D" w:rsidR="009F07CC" w:rsidP="009F07CC" w:rsidRDefault="0098630C">
      <w:pPr>
        <w:pStyle w:val="JuList"/>
      </w:pPr>
      <w:r>
        <w:t>2</w:t>
      </w:r>
      <w:r w:rsidRPr="001C0B3D" w:rsidR="009F07CC">
        <w:t>.</w:t>
      </w:r>
      <w:r w:rsidRPr="001C0B3D" w:rsidR="00F71A6A">
        <w:t>  </w:t>
      </w:r>
      <w:r w:rsidRPr="001C0B3D" w:rsidR="00F71A6A">
        <w:rPr>
          <w:i/>
        </w:rPr>
        <w:t>Holds</w:t>
      </w:r>
      <w:r w:rsidRPr="001C0B3D" w:rsidR="00F71A6A">
        <w:t xml:space="preserve"> that there has been</w:t>
      </w:r>
      <w:r>
        <w:t xml:space="preserve"> no</w:t>
      </w:r>
      <w:r w:rsidRPr="001C0B3D" w:rsidR="00F71A6A">
        <w:t xml:space="preserve"> violation of Article </w:t>
      </w:r>
      <w:r>
        <w:t>6 § 1</w:t>
      </w:r>
      <w:r w:rsidRPr="001C0B3D" w:rsidR="00F71A6A">
        <w:t xml:space="preserve"> of the Convention;</w:t>
      </w:r>
    </w:p>
    <w:p w:rsidRPr="001C0B3D" w:rsidR="00F71A6A" w:rsidRDefault="00F71A6A">
      <w:pPr>
        <w:pStyle w:val="JuList"/>
      </w:pPr>
    </w:p>
    <w:p w:rsidRPr="001C0B3D" w:rsidR="00F71A6A" w:rsidRDefault="0098630C">
      <w:pPr>
        <w:pStyle w:val="JuList"/>
      </w:pPr>
      <w:r>
        <w:t>3</w:t>
      </w:r>
      <w:r w:rsidRPr="001C0B3D" w:rsidR="00F71A6A">
        <w:t>.  </w:t>
      </w:r>
      <w:r w:rsidRPr="001C0B3D" w:rsidR="00F71A6A">
        <w:rPr>
          <w:i/>
        </w:rPr>
        <w:t>Holds</w:t>
      </w:r>
      <w:r w:rsidRPr="001C0B3D" w:rsidR="00F71A6A">
        <w:t xml:space="preserve"> that there has been </w:t>
      </w:r>
      <w:r>
        <w:t xml:space="preserve">no </w:t>
      </w:r>
      <w:r w:rsidRPr="001C0B3D" w:rsidR="00F71A6A">
        <w:t xml:space="preserve">violation of Article </w:t>
      </w:r>
      <w:r>
        <w:t xml:space="preserve">1 of Protocol No. 1 to </w:t>
      </w:r>
      <w:r w:rsidR="00AD2B0E">
        <w:t>the Convention.</w:t>
      </w:r>
    </w:p>
    <w:p w:rsidRPr="001C0B3D" w:rsidR="00325C2B" w:rsidP="00325C2B" w:rsidRDefault="00F71A6A">
      <w:pPr>
        <w:pStyle w:val="JuParaLast"/>
      </w:pPr>
      <w:r w:rsidRPr="001C0B3D">
        <w:t xml:space="preserve">Done in English, and notified in writing on </w:t>
      </w:r>
      <w:r w:rsidR="003C021C">
        <w:t>21 June 2011</w:t>
      </w:r>
      <w:r w:rsidRPr="001C0B3D">
        <w:t>, pursuant to Rule</w:t>
      </w:r>
      <w:r w:rsidRPr="001C0B3D" w:rsidR="0011665B">
        <w:t xml:space="preserve"> </w:t>
      </w:r>
      <w:r w:rsidRPr="001C0B3D">
        <w:t>77</w:t>
      </w:r>
      <w:r w:rsidRPr="001C0B3D" w:rsidR="0011665B">
        <w:t xml:space="preserve"> </w:t>
      </w:r>
      <w:r w:rsidRPr="001C0B3D">
        <w:t>§§</w:t>
      </w:r>
      <w:r w:rsidRPr="001C0B3D" w:rsidR="0011665B">
        <w:t xml:space="preserve"> </w:t>
      </w:r>
      <w:r w:rsidRPr="001C0B3D">
        <w:t>2 and</w:t>
      </w:r>
      <w:r w:rsidRPr="001C0B3D" w:rsidR="0011665B">
        <w:t xml:space="preserve"> </w:t>
      </w:r>
      <w:r w:rsidRPr="001C0B3D">
        <w:t>3 of the Rules of Court.</w:t>
      </w:r>
    </w:p>
    <w:p w:rsidRPr="001C0B3D" w:rsidR="0079187F" w:rsidP="00C01E1C" w:rsidRDefault="00325C2B">
      <w:pPr>
        <w:pStyle w:val="JuSigned"/>
        <w:keepNext/>
        <w:keepLines/>
      </w:pPr>
      <w:r w:rsidRPr="001C0B3D">
        <w:tab/>
      </w:r>
      <w:smartTag w:uri="urn:schemas-microsoft-com:office:smarttags" w:element="City">
        <w:smartTag w:uri="urn:schemas-microsoft-com:office:smarttags" w:element="place">
          <w:r w:rsidR="001C0B3D" w:rsidRPr="001C0B3D">
            <w:t>Santiago</w:t>
          </w:r>
        </w:smartTag>
      </w:smartTag>
      <w:r w:rsidRPr="001C0B3D" w:rsidR="001C0B3D">
        <w:t xml:space="preserve"> Quesada</w:t>
      </w:r>
      <w:r w:rsidRPr="001C0B3D" w:rsidR="00A8381C">
        <w:tab/>
      </w:r>
      <w:r w:rsidRPr="001C0B3D" w:rsidR="001C0B3D">
        <w:t>Josep Casadevall</w:t>
      </w:r>
      <w:r w:rsidRPr="001C0B3D" w:rsidR="00A8381C">
        <w:br/>
      </w:r>
      <w:r w:rsidRPr="001C0B3D" w:rsidR="00A8381C">
        <w:tab/>
      </w:r>
      <w:r w:rsidRPr="001C0B3D" w:rsidR="001C0B3D">
        <w:rPr>
          <w:iCs/>
        </w:rPr>
        <w:t>Registrar</w:t>
      </w:r>
      <w:r w:rsidRPr="001C0B3D" w:rsidR="00A8381C">
        <w:tab/>
        <w:t>President</w:t>
      </w:r>
    </w:p>
    <w:sectPr w:rsidRPr="001C0B3D" w:rsidR="0079187F" w:rsidSect="0009330B">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E75" w:rsidRDefault="00CC1E75">
      <w:r>
        <w:separator/>
      </w:r>
    </w:p>
  </w:endnote>
  <w:endnote w:type="continuationSeparator" w:id="0">
    <w:p w:rsidR="00CC1E75" w:rsidRDefault="00CC1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E75" w:rsidRDefault="00CC1E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E75" w:rsidRDefault="00CC1E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E75" w:rsidRPr="00150BFA" w:rsidRDefault="00CC1E75" w:rsidP="003C021C">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33pt">
          <v:imagedata r:id="rId1" o:title="DocFooter-03"/>
        </v:shape>
      </w:pict>
    </w:r>
  </w:p>
  <w:p w:rsidR="00CC1E75" w:rsidRDefault="00CC1E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E75" w:rsidRDefault="00CC1E75">
      <w:r>
        <w:separator/>
      </w:r>
    </w:p>
  </w:footnote>
  <w:footnote w:type="continuationSeparator" w:id="0">
    <w:p w:rsidR="00CC1E75" w:rsidRDefault="00CC1E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E75" w:rsidRDefault="00CC1E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E75" w:rsidRPr="0009330B" w:rsidRDefault="00CC1E75" w:rsidP="0009330B">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E75" w:rsidRPr="00C00F0F" w:rsidRDefault="00CC1E75">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CC1E75" w:rsidRDefault="00CC1E7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E75" w:rsidRDefault="00CC1E75">
    <w:pPr>
      <w:pStyle w:val="JuHeader"/>
    </w:pPr>
    <w:r>
      <w:rPr>
        <w:rStyle w:val="PageNumber"/>
      </w:rPr>
      <w:fldChar w:fldCharType="begin"/>
    </w:r>
    <w:r>
      <w:rPr>
        <w:rStyle w:val="PageNumber"/>
      </w:rPr>
      <w:instrText xml:space="preserve"> PAGE </w:instrText>
    </w:r>
    <w:r>
      <w:rPr>
        <w:rStyle w:val="PageNumber"/>
      </w:rPr>
      <w:fldChar w:fldCharType="separate"/>
    </w:r>
    <w:r w:rsidR="00632F82">
      <w:rPr>
        <w:rStyle w:val="PageNumber"/>
        <w:noProof/>
      </w:rPr>
      <w:t>2</w:t>
    </w:r>
    <w:r>
      <w:rPr>
        <w:rStyle w:val="PageNumber"/>
      </w:rPr>
      <w:fldChar w:fldCharType="end"/>
    </w:r>
    <w:r>
      <w:tab/>
      <w:t xml:space="preserve">GIURAN v. </w:t>
    </w:r>
    <w:smartTag w:uri="urn:schemas-microsoft-com:office:smarttags" w:element="place">
      <w:smartTag w:uri="urn:schemas-microsoft-com:office:smarttags" w:element="country-region">
        <w:r>
          <w:t>ROMANIA</w:t>
        </w:r>
      </w:smartTag>
    </w:smartTag>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E75" w:rsidRDefault="00CC1E75">
    <w:pPr>
      <w:pStyle w:val="JuHeader"/>
    </w:pPr>
    <w:r>
      <w:tab/>
      <w:t xml:space="preserve">GIURAN v. </w:t>
    </w:r>
    <w:smartTag w:uri="urn:schemas-microsoft-com:office:smarttags" w:element="place">
      <w:smartTag w:uri="urn:schemas-microsoft-com:office:smarttags" w:element="country-region">
        <w:r>
          <w:t>ROMANIA</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632F82">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1551CB4"/>
    <w:multiLevelType w:val="hybridMultilevel"/>
    <w:tmpl w:val="BF0262E6"/>
    <w:lvl w:ilvl="0" w:tplc="0AC0D576">
      <w:start w:val="44"/>
      <w:numFmt w:val="bullet"/>
      <w:lvlText w:val="-"/>
      <w:lvlJc w:val="left"/>
      <w:pPr>
        <w:tabs>
          <w:tab w:val="num" w:pos="809"/>
        </w:tabs>
        <w:ind w:left="809" w:hanging="525"/>
      </w:pPr>
      <w:rPr>
        <w:rFonts w:ascii="Times New (W1)" w:eastAsia="Times New Roman" w:hAnsi="Times New (W1)" w:cs="Times New (W1)"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3">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1"/>
    <w:docVar w:name="ETRANSMISSION" w:val="BY E-TRANSMISSION ONLY"/>
    <w:docVar w:name="L4_1Annex" w:val="0"/>
    <w:docVar w:name="L4_1Anonymity" w:val="0"/>
    <w:docVar w:name="L4_1AppNatList" w:val="British"/>
    <w:docVar w:name="SignForeName" w:val="0"/>
  </w:docVars>
  <w:rsids>
    <w:rsidRoot w:val="001C0B3D"/>
    <w:rsid w:val="00007530"/>
    <w:rsid w:val="00010788"/>
    <w:rsid w:val="00016EEF"/>
    <w:rsid w:val="00024C21"/>
    <w:rsid w:val="00033FD2"/>
    <w:rsid w:val="0003679E"/>
    <w:rsid w:val="00044715"/>
    <w:rsid w:val="00045484"/>
    <w:rsid w:val="000547ED"/>
    <w:rsid w:val="00055AC1"/>
    <w:rsid w:val="00066088"/>
    <w:rsid w:val="00070B7A"/>
    <w:rsid w:val="000726F6"/>
    <w:rsid w:val="00076A67"/>
    <w:rsid w:val="00081EE9"/>
    <w:rsid w:val="00085837"/>
    <w:rsid w:val="00085B3A"/>
    <w:rsid w:val="00090C82"/>
    <w:rsid w:val="0009330B"/>
    <w:rsid w:val="0009784E"/>
    <w:rsid w:val="000A0927"/>
    <w:rsid w:val="000A0B63"/>
    <w:rsid w:val="000B0F36"/>
    <w:rsid w:val="000C37D2"/>
    <w:rsid w:val="000D6108"/>
    <w:rsid w:val="000D714A"/>
    <w:rsid w:val="000E1449"/>
    <w:rsid w:val="000F699D"/>
    <w:rsid w:val="00104AD1"/>
    <w:rsid w:val="00105E83"/>
    <w:rsid w:val="00111D99"/>
    <w:rsid w:val="00112F74"/>
    <w:rsid w:val="0011665B"/>
    <w:rsid w:val="00126213"/>
    <w:rsid w:val="001806F1"/>
    <w:rsid w:val="001812B2"/>
    <w:rsid w:val="00192788"/>
    <w:rsid w:val="00197C29"/>
    <w:rsid w:val="001A0EBE"/>
    <w:rsid w:val="001B62B1"/>
    <w:rsid w:val="001B74F7"/>
    <w:rsid w:val="001C0B3D"/>
    <w:rsid w:val="001D2EC2"/>
    <w:rsid w:val="001E0463"/>
    <w:rsid w:val="001E5484"/>
    <w:rsid w:val="001F0EEF"/>
    <w:rsid w:val="001F36A0"/>
    <w:rsid w:val="001F41A2"/>
    <w:rsid w:val="001F5586"/>
    <w:rsid w:val="002063AF"/>
    <w:rsid w:val="00211D99"/>
    <w:rsid w:val="00214D6A"/>
    <w:rsid w:val="00225BE5"/>
    <w:rsid w:val="002266CD"/>
    <w:rsid w:val="002310D7"/>
    <w:rsid w:val="002423BC"/>
    <w:rsid w:val="0025124C"/>
    <w:rsid w:val="00252B31"/>
    <w:rsid w:val="0026720D"/>
    <w:rsid w:val="0026789F"/>
    <w:rsid w:val="00274842"/>
    <w:rsid w:val="00276F23"/>
    <w:rsid w:val="00280B36"/>
    <w:rsid w:val="002900E6"/>
    <w:rsid w:val="00297942"/>
    <w:rsid w:val="002B2B55"/>
    <w:rsid w:val="002B4602"/>
    <w:rsid w:val="002B635E"/>
    <w:rsid w:val="002B665E"/>
    <w:rsid w:val="002C24D3"/>
    <w:rsid w:val="002D4C91"/>
    <w:rsid w:val="002F339F"/>
    <w:rsid w:val="002F6FE9"/>
    <w:rsid w:val="0031573C"/>
    <w:rsid w:val="003161DF"/>
    <w:rsid w:val="0032093A"/>
    <w:rsid w:val="00325C2B"/>
    <w:rsid w:val="00332547"/>
    <w:rsid w:val="00336887"/>
    <w:rsid w:val="00337600"/>
    <w:rsid w:val="00343B5F"/>
    <w:rsid w:val="00356971"/>
    <w:rsid w:val="00366DEB"/>
    <w:rsid w:val="00371277"/>
    <w:rsid w:val="003A292E"/>
    <w:rsid w:val="003A6BE7"/>
    <w:rsid w:val="003B50D7"/>
    <w:rsid w:val="003C021C"/>
    <w:rsid w:val="003D1338"/>
    <w:rsid w:val="003E1EDF"/>
    <w:rsid w:val="003E2006"/>
    <w:rsid w:val="003E319C"/>
    <w:rsid w:val="003E4692"/>
    <w:rsid w:val="003E5ACD"/>
    <w:rsid w:val="003F3BFD"/>
    <w:rsid w:val="00401C5B"/>
    <w:rsid w:val="00411884"/>
    <w:rsid w:val="0041555D"/>
    <w:rsid w:val="00434427"/>
    <w:rsid w:val="004406AA"/>
    <w:rsid w:val="004457C2"/>
    <w:rsid w:val="0045387D"/>
    <w:rsid w:val="00457A18"/>
    <w:rsid w:val="00460FAD"/>
    <w:rsid w:val="00482536"/>
    <w:rsid w:val="00485A6F"/>
    <w:rsid w:val="00491055"/>
    <w:rsid w:val="004920B1"/>
    <w:rsid w:val="004B449C"/>
    <w:rsid w:val="004C71BF"/>
    <w:rsid w:val="004C7576"/>
    <w:rsid w:val="004D3AE8"/>
    <w:rsid w:val="004D7505"/>
    <w:rsid w:val="004E5DFC"/>
    <w:rsid w:val="004F3F3D"/>
    <w:rsid w:val="0050096C"/>
    <w:rsid w:val="0050387C"/>
    <w:rsid w:val="005045A5"/>
    <w:rsid w:val="00512E82"/>
    <w:rsid w:val="00516EBF"/>
    <w:rsid w:val="00520437"/>
    <w:rsid w:val="00520EE5"/>
    <w:rsid w:val="00522362"/>
    <w:rsid w:val="00531F95"/>
    <w:rsid w:val="005419B6"/>
    <w:rsid w:val="005430DD"/>
    <w:rsid w:val="005455DE"/>
    <w:rsid w:val="00546F49"/>
    <w:rsid w:val="00557E19"/>
    <w:rsid w:val="0056509D"/>
    <w:rsid w:val="0056771C"/>
    <w:rsid w:val="00570EB1"/>
    <w:rsid w:val="005777BA"/>
    <w:rsid w:val="00577E6A"/>
    <w:rsid w:val="005854BA"/>
    <w:rsid w:val="005B16A8"/>
    <w:rsid w:val="005B4233"/>
    <w:rsid w:val="005C1929"/>
    <w:rsid w:val="005C1956"/>
    <w:rsid w:val="005C2C88"/>
    <w:rsid w:val="005C41CB"/>
    <w:rsid w:val="005D627F"/>
    <w:rsid w:val="005E2850"/>
    <w:rsid w:val="005E384F"/>
    <w:rsid w:val="005E48C0"/>
    <w:rsid w:val="005F2D5C"/>
    <w:rsid w:val="005F7A10"/>
    <w:rsid w:val="00601758"/>
    <w:rsid w:val="006111FF"/>
    <w:rsid w:val="006236AA"/>
    <w:rsid w:val="0062537E"/>
    <w:rsid w:val="0062787C"/>
    <w:rsid w:val="00632F82"/>
    <w:rsid w:val="006358EC"/>
    <w:rsid w:val="00640B82"/>
    <w:rsid w:val="00655126"/>
    <w:rsid w:val="0066373E"/>
    <w:rsid w:val="006639B6"/>
    <w:rsid w:val="0066465D"/>
    <w:rsid w:val="00667217"/>
    <w:rsid w:val="0067238F"/>
    <w:rsid w:val="006757E4"/>
    <w:rsid w:val="00677D43"/>
    <w:rsid w:val="00697F14"/>
    <w:rsid w:val="006A34A1"/>
    <w:rsid w:val="006A3D9D"/>
    <w:rsid w:val="006A4E55"/>
    <w:rsid w:val="006A7C48"/>
    <w:rsid w:val="006C2B52"/>
    <w:rsid w:val="006C35C5"/>
    <w:rsid w:val="006E6D33"/>
    <w:rsid w:val="007069EF"/>
    <w:rsid w:val="007156E0"/>
    <w:rsid w:val="007211D0"/>
    <w:rsid w:val="00727C6A"/>
    <w:rsid w:val="00730053"/>
    <w:rsid w:val="00730433"/>
    <w:rsid w:val="00734EF4"/>
    <w:rsid w:val="007352DD"/>
    <w:rsid w:val="007373A7"/>
    <w:rsid w:val="0074140F"/>
    <w:rsid w:val="00750E5E"/>
    <w:rsid w:val="00756D5B"/>
    <w:rsid w:val="0076124F"/>
    <w:rsid w:val="0076447D"/>
    <w:rsid w:val="0077789B"/>
    <w:rsid w:val="0078062F"/>
    <w:rsid w:val="007827E7"/>
    <w:rsid w:val="0079187F"/>
    <w:rsid w:val="007A0BA7"/>
    <w:rsid w:val="007A1FFE"/>
    <w:rsid w:val="007A357A"/>
    <w:rsid w:val="007A46E6"/>
    <w:rsid w:val="007A6DBA"/>
    <w:rsid w:val="007B1EE0"/>
    <w:rsid w:val="007C1CE3"/>
    <w:rsid w:val="007D0D75"/>
    <w:rsid w:val="007D1732"/>
    <w:rsid w:val="007D48CD"/>
    <w:rsid w:val="007D5C4A"/>
    <w:rsid w:val="00806E5F"/>
    <w:rsid w:val="008339FB"/>
    <w:rsid w:val="00846856"/>
    <w:rsid w:val="00853345"/>
    <w:rsid w:val="00872764"/>
    <w:rsid w:val="008824B9"/>
    <w:rsid w:val="0088315D"/>
    <w:rsid w:val="00886BB5"/>
    <w:rsid w:val="008A5C6F"/>
    <w:rsid w:val="008A65AE"/>
    <w:rsid w:val="008A7C2E"/>
    <w:rsid w:val="008C203B"/>
    <w:rsid w:val="008C5660"/>
    <w:rsid w:val="008C6F68"/>
    <w:rsid w:val="008E05A3"/>
    <w:rsid w:val="008E25BD"/>
    <w:rsid w:val="008F2C80"/>
    <w:rsid w:val="008F4687"/>
    <w:rsid w:val="00901FE6"/>
    <w:rsid w:val="009276C7"/>
    <w:rsid w:val="00930CD7"/>
    <w:rsid w:val="00932C7B"/>
    <w:rsid w:val="0094239F"/>
    <w:rsid w:val="00956501"/>
    <w:rsid w:val="00965BD4"/>
    <w:rsid w:val="009667CA"/>
    <w:rsid w:val="00971A3C"/>
    <w:rsid w:val="0098535B"/>
    <w:rsid w:val="0098630C"/>
    <w:rsid w:val="00990EB3"/>
    <w:rsid w:val="00995F44"/>
    <w:rsid w:val="009A52B1"/>
    <w:rsid w:val="009A57AF"/>
    <w:rsid w:val="009B039E"/>
    <w:rsid w:val="009B15A1"/>
    <w:rsid w:val="009B3B2E"/>
    <w:rsid w:val="009B4216"/>
    <w:rsid w:val="009B66B4"/>
    <w:rsid w:val="009C3C8F"/>
    <w:rsid w:val="009C4E24"/>
    <w:rsid w:val="009D0688"/>
    <w:rsid w:val="009D4B87"/>
    <w:rsid w:val="009D563B"/>
    <w:rsid w:val="009D6A58"/>
    <w:rsid w:val="009D7360"/>
    <w:rsid w:val="009F07CC"/>
    <w:rsid w:val="009F18CE"/>
    <w:rsid w:val="009F5625"/>
    <w:rsid w:val="009F7F29"/>
    <w:rsid w:val="00A012A5"/>
    <w:rsid w:val="00A10A07"/>
    <w:rsid w:val="00A135BE"/>
    <w:rsid w:val="00A32B81"/>
    <w:rsid w:val="00A34111"/>
    <w:rsid w:val="00A34994"/>
    <w:rsid w:val="00A36780"/>
    <w:rsid w:val="00A42003"/>
    <w:rsid w:val="00A43909"/>
    <w:rsid w:val="00A46BE1"/>
    <w:rsid w:val="00A52D2E"/>
    <w:rsid w:val="00A53110"/>
    <w:rsid w:val="00A5331A"/>
    <w:rsid w:val="00A602C2"/>
    <w:rsid w:val="00A74F9B"/>
    <w:rsid w:val="00A80135"/>
    <w:rsid w:val="00A8381C"/>
    <w:rsid w:val="00A83F18"/>
    <w:rsid w:val="00AA0A20"/>
    <w:rsid w:val="00AA373E"/>
    <w:rsid w:val="00AA66E5"/>
    <w:rsid w:val="00AA7CA2"/>
    <w:rsid w:val="00AB2166"/>
    <w:rsid w:val="00AC134B"/>
    <w:rsid w:val="00AD2B0E"/>
    <w:rsid w:val="00AD57B2"/>
    <w:rsid w:val="00AE0808"/>
    <w:rsid w:val="00AE2F4F"/>
    <w:rsid w:val="00B0593F"/>
    <w:rsid w:val="00B0594B"/>
    <w:rsid w:val="00B0718A"/>
    <w:rsid w:val="00B20A02"/>
    <w:rsid w:val="00B316DC"/>
    <w:rsid w:val="00B33AEB"/>
    <w:rsid w:val="00B3608A"/>
    <w:rsid w:val="00B43E93"/>
    <w:rsid w:val="00B469B3"/>
    <w:rsid w:val="00B63733"/>
    <w:rsid w:val="00B64488"/>
    <w:rsid w:val="00B662B2"/>
    <w:rsid w:val="00B6763B"/>
    <w:rsid w:val="00B70801"/>
    <w:rsid w:val="00B81192"/>
    <w:rsid w:val="00B823C2"/>
    <w:rsid w:val="00B82DEB"/>
    <w:rsid w:val="00B847AF"/>
    <w:rsid w:val="00B921A8"/>
    <w:rsid w:val="00B94343"/>
    <w:rsid w:val="00B972DD"/>
    <w:rsid w:val="00BA05AB"/>
    <w:rsid w:val="00BA0B53"/>
    <w:rsid w:val="00BA548B"/>
    <w:rsid w:val="00BB1FFC"/>
    <w:rsid w:val="00BB44EC"/>
    <w:rsid w:val="00BB5018"/>
    <w:rsid w:val="00BC7669"/>
    <w:rsid w:val="00BD19AE"/>
    <w:rsid w:val="00BD26EE"/>
    <w:rsid w:val="00BE35C1"/>
    <w:rsid w:val="00BE50FE"/>
    <w:rsid w:val="00BE5958"/>
    <w:rsid w:val="00BF0C60"/>
    <w:rsid w:val="00C01E1C"/>
    <w:rsid w:val="00C02E48"/>
    <w:rsid w:val="00C11A0C"/>
    <w:rsid w:val="00C26D2E"/>
    <w:rsid w:val="00C27204"/>
    <w:rsid w:val="00C27EF9"/>
    <w:rsid w:val="00C30671"/>
    <w:rsid w:val="00C30C9E"/>
    <w:rsid w:val="00C5183A"/>
    <w:rsid w:val="00C62C3A"/>
    <w:rsid w:val="00C80286"/>
    <w:rsid w:val="00C92F80"/>
    <w:rsid w:val="00C96211"/>
    <w:rsid w:val="00C96EBF"/>
    <w:rsid w:val="00CA63FB"/>
    <w:rsid w:val="00CC1E75"/>
    <w:rsid w:val="00CD5D90"/>
    <w:rsid w:val="00CE1C9D"/>
    <w:rsid w:val="00CE5AD2"/>
    <w:rsid w:val="00CF166A"/>
    <w:rsid w:val="00CF600E"/>
    <w:rsid w:val="00D00569"/>
    <w:rsid w:val="00D102A7"/>
    <w:rsid w:val="00D112F5"/>
    <w:rsid w:val="00D15473"/>
    <w:rsid w:val="00D17932"/>
    <w:rsid w:val="00D17A11"/>
    <w:rsid w:val="00D33169"/>
    <w:rsid w:val="00D353F4"/>
    <w:rsid w:val="00D357B5"/>
    <w:rsid w:val="00D47013"/>
    <w:rsid w:val="00D511D8"/>
    <w:rsid w:val="00D52752"/>
    <w:rsid w:val="00D63793"/>
    <w:rsid w:val="00D74394"/>
    <w:rsid w:val="00D80B99"/>
    <w:rsid w:val="00D90810"/>
    <w:rsid w:val="00D90A82"/>
    <w:rsid w:val="00DB6D67"/>
    <w:rsid w:val="00DC2093"/>
    <w:rsid w:val="00DC5C22"/>
    <w:rsid w:val="00DD2F5C"/>
    <w:rsid w:val="00DD6106"/>
    <w:rsid w:val="00DE5E8F"/>
    <w:rsid w:val="00E06C33"/>
    <w:rsid w:val="00E32971"/>
    <w:rsid w:val="00E41453"/>
    <w:rsid w:val="00E526A4"/>
    <w:rsid w:val="00E5313B"/>
    <w:rsid w:val="00E557F6"/>
    <w:rsid w:val="00E641A8"/>
    <w:rsid w:val="00E81663"/>
    <w:rsid w:val="00E86AA2"/>
    <w:rsid w:val="00E87E7C"/>
    <w:rsid w:val="00E9155E"/>
    <w:rsid w:val="00EA1739"/>
    <w:rsid w:val="00EB41E9"/>
    <w:rsid w:val="00EC46A9"/>
    <w:rsid w:val="00ED12C3"/>
    <w:rsid w:val="00ED3AC7"/>
    <w:rsid w:val="00ED3D7C"/>
    <w:rsid w:val="00ED6277"/>
    <w:rsid w:val="00EE1252"/>
    <w:rsid w:val="00EE47FF"/>
    <w:rsid w:val="00EE7911"/>
    <w:rsid w:val="00EF2384"/>
    <w:rsid w:val="00EF3E10"/>
    <w:rsid w:val="00F030B7"/>
    <w:rsid w:val="00F1504C"/>
    <w:rsid w:val="00F15DDB"/>
    <w:rsid w:val="00F22E8B"/>
    <w:rsid w:val="00F314A3"/>
    <w:rsid w:val="00F34EBE"/>
    <w:rsid w:val="00F37104"/>
    <w:rsid w:val="00F43FF3"/>
    <w:rsid w:val="00F5124B"/>
    <w:rsid w:val="00F6304D"/>
    <w:rsid w:val="00F63CF6"/>
    <w:rsid w:val="00F64B65"/>
    <w:rsid w:val="00F662D9"/>
    <w:rsid w:val="00F714D9"/>
    <w:rsid w:val="00F71A6A"/>
    <w:rsid w:val="00F73D18"/>
    <w:rsid w:val="00F759F7"/>
    <w:rsid w:val="00F82112"/>
    <w:rsid w:val="00F834DE"/>
    <w:rsid w:val="00F91EB8"/>
    <w:rsid w:val="00F9327A"/>
    <w:rsid w:val="00F94742"/>
    <w:rsid w:val="00FC07FF"/>
    <w:rsid w:val="00FC0FE0"/>
    <w:rsid w:val="00FD3E2F"/>
    <w:rsid w:val="00FE20E3"/>
    <w:rsid w:val="00FE4AA0"/>
    <w:rsid w:val="00FE6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330B"/>
    <w:pPr>
      <w:suppressAutoHyphens/>
    </w:pPr>
    <w:rPr>
      <w:sz w:val="24"/>
      <w:lang w:val="en-GB" w:eastAsia="fr-FR"/>
    </w:rPr>
  </w:style>
  <w:style w:type="paragraph" w:styleId="Heading1">
    <w:name w:val="heading 1"/>
    <w:basedOn w:val="Normal"/>
    <w:next w:val="Normal"/>
    <w:qFormat/>
    <w:rsid w:val="0009330B"/>
    <w:pPr>
      <w:keepNext/>
      <w:spacing w:before="360" w:after="240"/>
      <w:jc w:val="center"/>
      <w:outlineLvl w:val="0"/>
    </w:pPr>
    <w:rPr>
      <w:b/>
      <w:sz w:val="28"/>
    </w:rPr>
  </w:style>
  <w:style w:type="paragraph" w:styleId="Heading2">
    <w:name w:val="heading 2"/>
    <w:basedOn w:val="Normal"/>
    <w:next w:val="Normal"/>
    <w:qFormat/>
    <w:rsid w:val="0009330B"/>
    <w:pPr>
      <w:keepNext/>
      <w:spacing w:before="240" w:after="120"/>
      <w:ind w:left="284" w:hanging="284"/>
      <w:outlineLvl w:val="1"/>
    </w:pPr>
    <w:rPr>
      <w:b/>
    </w:rPr>
  </w:style>
  <w:style w:type="paragraph" w:styleId="Heading3">
    <w:name w:val="heading 3"/>
    <w:basedOn w:val="Normal"/>
    <w:next w:val="Normal"/>
    <w:qFormat/>
    <w:rsid w:val="0009330B"/>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09330B"/>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09330B"/>
  </w:style>
  <w:style w:type="paragraph" w:customStyle="1" w:styleId="OpiHA">
    <w:name w:val="Opi_H_A"/>
    <w:basedOn w:val="JuHIRoman"/>
    <w:next w:val="OpiPara"/>
    <w:rsid w:val="0009330B"/>
    <w:pPr>
      <w:tabs>
        <w:tab w:val="clear" w:pos="357"/>
      </w:tabs>
    </w:pPr>
    <w:rPr>
      <w:b/>
    </w:rPr>
  </w:style>
  <w:style w:type="paragraph" w:customStyle="1" w:styleId="JuHIRoman">
    <w:name w:val="Ju_H_I_Roman"/>
    <w:basedOn w:val="JuHHead"/>
    <w:next w:val="JuPara"/>
    <w:link w:val="JuHIRomanChar"/>
    <w:rsid w:val="0009330B"/>
    <w:pPr>
      <w:tabs>
        <w:tab w:val="left" w:pos="357"/>
      </w:tabs>
      <w:spacing w:before="360"/>
      <w:ind w:left="357" w:hanging="357"/>
      <w:outlineLvl w:val="1"/>
    </w:pPr>
    <w:rPr>
      <w:sz w:val="24"/>
    </w:rPr>
  </w:style>
  <w:style w:type="paragraph" w:customStyle="1" w:styleId="JuHHead">
    <w:name w:val="Ju_H_Head"/>
    <w:basedOn w:val="Normal"/>
    <w:next w:val="JuPara"/>
    <w:link w:val="JuHHeadChar"/>
    <w:rsid w:val="0009330B"/>
    <w:pPr>
      <w:keepNext/>
      <w:keepLines/>
      <w:spacing w:before="720" w:after="240"/>
      <w:jc w:val="both"/>
      <w:outlineLvl w:val="0"/>
    </w:pPr>
    <w:rPr>
      <w:sz w:val="28"/>
    </w:rPr>
  </w:style>
  <w:style w:type="paragraph" w:customStyle="1" w:styleId="JuPara">
    <w:name w:val="Ju_Para"/>
    <w:basedOn w:val="Normal"/>
    <w:link w:val="JuParaChar"/>
    <w:rsid w:val="0009330B"/>
    <w:pPr>
      <w:ind w:firstLine="284"/>
      <w:jc w:val="both"/>
    </w:pPr>
  </w:style>
  <w:style w:type="paragraph" w:customStyle="1" w:styleId="OpiPara">
    <w:name w:val="Opi_Para"/>
    <w:basedOn w:val="JuPara"/>
    <w:rsid w:val="0009330B"/>
  </w:style>
  <w:style w:type="paragraph" w:customStyle="1" w:styleId="OpiH1">
    <w:name w:val="Opi_H_1."/>
    <w:basedOn w:val="OpiHA"/>
    <w:next w:val="OpiPara"/>
    <w:rsid w:val="0009330B"/>
    <w:pPr>
      <w:spacing w:before="240" w:after="120"/>
      <w:ind w:left="635"/>
    </w:pPr>
    <w:rPr>
      <w:b w:val="0"/>
      <w:i/>
    </w:rPr>
  </w:style>
  <w:style w:type="paragraph" w:customStyle="1" w:styleId="OpiHa0">
    <w:name w:val="Opi_H_a"/>
    <w:basedOn w:val="OpiH1"/>
    <w:next w:val="OpiPara"/>
    <w:rsid w:val="0009330B"/>
    <w:pPr>
      <w:ind w:left="834"/>
    </w:pPr>
    <w:rPr>
      <w:b/>
      <w:i w:val="0"/>
      <w:sz w:val="20"/>
    </w:rPr>
  </w:style>
  <w:style w:type="paragraph" w:customStyle="1" w:styleId="OpiHHead">
    <w:name w:val="Opi_H_Head"/>
    <w:basedOn w:val="JuHHead"/>
    <w:next w:val="OpiPara"/>
    <w:rsid w:val="0009330B"/>
    <w:pPr>
      <w:spacing w:before="0"/>
      <w:jc w:val="center"/>
    </w:pPr>
  </w:style>
  <w:style w:type="paragraph" w:customStyle="1" w:styleId="OpiHi">
    <w:name w:val="Opi_H_i"/>
    <w:basedOn w:val="OpiHa0"/>
    <w:next w:val="OpiPara"/>
    <w:rsid w:val="0009330B"/>
    <w:pPr>
      <w:ind w:left="1038"/>
    </w:pPr>
    <w:rPr>
      <w:b w:val="0"/>
      <w:i/>
    </w:rPr>
  </w:style>
  <w:style w:type="paragraph" w:styleId="Footer">
    <w:name w:val="footer"/>
    <w:basedOn w:val="Normal"/>
    <w:rsid w:val="0009330B"/>
    <w:pPr>
      <w:tabs>
        <w:tab w:val="center" w:pos="3686"/>
        <w:tab w:val="right" w:pos="7371"/>
      </w:tabs>
    </w:pPr>
    <w:rPr>
      <w:sz w:val="18"/>
    </w:rPr>
  </w:style>
  <w:style w:type="paragraph" w:customStyle="1" w:styleId="JuJudges">
    <w:name w:val="Ju_Judges"/>
    <w:basedOn w:val="Normal"/>
    <w:link w:val="JuJudgesChar"/>
    <w:rsid w:val="0009330B"/>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link w:val="JuHAChar"/>
    <w:rsid w:val="0009330B"/>
    <w:pPr>
      <w:tabs>
        <w:tab w:val="clear" w:pos="357"/>
        <w:tab w:val="left" w:pos="584"/>
      </w:tabs>
      <w:ind w:left="584" w:hanging="352"/>
      <w:outlineLvl w:val="2"/>
    </w:pPr>
    <w:rPr>
      <w:b/>
    </w:rPr>
  </w:style>
  <w:style w:type="paragraph" w:customStyle="1" w:styleId="JuQuot">
    <w:name w:val="Ju_Quot"/>
    <w:basedOn w:val="JuPara"/>
    <w:rsid w:val="0009330B"/>
    <w:pPr>
      <w:spacing w:before="120" w:after="120"/>
      <w:ind w:left="425" w:firstLine="142"/>
    </w:pPr>
    <w:rPr>
      <w:sz w:val="20"/>
    </w:rPr>
  </w:style>
  <w:style w:type="paragraph" w:customStyle="1" w:styleId="JuSigned">
    <w:name w:val="Ju_Signed"/>
    <w:basedOn w:val="Normal"/>
    <w:next w:val="JuParaLast"/>
    <w:link w:val="JuSignedChar"/>
    <w:rsid w:val="0009330B"/>
    <w:pPr>
      <w:tabs>
        <w:tab w:val="center" w:pos="851"/>
        <w:tab w:val="center" w:pos="6407"/>
      </w:tabs>
      <w:spacing w:before="720"/>
    </w:pPr>
  </w:style>
  <w:style w:type="paragraph" w:customStyle="1" w:styleId="JuParaLast">
    <w:name w:val="Ju_Para_Last"/>
    <w:basedOn w:val="JuPara"/>
    <w:next w:val="JuPara"/>
    <w:rsid w:val="0009330B"/>
    <w:pPr>
      <w:keepNext/>
      <w:keepLines/>
      <w:spacing w:before="240"/>
    </w:pPr>
  </w:style>
  <w:style w:type="paragraph" w:customStyle="1" w:styleId="JuCase">
    <w:name w:val="Ju_Case"/>
    <w:basedOn w:val="JuPara"/>
    <w:next w:val="JuPara"/>
    <w:link w:val="JuCaseChar"/>
    <w:rsid w:val="0009330B"/>
    <w:rPr>
      <w:b/>
    </w:rPr>
  </w:style>
  <w:style w:type="paragraph" w:customStyle="1" w:styleId="JuList">
    <w:name w:val="Ju_List"/>
    <w:basedOn w:val="JuPara"/>
    <w:link w:val="JuListChar"/>
    <w:rsid w:val="0009330B"/>
    <w:pPr>
      <w:ind w:left="340" w:hanging="340"/>
    </w:pPr>
  </w:style>
  <w:style w:type="paragraph" w:customStyle="1" w:styleId="JuHArticle">
    <w:name w:val="Ju_H_Article"/>
    <w:basedOn w:val="JuHa0"/>
    <w:next w:val="JuQuot"/>
    <w:rsid w:val="0009330B"/>
    <w:pPr>
      <w:ind w:left="0" w:firstLine="0"/>
      <w:jc w:val="center"/>
    </w:pPr>
  </w:style>
  <w:style w:type="paragraph" w:customStyle="1" w:styleId="JuHa0">
    <w:name w:val="Ju_H_a"/>
    <w:basedOn w:val="JuH1"/>
    <w:next w:val="JuPara"/>
    <w:link w:val="JuHaChar0"/>
    <w:rsid w:val="0009330B"/>
    <w:pPr>
      <w:tabs>
        <w:tab w:val="clear" w:pos="731"/>
        <w:tab w:val="left" w:pos="975"/>
      </w:tabs>
      <w:ind w:left="975" w:hanging="340"/>
    </w:pPr>
    <w:rPr>
      <w:b/>
      <w:i w:val="0"/>
      <w:sz w:val="20"/>
    </w:rPr>
  </w:style>
  <w:style w:type="paragraph" w:customStyle="1" w:styleId="JuH1">
    <w:name w:val="Ju_H_1."/>
    <w:basedOn w:val="JuHA"/>
    <w:next w:val="JuPara"/>
    <w:link w:val="JuH1Char"/>
    <w:rsid w:val="0009330B"/>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09330B"/>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09330B"/>
  </w:style>
  <w:style w:type="paragraph" w:customStyle="1" w:styleId="OpiTranslation">
    <w:name w:val="Opi_Translation"/>
    <w:basedOn w:val="OpiHHead"/>
    <w:next w:val="OpiPara"/>
    <w:rsid w:val="0009330B"/>
    <w:rPr>
      <w:i/>
      <w:sz w:val="24"/>
    </w:rPr>
  </w:style>
  <w:style w:type="paragraph" w:styleId="FootnoteText">
    <w:name w:val="footnote text"/>
    <w:basedOn w:val="Normal"/>
    <w:semiHidden/>
    <w:rsid w:val="0009330B"/>
    <w:pPr>
      <w:jc w:val="both"/>
    </w:pPr>
    <w:rPr>
      <w:sz w:val="20"/>
    </w:rPr>
  </w:style>
  <w:style w:type="character" w:styleId="FootnoteReference">
    <w:name w:val="footnote reference"/>
    <w:basedOn w:val="DefaultParagraphFont"/>
    <w:semiHidden/>
    <w:rsid w:val="0009330B"/>
    <w:rPr>
      <w:vertAlign w:val="superscript"/>
    </w:rPr>
  </w:style>
  <w:style w:type="paragraph" w:customStyle="1" w:styleId="JuHi">
    <w:name w:val="Ju_H_i"/>
    <w:basedOn w:val="JuHa0"/>
    <w:next w:val="JuPara"/>
    <w:rsid w:val="0009330B"/>
    <w:pPr>
      <w:tabs>
        <w:tab w:val="clear" w:pos="975"/>
        <w:tab w:val="left" w:pos="1191"/>
      </w:tabs>
      <w:ind w:left="1190" w:hanging="357"/>
    </w:pPr>
    <w:rPr>
      <w:b w:val="0"/>
      <w:i/>
    </w:rPr>
  </w:style>
  <w:style w:type="paragraph" w:styleId="Header">
    <w:name w:val="header"/>
    <w:basedOn w:val="Normal"/>
    <w:rsid w:val="0009330B"/>
    <w:pPr>
      <w:tabs>
        <w:tab w:val="center" w:pos="3686"/>
        <w:tab w:val="right" w:pos="7371"/>
      </w:tabs>
    </w:pPr>
    <w:rPr>
      <w:sz w:val="18"/>
    </w:rPr>
  </w:style>
  <w:style w:type="character" w:styleId="PageNumber">
    <w:name w:val="page number"/>
    <w:basedOn w:val="DefaultParagraphFont"/>
    <w:rsid w:val="0009330B"/>
    <w:rPr>
      <w:sz w:val="18"/>
    </w:rPr>
  </w:style>
  <w:style w:type="paragraph" w:customStyle="1" w:styleId="JuH">
    <w:name w:val="Ju_H_–"/>
    <w:basedOn w:val="JuHalpha"/>
    <w:next w:val="JuPara"/>
    <w:rsid w:val="0009330B"/>
    <w:pPr>
      <w:tabs>
        <w:tab w:val="clear" w:pos="1372"/>
      </w:tabs>
      <w:ind w:left="1236" w:firstLine="0"/>
    </w:pPr>
    <w:rPr>
      <w:i/>
    </w:rPr>
  </w:style>
  <w:style w:type="paragraph" w:customStyle="1" w:styleId="JuHalpha">
    <w:name w:val="Ju_H_alpha"/>
    <w:basedOn w:val="JuHi"/>
    <w:next w:val="JuPara"/>
    <w:rsid w:val="0009330B"/>
    <w:pPr>
      <w:tabs>
        <w:tab w:val="clear" w:pos="1191"/>
        <w:tab w:val="left" w:pos="1372"/>
      </w:tabs>
      <w:ind w:left="1373" w:hanging="335"/>
    </w:pPr>
    <w:rPr>
      <w:i w:val="0"/>
    </w:rPr>
  </w:style>
  <w:style w:type="paragraph" w:customStyle="1" w:styleId="JuLista">
    <w:name w:val="Ju_List_a"/>
    <w:basedOn w:val="JuList"/>
    <w:rsid w:val="0009330B"/>
    <w:pPr>
      <w:ind w:left="346" w:firstLine="0"/>
    </w:pPr>
  </w:style>
  <w:style w:type="paragraph" w:customStyle="1" w:styleId="JuListi">
    <w:name w:val="Ju_List_i"/>
    <w:basedOn w:val="JuLista"/>
    <w:rsid w:val="0009330B"/>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09330B"/>
    <w:pPr>
      <w:tabs>
        <w:tab w:val="clear" w:pos="851"/>
      </w:tabs>
      <w:jc w:val="right"/>
    </w:pPr>
  </w:style>
  <w:style w:type="paragraph" w:customStyle="1" w:styleId="JuHeader">
    <w:name w:val="Ju_Header"/>
    <w:basedOn w:val="Header"/>
    <w:rsid w:val="0009330B"/>
  </w:style>
  <w:style w:type="paragraph" w:customStyle="1" w:styleId="DecHTitle">
    <w:name w:val="Dec_H_Title"/>
    <w:basedOn w:val="Normal"/>
    <w:rsid w:val="0009330B"/>
    <w:pPr>
      <w:spacing w:after="240"/>
      <w:jc w:val="center"/>
    </w:pPr>
    <w:rPr>
      <w:sz w:val="28"/>
    </w:rPr>
  </w:style>
  <w:style w:type="paragraph" w:customStyle="1" w:styleId="DecHCase">
    <w:name w:val="Dec_H_Case"/>
    <w:basedOn w:val="DecHTitle"/>
    <w:next w:val="JuPara"/>
    <w:rsid w:val="0009330B"/>
    <w:rPr>
      <w:sz w:val="24"/>
    </w:rPr>
  </w:style>
  <w:style w:type="paragraph" w:customStyle="1" w:styleId="DecList">
    <w:name w:val="Dec_List"/>
    <w:basedOn w:val="Normal"/>
    <w:rsid w:val="0009330B"/>
    <w:pPr>
      <w:spacing w:before="240"/>
      <w:ind w:left="284"/>
      <w:jc w:val="both"/>
    </w:pPr>
  </w:style>
  <w:style w:type="paragraph" w:customStyle="1" w:styleId="JuParaSub">
    <w:name w:val="Ju_Para_Sub"/>
    <w:basedOn w:val="JuPara"/>
    <w:rsid w:val="0009330B"/>
    <w:pPr>
      <w:ind w:left="284"/>
    </w:pPr>
    <w:rPr>
      <w:szCs w:val="24"/>
    </w:rPr>
  </w:style>
  <w:style w:type="paragraph" w:customStyle="1" w:styleId="JuQuotSub">
    <w:name w:val="Ju_Quot_Sub"/>
    <w:basedOn w:val="JuQuot"/>
    <w:rsid w:val="0009330B"/>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09330B"/>
    <w:pPr>
      <w:ind w:firstLine="284"/>
      <w:jc w:val="both"/>
    </w:pPr>
  </w:style>
  <w:style w:type="paragraph" w:customStyle="1" w:styleId="PJuQuot">
    <w:name w:val="P_Ju_Quot"/>
    <w:basedOn w:val="Normal"/>
    <w:rsid w:val="0009330B"/>
    <w:pPr>
      <w:spacing w:before="120" w:after="120"/>
      <w:ind w:left="403" w:firstLine="176"/>
      <w:jc w:val="both"/>
    </w:pPr>
    <w:rPr>
      <w:sz w:val="20"/>
    </w:rPr>
  </w:style>
  <w:style w:type="paragraph" w:customStyle="1" w:styleId="PListArticleSubject">
    <w:name w:val="P_List_ArticleSubject"/>
    <w:basedOn w:val="Normal"/>
    <w:rsid w:val="0009330B"/>
    <w:pPr>
      <w:tabs>
        <w:tab w:val="left" w:pos="2977"/>
      </w:tabs>
      <w:ind w:left="2977" w:hanging="2977"/>
    </w:pPr>
  </w:style>
  <w:style w:type="paragraph" w:customStyle="1" w:styleId="SuCoverTitle1">
    <w:name w:val="Su_Cover_Title1"/>
    <w:basedOn w:val="Normal"/>
    <w:next w:val="SuCoverTitle2"/>
    <w:rsid w:val="0009330B"/>
    <w:pPr>
      <w:spacing w:before="2500"/>
      <w:jc w:val="center"/>
    </w:pPr>
    <w:rPr>
      <w:sz w:val="22"/>
    </w:rPr>
  </w:style>
  <w:style w:type="paragraph" w:customStyle="1" w:styleId="SuCoverTitle2">
    <w:name w:val="Su_Cover_Title2"/>
    <w:basedOn w:val="SuCoverTitle1"/>
    <w:next w:val="Normal"/>
    <w:rsid w:val="0009330B"/>
    <w:pPr>
      <w:spacing w:before="240"/>
    </w:pPr>
    <w:rPr>
      <w:sz w:val="18"/>
    </w:rPr>
  </w:style>
  <w:style w:type="paragraph" w:customStyle="1" w:styleId="SuPara">
    <w:name w:val="Su_Para"/>
    <w:basedOn w:val="SuKeywords"/>
    <w:rsid w:val="0009330B"/>
    <w:pPr>
      <w:spacing w:before="0" w:after="0"/>
    </w:pPr>
    <w:rPr>
      <w:i w:val="0"/>
    </w:rPr>
  </w:style>
  <w:style w:type="paragraph" w:customStyle="1" w:styleId="SuKeywords">
    <w:name w:val="Su_Keywords"/>
    <w:basedOn w:val="SuHHead"/>
    <w:rsid w:val="0009330B"/>
    <w:pPr>
      <w:spacing w:before="120"/>
    </w:pPr>
    <w:rPr>
      <w:b w:val="0"/>
      <w:i/>
    </w:rPr>
  </w:style>
  <w:style w:type="paragraph" w:customStyle="1" w:styleId="SuHHead">
    <w:name w:val="Su_H_Head"/>
    <w:basedOn w:val="SuSubject"/>
    <w:rsid w:val="0009330B"/>
    <w:pPr>
      <w:spacing w:after="120"/>
    </w:pPr>
  </w:style>
  <w:style w:type="paragraph" w:customStyle="1" w:styleId="SuSubject">
    <w:name w:val="Su_Subject"/>
    <w:basedOn w:val="SuSummary"/>
    <w:rsid w:val="0009330B"/>
    <w:pPr>
      <w:spacing w:before="360"/>
      <w:jc w:val="both"/>
    </w:pPr>
    <w:rPr>
      <w:b/>
      <w:sz w:val="22"/>
    </w:rPr>
  </w:style>
  <w:style w:type="paragraph" w:customStyle="1" w:styleId="SuSummary">
    <w:name w:val="Su_Summary"/>
    <w:basedOn w:val="Normal"/>
    <w:next w:val="SuSubject"/>
    <w:rsid w:val="0009330B"/>
    <w:pPr>
      <w:spacing w:after="240"/>
      <w:jc w:val="center"/>
    </w:pPr>
  </w:style>
  <w:style w:type="paragraph" w:customStyle="1" w:styleId="PListCaseNo">
    <w:name w:val="P_List_CaseNo"/>
    <w:basedOn w:val="Normal"/>
    <w:rsid w:val="0009330B"/>
    <w:pPr>
      <w:tabs>
        <w:tab w:val="left" w:pos="1276"/>
      </w:tabs>
      <w:spacing w:line="288" w:lineRule="auto"/>
      <w:ind w:left="1276" w:hanging="1276"/>
    </w:pPr>
  </w:style>
  <w:style w:type="paragraph" w:customStyle="1" w:styleId="PListCases">
    <w:name w:val="P_List_Cases"/>
    <w:basedOn w:val="Normal"/>
    <w:rsid w:val="0009330B"/>
    <w:pPr>
      <w:spacing w:line="288" w:lineRule="auto"/>
    </w:pPr>
  </w:style>
  <w:style w:type="paragraph" w:customStyle="1" w:styleId="PTextIntro">
    <w:name w:val="P_Text_Intro"/>
    <w:basedOn w:val="Normal"/>
    <w:rsid w:val="0009330B"/>
    <w:pPr>
      <w:jc w:val="both"/>
    </w:pPr>
    <w:rPr>
      <w:i/>
      <w:sz w:val="20"/>
    </w:rPr>
  </w:style>
  <w:style w:type="paragraph" w:customStyle="1" w:styleId="PTitleCover">
    <w:name w:val="P_Title_Cover"/>
    <w:basedOn w:val="Normal"/>
    <w:rsid w:val="0009330B"/>
    <w:pPr>
      <w:spacing w:before="2500"/>
      <w:jc w:val="center"/>
    </w:pPr>
    <w:rPr>
      <w:b/>
      <w:smallCaps/>
      <w:sz w:val="30"/>
    </w:rPr>
  </w:style>
  <w:style w:type="paragraph" w:customStyle="1" w:styleId="PTitle1Alpha">
    <w:name w:val="P_Title1_Alpha"/>
    <w:basedOn w:val="Normal"/>
    <w:next w:val="Normal"/>
    <w:rsid w:val="0009330B"/>
    <w:pPr>
      <w:spacing w:after="120"/>
      <w:jc w:val="center"/>
    </w:pPr>
    <w:rPr>
      <w:b/>
      <w:smallCaps/>
      <w:sz w:val="30"/>
    </w:rPr>
  </w:style>
  <w:style w:type="paragraph" w:customStyle="1" w:styleId="PTitle1IndexArticle">
    <w:name w:val="P_Title1_IndexArticle"/>
    <w:basedOn w:val="Normal"/>
    <w:rsid w:val="0009330B"/>
    <w:pPr>
      <w:spacing w:after="120"/>
      <w:jc w:val="center"/>
    </w:pPr>
    <w:rPr>
      <w:b/>
      <w:smallCaps/>
      <w:sz w:val="30"/>
    </w:rPr>
  </w:style>
  <w:style w:type="paragraph" w:customStyle="1" w:styleId="PTitle1IndexKey">
    <w:name w:val="P_Title1_IndexKey"/>
    <w:basedOn w:val="Normal"/>
    <w:rsid w:val="0009330B"/>
    <w:pPr>
      <w:spacing w:after="600"/>
      <w:jc w:val="center"/>
    </w:pPr>
    <w:rPr>
      <w:b/>
      <w:smallCaps/>
      <w:sz w:val="30"/>
    </w:rPr>
  </w:style>
  <w:style w:type="paragraph" w:customStyle="1" w:styleId="PTitle1Num">
    <w:name w:val="P_Title1_Num"/>
    <w:basedOn w:val="Normal"/>
    <w:next w:val="PListCaseNo"/>
    <w:rsid w:val="0009330B"/>
    <w:pPr>
      <w:spacing w:after="720"/>
      <w:jc w:val="center"/>
    </w:pPr>
    <w:rPr>
      <w:b/>
      <w:smallCaps/>
      <w:sz w:val="30"/>
    </w:rPr>
  </w:style>
  <w:style w:type="paragraph" w:customStyle="1" w:styleId="PTitle2Country">
    <w:name w:val="P_Title2_Country"/>
    <w:basedOn w:val="Normal"/>
    <w:next w:val="PListCases"/>
    <w:rsid w:val="0009330B"/>
    <w:pPr>
      <w:keepNext/>
      <w:keepLines/>
      <w:spacing w:before="600" w:after="360"/>
    </w:pPr>
    <w:rPr>
      <w:b/>
    </w:rPr>
  </w:style>
  <w:style w:type="paragraph" w:customStyle="1" w:styleId="PTitle2Letters">
    <w:name w:val="P_Title2_Letters"/>
    <w:basedOn w:val="Normal"/>
    <w:next w:val="PListCases"/>
    <w:rsid w:val="0009330B"/>
    <w:pPr>
      <w:keepNext/>
      <w:keepLines/>
      <w:spacing w:before="600" w:after="360"/>
    </w:pPr>
    <w:rPr>
      <w:b/>
      <w:sz w:val="28"/>
    </w:rPr>
  </w:style>
  <w:style w:type="paragraph" w:customStyle="1" w:styleId="PTitle2Part">
    <w:name w:val="P_Title2_Part"/>
    <w:basedOn w:val="Normal"/>
    <w:rsid w:val="0009330B"/>
    <w:pPr>
      <w:keepNext/>
      <w:keepLines/>
      <w:spacing w:before="600" w:after="240"/>
      <w:jc w:val="center"/>
    </w:pPr>
    <w:rPr>
      <w:b/>
      <w:caps/>
    </w:rPr>
  </w:style>
  <w:style w:type="paragraph" w:customStyle="1" w:styleId="PTitle3Article">
    <w:name w:val="P_Title3_Article"/>
    <w:basedOn w:val="Normal"/>
    <w:rsid w:val="0009330B"/>
    <w:pPr>
      <w:keepNext/>
      <w:keepLines/>
      <w:spacing w:before="360" w:after="120"/>
      <w:jc w:val="center"/>
    </w:pPr>
    <w:rPr>
      <w:b/>
      <w:smallCaps/>
      <w:sz w:val="22"/>
    </w:rPr>
  </w:style>
  <w:style w:type="paragraph" w:customStyle="1" w:styleId="PTitle4ArticleSub">
    <w:name w:val="P_Title4_Article_Sub"/>
    <w:basedOn w:val="PTitle3Article"/>
    <w:rsid w:val="0009330B"/>
    <w:pPr>
      <w:spacing w:before="240"/>
    </w:pPr>
    <w:rPr>
      <w:smallCaps w:val="0"/>
      <w:sz w:val="20"/>
    </w:rPr>
  </w:style>
  <w:style w:type="paragraph" w:customStyle="1" w:styleId="PTitle5Subject">
    <w:name w:val="P_Title5_Subject"/>
    <w:basedOn w:val="Normal"/>
    <w:rsid w:val="0009330B"/>
    <w:pPr>
      <w:keepNext/>
      <w:keepLines/>
      <w:spacing w:before="240" w:after="120"/>
      <w:jc w:val="both"/>
    </w:pPr>
    <w:rPr>
      <w:b/>
      <w:i/>
    </w:rPr>
  </w:style>
  <w:style w:type="paragraph" w:customStyle="1" w:styleId="PTitle6SubjectSub">
    <w:name w:val="P_Title6_Subject_Sub"/>
    <w:basedOn w:val="Normal"/>
    <w:rsid w:val="0009330B"/>
    <w:pPr>
      <w:keepNext/>
      <w:keepLines/>
      <w:spacing w:before="240" w:after="120"/>
      <w:ind w:left="284"/>
      <w:jc w:val="both"/>
    </w:pPr>
    <w:rPr>
      <w:b/>
      <w:sz w:val="20"/>
    </w:rPr>
  </w:style>
  <w:style w:type="paragraph" w:customStyle="1" w:styleId="PTitle7CaseName">
    <w:name w:val="P_Title7_CaseName"/>
    <w:basedOn w:val="Normal"/>
    <w:rsid w:val="0009330B"/>
    <w:pPr>
      <w:keepLines/>
      <w:spacing w:after="240"/>
      <w:jc w:val="right"/>
    </w:pPr>
    <w:rPr>
      <w:sz w:val="22"/>
    </w:rPr>
  </w:style>
  <w:style w:type="paragraph" w:customStyle="1" w:styleId="OpiParaSub">
    <w:name w:val="Opi_Para_Sub"/>
    <w:basedOn w:val="JuParaSub"/>
    <w:rsid w:val="0009330B"/>
  </w:style>
  <w:style w:type="paragraph" w:customStyle="1" w:styleId="OpiQuotSub">
    <w:name w:val="Opi_Quot_Sub"/>
    <w:basedOn w:val="JuQuotSub"/>
    <w:rsid w:val="0009330B"/>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styleId="Hyperlink">
    <w:name w:val="Hyperlink"/>
    <w:basedOn w:val="DefaultParagraphFont"/>
    <w:rsid w:val="001C0B3D"/>
    <w:rPr>
      <w:color w:val="0000FF"/>
      <w:u w:val="single"/>
    </w:rPr>
  </w:style>
  <w:style w:type="character" w:customStyle="1" w:styleId="JuListChar">
    <w:name w:val="Ju_List Char"/>
    <w:basedOn w:val="DefaultParagraphFont"/>
    <w:link w:val="JuList"/>
    <w:rsid w:val="00930CD7"/>
    <w:rPr>
      <w:sz w:val="24"/>
      <w:lang w:val="en-GB" w:eastAsia="fr-FR" w:bidi="ar-SA"/>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09330B"/>
    <w:rPr>
      <w:smallCaps/>
    </w:rPr>
  </w:style>
  <w:style w:type="paragraph" w:customStyle="1" w:styleId="NormalJustified">
    <w:name w:val="Normal_Justified"/>
    <w:basedOn w:val="Normal"/>
    <w:rsid w:val="0009330B"/>
    <w:pPr>
      <w:jc w:val="both"/>
    </w:pPr>
  </w:style>
  <w:style w:type="paragraph" w:customStyle="1" w:styleId="AppQuestion">
    <w:name w:val="App_Question"/>
    <w:basedOn w:val="ListBullet"/>
    <w:rsid w:val="0009330B"/>
    <w:pPr>
      <w:numPr>
        <w:numId w:val="3"/>
      </w:numPr>
    </w:pPr>
    <w:rPr>
      <w:b/>
      <w:color w:val="333333"/>
    </w:rPr>
  </w:style>
  <w:style w:type="paragraph" w:styleId="ListBullet">
    <w:name w:val="List Bullet"/>
    <w:basedOn w:val="Normal"/>
    <w:rsid w:val="0009330B"/>
    <w:pPr>
      <w:numPr>
        <w:numId w:val="2"/>
      </w:numPr>
    </w:pPr>
  </w:style>
  <w:style w:type="character" w:customStyle="1" w:styleId="JuParaCar">
    <w:name w:val="Ju_Para Car"/>
    <w:basedOn w:val="DefaultParagraphFont"/>
    <w:rsid w:val="006A4E55"/>
    <w:rPr>
      <w:sz w:val="24"/>
      <w:lang w:val="en-GB" w:eastAsia="fr-FR" w:bidi="ar-SA"/>
    </w:rPr>
  </w:style>
  <w:style w:type="character" w:customStyle="1" w:styleId="JuHHeadChar">
    <w:name w:val="Ju_H_Head Char"/>
    <w:basedOn w:val="DefaultParagraphFont"/>
    <w:link w:val="JuHHead"/>
    <w:rsid w:val="00A46BE1"/>
    <w:rPr>
      <w:sz w:val="28"/>
      <w:lang w:val="en-GB" w:eastAsia="fr-FR" w:bidi="ar-SA"/>
    </w:rPr>
  </w:style>
  <w:style w:type="character" w:customStyle="1" w:styleId="JuHIRomanChar">
    <w:name w:val="Ju_H_I_Roman Char"/>
    <w:basedOn w:val="JuHHeadChar"/>
    <w:link w:val="JuHIRoman"/>
    <w:rsid w:val="00A46BE1"/>
    <w:rPr>
      <w:sz w:val="24"/>
      <w:lang w:val="en-GB" w:eastAsia="fr-FR" w:bidi="ar-SA"/>
    </w:rPr>
  </w:style>
  <w:style w:type="character" w:customStyle="1" w:styleId="JuHAChar">
    <w:name w:val="Ju_H_A Char"/>
    <w:basedOn w:val="JuHIRomanChar"/>
    <w:link w:val="JuHA"/>
    <w:rsid w:val="00A46BE1"/>
    <w:rPr>
      <w:b/>
      <w:sz w:val="24"/>
      <w:lang w:val="en-GB" w:eastAsia="fr-FR" w:bidi="ar-SA"/>
    </w:rPr>
  </w:style>
  <w:style w:type="character" w:customStyle="1" w:styleId="JuH1Char">
    <w:name w:val="Ju_H_1. Char"/>
    <w:basedOn w:val="JuHAChar"/>
    <w:link w:val="JuH1"/>
    <w:rsid w:val="00A46BE1"/>
    <w:rPr>
      <w:b/>
      <w:i/>
      <w:sz w:val="24"/>
      <w:lang w:val="en-GB" w:eastAsia="fr-FR" w:bidi="ar-SA"/>
    </w:rPr>
  </w:style>
  <w:style w:type="character" w:customStyle="1" w:styleId="JuHaChar0">
    <w:name w:val="Ju_H_a Char"/>
    <w:basedOn w:val="JuH1Char"/>
    <w:link w:val="JuHa0"/>
    <w:rsid w:val="00A46BE1"/>
    <w:rPr>
      <w:b/>
      <w:i/>
      <w:sz w:val="24"/>
      <w:lang w:val="en-GB" w:eastAsia="fr-FR" w:bidi="ar-SA"/>
    </w:rPr>
  </w:style>
  <w:style w:type="paragraph" w:customStyle="1" w:styleId="JuParaCharCharCharChar">
    <w:name w:val="Ju_Para Char Char Char Char"/>
    <w:basedOn w:val="Normal"/>
    <w:link w:val="JuParaCharCharCharCharChar"/>
    <w:rsid w:val="00A46BE1"/>
    <w:pPr>
      <w:ind w:firstLine="284"/>
      <w:jc w:val="both"/>
    </w:pPr>
  </w:style>
  <w:style w:type="character" w:customStyle="1" w:styleId="JuParaCharCharCharCharChar">
    <w:name w:val="Ju_Para Char Char Char Char Char"/>
    <w:basedOn w:val="DefaultParagraphFont"/>
    <w:link w:val="JuParaCharCharCharChar"/>
    <w:rsid w:val="00A46BE1"/>
    <w:rPr>
      <w:sz w:val="24"/>
      <w:lang w:val="en-GB" w:eastAsia="fr-FR" w:bidi="ar-SA"/>
    </w:rPr>
  </w:style>
  <w:style w:type="character" w:customStyle="1" w:styleId="ju-005fpara--char">
    <w:name w:val="ju-005fpara--char"/>
    <w:basedOn w:val="DefaultParagraphFont"/>
    <w:rsid w:val="00A46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FE35F9-FD43-4C46-9ED3-E675D162B241}"/>
</file>

<file path=customXml/itemProps2.xml><?xml version="1.0" encoding="utf-8"?>
<ds:datastoreItem xmlns:ds="http://schemas.openxmlformats.org/officeDocument/2006/customXml" ds:itemID="{84CAA60C-326B-4832-A3CD-50EE8CAA6847}"/>
</file>

<file path=customXml/itemProps3.xml><?xml version="1.0" encoding="utf-8"?>
<ds:datastoreItem xmlns:ds="http://schemas.openxmlformats.org/officeDocument/2006/customXml" ds:itemID="{B8D907EA-B1F2-4892-B3E6-65DE9E98DCE6}"/>
</file>

<file path=docProps/app.xml><?xml version="1.0" encoding="utf-8"?>
<Properties xmlns="http://schemas.openxmlformats.org/officeDocument/2006/extended-properties" xmlns:vt="http://schemas.openxmlformats.org/officeDocument/2006/docPropsVTypes">
  <Template>Normal.dotm</Template>
  <TotalTime>40</TotalTime>
  <Pages>1</Pages>
  <Words>4541</Words>
  <Characters>25888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30369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11</cp:revision>
  <cp:lastPrinted>2012-08-09T08:33:00Z</cp:lastPrinted>
  <dcterms:created xsi:type="dcterms:W3CDTF">2019-12-18T14:52:00Z</dcterms:created>
  <dcterms:modified xsi:type="dcterms:W3CDTF">2019-12-18T14:52:00Z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