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0B4" w:rsidRDefault="00AB00B4">
      <w:pPr>
        <w:jc w:val="center"/>
      </w:pPr>
      <w:bookmarkStart w:name="_GoBack" w:id="0"/>
      <w:bookmarkEnd w:id="0"/>
    </w:p>
    <w:p w:rsidR="00AB00B4" w:rsidRDefault="00AB00B4">
      <w:pPr>
        <w:jc w:val="center"/>
      </w:pPr>
    </w:p>
    <w:p w:rsidRPr="00C873C2" w:rsidR="00746252" w:rsidRDefault="00746252">
      <w:pPr>
        <w:jc w:val="center"/>
      </w:pPr>
    </w:p>
    <w:p w:rsidRPr="00C873C2" w:rsidR="00746252" w:rsidRDefault="00C873C2">
      <w:pPr>
        <w:jc w:val="center"/>
      </w:pPr>
      <w:r w:rsidRPr="00C873C2">
        <w:t>FOURTH SECTION</w:t>
      </w:r>
    </w:p>
    <w:p w:rsidR="00AB00B4" w:rsidRDefault="00AB00B4">
      <w:pPr>
        <w:jc w:val="center"/>
      </w:pPr>
    </w:p>
    <w:p w:rsidR="00AB00B4" w:rsidRDefault="00AB00B4">
      <w:pPr>
        <w:jc w:val="center"/>
      </w:pPr>
    </w:p>
    <w:p w:rsidR="00AB00B4" w:rsidRDefault="00AB00B4">
      <w:pPr>
        <w:jc w:val="center"/>
      </w:pPr>
    </w:p>
    <w:p w:rsidR="00AB00B4" w:rsidRDefault="00AB00B4">
      <w:pPr>
        <w:jc w:val="center"/>
      </w:pPr>
    </w:p>
    <w:p w:rsidR="00AB00B4" w:rsidRDefault="00AB00B4">
      <w:pPr>
        <w:jc w:val="center"/>
      </w:pPr>
    </w:p>
    <w:p w:rsidRPr="00C873C2" w:rsidR="00746252" w:rsidRDefault="00746252">
      <w:pPr>
        <w:jc w:val="center"/>
      </w:pPr>
    </w:p>
    <w:p w:rsidRPr="00C873C2" w:rsidR="00746252" w:rsidRDefault="00746252">
      <w:pPr>
        <w:jc w:val="center"/>
        <w:rPr>
          <w:b/>
        </w:rPr>
      </w:pPr>
      <w:bookmarkStart w:name="To" w:id="1"/>
      <w:r w:rsidRPr="00C873C2">
        <w:rPr>
          <w:b/>
        </w:rPr>
        <w:t xml:space="preserve">CASE OF </w:t>
      </w:r>
      <w:bookmarkEnd w:id="1"/>
      <w:r w:rsidRPr="00C873C2" w:rsidR="00C873C2">
        <w:rPr>
          <w:b/>
        </w:rPr>
        <w:t>SCHEMBRI AND OTHERS</w:t>
      </w:r>
      <w:r w:rsidR="00C873C2">
        <w:rPr>
          <w:b/>
        </w:rPr>
        <w:t xml:space="preserve"> </w:t>
      </w:r>
      <w:r w:rsidRPr="00C873C2" w:rsidR="00C873C2">
        <w:rPr>
          <w:b/>
        </w:rPr>
        <w:t xml:space="preserve">v. </w:t>
      </w:r>
      <w:smartTag w:uri="urn:schemas-microsoft-com:office:smarttags" w:element="place">
        <w:smartTag w:uri="urn:schemas-microsoft-com:office:smarttags" w:element="country-region">
          <w:r w:rsidR="00C873C2" w:rsidRPr="00C873C2">
            <w:rPr>
              <w:b/>
            </w:rPr>
            <w:t>MALTA</w:t>
          </w:r>
        </w:smartTag>
      </w:smartTag>
    </w:p>
    <w:p w:rsidRPr="00C873C2" w:rsidR="00746252" w:rsidRDefault="00746252">
      <w:pPr>
        <w:jc w:val="center"/>
      </w:pPr>
    </w:p>
    <w:p w:rsidRPr="00C873C2" w:rsidR="00746252" w:rsidRDefault="00746252">
      <w:pPr>
        <w:jc w:val="center"/>
        <w:rPr>
          <w:i/>
        </w:rPr>
      </w:pPr>
      <w:r w:rsidRPr="00C873C2">
        <w:rPr>
          <w:i/>
        </w:rPr>
        <w:t>(</w:t>
      </w:r>
      <w:r w:rsidRPr="00C873C2" w:rsidR="00C873C2">
        <w:rPr>
          <w:i/>
        </w:rPr>
        <w:t>Application no. 42583/06</w:t>
      </w:r>
      <w:r w:rsidRPr="00C873C2">
        <w:rPr>
          <w:i/>
        </w:rPr>
        <w:t>)</w:t>
      </w:r>
    </w:p>
    <w:p w:rsidR="00AB00B4" w:rsidP="00AB00B4" w:rsidRDefault="00AB00B4">
      <w:pPr>
        <w:pStyle w:val="JuPara"/>
        <w:jc w:val="center"/>
        <w:rPr>
          <w:szCs w:val="24"/>
        </w:rPr>
      </w:pPr>
    </w:p>
    <w:p w:rsidR="00AB00B4" w:rsidP="00AB00B4" w:rsidRDefault="00AB00B4">
      <w:pPr>
        <w:pStyle w:val="JuPara"/>
        <w:jc w:val="center"/>
        <w:rPr>
          <w:szCs w:val="24"/>
        </w:rPr>
      </w:pPr>
    </w:p>
    <w:p w:rsidR="00AB00B4" w:rsidP="00AB00B4" w:rsidRDefault="00AB00B4">
      <w:pPr>
        <w:pStyle w:val="JuPara"/>
        <w:jc w:val="center"/>
        <w:rPr>
          <w:szCs w:val="24"/>
        </w:rPr>
      </w:pPr>
    </w:p>
    <w:p w:rsidR="00AB00B4" w:rsidP="00AB00B4" w:rsidRDefault="00AB00B4">
      <w:pPr>
        <w:pStyle w:val="JuPara"/>
        <w:jc w:val="center"/>
        <w:rPr>
          <w:szCs w:val="24"/>
        </w:rPr>
      </w:pPr>
    </w:p>
    <w:p w:rsidR="00541E9E" w:rsidP="00AB00B4" w:rsidRDefault="00541E9E">
      <w:pPr>
        <w:pStyle w:val="JuPara"/>
        <w:jc w:val="center"/>
        <w:rPr>
          <w:szCs w:val="24"/>
        </w:rPr>
      </w:pPr>
    </w:p>
    <w:p w:rsidR="00AB00B4" w:rsidP="00AB00B4" w:rsidRDefault="00AB00B4">
      <w:pPr>
        <w:pStyle w:val="JuPara"/>
        <w:jc w:val="center"/>
        <w:rPr>
          <w:szCs w:val="24"/>
        </w:rPr>
      </w:pPr>
    </w:p>
    <w:p w:rsidR="00AB00B4" w:rsidP="00AB00B4" w:rsidRDefault="00AB00B4">
      <w:pPr>
        <w:pStyle w:val="JuPara"/>
        <w:jc w:val="center"/>
        <w:rPr>
          <w:szCs w:val="24"/>
        </w:rPr>
      </w:pPr>
      <w:r>
        <w:rPr>
          <w:szCs w:val="24"/>
        </w:rPr>
        <w:t>JUDGMENT</w:t>
      </w:r>
    </w:p>
    <w:p w:rsidR="00AB00B4" w:rsidP="00AB00B4" w:rsidRDefault="00AB00B4">
      <w:pPr>
        <w:pStyle w:val="JuPara"/>
        <w:jc w:val="center"/>
        <w:rPr>
          <w:szCs w:val="24"/>
        </w:rPr>
      </w:pPr>
      <w:r>
        <w:rPr>
          <w:szCs w:val="24"/>
        </w:rPr>
        <w:t>(Just satisfaction)</w:t>
      </w:r>
    </w:p>
    <w:p w:rsidR="00AB00B4" w:rsidP="00AB00B4" w:rsidRDefault="00AB00B4">
      <w:pPr>
        <w:pStyle w:val="JuPara"/>
        <w:jc w:val="center"/>
        <w:rPr>
          <w:szCs w:val="24"/>
        </w:rPr>
      </w:pPr>
    </w:p>
    <w:p w:rsidR="00AB00B4" w:rsidP="00AB00B4" w:rsidRDefault="00AB00B4">
      <w:pPr>
        <w:pStyle w:val="JuPara"/>
        <w:jc w:val="center"/>
        <w:rPr>
          <w:szCs w:val="24"/>
        </w:rPr>
      </w:pPr>
    </w:p>
    <w:p w:rsidR="00AB00B4" w:rsidP="00AB00B4" w:rsidRDefault="00AB00B4">
      <w:pPr>
        <w:pStyle w:val="JuPara"/>
        <w:jc w:val="center"/>
        <w:rPr>
          <w:szCs w:val="24"/>
        </w:rPr>
      </w:pPr>
      <w:smartTag w:uri="urn:schemas-microsoft-com:office:smarttags" w:element="Street">
        <w:smartTag w:uri="urn:schemas-microsoft-com:office:smarttags" w:element="place">
          <w:r>
            <w:rPr>
              <w:szCs w:val="24"/>
            </w:rPr>
            <w:t>STRASBOURG</w:t>
          </w:r>
        </w:smartTag>
      </w:smartTag>
    </w:p>
    <w:p w:rsidR="00AB00B4" w:rsidP="00AB00B4" w:rsidRDefault="00AB00B4">
      <w:pPr>
        <w:pStyle w:val="JuPara"/>
        <w:jc w:val="center"/>
        <w:rPr>
          <w:szCs w:val="24"/>
        </w:rPr>
      </w:pPr>
    </w:p>
    <w:p w:rsidR="00AB00B4" w:rsidP="00AB00B4" w:rsidRDefault="00AB00B4">
      <w:pPr>
        <w:pStyle w:val="JuPara"/>
        <w:jc w:val="center"/>
        <w:rPr>
          <w:szCs w:val="24"/>
        </w:rPr>
      </w:pPr>
      <w:r>
        <w:rPr>
          <w:szCs w:val="24"/>
        </w:rPr>
        <w:t>28 September 2010</w:t>
      </w:r>
    </w:p>
    <w:p w:rsidR="00AB00B4" w:rsidP="00AB00B4" w:rsidRDefault="00AB00B4">
      <w:pPr>
        <w:pStyle w:val="JuPara"/>
        <w:jc w:val="center"/>
        <w:rPr>
          <w:szCs w:val="24"/>
        </w:rPr>
      </w:pPr>
    </w:p>
    <w:p w:rsidR="00541E9E" w:rsidP="00541E9E" w:rsidRDefault="00541E9E">
      <w:pPr>
        <w:jc w:val="center"/>
        <w:rPr>
          <w:b/>
          <w:color w:val="FF0000"/>
          <w:szCs w:val="24"/>
          <w:u w:val="single"/>
        </w:rPr>
      </w:pPr>
      <w:r>
        <w:rPr>
          <w:b/>
          <w:color w:val="FF0000"/>
          <w:szCs w:val="24"/>
          <w:u w:val="single"/>
        </w:rPr>
        <w:t>FINAL</w:t>
      </w:r>
    </w:p>
    <w:p w:rsidR="00541E9E" w:rsidP="00541E9E" w:rsidRDefault="00541E9E">
      <w:pPr>
        <w:jc w:val="center"/>
        <w:rPr>
          <w:b/>
          <w:color w:val="FF0000"/>
          <w:szCs w:val="24"/>
          <w:u w:val="single"/>
        </w:rPr>
      </w:pPr>
    </w:p>
    <w:p w:rsidR="00541E9E" w:rsidP="00541E9E" w:rsidRDefault="00541E9E">
      <w:pPr>
        <w:jc w:val="center"/>
        <w:rPr>
          <w:i/>
          <w:color w:val="FF0000"/>
          <w:szCs w:val="24"/>
        </w:rPr>
      </w:pPr>
      <w:r>
        <w:rPr>
          <w:i/>
          <w:color w:val="FF0000"/>
          <w:szCs w:val="24"/>
        </w:rPr>
        <w:t>21/02/2011</w:t>
      </w:r>
    </w:p>
    <w:p w:rsidR="00541E9E" w:rsidP="00541E9E" w:rsidRDefault="00541E9E">
      <w:pPr>
        <w:jc w:val="center"/>
        <w:rPr>
          <w:i/>
          <w:color w:val="FF0000"/>
          <w:szCs w:val="24"/>
        </w:rPr>
      </w:pPr>
    </w:p>
    <w:p w:rsidRPr="00541E9E" w:rsidR="00CC5D83" w:rsidP="00541E9E" w:rsidRDefault="00541E9E">
      <w:pPr>
        <w:rPr>
          <w:i/>
          <w:szCs w:val="24"/>
        </w:rPr>
      </w:pPr>
      <w:r w:rsidRPr="00541E9E">
        <w:rPr>
          <w:i/>
        </w:rPr>
        <w:t>This judgment has become final under Article 44 § 2 (c) of the Convention. It may be subject to editorial revision.</w:t>
      </w:r>
    </w:p>
    <w:p w:rsidR="00AB00B4" w:rsidP="00F655E1" w:rsidRDefault="00AB00B4">
      <w:pPr>
        <w:pStyle w:val="JuPara"/>
        <w:rPr>
          <w:b/>
        </w:rPr>
        <w:sectPr w:rsidR="00AB00B4" w:rsidSect="00AB00B4">
          <w:headerReference w:type="default" r:id="rId7"/>
          <w:footnotePr>
            <w:numRestart w:val="eachPage"/>
          </w:footnotePr>
          <w:pgSz w:w="11906" w:h="16838" w:code="9"/>
          <w:pgMar w:top="2274" w:right="2274" w:bottom="2274" w:left="2274" w:header="1701" w:footer="720" w:gutter="0"/>
          <w:pgNumType w:start="1"/>
          <w:cols w:space="720"/>
          <w:docGrid w:linePitch="254"/>
        </w:sectPr>
      </w:pPr>
    </w:p>
    <w:p w:rsidRPr="00735B7C" w:rsidR="00746252" w:rsidP="00F655E1" w:rsidRDefault="00746252">
      <w:pPr>
        <w:pStyle w:val="JuPara"/>
        <w:rPr>
          <w:szCs w:val="24"/>
        </w:rPr>
      </w:pPr>
      <w:r w:rsidRPr="00C4488A">
        <w:rPr>
          <w:b/>
        </w:rPr>
        <w:t xml:space="preserve">In the case of </w:t>
      </w:r>
      <w:r w:rsidRPr="00C4488A" w:rsidR="00C873C2">
        <w:rPr>
          <w:b/>
        </w:rPr>
        <w:t xml:space="preserve">Schembri and Others v. </w:t>
      </w:r>
      <w:smartTag w:uri="urn:schemas-microsoft-com:office:smarttags" w:element="place">
        <w:smartTag w:uri="urn:schemas-microsoft-com:office:smarttags" w:element="country-region">
          <w:r w:rsidR="00C873C2" w:rsidRPr="00C4488A">
            <w:rPr>
              <w:b/>
            </w:rPr>
            <w:t>Malta</w:t>
          </w:r>
        </w:smartTag>
      </w:smartTag>
      <w:r w:rsidRPr="00C4488A">
        <w:rPr>
          <w:b/>
        </w:rPr>
        <w:t>,</w:t>
      </w:r>
    </w:p>
    <w:p w:rsidRPr="00C873C2" w:rsidR="007E7913" w:rsidP="007E7913" w:rsidRDefault="00746252">
      <w:pPr>
        <w:pStyle w:val="JuPara"/>
      </w:pPr>
      <w:r w:rsidRPr="00C873C2">
        <w:t>The European Court of Human Rights</w:t>
      </w:r>
      <w:r w:rsidRPr="00C873C2" w:rsidR="00C873C2">
        <w:t xml:space="preserve"> (Fourth Section)</w:t>
      </w:r>
      <w:r w:rsidRPr="00C873C2">
        <w:t xml:space="preserve">, sitting as a </w:t>
      </w:r>
      <w:r w:rsidRPr="00C873C2" w:rsidR="00C873C2">
        <w:t>Chamber</w:t>
      </w:r>
      <w:r w:rsidR="00C873C2">
        <w:t xml:space="preserve"> </w:t>
      </w:r>
      <w:r w:rsidRPr="00C873C2" w:rsidR="007E7913">
        <w:t>composed of:</w:t>
      </w:r>
    </w:p>
    <w:p w:rsidRPr="00C873C2" w:rsidR="00E17294" w:rsidP="007E7913" w:rsidRDefault="00AB00B4">
      <w:pPr>
        <w:pStyle w:val="JuJudges"/>
      </w:pPr>
      <w:r w:rsidRPr="00AB00B4">
        <w:tab/>
        <w:t>Nicolas</w:t>
      </w:r>
      <w:r>
        <w:t xml:space="preserve"> </w:t>
      </w:r>
      <w:r w:rsidRPr="00AB00B4">
        <w:t>Bratza</w:t>
      </w:r>
      <w:r>
        <w:t>,</w:t>
      </w:r>
      <w:r w:rsidRPr="00AB00B4">
        <w:rPr>
          <w:i/>
        </w:rPr>
        <w:t xml:space="preserve"> President,</w:t>
      </w:r>
      <w:r>
        <w:rPr>
          <w:i/>
        </w:rPr>
        <w:br/>
      </w:r>
      <w:r w:rsidRPr="00AB00B4">
        <w:tab/>
        <w:t>Lech</w:t>
      </w:r>
      <w:r>
        <w:t xml:space="preserve"> </w:t>
      </w:r>
      <w:r w:rsidRPr="00AB00B4">
        <w:t>Garlicki</w:t>
      </w:r>
      <w:r>
        <w:t>,</w:t>
      </w:r>
      <w:r>
        <w:rPr>
          <w:i/>
        </w:rPr>
        <w:br/>
      </w:r>
      <w:r w:rsidRPr="00AB00B4">
        <w:tab/>
        <w:t>Giovanni</w:t>
      </w:r>
      <w:r>
        <w:t xml:space="preserve"> </w:t>
      </w:r>
      <w:r w:rsidRPr="00AB00B4">
        <w:t>Bonello</w:t>
      </w:r>
      <w:r>
        <w:t>,</w:t>
      </w:r>
      <w:r>
        <w:rPr>
          <w:i/>
        </w:rPr>
        <w:br/>
      </w:r>
      <w:r w:rsidRPr="00AB00B4">
        <w:tab/>
        <w:t>Ljiljana</w:t>
      </w:r>
      <w:r>
        <w:t xml:space="preserve"> </w:t>
      </w:r>
      <w:r w:rsidRPr="00AB00B4">
        <w:t>Mijović</w:t>
      </w:r>
      <w:r>
        <w:t>,</w:t>
      </w:r>
      <w:r>
        <w:rPr>
          <w:i/>
        </w:rPr>
        <w:br/>
      </w:r>
      <w:r w:rsidRPr="00AB00B4">
        <w:tab/>
        <w:t>David Thór</w:t>
      </w:r>
      <w:r>
        <w:t xml:space="preserve"> </w:t>
      </w:r>
      <w:r w:rsidRPr="00AB00B4">
        <w:t>Björgvinsson</w:t>
      </w:r>
      <w:r>
        <w:t>,</w:t>
      </w:r>
      <w:r>
        <w:rPr>
          <w:i/>
        </w:rPr>
        <w:br/>
      </w:r>
      <w:r w:rsidRPr="00AB00B4">
        <w:tab/>
        <w:t>Ledi</w:t>
      </w:r>
      <w:r>
        <w:t xml:space="preserve"> </w:t>
      </w:r>
      <w:r w:rsidRPr="00AB00B4">
        <w:t>Bianku</w:t>
      </w:r>
      <w:r>
        <w:t>,</w:t>
      </w:r>
      <w:r>
        <w:rPr>
          <w:i/>
        </w:rPr>
        <w:br/>
      </w:r>
      <w:r w:rsidRPr="00AB00B4">
        <w:tab/>
        <w:t>Mihai</w:t>
      </w:r>
      <w:r>
        <w:t xml:space="preserve"> </w:t>
      </w:r>
      <w:r w:rsidRPr="00AB00B4">
        <w:t>Poalelungi</w:t>
      </w:r>
      <w:r>
        <w:t>,</w:t>
      </w:r>
      <w:r w:rsidRPr="00AB00B4">
        <w:rPr>
          <w:i/>
        </w:rPr>
        <w:t xml:space="preserve"> judges,</w:t>
      </w:r>
      <w:r w:rsidRPr="00C873C2" w:rsidR="007E7913">
        <w:br/>
      </w:r>
      <w:r w:rsidRPr="00C873C2" w:rsidR="00E17294">
        <w:rPr>
          <w:rStyle w:val="JuJudgesChar"/>
        </w:rPr>
        <w:t xml:space="preserve">and </w:t>
      </w:r>
      <w:r w:rsidRPr="00544490">
        <w:rPr>
          <w:rStyle w:val="JuJudgesChar"/>
        </w:rPr>
        <w:t xml:space="preserve">Fatoş Aracı, </w:t>
      </w:r>
      <w:r w:rsidRPr="00AB00B4">
        <w:rPr>
          <w:rStyle w:val="JuJudgesChar"/>
          <w:i/>
        </w:rPr>
        <w:t>Deputy Section Registrar</w:t>
      </w:r>
      <w:r w:rsidRPr="00C873C2" w:rsidR="00E17294">
        <w:rPr>
          <w:rStyle w:val="JuJudgesChar"/>
          <w:i/>
        </w:rPr>
        <w:t>,</w:t>
      </w:r>
    </w:p>
    <w:p w:rsidRPr="00C873C2" w:rsidR="00746252" w:rsidRDefault="00746252">
      <w:pPr>
        <w:pStyle w:val="JuPara"/>
      </w:pPr>
      <w:r w:rsidRPr="00C873C2">
        <w:t xml:space="preserve">Having deliberated in private on </w:t>
      </w:r>
      <w:r w:rsidR="006B2004">
        <w:t>7 September 2010</w:t>
      </w:r>
      <w:r w:rsidRPr="00C873C2">
        <w:t>,</w:t>
      </w:r>
    </w:p>
    <w:p w:rsidRPr="00C873C2" w:rsidR="00746252" w:rsidRDefault="00746252">
      <w:pPr>
        <w:pStyle w:val="JuPara"/>
      </w:pPr>
      <w:r w:rsidRPr="00C873C2">
        <w:t>Delivers the following judgment, which was adopted on that date:</w:t>
      </w:r>
    </w:p>
    <w:p w:rsidRPr="00C873C2" w:rsidR="00746252" w:rsidRDefault="00746252">
      <w:pPr>
        <w:pStyle w:val="JuHHead"/>
      </w:pPr>
      <w:r w:rsidRPr="00C873C2">
        <w:t>PROCEDURE</w:t>
      </w:r>
    </w:p>
    <w:p w:rsidR="00CC5D83" w:rsidP="0083033D" w:rsidRDefault="00C873C2">
      <w:pPr>
        <w:pStyle w:val="JuPara"/>
      </w:pPr>
      <w:r w:rsidRPr="00C873C2">
        <w:fldChar w:fldCharType="begin"/>
      </w:r>
      <w:r w:rsidRPr="00C873C2">
        <w:instrText xml:space="preserve"> SEQ level0 \*arabic </w:instrText>
      </w:r>
      <w:r w:rsidRPr="00C873C2">
        <w:fldChar w:fldCharType="separate"/>
      </w:r>
      <w:r w:rsidR="00CC5D83">
        <w:rPr>
          <w:noProof/>
        </w:rPr>
        <w:t>1</w:t>
      </w:r>
      <w:r w:rsidRPr="00C873C2">
        <w:fldChar w:fldCharType="end"/>
      </w:r>
      <w:r w:rsidRPr="00C873C2" w:rsidR="00746252">
        <w:t>.  </w:t>
      </w:r>
      <w:r w:rsidRPr="006C377B" w:rsidR="000D404C">
        <w:t xml:space="preserve">The case originated in an application (no. 42583/06) against Malta lodged with the Court under Article 34 of the Convention for the Protection of Human Rights and Fundamental Freedoms (“the Convention”) by </w:t>
      </w:r>
      <w:r w:rsidR="000D404C">
        <w:t xml:space="preserve">Ms Rosaria Schembri, Mr Saviour Schembri, Mr Carmel Schembri, Mr Anthony Schembri, Mr Emanuel Schembri, Ms Michelina Farrugia, Ms Catarina Formosa, Ms Mary Fenech, Ms Rosanna Mula, Ms Anna Zammit and Sr Rosangela Schembri </w:t>
      </w:r>
      <w:r w:rsidRPr="006C377B" w:rsidR="000D404C">
        <w:t>(“the applicant</w:t>
      </w:r>
      <w:r w:rsidR="000D404C">
        <w:t>s</w:t>
      </w:r>
      <w:r w:rsidRPr="006C377B" w:rsidR="000D404C">
        <w:t>”),</w:t>
      </w:r>
      <w:r w:rsidR="000D404C">
        <w:t xml:space="preserve"> all Maltese nationals,</w:t>
      </w:r>
      <w:r w:rsidRPr="006C377B" w:rsidR="000D404C">
        <w:t xml:space="preserve"> on 4 October 2006.</w:t>
      </w:r>
    </w:p>
    <w:p w:rsidR="00CC5D83" w:rsidRDefault="00C873C2">
      <w:pPr>
        <w:pStyle w:val="JuPara"/>
      </w:pPr>
      <w:r w:rsidRPr="00C873C2">
        <w:fldChar w:fldCharType="begin"/>
      </w:r>
      <w:r w:rsidRPr="00C873C2">
        <w:instrText xml:space="preserve"> SEQ level0 \*arabic </w:instrText>
      </w:r>
      <w:r w:rsidRPr="00C873C2">
        <w:fldChar w:fldCharType="separate"/>
      </w:r>
      <w:r w:rsidR="00CC5D83">
        <w:rPr>
          <w:noProof/>
        </w:rPr>
        <w:t>2</w:t>
      </w:r>
      <w:r w:rsidRPr="00C873C2">
        <w:fldChar w:fldCharType="end"/>
      </w:r>
      <w:r w:rsidRPr="00C873C2" w:rsidR="00746252">
        <w:t xml:space="preserve">.  In a judgment delivered on </w:t>
      </w:r>
      <w:r w:rsidR="000D404C">
        <w:t>10 November 2009</w:t>
      </w:r>
      <w:r w:rsidRPr="00C873C2" w:rsidR="00746252">
        <w:t xml:space="preserve"> (“the principal judgment”), the Court </w:t>
      </w:r>
      <w:r w:rsidR="003B2536">
        <w:t xml:space="preserve">found a violation of Article 1 of Protocol No. 1 to the Convention. It </w:t>
      </w:r>
      <w:r w:rsidRPr="00C873C2" w:rsidR="00746252">
        <w:t xml:space="preserve">held </w:t>
      </w:r>
      <w:r w:rsidRPr="006C377B" w:rsidR="000D404C">
        <w:t xml:space="preserve">that </w:t>
      </w:r>
      <w:r w:rsidR="000D404C">
        <w:t>b</w:t>
      </w:r>
      <w:r w:rsidRPr="009E5CCC" w:rsidR="000D404C">
        <w:t xml:space="preserve">y </w:t>
      </w:r>
      <w:r w:rsidR="000D404C">
        <w:t xml:space="preserve">awarding compensation for the taking of property reflecting values applicable decades before and </w:t>
      </w:r>
      <w:r w:rsidRPr="009E5CCC" w:rsidR="000D404C">
        <w:t xml:space="preserve">deferring </w:t>
      </w:r>
      <w:r w:rsidR="000D404C">
        <w:t xml:space="preserve">the </w:t>
      </w:r>
      <w:r w:rsidRPr="009E5CCC" w:rsidR="000D404C">
        <w:t xml:space="preserve">payment of </w:t>
      </w:r>
      <w:r w:rsidR="000D404C">
        <w:t xml:space="preserve">such </w:t>
      </w:r>
      <w:r w:rsidRPr="009E5CCC" w:rsidR="000D404C">
        <w:t>for</w:t>
      </w:r>
      <w:r w:rsidR="000D404C">
        <w:t xml:space="preserve"> at least twenty years</w:t>
      </w:r>
      <w:r w:rsidR="00C4488A">
        <w:t>, that is, until th</w:t>
      </w:r>
      <w:r w:rsidR="000D404C">
        <w:t xml:space="preserve">e date of </w:t>
      </w:r>
      <w:r w:rsidRPr="009E5CCC" w:rsidR="000D404C">
        <w:t>the</w:t>
      </w:r>
      <w:r w:rsidR="000D404C">
        <w:t xml:space="preserve"> relevant decision</w:t>
      </w:r>
      <w:r w:rsidR="00C4488A">
        <w:t>,</w:t>
      </w:r>
      <w:r w:rsidR="000D404C">
        <w:t xml:space="preserve"> which did not take into account this delay, the</w:t>
      </w:r>
      <w:r w:rsidRPr="009E5CCC" w:rsidR="000D404C">
        <w:t xml:space="preserve"> national authorities rendered th</w:t>
      </w:r>
      <w:r w:rsidR="000D404C">
        <w:t xml:space="preserve">at compensation inadequate and, </w:t>
      </w:r>
      <w:r w:rsidRPr="009E5CCC" w:rsidR="000D404C">
        <w:t>consequently, upset the balance between</w:t>
      </w:r>
      <w:r w:rsidR="000D404C">
        <w:t xml:space="preserve"> the protection of the right to </w:t>
      </w:r>
      <w:r w:rsidRPr="009E5CCC" w:rsidR="000D404C">
        <w:t>property and the requirements of the general interest</w:t>
      </w:r>
      <w:r w:rsidRPr="00C873C2" w:rsidR="00746252">
        <w:t xml:space="preserve"> (</w:t>
      </w:r>
      <w:r w:rsidRPr="000D404C" w:rsidR="000D404C">
        <w:rPr>
          <w:i/>
          <w:lang w:val="pt-BR" w:eastAsia="en-US"/>
        </w:rPr>
        <w:t>Schembri and Others v. Malta</w:t>
      </w:r>
      <w:r w:rsidR="006B2004">
        <w:rPr>
          <w:lang w:val="pt-BR" w:eastAsia="en-US"/>
        </w:rPr>
        <w:t>, no. </w:t>
      </w:r>
      <w:r w:rsidRPr="000D404C" w:rsidR="000D404C">
        <w:rPr>
          <w:lang w:val="pt-BR" w:eastAsia="en-US"/>
        </w:rPr>
        <w:t>42583/06</w:t>
      </w:r>
      <w:r w:rsidR="000D404C">
        <w:rPr>
          <w:snapToGrid w:val="0"/>
          <w:lang w:val="pt-BR" w:eastAsia="en-US"/>
        </w:rPr>
        <w:t>, § 45</w:t>
      </w:r>
      <w:r w:rsidRPr="000D404C" w:rsidR="000D404C">
        <w:rPr>
          <w:snapToGrid w:val="0"/>
          <w:lang w:val="pt-BR" w:eastAsia="en-US"/>
        </w:rPr>
        <w:t xml:space="preserve">, 10 </w:t>
      </w:r>
      <w:r w:rsidRPr="000D404C" w:rsidR="000D404C">
        <w:rPr>
          <w:lang w:val="pt-BR" w:eastAsia="en-US"/>
        </w:rPr>
        <w:t>November</w:t>
      </w:r>
      <w:r w:rsidRPr="000D404C" w:rsidR="000D404C">
        <w:rPr>
          <w:snapToGrid w:val="0"/>
          <w:lang w:val="pt-BR" w:eastAsia="en-US"/>
        </w:rPr>
        <w:t xml:space="preserve"> 2009</w:t>
      </w:r>
      <w:r w:rsidRPr="00C873C2" w:rsidR="00746252">
        <w:t>).</w:t>
      </w:r>
    </w:p>
    <w:p w:rsidRPr="00C873C2" w:rsidR="00746252" w:rsidRDefault="00C873C2">
      <w:pPr>
        <w:pStyle w:val="JuPara"/>
      </w:pPr>
      <w:r w:rsidRPr="00C873C2">
        <w:fldChar w:fldCharType="begin"/>
      </w:r>
      <w:r w:rsidRPr="00C873C2">
        <w:instrText xml:space="preserve"> SEQ level0 \*arabic </w:instrText>
      </w:r>
      <w:r w:rsidRPr="00C873C2">
        <w:fldChar w:fldCharType="separate"/>
      </w:r>
      <w:r w:rsidR="00CC5D83">
        <w:rPr>
          <w:noProof/>
        </w:rPr>
        <w:t>3</w:t>
      </w:r>
      <w:r w:rsidRPr="00C873C2">
        <w:fldChar w:fldCharType="end"/>
      </w:r>
      <w:r w:rsidRPr="00C873C2" w:rsidR="00746252">
        <w:t xml:space="preserve">.  Under Article 41 of the Convention the </w:t>
      </w:r>
      <w:r w:rsidRPr="00C873C2">
        <w:t>applicant</w:t>
      </w:r>
      <w:r w:rsidR="003B2536">
        <w:t>s</w:t>
      </w:r>
      <w:r w:rsidRPr="00C873C2" w:rsidR="00746252">
        <w:t xml:space="preserve"> sought just satisfaction </w:t>
      </w:r>
      <w:r w:rsidR="003B2536">
        <w:t>amounting to 2,200,000</w:t>
      </w:r>
      <w:r w:rsidR="00C4488A">
        <w:t xml:space="preserve"> euros (EUR</w:t>
      </w:r>
      <w:r w:rsidR="005262F5">
        <w:t>)</w:t>
      </w:r>
      <w:r w:rsidR="003B2536">
        <w:t>,</w:t>
      </w:r>
      <w:r w:rsidR="00A52F3E">
        <w:t xml:space="preserve"> namely</w:t>
      </w:r>
      <w:r w:rsidR="00C7023B">
        <w:t>,</w:t>
      </w:r>
      <w:r w:rsidR="00A52F3E">
        <w:t xml:space="preserve"> the value of the property in 2008</w:t>
      </w:r>
      <w:r w:rsidR="003B2536">
        <w:t xml:space="preserve"> </w:t>
      </w:r>
      <w:r w:rsidR="00C7023B">
        <w:t>according to</w:t>
      </w:r>
      <w:r w:rsidR="003B2536">
        <w:t xml:space="preserve"> an architect</w:t>
      </w:r>
      <w:r w:rsidR="00541E9E">
        <w:t>'</w:t>
      </w:r>
      <w:r w:rsidR="003B2536">
        <w:t xml:space="preserve">s valuation whereby the property was estimated to be worth EUR 1,100 per square metre, in respect of </w:t>
      </w:r>
      <w:r w:rsidRPr="006C377B" w:rsidR="003B2536">
        <w:t>pecuniary damage</w:t>
      </w:r>
      <w:r w:rsidR="003B2536">
        <w:t xml:space="preserve"> and EUR 50,000 in respect of non</w:t>
      </w:r>
      <w:r w:rsidR="003B2536">
        <w:noBreakHyphen/>
        <w:t>pecuniary damage</w:t>
      </w:r>
      <w:r w:rsidR="00CA004C">
        <w:t>, plus costs and expenses.</w:t>
      </w:r>
    </w:p>
    <w:p w:rsidRPr="00C873C2" w:rsidR="00746252" w:rsidRDefault="00C873C2">
      <w:pPr>
        <w:pStyle w:val="JuPara"/>
      </w:pPr>
      <w:r w:rsidRPr="00C873C2">
        <w:fldChar w:fldCharType="begin"/>
      </w:r>
      <w:r w:rsidRPr="00C873C2">
        <w:instrText xml:space="preserve"> SEQ level0 \*arabic </w:instrText>
      </w:r>
      <w:r w:rsidRPr="00C873C2">
        <w:fldChar w:fldCharType="separate"/>
      </w:r>
      <w:r w:rsidR="00CC5D83">
        <w:rPr>
          <w:noProof/>
        </w:rPr>
        <w:t>4</w:t>
      </w:r>
      <w:r w:rsidRPr="00C873C2">
        <w:fldChar w:fldCharType="end"/>
      </w:r>
      <w:r w:rsidRPr="00C873C2" w:rsidR="00746252">
        <w:t>.  Since the question of the application of Article 41 of the Conven</w:t>
      </w:r>
      <w:r w:rsidR="00A52F3E">
        <w:t xml:space="preserve">tion was not ready for decision, </w:t>
      </w:r>
      <w:r w:rsidRPr="00C873C2" w:rsidR="00746252">
        <w:t xml:space="preserve">the Court reserved it and invited the Government and the </w:t>
      </w:r>
      <w:r w:rsidRPr="00C873C2">
        <w:t>applicant</w:t>
      </w:r>
      <w:r w:rsidR="00272A74">
        <w:t>s</w:t>
      </w:r>
      <w:r w:rsidRPr="00C873C2" w:rsidR="00746252">
        <w:t xml:space="preserve"> to submit, within </w:t>
      </w:r>
      <w:r w:rsidRPr="00E228A7" w:rsidR="00A52F3E">
        <w:rPr>
          <w:rStyle w:val="JuListiChar"/>
        </w:rPr>
        <w:t>three months from the da</w:t>
      </w:r>
      <w:r w:rsidR="00A52F3E">
        <w:rPr>
          <w:rStyle w:val="JuListiChar"/>
        </w:rPr>
        <w:t>te on which the judgment became</w:t>
      </w:r>
      <w:r w:rsidRPr="00E228A7" w:rsidR="00A52F3E">
        <w:rPr>
          <w:rStyle w:val="JuListiChar"/>
        </w:rPr>
        <w:t xml:space="preserve"> final in accordance with Article 44 § 2 of the Convention</w:t>
      </w:r>
      <w:r w:rsidRPr="00C873C2" w:rsidR="00746252">
        <w:t>, their written observations on that issue and, in particular, to notify the Court of any agreement they might reach (ib</w:t>
      </w:r>
      <w:r w:rsidR="00A52F3E">
        <w:t xml:space="preserve">id., </w:t>
      </w:r>
      <w:r w:rsidRPr="00C873C2" w:rsidR="00746252">
        <w:t>§</w:t>
      </w:r>
      <w:r w:rsidR="00A52F3E">
        <w:t xml:space="preserve"> 57 </w:t>
      </w:r>
      <w:r w:rsidRPr="00C873C2" w:rsidR="00746252">
        <w:t xml:space="preserve">and point </w:t>
      </w:r>
      <w:r w:rsidR="00A52F3E">
        <w:t>3 (a) and (b)</w:t>
      </w:r>
      <w:r w:rsidRPr="00C873C2" w:rsidR="00746252">
        <w:t xml:space="preserve"> of the operative provisions).</w:t>
      </w:r>
    </w:p>
    <w:p w:rsidRPr="00A52F3E" w:rsidR="00746252" w:rsidP="001C7B1B" w:rsidRDefault="00C873C2">
      <w:pPr>
        <w:pStyle w:val="JuPara"/>
      </w:pPr>
      <w:r w:rsidRPr="00C873C2">
        <w:fldChar w:fldCharType="begin"/>
      </w:r>
      <w:r w:rsidRPr="00C873C2">
        <w:instrText xml:space="preserve"> SEQ level0 \*arabic </w:instrText>
      </w:r>
      <w:r w:rsidRPr="00C873C2">
        <w:fldChar w:fldCharType="separate"/>
      </w:r>
      <w:r w:rsidR="00CC5D83">
        <w:rPr>
          <w:noProof/>
        </w:rPr>
        <w:t>5</w:t>
      </w:r>
      <w:r w:rsidRPr="00C873C2">
        <w:fldChar w:fldCharType="end"/>
      </w:r>
      <w:r w:rsidRPr="00C873C2" w:rsidR="00746252">
        <w:t xml:space="preserve">.  The </w:t>
      </w:r>
      <w:r w:rsidRPr="00C873C2">
        <w:t>applicant</w:t>
      </w:r>
      <w:r w:rsidRPr="00C873C2" w:rsidR="00746252">
        <w:t xml:space="preserve"> and the Govern</w:t>
      </w:r>
      <w:r w:rsidR="00A52F3E">
        <w:t>ment each filed observations.</w:t>
      </w:r>
    </w:p>
    <w:p w:rsidRPr="00C873C2" w:rsidR="00746252" w:rsidRDefault="00746252">
      <w:pPr>
        <w:pStyle w:val="JuHHead"/>
      </w:pPr>
      <w:r w:rsidRPr="00C873C2">
        <w:t>THE LAW</w:t>
      </w:r>
    </w:p>
    <w:p w:rsidRPr="00C873C2" w:rsidR="00C873C2" w:rsidRDefault="00C873C2">
      <w:pPr>
        <w:pStyle w:val="JuPara"/>
        <w:keepNext/>
        <w:keepLines/>
      </w:pPr>
      <w:r w:rsidRPr="00C873C2">
        <w:fldChar w:fldCharType="begin"/>
      </w:r>
      <w:r w:rsidRPr="00C873C2">
        <w:instrText xml:space="preserve"> SEQ level0 \*arabic </w:instrText>
      </w:r>
      <w:r w:rsidRPr="00C873C2">
        <w:fldChar w:fldCharType="separate"/>
      </w:r>
      <w:r w:rsidR="00CC5D83">
        <w:rPr>
          <w:noProof/>
        </w:rPr>
        <w:t>6</w:t>
      </w:r>
      <w:r w:rsidRPr="00C873C2">
        <w:fldChar w:fldCharType="end"/>
      </w:r>
      <w:r w:rsidRPr="00C873C2">
        <w:t>.  Article 41 of the Convention provides:</w:t>
      </w:r>
    </w:p>
    <w:p w:rsidRPr="00C873C2" w:rsidR="00C873C2" w:rsidRDefault="00C873C2">
      <w:pPr>
        <w:pStyle w:val="JuQuot"/>
        <w:keepNext/>
        <w:keepLines/>
      </w:pPr>
      <w:r w:rsidRPr="00C873C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C873C2" w:rsidRDefault="00C873C2">
      <w:pPr>
        <w:pStyle w:val="JuHA"/>
      </w:pPr>
      <w:r w:rsidRPr="00C873C2">
        <w:t>A. </w:t>
      </w:r>
      <w:r w:rsidR="008712CA">
        <w:t>Pecuniary</w:t>
      </w:r>
      <w:r w:rsidRPr="00C873C2">
        <w:t> Damage</w:t>
      </w:r>
    </w:p>
    <w:p w:rsidRPr="00B02E82" w:rsidR="00B02E82" w:rsidP="00B02E82" w:rsidRDefault="00B02E82">
      <w:pPr>
        <w:pStyle w:val="JuH1"/>
      </w:pPr>
      <w:r>
        <w:t>1. The parties</w:t>
      </w:r>
      <w:r w:rsidR="00541E9E">
        <w:t>'</w:t>
      </w:r>
      <w:r>
        <w:t xml:space="preserve"> submissions</w:t>
      </w:r>
    </w:p>
    <w:p w:rsidR="00CC5D83" w:rsidRDefault="00C873C2">
      <w:pPr>
        <w:pStyle w:val="JuPara"/>
      </w:pPr>
      <w:r w:rsidRPr="00C873C2">
        <w:fldChar w:fldCharType="begin"/>
      </w:r>
      <w:r w:rsidRPr="00C873C2">
        <w:instrText xml:space="preserve"> SEQ level0 \*arabic </w:instrText>
      </w:r>
      <w:r w:rsidRPr="00C873C2">
        <w:fldChar w:fldCharType="separate"/>
      </w:r>
      <w:r w:rsidR="00CC5D83">
        <w:rPr>
          <w:noProof/>
        </w:rPr>
        <w:t>7</w:t>
      </w:r>
      <w:r w:rsidRPr="00C873C2">
        <w:fldChar w:fldCharType="end"/>
      </w:r>
      <w:r w:rsidRPr="00C873C2">
        <w:t>.  </w:t>
      </w:r>
      <w:r w:rsidR="00D8378F">
        <w:t xml:space="preserve">The </w:t>
      </w:r>
      <w:r w:rsidR="004C5B0B">
        <w:t xml:space="preserve">applicants claimed </w:t>
      </w:r>
      <w:r w:rsidR="00672BB2">
        <w:t xml:space="preserve">compensation based on </w:t>
      </w:r>
      <w:r w:rsidR="004C5B0B">
        <w:t>the</w:t>
      </w:r>
      <w:r w:rsidR="00211DD7">
        <w:t xml:space="preserve"> current</w:t>
      </w:r>
      <w:r w:rsidR="004C5B0B">
        <w:t xml:space="preserve"> value of the land, namely</w:t>
      </w:r>
      <w:r w:rsidR="005C1B10">
        <w:t>,</w:t>
      </w:r>
      <w:r w:rsidR="004C5B0B">
        <w:t xml:space="preserve"> EUR 2,641,320 as established by an architect</w:t>
      </w:r>
      <w:r w:rsidR="00541E9E">
        <w:t>'</w:t>
      </w:r>
      <w:r w:rsidR="005C1B10">
        <w:t>s</w:t>
      </w:r>
      <w:r w:rsidR="004C5B0B">
        <w:t xml:space="preserve"> valuation </w:t>
      </w:r>
      <w:r w:rsidR="00211DD7">
        <w:t xml:space="preserve">(based on </w:t>
      </w:r>
      <w:r w:rsidR="005C1B10">
        <w:t xml:space="preserve">the </w:t>
      </w:r>
      <w:r w:rsidR="00211DD7">
        <w:t xml:space="preserve">advertisements of a private real estate agency) </w:t>
      </w:r>
      <w:r w:rsidR="004C5B0B">
        <w:t>dated 5 January 2010.</w:t>
      </w:r>
      <w:r w:rsidR="00D8378F">
        <w:t xml:space="preserve"> They submitted</w:t>
      </w:r>
      <w:r w:rsidR="00AB3187">
        <w:t xml:space="preserve"> that</w:t>
      </w:r>
      <w:r w:rsidR="005C2857">
        <w:t xml:space="preserve"> bearing in mind the lapse of time between the dispossession and the judgment of the Court,</w:t>
      </w:r>
      <w:r w:rsidR="005262F5">
        <w:t xml:space="preserve"> and the fact that </w:t>
      </w:r>
      <w:r w:rsidR="004C5B0B">
        <w:t xml:space="preserve">during this time </w:t>
      </w:r>
      <w:r w:rsidR="005262F5">
        <w:t xml:space="preserve">the Government have been using the property </w:t>
      </w:r>
      <w:r w:rsidR="00896020">
        <w:t xml:space="preserve">without legal title </w:t>
      </w:r>
      <w:r w:rsidR="004C5B0B">
        <w:t>(</w:t>
      </w:r>
      <w:r w:rsidR="00896020">
        <w:t xml:space="preserve">since the </w:t>
      </w:r>
      <w:r w:rsidRPr="00896020" w:rsidR="00896020">
        <w:rPr>
          <w:i/>
        </w:rPr>
        <w:t>de jure</w:t>
      </w:r>
      <w:r w:rsidR="00896020">
        <w:t xml:space="preserve"> transfer has not yet taken place</w:t>
      </w:r>
      <w:r w:rsidR="004C5B0B">
        <w:t>)</w:t>
      </w:r>
      <w:r w:rsidR="00AB3187">
        <w:t xml:space="preserve"> compensation should be calculated on the basis of the current value of the property </w:t>
      </w:r>
      <w:r w:rsidR="005C1B10">
        <w:t>in line with the approach of</w:t>
      </w:r>
      <w:r w:rsidR="00AB3187">
        <w:t xml:space="preserve"> the Court in other cases (see </w:t>
      </w:r>
      <w:r w:rsidRPr="00AB3187" w:rsidR="00AB3187">
        <w:rPr>
          <w:i/>
          <w:lang w:eastAsia="en-US"/>
        </w:rPr>
        <w:t xml:space="preserve">Serghides and Christoforou v. Cyprus </w:t>
      </w:r>
      <w:r w:rsidRPr="00AB3187" w:rsidR="00AB3187">
        <w:rPr>
          <w:lang w:eastAsia="en-US"/>
        </w:rPr>
        <w:t>(just satisfaction),</w:t>
      </w:r>
      <w:r w:rsidRPr="00AB3187" w:rsidR="00AB3187">
        <w:rPr>
          <w:i/>
          <w:lang w:eastAsia="en-US"/>
        </w:rPr>
        <w:t xml:space="preserve"> </w:t>
      </w:r>
      <w:r w:rsidRPr="00AB3187" w:rsidR="00AB3187">
        <w:rPr>
          <w:lang w:eastAsia="en-US"/>
        </w:rPr>
        <w:t xml:space="preserve">no. 44730/98, § </w:t>
      </w:r>
      <w:r w:rsidR="00AB3187">
        <w:rPr>
          <w:lang w:eastAsia="en-US"/>
        </w:rPr>
        <w:t>27</w:t>
      </w:r>
      <w:r w:rsidRPr="00AB3187" w:rsidR="00AB3187">
        <w:rPr>
          <w:lang w:eastAsia="en-US"/>
        </w:rPr>
        <w:t>, 12 June 2003</w:t>
      </w:r>
      <w:r w:rsidR="005C1B10">
        <w:rPr>
          <w:lang w:eastAsia="en-US"/>
        </w:rPr>
        <w:t>;</w:t>
      </w:r>
      <w:r w:rsidR="00AB3187">
        <w:rPr>
          <w:lang w:eastAsia="en-US"/>
        </w:rPr>
        <w:t xml:space="preserve"> </w:t>
      </w:r>
      <w:bookmarkStart w:name="File18" w:id="2"/>
      <w:r w:rsidRPr="00AB3187" w:rsidR="00AB3187">
        <w:rPr>
          <w:i/>
          <w:lang w:eastAsia="en-US"/>
        </w:rPr>
        <w:t>Papa</w:t>
      </w:r>
      <w:bookmarkEnd w:id="2"/>
      <w:r w:rsidRPr="00AB3187" w:rsidR="00AB3187">
        <w:rPr>
          <w:i/>
          <w:lang w:eastAsia="en-US"/>
        </w:rPr>
        <w:t>michalopoulos and Others v. Greece</w:t>
      </w:r>
      <w:r w:rsidRPr="00AB3187" w:rsidR="00AB3187">
        <w:rPr>
          <w:lang w:eastAsia="en-US"/>
        </w:rPr>
        <w:t xml:space="preserve"> (Article 50), 31 October 1995, §</w:t>
      </w:r>
      <w:r w:rsidRPr="00AB3187" w:rsidR="005C2857">
        <w:rPr>
          <w:lang w:eastAsia="en-US"/>
        </w:rPr>
        <w:t>§</w:t>
      </w:r>
      <w:r w:rsidRPr="00AB3187" w:rsidR="00AB3187">
        <w:rPr>
          <w:lang w:eastAsia="en-US"/>
        </w:rPr>
        <w:t xml:space="preserve"> </w:t>
      </w:r>
      <w:r w:rsidR="005C2857">
        <w:rPr>
          <w:lang w:eastAsia="en-US"/>
        </w:rPr>
        <w:t>37 and 39</w:t>
      </w:r>
      <w:r w:rsidRPr="00AB3187" w:rsidR="00AB3187">
        <w:rPr>
          <w:lang w:eastAsia="en-US"/>
        </w:rPr>
        <w:t>, Series A no. 330</w:t>
      </w:r>
      <w:r w:rsidRPr="00AB3187" w:rsidR="00AB3187">
        <w:rPr>
          <w:lang w:eastAsia="en-US"/>
        </w:rPr>
        <w:noBreakHyphen/>
        <w:t>B</w:t>
      </w:r>
      <w:r w:rsidR="005C1B10">
        <w:rPr>
          <w:lang w:eastAsia="en-US"/>
        </w:rPr>
        <w:t>;</w:t>
      </w:r>
      <w:r w:rsidR="005C2857">
        <w:rPr>
          <w:lang w:eastAsia="en-US"/>
        </w:rPr>
        <w:t xml:space="preserve"> and </w:t>
      </w:r>
      <w:bookmarkStart w:name="File20" w:id="3"/>
      <w:r w:rsidRPr="005C2857" w:rsidR="005C2857">
        <w:rPr>
          <w:i/>
          <w:lang w:eastAsia="en-US"/>
        </w:rPr>
        <w:t>Former</w:t>
      </w:r>
      <w:bookmarkEnd w:id="3"/>
      <w:r w:rsidRPr="005C2857" w:rsidR="005C2857">
        <w:rPr>
          <w:i/>
          <w:lang w:eastAsia="en-US"/>
        </w:rPr>
        <w:t xml:space="preserve"> King of Greece and Others v. Greece </w:t>
      </w:r>
      <w:r w:rsidRPr="005C2857" w:rsidR="005C2857">
        <w:rPr>
          <w:lang w:eastAsia="en-US"/>
        </w:rPr>
        <w:t xml:space="preserve">[GC] (just satisfaction), no. 25701/94, § </w:t>
      </w:r>
      <w:r w:rsidR="005C2857">
        <w:rPr>
          <w:lang w:eastAsia="en-US"/>
        </w:rPr>
        <w:t>76</w:t>
      </w:r>
      <w:r w:rsidRPr="005C2857" w:rsidR="005C2857">
        <w:rPr>
          <w:lang w:eastAsia="en-US"/>
        </w:rPr>
        <w:t>, 28 November 2002</w:t>
      </w:r>
      <w:r w:rsidR="005C2857">
        <w:rPr>
          <w:lang w:eastAsia="en-US"/>
        </w:rPr>
        <w:t>)</w:t>
      </w:r>
      <w:r w:rsidR="005C2857">
        <w:t>. They contended that in order to ensure adequate compensation, the date of the valuation of the property had to be as close as possible to the date of payment of compensation (</w:t>
      </w:r>
      <w:r w:rsidRPr="005C2857" w:rsidR="005C2857">
        <w:rPr>
          <w:i/>
          <w:lang w:eastAsia="en-US"/>
        </w:rPr>
        <w:t>Guillemin v. France</w:t>
      </w:r>
      <w:r w:rsidRPr="005C2857" w:rsidR="005C2857">
        <w:rPr>
          <w:lang w:eastAsia="en-US"/>
        </w:rPr>
        <w:t xml:space="preserve"> (Article 50), 2 September 1998, §§ </w:t>
      </w:r>
      <w:r w:rsidR="005C2857">
        <w:rPr>
          <w:lang w:eastAsia="en-US"/>
        </w:rPr>
        <w:t>23-24</w:t>
      </w:r>
      <w:r w:rsidRPr="005C2857" w:rsidR="005C2857">
        <w:rPr>
          <w:lang w:eastAsia="en-US"/>
        </w:rPr>
        <w:t xml:space="preserve">, </w:t>
      </w:r>
      <w:r w:rsidRPr="005C2857" w:rsidR="005C2857">
        <w:rPr>
          <w:i/>
          <w:lang w:eastAsia="en-US"/>
        </w:rPr>
        <w:t>Reports of Judgments and Decisions</w:t>
      </w:r>
      <w:r w:rsidRPr="005C2857" w:rsidR="005C2857">
        <w:rPr>
          <w:lang w:eastAsia="en-US"/>
        </w:rPr>
        <w:t xml:space="preserve"> 1998</w:t>
      </w:r>
      <w:r w:rsidRPr="005C2857" w:rsidR="005C2857">
        <w:rPr>
          <w:lang w:eastAsia="en-US"/>
        </w:rPr>
        <w:noBreakHyphen/>
        <w:t>VI</w:t>
      </w:r>
      <w:r w:rsidR="005C2857">
        <w:rPr>
          <w:lang w:eastAsia="en-US"/>
        </w:rPr>
        <w:t>).</w:t>
      </w:r>
    </w:p>
    <w:p w:rsidR="00C873C2" w:rsidRDefault="005C2857">
      <w:pPr>
        <w:pStyle w:val="JuPara"/>
      </w:pPr>
      <w:r>
        <w:fldChar w:fldCharType="begin"/>
      </w:r>
      <w:r>
        <w:instrText xml:space="preserve"> SEQ level0 \*arabic </w:instrText>
      </w:r>
      <w:r>
        <w:fldChar w:fldCharType="separate"/>
      </w:r>
      <w:r w:rsidR="00CC5D83">
        <w:rPr>
          <w:noProof/>
        </w:rPr>
        <w:t>8</w:t>
      </w:r>
      <w:r>
        <w:fldChar w:fldCharType="end"/>
      </w:r>
      <w:r>
        <w:t>.  </w:t>
      </w:r>
      <w:r w:rsidR="005262F5">
        <w:t>T</w:t>
      </w:r>
      <w:r>
        <w:t xml:space="preserve">he damage had to be assessed on the basis of the estimates provided by the expert valuations </w:t>
      </w:r>
      <w:r w:rsidR="004C5B0B">
        <w:t>(EUR 1</w:t>
      </w:r>
      <w:r w:rsidR="00814E1E">
        <w:t>,</w:t>
      </w:r>
      <w:r w:rsidR="005C1B10">
        <w:t>320 per square met</w:t>
      </w:r>
      <w:r w:rsidR="004C5B0B">
        <w:t>r</w:t>
      </w:r>
      <w:r w:rsidR="005C1B10">
        <w:t>e</w:t>
      </w:r>
      <w:r w:rsidR="004C5B0B">
        <w:t xml:space="preserve">) </w:t>
      </w:r>
      <w:r>
        <w:t>and the information furnished by the architects, bearing in mind the size of the land and its location. The land</w:t>
      </w:r>
      <w:r w:rsidR="005C1B10">
        <w:t>,</w:t>
      </w:r>
      <w:r>
        <w:t xml:space="preserve"> which borders a major arterial road</w:t>
      </w:r>
      <w:r w:rsidR="005C1B10">
        <w:t>,</w:t>
      </w:r>
      <w:r>
        <w:t xml:space="preserve"> had a total area o</w:t>
      </w:r>
      <w:r w:rsidR="005C1B10">
        <w:t>f approximately 2001 square met</w:t>
      </w:r>
      <w:r>
        <w:t>r</w:t>
      </w:r>
      <w:r w:rsidR="005C1B10">
        <w:t>e</w:t>
      </w:r>
      <w:r>
        <w:t>s and was subdivided in</w:t>
      </w:r>
      <w:r w:rsidR="005C1B10">
        <w:t>to</w:t>
      </w:r>
      <w:r>
        <w:t xml:space="preserve"> two main plots. It forms part of the Schemed development of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Ghaxaq</w:t>
          </w:r>
        </w:smartTag>
      </w:smartTag>
      <w:r>
        <w:t xml:space="preserve"> and has now been divided into fourteen separate plots.</w:t>
      </w:r>
      <w:r w:rsidRPr="005262F5" w:rsidR="005262F5">
        <w:t xml:space="preserve"> </w:t>
      </w:r>
      <w:r w:rsidR="005262F5">
        <w:t xml:space="preserve">The applicants submitted </w:t>
      </w:r>
      <w:r w:rsidR="00672BB2">
        <w:t xml:space="preserve">commercial </w:t>
      </w:r>
      <w:r w:rsidR="00211DD7">
        <w:t xml:space="preserve">valuations </w:t>
      </w:r>
      <w:r w:rsidR="005262F5">
        <w:t>showing the price of similarly situated land in a nearby village, which varied from EUR 1,281 to EUR 1,812 per</w:t>
      </w:r>
      <w:r w:rsidR="005C1B10">
        <w:t xml:space="preserve"> square met</w:t>
      </w:r>
      <w:r w:rsidR="00211DD7">
        <w:t>r</w:t>
      </w:r>
      <w:r w:rsidR="005C1B10">
        <w:t>e</w:t>
      </w:r>
      <w:r w:rsidR="00211DD7">
        <w:t>.</w:t>
      </w:r>
    </w:p>
    <w:p w:rsidR="005C2857" w:rsidRDefault="005C2857">
      <w:pPr>
        <w:pStyle w:val="JuPara"/>
        <w:rPr>
          <w:lang w:eastAsia="en-US"/>
        </w:rPr>
      </w:pPr>
      <w:r>
        <w:fldChar w:fldCharType="begin"/>
      </w:r>
      <w:r>
        <w:instrText xml:space="preserve"> SEQ level0 \*arabic </w:instrText>
      </w:r>
      <w:r>
        <w:fldChar w:fldCharType="separate"/>
      </w:r>
      <w:r w:rsidR="00CC5D83">
        <w:rPr>
          <w:noProof/>
        </w:rPr>
        <w:t>9</w:t>
      </w:r>
      <w:r>
        <w:fldChar w:fldCharType="end"/>
      </w:r>
      <w:r>
        <w:t>.  </w:t>
      </w:r>
      <w:r w:rsidR="005262F5">
        <w:rPr>
          <w:lang w:eastAsia="en-US"/>
        </w:rPr>
        <w:t xml:space="preserve"> They further submitted that as a result of the authorities</w:t>
      </w:r>
      <w:r w:rsidR="00541E9E">
        <w:rPr>
          <w:lang w:eastAsia="en-US"/>
        </w:rPr>
        <w:t>'</w:t>
      </w:r>
      <w:r w:rsidR="005262F5">
        <w:rPr>
          <w:lang w:eastAsia="en-US"/>
        </w:rPr>
        <w:t xml:space="preserve"> taking of the land and the delay in payment, </w:t>
      </w:r>
      <w:r w:rsidR="005C1B10">
        <w:rPr>
          <w:lang w:eastAsia="en-US"/>
        </w:rPr>
        <w:t>they had been</w:t>
      </w:r>
      <w:r w:rsidR="005262F5">
        <w:rPr>
          <w:lang w:eastAsia="en-US"/>
        </w:rPr>
        <w:t xml:space="preserve"> compelled to </w:t>
      </w:r>
      <w:r w:rsidR="005C1B10">
        <w:rPr>
          <w:lang w:eastAsia="en-US"/>
        </w:rPr>
        <w:t>take out</w:t>
      </w:r>
      <w:r w:rsidR="005262F5">
        <w:rPr>
          <w:lang w:eastAsia="en-US"/>
        </w:rPr>
        <w:t xml:space="preserve"> bank loans subject to the payment of interest in order to acquire other property to build their residences.</w:t>
      </w:r>
    </w:p>
    <w:p w:rsidR="004A021D" w:rsidRDefault="004A021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C5D83">
        <w:rPr>
          <w:noProof/>
          <w:lang w:eastAsia="en-US"/>
        </w:rPr>
        <w:t>10</w:t>
      </w:r>
      <w:r>
        <w:rPr>
          <w:lang w:eastAsia="en-US"/>
        </w:rPr>
        <w:fldChar w:fldCharType="end"/>
      </w:r>
      <w:r>
        <w:rPr>
          <w:lang w:eastAsia="en-US"/>
        </w:rPr>
        <w:t xml:space="preserve">.   The Government submitted that the value which had to be considered as the basis for the </w:t>
      </w:r>
      <w:r w:rsidR="005C1B10">
        <w:rPr>
          <w:lang w:eastAsia="en-US"/>
        </w:rPr>
        <w:t>calculation</w:t>
      </w:r>
      <w:r>
        <w:rPr>
          <w:lang w:eastAsia="en-US"/>
        </w:rPr>
        <w:t xml:space="preserve"> was the value of the land at the time of its taking as established by the Land Arbitration Board</w:t>
      </w:r>
      <w:r w:rsidR="00E25954">
        <w:rPr>
          <w:lang w:eastAsia="en-US"/>
        </w:rPr>
        <w:t xml:space="preserve"> (“LAB”)</w:t>
      </w:r>
      <w:r>
        <w:rPr>
          <w:lang w:eastAsia="en-US"/>
        </w:rPr>
        <w:t xml:space="preserve">, namely EUR 17,185. </w:t>
      </w:r>
      <w:r w:rsidR="00D62FB0">
        <w:rPr>
          <w:lang w:eastAsia="en-US"/>
        </w:rPr>
        <w:t xml:space="preserve">Unlike in the cases of </w:t>
      </w:r>
      <w:r w:rsidRPr="00D62FB0" w:rsidR="00D62FB0">
        <w:rPr>
          <w:i/>
          <w:lang w:eastAsia="en-US"/>
        </w:rPr>
        <w:t>Papamichalopoulos and Others v. Greece</w:t>
      </w:r>
      <w:r w:rsidR="00D62FB0">
        <w:rPr>
          <w:lang w:eastAsia="en-US"/>
        </w:rPr>
        <w:t xml:space="preserve"> (</w:t>
      </w:r>
      <w:r w:rsidRPr="00D62FB0" w:rsidR="00D62FB0">
        <w:rPr>
          <w:lang w:eastAsia="en-US"/>
        </w:rPr>
        <w:t>24 June 1993, Series A no. 260</w:t>
      </w:r>
      <w:r w:rsidRPr="00D62FB0" w:rsidR="00D62FB0">
        <w:rPr>
          <w:lang w:eastAsia="en-US"/>
        </w:rPr>
        <w:noBreakHyphen/>
        <w:t>B</w:t>
      </w:r>
      <w:r w:rsidR="00D62FB0">
        <w:rPr>
          <w:lang w:eastAsia="en-US"/>
        </w:rPr>
        <w:t xml:space="preserve">), </w:t>
      </w:r>
      <w:r w:rsidRPr="00D62FB0" w:rsidR="00D62FB0">
        <w:rPr>
          <w:i/>
          <w:lang w:eastAsia="en-US"/>
        </w:rPr>
        <w:t>Belvedere Alberghiera S.r.l. v. Italy</w:t>
      </w:r>
      <w:r w:rsidR="00D62FB0">
        <w:rPr>
          <w:lang w:eastAsia="en-US"/>
        </w:rPr>
        <w:t xml:space="preserve"> (</w:t>
      </w:r>
      <w:r w:rsidRPr="00D62FB0" w:rsidR="00D62FB0">
        <w:rPr>
          <w:lang w:eastAsia="en-US"/>
        </w:rPr>
        <w:t>no. 31524/96</w:t>
      </w:r>
      <w:r w:rsidR="00D62FB0">
        <w:rPr>
          <w:lang w:eastAsia="en-US"/>
        </w:rPr>
        <w:t xml:space="preserve">, </w:t>
      </w:r>
      <w:r w:rsidRPr="00D62FB0" w:rsidR="00D62FB0">
        <w:rPr>
          <w:lang w:eastAsia="en-US"/>
        </w:rPr>
        <w:t>ECHR 2000</w:t>
      </w:r>
      <w:r w:rsidRPr="00D62FB0" w:rsidR="00D62FB0">
        <w:rPr>
          <w:lang w:eastAsia="en-US"/>
        </w:rPr>
        <w:noBreakHyphen/>
        <w:t>VI</w:t>
      </w:r>
      <w:r w:rsidR="00D62FB0">
        <w:rPr>
          <w:lang w:eastAsia="en-US"/>
        </w:rPr>
        <w:t xml:space="preserve">) and </w:t>
      </w:r>
      <w:r w:rsidRPr="00D62FB0" w:rsidR="00D62FB0">
        <w:rPr>
          <w:i/>
          <w:lang w:eastAsia="en-US"/>
        </w:rPr>
        <w:t xml:space="preserve">Carbonara and </w:t>
      </w:r>
      <w:smartTag w:uri="urn:schemas-microsoft-com:office:smarttags" w:element="Street">
        <w:r w:rsidR="00D62FB0" w:rsidRPr="00D62FB0">
          <w:rPr>
            <w:i/>
            <w:lang w:eastAsia="en-US"/>
          </w:rPr>
          <w:t>Ventura</w:t>
        </w:r>
      </w:smartTag>
      <w:r w:rsidRPr="00D62FB0" w:rsidR="00D62FB0">
        <w:rPr>
          <w:i/>
          <w:lang w:eastAsia="en-US"/>
        </w:rPr>
        <w:t xml:space="preserve"> v. </w:t>
      </w:r>
      <w:smartTag w:uri="urn:schemas-microsoft-com:office:smarttags" w:element="place">
        <w:smartTag w:uri="urn:schemas-microsoft-com:office:smarttags" w:element="country-region">
          <w:r w:rsidR="00D62FB0" w:rsidRPr="00D62FB0">
            <w:rPr>
              <w:i/>
              <w:lang w:eastAsia="en-US"/>
            </w:rPr>
            <w:t>Italy</w:t>
          </w:r>
        </w:smartTag>
      </w:smartTag>
      <w:r w:rsidRPr="00D62FB0" w:rsidR="00D62FB0">
        <w:rPr>
          <w:lang w:eastAsia="en-US"/>
        </w:rPr>
        <w:t>, no. 24638/94, ECHR 2000</w:t>
      </w:r>
      <w:r w:rsidRPr="00D62FB0" w:rsidR="00D62FB0">
        <w:rPr>
          <w:lang w:eastAsia="en-US"/>
        </w:rPr>
        <w:noBreakHyphen/>
        <w:t>VI</w:t>
      </w:r>
      <w:r w:rsidR="00D62FB0">
        <w:rPr>
          <w:lang w:eastAsia="en-US"/>
        </w:rPr>
        <w:t>) the Government</w:t>
      </w:r>
      <w:r w:rsidR="00541E9E">
        <w:rPr>
          <w:lang w:eastAsia="en-US"/>
        </w:rPr>
        <w:t>'</w:t>
      </w:r>
      <w:r w:rsidR="00D62FB0">
        <w:rPr>
          <w:lang w:eastAsia="en-US"/>
        </w:rPr>
        <w:t xml:space="preserve">s </w:t>
      </w:r>
      <w:r w:rsidRPr="00D62FB0" w:rsidR="00D62FB0">
        <w:rPr>
          <w:i/>
          <w:lang w:eastAsia="en-US"/>
        </w:rPr>
        <w:t>de facto</w:t>
      </w:r>
      <w:r w:rsidR="00D62FB0">
        <w:rPr>
          <w:lang w:eastAsia="en-US"/>
        </w:rPr>
        <w:t xml:space="preserve"> taking of the property </w:t>
      </w:r>
      <w:r w:rsidR="005C1B10">
        <w:rPr>
          <w:lang w:eastAsia="en-US"/>
        </w:rPr>
        <w:t>had</w:t>
      </w:r>
      <w:r w:rsidR="00D62FB0">
        <w:rPr>
          <w:lang w:eastAsia="en-US"/>
        </w:rPr>
        <w:t xml:space="preserve"> not</w:t>
      </w:r>
      <w:r w:rsidR="005C1B10">
        <w:rPr>
          <w:lang w:eastAsia="en-US"/>
        </w:rPr>
        <w:t xml:space="preserve"> been</w:t>
      </w:r>
      <w:r w:rsidR="00D62FB0">
        <w:rPr>
          <w:lang w:eastAsia="en-US"/>
        </w:rPr>
        <w:t xml:space="preserve"> unlawful. The measure of taking over the land while determination of the value was still pending was expressly provided for by law. In consequence, the only value to be taken in</w:t>
      </w:r>
      <w:r w:rsidR="0073477D">
        <w:rPr>
          <w:lang w:eastAsia="en-US"/>
        </w:rPr>
        <w:t xml:space="preserve">to consideration </w:t>
      </w:r>
      <w:r w:rsidR="005C1B10">
        <w:rPr>
          <w:lang w:eastAsia="en-US"/>
        </w:rPr>
        <w:t>was that of</w:t>
      </w:r>
      <w:r w:rsidR="0073477D">
        <w:rPr>
          <w:lang w:eastAsia="en-US"/>
        </w:rPr>
        <w:t xml:space="preserve"> 1974</w:t>
      </w:r>
      <w:r w:rsidR="00D62FB0">
        <w:rPr>
          <w:lang w:eastAsia="en-US"/>
        </w:rPr>
        <w:t xml:space="preserve"> when the </w:t>
      </w:r>
      <w:r>
        <w:rPr>
          <w:lang w:eastAsia="en-US"/>
        </w:rPr>
        <w:t xml:space="preserve">land at issue was agricultural </w:t>
      </w:r>
      <w:r w:rsidR="00D62FB0">
        <w:rPr>
          <w:lang w:eastAsia="en-US"/>
        </w:rPr>
        <w:t>land.</w:t>
      </w:r>
      <w:r w:rsidR="00CC5D83">
        <w:rPr>
          <w:lang w:eastAsia="en-US"/>
        </w:rPr>
        <w:t xml:space="preserve"> </w:t>
      </w:r>
      <w:r w:rsidR="00D62FB0">
        <w:rPr>
          <w:lang w:eastAsia="en-US"/>
        </w:rPr>
        <w:t xml:space="preserve">The area </w:t>
      </w:r>
      <w:r>
        <w:rPr>
          <w:lang w:eastAsia="en-US"/>
        </w:rPr>
        <w:t xml:space="preserve">only started to develop into an </w:t>
      </w:r>
      <w:r w:rsidR="00D62FB0">
        <w:rPr>
          <w:lang w:eastAsia="en-US"/>
        </w:rPr>
        <w:t>urban one subsequently,</w:t>
      </w:r>
      <w:r>
        <w:rPr>
          <w:lang w:eastAsia="en-US"/>
        </w:rPr>
        <w:t xml:space="preserve"> by means of the </w:t>
      </w:r>
      <w:r w:rsidR="00D62FB0">
        <w:rPr>
          <w:lang w:eastAsia="en-US"/>
        </w:rPr>
        <w:t>Government</w:t>
      </w:r>
      <w:r w:rsidR="00541E9E">
        <w:rPr>
          <w:lang w:eastAsia="en-US"/>
        </w:rPr>
        <w:t>'</w:t>
      </w:r>
      <w:r w:rsidR="00D62FB0">
        <w:rPr>
          <w:lang w:eastAsia="en-US"/>
        </w:rPr>
        <w:t>s construction of a housing estate. Moreover, a</w:t>
      </w:r>
      <w:r>
        <w:rPr>
          <w:lang w:eastAsia="en-US"/>
        </w:rPr>
        <w:t>ny other evaluations submitted by the applicants have never been put to any form of judicial determination and did not make reference to the date of</w:t>
      </w:r>
      <w:r w:rsidR="005C1B10">
        <w:rPr>
          <w:lang w:eastAsia="en-US"/>
        </w:rPr>
        <w:t xml:space="preserve"> the</w:t>
      </w:r>
      <w:r>
        <w:rPr>
          <w:lang w:eastAsia="en-US"/>
        </w:rPr>
        <w:t xml:space="preserve"> taking</w:t>
      </w:r>
      <w:r w:rsidR="005C1B10">
        <w:rPr>
          <w:lang w:eastAsia="en-US"/>
        </w:rPr>
        <w:t xml:space="preserve"> of the property</w:t>
      </w:r>
      <w:r>
        <w:rPr>
          <w:lang w:eastAsia="en-US"/>
        </w:rPr>
        <w:t>. Moreover, they were speculative</w:t>
      </w:r>
      <w:r w:rsidR="005C1B10">
        <w:rPr>
          <w:lang w:eastAsia="en-US"/>
        </w:rPr>
        <w:t xml:space="preserve"> and based on prices which land</w:t>
      </w:r>
      <w:r>
        <w:rPr>
          <w:lang w:eastAsia="en-US"/>
        </w:rPr>
        <w:t xml:space="preserve"> with the most beneficial building permits could fetch in a “seller</w:t>
      </w:r>
      <w:r w:rsidR="00541E9E">
        <w:rPr>
          <w:lang w:eastAsia="en-US"/>
        </w:rPr>
        <w:t>'</w:t>
      </w:r>
      <w:r>
        <w:rPr>
          <w:lang w:eastAsia="en-US"/>
        </w:rPr>
        <w:t>s market” situation.</w:t>
      </w:r>
    </w:p>
    <w:p w:rsidR="00D62FB0" w:rsidRDefault="00D62FB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C5D83">
        <w:rPr>
          <w:noProof/>
          <w:lang w:eastAsia="en-US"/>
        </w:rPr>
        <w:t>11</w:t>
      </w:r>
      <w:r>
        <w:rPr>
          <w:lang w:eastAsia="en-US"/>
        </w:rPr>
        <w:fldChar w:fldCharType="end"/>
      </w:r>
      <w:r>
        <w:rPr>
          <w:lang w:eastAsia="en-US"/>
        </w:rPr>
        <w:t>.  The G</w:t>
      </w:r>
      <w:r w:rsidR="00E25954">
        <w:rPr>
          <w:lang w:eastAsia="en-US"/>
        </w:rPr>
        <w:t>overnment further submitted information following the Court</w:t>
      </w:r>
      <w:r w:rsidR="00541E9E">
        <w:rPr>
          <w:lang w:eastAsia="en-US"/>
        </w:rPr>
        <w:t>'</w:t>
      </w:r>
      <w:r w:rsidR="00E25954">
        <w:rPr>
          <w:lang w:eastAsia="en-US"/>
        </w:rPr>
        <w:t xml:space="preserve">s finding that it was unable to establish responsibility for the lack of payment after 1995 (principal judgment § 56). They contended that in 1995 the LAB </w:t>
      </w:r>
      <w:r w:rsidR="005C1B10">
        <w:rPr>
          <w:lang w:eastAsia="en-US"/>
        </w:rPr>
        <w:t xml:space="preserve">had </w:t>
      </w:r>
      <w:r w:rsidR="00E25954">
        <w:rPr>
          <w:lang w:eastAsia="en-US"/>
        </w:rPr>
        <w:t xml:space="preserve">fixed </w:t>
      </w:r>
      <w:r w:rsidR="005C1B10">
        <w:rPr>
          <w:lang w:eastAsia="en-US"/>
        </w:rPr>
        <w:t>the publication of the deed of transfer for</w:t>
      </w:r>
      <w:r w:rsidR="00E25954">
        <w:rPr>
          <w:lang w:eastAsia="en-US"/>
        </w:rPr>
        <w:t xml:space="preserve"> 22 January 1996. However, this had </w:t>
      </w:r>
      <w:r w:rsidR="005C1B10">
        <w:rPr>
          <w:lang w:eastAsia="en-US"/>
        </w:rPr>
        <w:t xml:space="preserve">had </w:t>
      </w:r>
      <w:r w:rsidR="00E25954">
        <w:rPr>
          <w:lang w:eastAsia="en-US"/>
        </w:rPr>
        <w:t>to be postponed due to the applicants</w:t>
      </w:r>
      <w:r w:rsidR="00541E9E">
        <w:rPr>
          <w:lang w:eastAsia="en-US"/>
        </w:rPr>
        <w:t>'</w:t>
      </w:r>
      <w:r w:rsidR="00E25954">
        <w:rPr>
          <w:lang w:eastAsia="en-US"/>
        </w:rPr>
        <w:t xml:space="preserve"> appeal</w:t>
      </w:r>
      <w:r w:rsidR="005C1B10">
        <w:rPr>
          <w:lang w:eastAsia="en-US"/>
        </w:rPr>
        <w:t>,</w:t>
      </w:r>
      <w:r w:rsidR="00E25954">
        <w:rPr>
          <w:lang w:eastAsia="en-US"/>
        </w:rPr>
        <w:t xml:space="preserve"> which was eventually declared null and void</w:t>
      </w:r>
      <w:r w:rsidR="00C96D30">
        <w:rPr>
          <w:lang w:eastAsia="en-US"/>
        </w:rPr>
        <w:t xml:space="preserve"> as there was no right of appeal in such cases</w:t>
      </w:r>
      <w:r w:rsidR="00E25954">
        <w:rPr>
          <w:lang w:eastAsia="en-US"/>
        </w:rPr>
        <w:t xml:space="preserve">. In its judgment the Court of Appeal </w:t>
      </w:r>
      <w:r w:rsidR="00C96D30">
        <w:rPr>
          <w:lang w:eastAsia="en-US"/>
        </w:rPr>
        <w:t xml:space="preserve">fixed the date for the publication of the deed of transfer for 22 September 1997. The applicants, however, failed to turn up on the specified date and on 18 May 1998 they filed constitutional proceedings, pending which the deed was never concluded. The Government submitted that the conclusion of the deed would not have </w:t>
      </w:r>
      <w:r w:rsidR="005C1B10">
        <w:rPr>
          <w:lang w:eastAsia="en-US"/>
        </w:rPr>
        <w:t xml:space="preserve">entailed a </w:t>
      </w:r>
      <w:r w:rsidR="00C96D30">
        <w:rPr>
          <w:lang w:eastAsia="en-US"/>
        </w:rPr>
        <w:t>renunciation of the applicants</w:t>
      </w:r>
      <w:r w:rsidR="00541E9E">
        <w:rPr>
          <w:lang w:eastAsia="en-US"/>
        </w:rPr>
        <w:t>'</w:t>
      </w:r>
      <w:r w:rsidR="00C96D30">
        <w:rPr>
          <w:lang w:eastAsia="en-US"/>
        </w:rPr>
        <w:t xml:space="preserve"> rights before the constitutional jurisdictions, </w:t>
      </w:r>
      <w:r w:rsidR="005C1B10">
        <w:rPr>
          <w:lang w:eastAsia="en-US"/>
        </w:rPr>
        <w:t xml:space="preserve">and </w:t>
      </w:r>
      <w:r w:rsidR="00C96D30">
        <w:rPr>
          <w:lang w:eastAsia="en-US"/>
        </w:rPr>
        <w:t>in consequence the Government could not be held responsible for the failure to conclude the deed from 1995 onwards.</w:t>
      </w:r>
    </w:p>
    <w:p w:rsidR="00C96D30" w:rsidRDefault="00C96D3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C5D83">
        <w:rPr>
          <w:noProof/>
          <w:lang w:eastAsia="en-US"/>
        </w:rPr>
        <w:t>12</w:t>
      </w:r>
      <w:r>
        <w:rPr>
          <w:lang w:eastAsia="en-US"/>
        </w:rPr>
        <w:fldChar w:fldCharType="end"/>
      </w:r>
      <w:r>
        <w:rPr>
          <w:lang w:eastAsia="en-US"/>
        </w:rPr>
        <w:t>.  In order to conclude the matter and establis</w:t>
      </w:r>
      <w:r w:rsidR="00272A74">
        <w:rPr>
          <w:lang w:eastAsia="en-US"/>
        </w:rPr>
        <w:t>h legal title the Government were</w:t>
      </w:r>
      <w:r>
        <w:rPr>
          <w:lang w:eastAsia="en-US"/>
        </w:rPr>
        <w:t xml:space="preserve"> willing to pay the sum of</w:t>
      </w:r>
      <w:r w:rsidR="00306C25">
        <w:rPr>
          <w:lang w:eastAsia="en-US"/>
        </w:rPr>
        <w:t xml:space="preserve"> EUR 58,457</w:t>
      </w:r>
      <w:r>
        <w:rPr>
          <w:lang w:eastAsia="en-US"/>
        </w:rPr>
        <w:t>. Th</w:t>
      </w:r>
      <w:r w:rsidR="0073477D">
        <w:rPr>
          <w:lang w:eastAsia="en-US"/>
        </w:rPr>
        <w:t>ey submitted that th</w:t>
      </w:r>
      <w:r>
        <w:rPr>
          <w:lang w:eastAsia="en-US"/>
        </w:rPr>
        <w:t>is</w:t>
      </w:r>
      <w:r w:rsidR="00306C25">
        <w:rPr>
          <w:lang w:eastAsia="en-US"/>
        </w:rPr>
        <w:t xml:space="preserve"> sum</w:t>
      </w:r>
      <w:r>
        <w:rPr>
          <w:lang w:eastAsia="en-US"/>
        </w:rPr>
        <w:t xml:space="preserve"> reflected the value of the land</w:t>
      </w:r>
      <w:r w:rsidR="005C1B10">
        <w:rPr>
          <w:lang w:eastAsia="en-US"/>
        </w:rPr>
        <w:t>,</w:t>
      </w:r>
      <w:r>
        <w:rPr>
          <w:lang w:eastAsia="en-US"/>
        </w:rPr>
        <w:t xml:space="preserve"> progressively adjusted for inflation on a year by year basis from 1974 to 2009, plus interest at the statutory rate of five per cent per annum on the value as adjusted year by year </w:t>
      </w:r>
      <w:r w:rsidR="005C1B10">
        <w:rPr>
          <w:lang w:eastAsia="en-US"/>
        </w:rPr>
        <w:t>during the said period</w:t>
      </w:r>
      <w:r>
        <w:rPr>
          <w:lang w:eastAsia="en-US"/>
        </w:rPr>
        <w:t>.</w:t>
      </w:r>
    </w:p>
    <w:p w:rsidR="00B02E82" w:rsidP="00B02E82" w:rsidRDefault="00B02E82">
      <w:pPr>
        <w:pStyle w:val="JuH1"/>
      </w:pPr>
      <w:r>
        <w:t>2. The Court</w:t>
      </w:r>
      <w:r w:rsidR="00541E9E">
        <w:t>'</w:t>
      </w:r>
      <w:r>
        <w:t>s assessment</w:t>
      </w:r>
    </w:p>
    <w:p w:rsidR="00D25152" w:rsidP="00D25152" w:rsidRDefault="00C366DD">
      <w:pPr>
        <w:pStyle w:val="JuPara"/>
        <w:rPr>
          <w:rFonts w:ascii="Arial" w:hAnsi="Arial" w:cs="Arial"/>
          <w:sz w:val="20"/>
        </w:rPr>
      </w:pPr>
      <w:r>
        <w:fldChar w:fldCharType="begin"/>
      </w:r>
      <w:r>
        <w:instrText xml:space="preserve"> SEQ level0 \*arabic </w:instrText>
      </w:r>
      <w:r>
        <w:fldChar w:fldCharType="separate"/>
      </w:r>
      <w:r w:rsidR="00CC5D83">
        <w:rPr>
          <w:noProof/>
        </w:rPr>
        <w:t>13</w:t>
      </w:r>
      <w:r>
        <w:fldChar w:fldCharType="end"/>
      </w:r>
      <w:r>
        <w:t>.  </w:t>
      </w:r>
      <w:r w:rsidR="00A415E9">
        <w:t>In reply to the parties</w:t>
      </w:r>
      <w:r w:rsidR="00541E9E">
        <w:t>'</w:t>
      </w:r>
      <w:r w:rsidR="00A415E9">
        <w:t xml:space="preserve"> observations, t</w:t>
      </w:r>
      <w:r w:rsidR="00D25152">
        <w:t xml:space="preserve">he Court </w:t>
      </w:r>
      <w:r w:rsidR="00A415E9">
        <w:t xml:space="preserve">finds it opportune to refer to its case-law on matters of expropriation. It </w:t>
      </w:r>
      <w:r w:rsidR="00D25152">
        <w:t xml:space="preserve">reiterates that in the case of </w:t>
      </w:r>
      <w:r w:rsidR="00D25152">
        <w:rPr>
          <w:rStyle w:val="ju-005fpara-002cleft-002cfirst-0020line-003a-0020-00200-0020cm--char"/>
          <w:i/>
          <w:iCs/>
        </w:rPr>
        <w:t>Papamichalopoulos and Others</w:t>
      </w:r>
      <w:r w:rsidR="00D25152">
        <w:t xml:space="preserve"> </w:t>
      </w:r>
      <w:r w:rsidR="00A9162C">
        <w:t xml:space="preserve">it found a violation </w:t>
      </w:r>
      <w:r w:rsidR="00D25152">
        <w:t xml:space="preserve">on account of a </w:t>
      </w:r>
      <w:r w:rsidR="00D25152">
        <w:rPr>
          <w:rStyle w:val="ju-005fpara-002cleft-002cfirst-0020line-003a-0020-00200-0020cm--char"/>
          <w:i/>
          <w:iCs/>
        </w:rPr>
        <w:t>de facto</w:t>
      </w:r>
      <w:r w:rsidR="00D25152">
        <w:t xml:space="preserve"> illegal expropriation which had lasted for more than twenty-five years. The Court accordingly ordered the </w:t>
      </w:r>
      <w:smartTag w:uri="urn:schemas-microsoft-com:office:smarttags" w:element="place">
        <w:smartTag w:uri="urn:schemas-microsoft-com:office:smarttags" w:element="PlaceName">
          <w:r w:rsidR="00D25152">
            <w:t>Greek</w:t>
          </w:r>
        </w:smartTag>
        <w:r w:rsidR="00D25152">
          <w:t xml:space="preserve"> </w:t>
        </w:r>
        <w:smartTag w:uri="urn:schemas-microsoft-com:office:smarttags" w:element="PlaceType">
          <w:r w:rsidR="00D25152">
            <w:t>State</w:t>
          </w:r>
        </w:smartTag>
      </w:smartTag>
      <w:r w:rsidR="00D25152">
        <w:t xml:space="preserve"> to pay the applicants, for damage and loss of enjoyment since the authorities had taken possession of the land, an amount corresponding to the current value of the land, increased by the appreciation brought about by the existence of buildings which had been erected since the land had been occupied. This case-law was consolidated and followed in cases concerning unlawful dispossession, particularly the judgments </w:t>
      </w:r>
      <w:r w:rsidR="00D25152">
        <w:rPr>
          <w:rStyle w:val="ju-005fpara-002cleft-002cfirst-0020line-003a-0020-00200-0020cm--char"/>
          <w:i/>
          <w:iCs/>
        </w:rPr>
        <w:t xml:space="preserve">Belvedere Alberghiera S.r.l. v. Italy </w:t>
      </w:r>
      <w:r w:rsidR="00D25152">
        <w:t>((just satisfaction), no. 31524/96, 30 October 2003)</w:t>
      </w:r>
      <w:r w:rsidR="005C1B10">
        <w:t xml:space="preserve"> and</w:t>
      </w:r>
      <w:r w:rsidR="00D25152">
        <w:t xml:space="preserve"> </w:t>
      </w:r>
      <w:r w:rsidR="00D25152">
        <w:rPr>
          <w:rStyle w:val="ju-005fpara-002cleft-002cfirst-0020line-003a-0020-00200-0020cm--char"/>
          <w:i/>
          <w:iCs/>
        </w:rPr>
        <w:t>Carbonara and Ventura v. Italy</w:t>
      </w:r>
      <w:r w:rsidR="00D25152">
        <w:t xml:space="preserve"> ((just satisfaction), no. 24638/94, 11 December 2003) until a new method of calculation</w:t>
      </w:r>
      <w:r w:rsidR="00AA520B">
        <w:t xml:space="preserve"> of damage</w:t>
      </w:r>
      <w:r w:rsidR="00D25152">
        <w:t xml:space="preserve"> was explored by the Grand Chamber in </w:t>
      </w:r>
      <w:r w:rsidR="00D25152">
        <w:rPr>
          <w:i/>
          <w:lang w:val="pt-BR" w:eastAsia="en-US"/>
        </w:rPr>
        <w:t xml:space="preserve">Guiso-Gallisay v. Italy </w:t>
      </w:r>
      <w:r w:rsidR="00D25152">
        <w:rPr>
          <w:lang w:val="pt-BR" w:eastAsia="en-US"/>
        </w:rPr>
        <w:t>((just satisfaction) [GC], no. 58858/00</w:t>
      </w:r>
      <w:r w:rsidR="00D25152">
        <w:rPr>
          <w:snapToGrid w:val="0"/>
          <w:lang w:val="pt-BR" w:eastAsia="en-US"/>
        </w:rPr>
        <w:t xml:space="preserve">, </w:t>
      </w:r>
      <w:r w:rsidR="00D25152">
        <w:rPr>
          <w:snapToGrid w:val="0"/>
          <w:lang w:eastAsia="en-US"/>
        </w:rPr>
        <w:t xml:space="preserve">22 December 2009). In the latter case </w:t>
      </w:r>
      <w:r w:rsidR="00D25152">
        <w:rPr>
          <w:rStyle w:val="strong--char"/>
        </w:rPr>
        <w:t xml:space="preserve">the Grand Chamber considered that compensation </w:t>
      </w:r>
      <w:r w:rsidR="00A9162C">
        <w:rPr>
          <w:rStyle w:val="strong--char"/>
        </w:rPr>
        <w:t xml:space="preserve">for unlawful expropriation </w:t>
      </w:r>
      <w:r w:rsidR="00D25152">
        <w:rPr>
          <w:rStyle w:val="strong--char"/>
        </w:rPr>
        <w:t xml:space="preserve">was due according to the market value of the land at the date when </w:t>
      </w:r>
      <w:r w:rsidR="00D25152">
        <w:t>the applicants lost their right of ownership. Once the amount obtained at domestic level was deducted, and the difference with the market value of the land when the applicants lost ownership was obtained, that amount was to be converted to the current value to o</w:t>
      </w:r>
      <w:r w:rsidR="00A9162C">
        <w:t xml:space="preserve">ffset the effects of inflation. Moreover, simple </w:t>
      </w:r>
      <w:r w:rsidR="00D25152">
        <w:t xml:space="preserve">statutory interest </w:t>
      </w:r>
      <w:r w:rsidR="00A9162C">
        <w:t>(</w:t>
      </w:r>
      <w:r w:rsidR="00D25152">
        <w:t>applied to the capital progressively adjusted) was to be paid on this amount so as to offset, at least in part, the long period for which the applicants had been deprived of the land. It further had to asses</w:t>
      </w:r>
      <w:r w:rsidR="005C1B10">
        <w:t>s</w:t>
      </w:r>
      <w:r w:rsidR="00D25152">
        <w:t xml:space="preserve"> the loss of opportunities sustained by the applicants following the expropriation by having regard to the damage occasioned by the unavailability of the land during the period from the beginning of the lawful occupation until the date of loss of ownership.</w:t>
      </w:r>
      <w:r w:rsidR="00D25152">
        <w:rPr>
          <w:rStyle w:val="strong--char"/>
        </w:rPr>
        <w:t xml:space="preserve"> Thus, the Grand Chamber adopted</w:t>
      </w:r>
      <w:r w:rsidR="005C1B10">
        <w:rPr>
          <w:rStyle w:val="strong--char"/>
        </w:rPr>
        <w:t>,</w:t>
      </w:r>
      <w:r w:rsidR="00D25152">
        <w:rPr>
          <w:rStyle w:val="strong--char"/>
        </w:rPr>
        <w:t xml:space="preserve"> for unlawful expropriations, the same method of calculation used in lawful expropriations (</w:t>
      </w:r>
      <w:r w:rsidR="00A9162C">
        <w:rPr>
          <w:rStyle w:val="strong--char"/>
        </w:rPr>
        <w:t xml:space="preserve">see </w:t>
      </w:r>
      <w:r w:rsidR="00D25152">
        <w:rPr>
          <w:rStyle w:val="ju-005fpara-002cleft-002cfirst-0020line-003a-0020-00200-0020cm--char"/>
          <w:i/>
          <w:iCs/>
        </w:rPr>
        <w:t xml:space="preserve">Scordino v. </w:t>
      </w:r>
      <w:smartTag w:uri="urn:schemas-microsoft-com:office:smarttags" w:element="place">
        <w:smartTag w:uri="urn:schemas-microsoft-com:office:smarttags" w:element="country-region">
          <w:r w:rsidR="00D25152">
            <w:rPr>
              <w:rStyle w:val="ju-005fpara-002cleft-002cfirst-0020line-003a-0020-00200-0020cm--char"/>
              <w:i/>
              <w:iCs/>
            </w:rPr>
            <w:t>Italy</w:t>
          </w:r>
        </w:smartTag>
      </w:smartTag>
      <w:r w:rsidR="00D25152">
        <w:rPr>
          <w:rStyle w:val="ju-005fpara-002cleft-002cfirst-0020line-003a-0020-00200-0020cm--char"/>
          <w:i/>
          <w:iCs/>
        </w:rPr>
        <w:t xml:space="preserve"> ((no. 1)</w:t>
      </w:r>
      <w:r w:rsidR="00D25152">
        <w:t xml:space="preserve"> ([GC], no. 36813/97, §§ 250-254, ECHR 2006-V)</w:t>
      </w:r>
      <w:r w:rsidR="005C1B10">
        <w:t xml:space="preserve"> but added</w:t>
      </w:r>
      <w:r w:rsidR="00D25152">
        <w:t xml:space="preserve"> </w:t>
      </w:r>
      <w:r w:rsidR="00A415E9">
        <w:t xml:space="preserve">to the non-pecuniary assessment </w:t>
      </w:r>
      <w:r w:rsidR="00D25152">
        <w:t>the amount of damage arising from loss of opportunities.</w:t>
      </w:r>
    </w:p>
    <w:p w:rsidR="001E40EA" w:rsidP="00D25152" w:rsidRDefault="00E57065">
      <w:pPr>
        <w:pStyle w:val="JuPara"/>
      </w:pPr>
      <w:r>
        <w:fldChar w:fldCharType="begin"/>
      </w:r>
      <w:r>
        <w:instrText xml:space="preserve"> SEQ level0 \*arabic </w:instrText>
      </w:r>
      <w:r>
        <w:fldChar w:fldCharType="separate"/>
      </w:r>
      <w:r w:rsidR="00CC5D83">
        <w:rPr>
          <w:noProof/>
        </w:rPr>
        <w:t>14</w:t>
      </w:r>
      <w:r>
        <w:fldChar w:fldCharType="end"/>
      </w:r>
      <w:r>
        <w:t>.  </w:t>
      </w:r>
      <w:r w:rsidR="00485210">
        <w:t xml:space="preserve">The Court </w:t>
      </w:r>
      <w:r w:rsidR="005C1B10">
        <w:t>notes</w:t>
      </w:r>
      <w:r w:rsidR="00485210">
        <w:t xml:space="preserve"> </w:t>
      </w:r>
      <w:r w:rsidR="005802C6">
        <w:t xml:space="preserve">that, as held in its principal judgment, </w:t>
      </w:r>
      <w:r w:rsidR="00485210">
        <w:t>the disp</w:t>
      </w:r>
      <w:r w:rsidR="005C1B10">
        <w:t>ossession of the applicant</w:t>
      </w:r>
      <w:r w:rsidR="00485210">
        <w:t>s</w:t>
      </w:r>
      <w:r w:rsidR="00541E9E">
        <w:t>'</w:t>
      </w:r>
      <w:r w:rsidR="00485210">
        <w:t xml:space="preserve"> land in the present case was not unlawful</w:t>
      </w:r>
      <w:r w:rsidR="005802C6">
        <w:t xml:space="preserve"> </w:t>
      </w:r>
      <w:r w:rsidR="005C1B10">
        <w:t xml:space="preserve">(see </w:t>
      </w:r>
      <w:r w:rsidRPr="00CC5D83" w:rsidR="005802C6">
        <w:rPr>
          <w:i/>
          <w:lang w:eastAsia="en-US"/>
        </w:rPr>
        <w:t>Schembri and Others v. Malta</w:t>
      </w:r>
      <w:r w:rsidRPr="00CC5D83" w:rsidR="005802C6">
        <w:rPr>
          <w:lang w:eastAsia="en-US"/>
        </w:rPr>
        <w:t>, no. 42583/06</w:t>
      </w:r>
      <w:r w:rsidRPr="00CC5D83" w:rsidR="005802C6">
        <w:rPr>
          <w:snapToGrid w:val="0"/>
          <w:lang w:eastAsia="en-US"/>
        </w:rPr>
        <w:t xml:space="preserve">, § 31, 10 </w:t>
      </w:r>
      <w:r w:rsidRPr="00CC5D83" w:rsidR="005802C6">
        <w:rPr>
          <w:lang w:eastAsia="en-US"/>
        </w:rPr>
        <w:t>November</w:t>
      </w:r>
      <w:r w:rsidRPr="00CC5D83" w:rsidR="005802C6">
        <w:rPr>
          <w:snapToGrid w:val="0"/>
          <w:lang w:eastAsia="en-US"/>
        </w:rPr>
        <w:t xml:space="preserve"> 2009</w:t>
      </w:r>
      <w:r w:rsidRPr="00CC5D83" w:rsidR="005C1B10">
        <w:rPr>
          <w:snapToGrid w:val="0"/>
          <w:lang w:eastAsia="en-US"/>
        </w:rPr>
        <w:t>)</w:t>
      </w:r>
      <w:r w:rsidR="00485210">
        <w:t xml:space="preserve">. Thus, in the present case it is the lack of adequate compensation and not the inherent unlawfulness of the taking of the land that was at the origin of the violation found under Article 1 of Protocol No. 1. Accordingly, the compensation need not necessarily reflect the full value of the property (see </w:t>
      </w:r>
      <w:r w:rsidR="00485210">
        <w:rPr>
          <w:i/>
        </w:rPr>
        <w:t xml:space="preserve">Former King of </w:t>
      </w:r>
      <w:smartTag w:uri="urn:schemas-microsoft-com:office:smarttags" w:element="country-region">
        <w:r w:rsidR="00485210">
          <w:rPr>
            <w:i/>
          </w:rPr>
          <w:t>Greece</w:t>
        </w:r>
      </w:smartTag>
      <w:r w:rsidR="00485210">
        <w:rPr>
          <w:i/>
        </w:rPr>
        <w:t xml:space="preserve"> and Others v. </w:t>
      </w:r>
      <w:smartTag w:uri="urn:schemas-microsoft-com:office:smarttags" w:element="country-region">
        <w:r w:rsidR="00485210">
          <w:rPr>
            <w:i/>
          </w:rPr>
          <w:t>Greece</w:t>
        </w:r>
      </w:smartTag>
      <w:r w:rsidR="00485210">
        <w:rPr>
          <w:i/>
        </w:rPr>
        <w:t xml:space="preserve"> </w:t>
      </w:r>
      <w:r w:rsidR="00485210">
        <w:t xml:space="preserve">[GC] (just satisfaction), no. 25701/94, § 78, 28 November 2002, and </w:t>
      </w:r>
      <w:r w:rsidR="00485210">
        <w:rPr>
          <w:i/>
        </w:rPr>
        <w:t xml:space="preserve">Yagtzilar and Others v. </w:t>
      </w:r>
      <w:smartTag w:uri="urn:schemas-microsoft-com:office:smarttags" w:element="place">
        <w:smartTag w:uri="urn:schemas-microsoft-com:office:smarttags" w:element="country-region">
          <w:r w:rsidR="00485210">
            <w:rPr>
              <w:i/>
            </w:rPr>
            <w:t>Greece</w:t>
          </w:r>
        </w:smartTag>
      </w:smartTag>
      <w:r w:rsidR="00485210">
        <w:rPr>
          <w:i/>
        </w:rPr>
        <w:t xml:space="preserve"> </w:t>
      </w:r>
      <w:r w:rsidR="00485210">
        <w:t>(just satisfaction), no. 41727/98, § 25, 15 January 2004).</w:t>
      </w:r>
    </w:p>
    <w:p w:rsidR="00E57065" w:rsidP="00D25152" w:rsidRDefault="00E57065">
      <w:pPr>
        <w:pStyle w:val="JuPara"/>
        <w:rPr>
          <w:lang w:eastAsia="en-US"/>
        </w:rPr>
      </w:pPr>
      <w:r>
        <w:fldChar w:fldCharType="begin"/>
      </w:r>
      <w:r>
        <w:instrText xml:space="preserve"> SEQ level0 \*arabic </w:instrText>
      </w:r>
      <w:r>
        <w:fldChar w:fldCharType="separate"/>
      </w:r>
      <w:r w:rsidR="00CC5D83">
        <w:rPr>
          <w:noProof/>
        </w:rPr>
        <w:t>15</w:t>
      </w:r>
      <w:r>
        <w:fldChar w:fldCharType="end"/>
      </w:r>
      <w:r>
        <w:t xml:space="preserve">.  In </w:t>
      </w:r>
      <w:r w:rsidR="00F92802">
        <w:t xml:space="preserve">such cases, in </w:t>
      </w:r>
      <w:r>
        <w:t xml:space="preserve">determining the amount of adequate compensation, the Court must base itself on the criteria laid down in its judgments regarding Article 1 of Protocol No. 1 and according to which, without payment of an amount reasonably related to its value, a deprivation of property would normally constitute a disproportionate interference which could not be considered justifiable under Article 1 of Protocol No. 1 (see </w:t>
      </w:r>
      <w:r>
        <w:rPr>
          <w:rStyle w:val="ju-005fpara--char"/>
          <w:i/>
          <w:iCs/>
        </w:rPr>
        <w:t>James and Others v. the United Kingdom</w:t>
      </w:r>
      <w:r>
        <w:t xml:space="preserve"> judgment of 21 February 1986, Series A no. 98, § 54) and</w:t>
      </w:r>
      <w:r w:rsidRPr="00804622">
        <w:t xml:space="preserve"> </w:t>
      </w:r>
      <w:r w:rsidR="0039626A">
        <w:t>a total lack of compensation could</w:t>
      </w:r>
      <w:r>
        <w:t xml:space="preserve"> be considered justifiable only in exceptional circumstances. The provision </w:t>
      </w:r>
      <w:r w:rsidR="00C208D9">
        <w:t>did</w:t>
      </w:r>
      <w:r>
        <w:t xml:space="preserve"> not, however, guarantee a right to full compensation in all circumstances</w:t>
      </w:r>
      <w:r w:rsidRPr="00804622">
        <w:t xml:space="preserve"> </w:t>
      </w:r>
      <w:r>
        <w:t xml:space="preserve">since legitimate objectives of “public interest” may call for less than reimbursement of the full market value (see </w:t>
      </w:r>
      <w:r>
        <w:rPr>
          <w:rStyle w:val="ju-005fpara--char"/>
          <w:i/>
          <w:iCs/>
        </w:rPr>
        <w:t>The</w:t>
      </w:r>
      <w:r>
        <w:t xml:space="preserve"> </w:t>
      </w:r>
      <w:r>
        <w:rPr>
          <w:rStyle w:val="ju-005fpara--char"/>
          <w:i/>
          <w:iCs/>
        </w:rPr>
        <w:t>Holy Monasteries v. Greece</w:t>
      </w:r>
      <w:r>
        <w:t>, 9 December 1994, § 71,</w:t>
      </w:r>
      <w:r w:rsidRPr="00804622">
        <w:t xml:space="preserve"> </w:t>
      </w:r>
      <w:r>
        <w:t xml:space="preserve">Series A no. 301-A; and </w:t>
      </w:r>
      <w:r w:rsidRPr="00310080">
        <w:rPr>
          <w:i/>
          <w:szCs w:val="24"/>
          <w:lang w:eastAsia="en-US"/>
        </w:rPr>
        <w:t xml:space="preserve">Jahn and Others v. </w:t>
      </w:r>
      <w:smartTag w:uri="urn:schemas-microsoft-com:office:smarttags" w:element="country-region">
        <w:smartTag w:uri="urn:schemas-microsoft-com:office:smarttags" w:element="place">
          <w:r w:rsidRPr="00310080">
            <w:rPr>
              <w:i/>
              <w:szCs w:val="24"/>
              <w:lang w:eastAsia="en-US"/>
            </w:rPr>
            <w:t>Germany</w:t>
          </w:r>
        </w:smartTag>
      </w:smartTag>
      <w:r w:rsidRPr="00310080">
        <w:rPr>
          <w:i/>
          <w:szCs w:val="24"/>
          <w:lang w:eastAsia="en-US"/>
        </w:rPr>
        <w:t xml:space="preserve"> </w:t>
      </w:r>
      <w:r w:rsidRPr="00310080">
        <w:rPr>
          <w:szCs w:val="24"/>
          <w:lang w:eastAsia="en-US"/>
        </w:rPr>
        <w:t xml:space="preserve">[GC], nos. 46720/99, 72203/01 and 72552/01, </w:t>
      </w:r>
      <w:r>
        <w:rPr>
          <w:szCs w:val="24"/>
          <w:lang w:eastAsia="en-US"/>
        </w:rPr>
        <w:t>§ 94</w:t>
      </w:r>
      <w:r w:rsidRPr="00310080">
        <w:rPr>
          <w:szCs w:val="24"/>
          <w:lang w:eastAsia="en-US"/>
        </w:rPr>
        <w:t>, ECHR 2005</w:t>
      </w:r>
      <w:r w:rsidRPr="00310080">
        <w:rPr>
          <w:szCs w:val="24"/>
          <w:lang w:eastAsia="en-US"/>
        </w:rPr>
        <w:noBreakHyphen/>
        <w:t>VI</w:t>
      </w:r>
      <w:r>
        <w:t>).</w:t>
      </w:r>
    </w:p>
    <w:p w:rsidRPr="00E57065" w:rsidR="00A9162C" w:rsidP="00D25152" w:rsidRDefault="00E57065">
      <w:pPr>
        <w:pStyle w:val="JuPara"/>
      </w:pPr>
      <w:r>
        <w:fldChar w:fldCharType="begin"/>
      </w:r>
      <w:r>
        <w:instrText xml:space="preserve"> SEQ level0 \*arabic </w:instrText>
      </w:r>
      <w:r>
        <w:fldChar w:fldCharType="separate"/>
      </w:r>
      <w:r w:rsidR="00CC5D83">
        <w:rPr>
          <w:noProof/>
        </w:rPr>
        <w:t>16</w:t>
      </w:r>
      <w:r>
        <w:fldChar w:fldCharType="end"/>
      </w:r>
      <w:r>
        <w:t>.  </w:t>
      </w:r>
      <w:r w:rsidR="00485210">
        <w:t xml:space="preserve">However, </w:t>
      </w:r>
      <w:r w:rsidR="00A9162C">
        <w:t>in the princ</w:t>
      </w:r>
      <w:r w:rsidR="005802C6">
        <w:t>ipal</w:t>
      </w:r>
      <w:r w:rsidR="00A9162C">
        <w:t xml:space="preserve"> judgment the</w:t>
      </w:r>
      <w:r w:rsidR="00485210">
        <w:t xml:space="preserve"> Court </w:t>
      </w:r>
      <w:r w:rsidR="005802C6">
        <w:t>held</w:t>
      </w:r>
      <w:r w:rsidR="00485210">
        <w:t xml:space="preserve"> that the</w:t>
      </w:r>
      <w:r w:rsidR="00A9162C">
        <w:t xml:space="preserve"> taking in the present case did not pursue any pressing public interest objective capable of justifying reimbursement of </w:t>
      </w:r>
      <w:r w:rsidR="005C1B10">
        <w:t xml:space="preserve">less than </w:t>
      </w:r>
      <w:r w:rsidR="00A9162C">
        <w:t>the market value</w:t>
      </w:r>
      <w:r w:rsidR="005802C6">
        <w:t xml:space="preserve"> (§ 40)</w:t>
      </w:r>
      <w:r w:rsidR="00A9162C">
        <w:t>. It further held that the compensation</w:t>
      </w:r>
      <w:r w:rsidRPr="00E948C1" w:rsidR="00E948C1">
        <w:t xml:space="preserve"> </w:t>
      </w:r>
      <w:r w:rsidR="00E948C1">
        <w:t>as established by Maltese law, amounting to</w:t>
      </w:r>
      <w:r w:rsidR="00A9162C">
        <w:t xml:space="preserve"> </w:t>
      </w:r>
      <w:r w:rsidR="00E948C1">
        <w:t>a sum equal to the price of the land at the time when the declaration had been served, namely 1974</w:t>
      </w:r>
      <w:r w:rsidR="005E1812">
        <w:t>,</w:t>
      </w:r>
      <w:r w:rsidR="00E948C1">
        <w:t xml:space="preserve"> plus interest at 5 % was not sufficient to offset the failure to pay compensation to that date</w:t>
      </w:r>
      <w:r w:rsidR="005802C6">
        <w:t xml:space="preserve"> (§ 42)</w:t>
      </w:r>
      <w:r w:rsidR="00E948C1">
        <w:t>.</w:t>
      </w:r>
    </w:p>
    <w:p w:rsidR="00BE5E84" w:rsidP="00D25152" w:rsidRDefault="00C366DD">
      <w:pPr>
        <w:pStyle w:val="JuPara"/>
      </w:pPr>
      <w:r>
        <w:fldChar w:fldCharType="begin"/>
      </w:r>
      <w:r>
        <w:instrText xml:space="preserve"> SEQ level0 \*arabic </w:instrText>
      </w:r>
      <w:r>
        <w:fldChar w:fldCharType="separate"/>
      </w:r>
      <w:r w:rsidR="00CC5D83">
        <w:rPr>
          <w:noProof/>
        </w:rPr>
        <w:t>17</w:t>
      </w:r>
      <w:r>
        <w:fldChar w:fldCharType="end"/>
      </w:r>
      <w:r>
        <w:t>.  </w:t>
      </w:r>
      <w:r w:rsidR="00A415E9">
        <w:t>In this light and b</w:t>
      </w:r>
      <w:r w:rsidR="00D25152">
        <w:t>earing in mind recent case-law which has</w:t>
      </w:r>
      <w:r w:rsidR="005802C6">
        <w:t>,</w:t>
      </w:r>
      <w:r w:rsidR="00D25152">
        <w:t xml:space="preserve"> </w:t>
      </w:r>
      <w:r w:rsidR="00E948C1">
        <w:t>in the ambit of non-</w:t>
      </w:r>
      <w:r w:rsidR="000554E9">
        <w:t>pecuniary damage</w:t>
      </w:r>
      <w:r w:rsidR="005802C6">
        <w:t>,</w:t>
      </w:r>
      <w:r w:rsidR="000554E9">
        <w:t xml:space="preserve"> </w:t>
      </w:r>
      <w:r w:rsidR="00D25152">
        <w:t>diminished the distinction between lawful and unlawful expropriations,</w:t>
      </w:r>
      <w:r w:rsidR="000554E9">
        <w:t xml:space="preserve"> </w:t>
      </w:r>
      <w:r w:rsidR="00E948C1">
        <w:t>t</w:t>
      </w:r>
      <w:r w:rsidR="000554E9">
        <w:t>he Court considers that notwithstanding</w:t>
      </w:r>
      <w:r w:rsidR="00AA520B">
        <w:t xml:space="preserve"> the</w:t>
      </w:r>
      <w:r w:rsidR="00D25152">
        <w:t xml:space="preserve"> hybrid nature</w:t>
      </w:r>
      <w:r w:rsidR="00AA520B">
        <w:t xml:space="preserve"> of the taking</w:t>
      </w:r>
      <w:r w:rsidR="00D25152">
        <w:t>,</w:t>
      </w:r>
      <w:r w:rsidR="000554E9">
        <w:t xml:space="preserve"> the non-pecuniary damage in</w:t>
      </w:r>
      <w:r w:rsidR="00D25152">
        <w:t xml:space="preserve"> </w:t>
      </w:r>
      <w:r w:rsidR="000554E9">
        <w:t>the circumstances of the present case fall</w:t>
      </w:r>
      <w:r w:rsidR="00AA520B">
        <w:t>s</w:t>
      </w:r>
      <w:r w:rsidR="000554E9">
        <w:t xml:space="preserve"> to be </w:t>
      </w:r>
      <w:r w:rsidR="00A415E9">
        <w:t xml:space="preserve">assessed </w:t>
      </w:r>
      <w:r w:rsidR="00080644">
        <w:t>according to</w:t>
      </w:r>
      <w:r w:rsidR="000554E9">
        <w:t xml:space="preserve"> </w:t>
      </w:r>
      <w:r w:rsidR="00080644">
        <w:t xml:space="preserve">the </w:t>
      </w:r>
      <w:r w:rsidR="000554E9">
        <w:t>constant jurisprudence for lawful expropriations.</w:t>
      </w:r>
      <w:r w:rsidR="004518C8">
        <w:t xml:space="preserve"> </w:t>
      </w:r>
      <w:r w:rsidR="00080644">
        <w:t xml:space="preserve">However, </w:t>
      </w:r>
      <w:r w:rsidR="004518C8">
        <w:t xml:space="preserve">since </w:t>
      </w:r>
      <w:r w:rsidR="00272A74">
        <w:t>according to the Maltese legal context</w:t>
      </w:r>
      <w:r w:rsidR="004518C8">
        <w:t xml:space="preserve">, the applicants have </w:t>
      </w:r>
      <w:r w:rsidR="00080644">
        <w:t xml:space="preserve">to date </w:t>
      </w:r>
      <w:r w:rsidR="004518C8">
        <w:t>not lost ownership of the property,</w:t>
      </w:r>
      <w:r w:rsidR="00080644">
        <w:t xml:space="preserve"> the Court</w:t>
      </w:r>
      <w:r w:rsidRPr="00080644" w:rsidR="00080644">
        <w:t xml:space="preserve"> </w:t>
      </w:r>
      <w:r w:rsidR="00080644">
        <w:t xml:space="preserve">considers it appropriate to base itself on the value of the land </w:t>
      </w:r>
      <w:r w:rsidR="00080644">
        <w:rPr>
          <w:rStyle w:val="strong--char"/>
        </w:rPr>
        <w:t xml:space="preserve">when </w:t>
      </w:r>
      <w:r w:rsidR="00080644">
        <w:t xml:space="preserve">the applicants first lost </w:t>
      </w:r>
      <w:r w:rsidR="004D0482">
        <w:t>“</w:t>
      </w:r>
      <w:r w:rsidR="00080644">
        <w:t>possession</w:t>
      </w:r>
      <w:r w:rsidR="004D0482">
        <w:t>”</w:t>
      </w:r>
      <w:r w:rsidR="00080644">
        <w:rPr>
          <w:rStyle w:val="strong--char"/>
        </w:rPr>
        <w:t>. T</w:t>
      </w:r>
      <w:r w:rsidR="00AF23CB">
        <w:rPr>
          <w:rStyle w:val="strong--char"/>
        </w:rPr>
        <w:t>hus,</w:t>
      </w:r>
      <w:r w:rsidRPr="00080644" w:rsidR="00080644">
        <w:t xml:space="preserve"> </w:t>
      </w:r>
      <w:r w:rsidR="00080644">
        <w:t xml:space="preserve">in the present case, the starting point of the calculation is </w:t>
      </w:r>
      <w:r w:rsidR="00080644">
        <w:rPr>
          <w:rStyle w:val="strong--char"/>
        </w:rPr>
        <w:t>the market value of the land</w:t>
      </w:r>
      <w:r w:rsidRPr="00080644" w:rsidR="00080644">
        <w:t xml:space="preserve"> </w:t>
      </w:r>
      <w:r w:rsidR="00080644">
        <w:t xml:space="preserve">at the time of the </w:t>
      </w:r>
      <w:r w:rsidR="00080644">
        <w:rPr>
          <w:rStyle w:val="strong--char"/>
        </w:rPr>
        <w:t>taking</w:t>
      </w:r>
      <w:r w:rsidR="001C462F">
        <w:rPr>
          <w:rStyle w:val="strong--char"/>
        </w:rPr>
        <w:t xml:space="preserve"> in 1974</w:t>
      </w:r>
      <w:r w:rsidR="00D55A10">
        <w:rPr>
          <w:rStyle w:val="strong--char"/>
        </w:rPr>
        <w:t xml:space="preserve"> (as established by the LAB)</w:t>
      </w:r>
      <w:r w:rsidR="004518C8">
        <w:t>.</w:t>
      </w:r>
      <w:r w:rsidR="000554E9">
        <w:t xml:space="preserve"> </w:t>
      </w:r>
      <w:r w:rsidR="00BE5E84">
        <w:t>Moreover, observing that the Government have not substantiated their argument that the applicants would not have prejudiced any future claims had they accepted the compensation awarded in 1995, the Court considers that this further delay must also be taken into account.</w:t>
      </w:r>
    </w:p>
    <w:p w:rsidR="00C366DD" w:rsidP="00D25152" w:rsidRDefault="00BE5E84">
      <w:pPr>
        <w:pStyle w:val="JuPara"/>
      </w:pPr>
      <w:r>
        <w:fldChar w:fldCharType="begin"/>
      </w:r>
      <w:r>
        <w:instrText xml:space="preserve"> SEQ level0 \*arabic </w:instrText>
      </w:r>
      <w:r>
        <w:fldChar w:fldCharType="separate"/>
      </w:r>
      <w:r w:rsidR="00CC5D83">
        <w:rPr>
          <w:noProof/>
        </w:rPr>
        <w:t>18</w:t>
      </w:r>
      <w:r>
        <w:fldChar w:fldCharType="end"/>
      </w:r>
      <w:r>
        <w:t>.  </w:t>
      </w:r>
      <w:r w:rsidR="00E948C1">
        <w:t xml:space="preserve">Accordingly, </w:t>
      </w:r>
      <w:r w:rsidR="000554E9">
        <w:t>the sum to be awarded to the applicants should be calculated on the basis of the value of the land at the time of the taking</w:t>
      </w:r>
      <w:r>
        <w:t>,</w:t>
      </w:r>
      <w:r w:rsidR="00B629D8">
        <w:t xml:space="preserve"> </w:t>
      </w:r>
      <w:r w:rsidR="000554E9">
        <w:t>to be converted to the current value to offset the effects of inflation</w:t>
      </w:r>
      <w:r w:rsidR="00F72F89">
        <w:t xml:space="preserve">, plus </w:t>
      </w:r>
      <w:r w:rsidR="00E948C1">
        <w:t>simple statutory interest applied to the capital progressively adjusted</w:t>
      </w:r>
      <w:r w:rsidR="00F72F89">
        <w:t>.</w:t>
      </w:r>
      <w:r w:rsidR="00AB00B4">
        <w:t xml:space="preserve"> </w:t>
      </w:r>
      <w:r w:rsidR="00485210">
        <w:t xml:space="preserve">As in the present case the applicants have not yet received any payment </w:t>
      </w:r>
      <w:r>
        <w:t xml:space="preserve">at the national level, </w:t>
      </w:r>
      <w:r w:rsidR="00485210">
        <w:t>no such deductions are necessary.</w:t>
      </w:r>
      <w:r w:rsidR="0073477D">
        <w:t xml:space="preserve"> While the Court accepts the average statutory rate to be 5 % over the relevant period, it does not accept the Government</w:t>
      </w:r>
      <w:r w:rsidR="00541E9E">
        <w:t>'</w:t>
      </w:r>
      <w:r w:rsidR="0073477D">
        <w:t>s calculation of interest.</w:t>
      </w:r>
    </w:p>
    <w:p w:rsidR="00D25152" w:rsidP="00D25152" w:rsidRDefault="00C366DD">
      <w:pPr>
        <w:pStyle w:val="JuPara"/>
      </w:pPr>
      <w:r>
        <w:fldChar w:fldCharType="begin"/>
      </w:r>
      <w:r>
        <w:instrText xml:space="preserve"> SEQ level0 \*arabic </w:instrText>
      </w:r>
      <w:r>
        <w:fldChar w:fldCharType="separate"/>
      </w:r>
      <w:r w:rsidR="00CC5D83">
        <w:rPr>
          <w:noProof/>
        </w:rPr>
        <w:t>19</w:t>
      </w:r>
      <w:r>
        <w:fldChar w:fldCharType="end"/>
      </w:r>
      <w:r>
        <w:t>.  Having regard to those factors, and ruling on an equitable basis, the Court considers it reasonable to award the applicants</w:t>
      </w:r>
      <w:r w:rsidR="00E71540">
        <w:t>, jointly,</w:t>
      </w:r>
      <w:r>
        <w:t xml:space="preserve"> EUR</w:t>
      </w:r>
      <w:r w:rsidR="005E1812">
        <w:t xml:space="preserve"> 93</w:t>
      </w:r>
      <w:r w:rsidR="00B629D8">
        <w:t>,000</w:t>
      </w:r>
      <w:r>
        <w:t xml:space="preserve"> plus any tax that may be chargeable on that amount.</w:t>
      </w:r>
    </w:p>
    <w:p w:rsidR="008712CA" w:rsidP="008712CA" w:rsidRDefault="008712CA">
      <w:pPr>
        <w:pStyle w:val="JuHA"/>
      </w:pPr>
      <w:r>
        <w:t>B. Non-pecuniary</w:t>
      </w:r>
      <w:r w:rsidR="00272A74">
        <w:t> d</w:t>
      </w:r>
      <w:r w:rsidRPr="00C873C2">
        <w:t>amage</w:t>
      </w:r>
    </w:p>
    <w:p w:rsidR="008712CA" w:rsidP="008712CA" w:rsidRDefault="008712CA">
      <w:pPr>
        <w:pStyle w:val="JuPara"/>
      </w:pPr>
      <w:r>
        <w:fldChar w:fldCharType="begin"/>
      </w:r>
      <w:r>
        <w:instrText xml:space="preserve"> SEQ level0 \*arabic </w:instrText>
      </w:r>
      <w:r>
        <w:fldChar w:fldCharType="separate"/>
      </w:r>
      <w:r w:rsidR="00CC5D83">
        <w:rPr>
          <w:noProof/>
        </w:rPr>
        <w:t>20</w:t>
      </w:r>
      <w:r>
        <w:fldChar w:fldCharType="end"/>
      </w:r>
      <w:r>
        <w:t>.  The applicants claimed EUR 6,000 each in</w:t>
      </w:r>
      <w:r w:rsidR="005E1812">
        <w:t xml:space="preserve"> respect of</w:t>
      </w:r>
      <w:r>
        <w:t xml:space="preserve"> non-pecuniary damage.</w:t>
      </w:r>
    </w:p>
    <w:p w:rsidR="00CC5D83" w:rsidP="008712CA" w:rsidRDefault="00D53A03">
      <w:pPr>
        <w:pStyle w:val="JuPara"/>
      </w:pPr>
      <w:r>
        <w:fldChar w:fldCharType="begin"/>
      </w:r>
      <w:r>
        <w:instrText xml:space="preserve"> SEQ level0 \*arabic </w:instrText>
      </w:r>
      <w:r>
        <w:fldChar w:fldCharType="separate"/>
      </w:r>
      <w:r w:rsidR="00CC5D83">
        <w:rPr>
          <w:noProof/>
        </w:rPr>
        <w:t>21</w:t>
      </w:r>
      <w:r>
        <w:fldChar w:fldCharType="end"/>
      </w:r>
      <w:r>
        <w:t>.  The Government submitted that the applicants would already be appropriately compensated by th</w:t>
      </w:r>
      <w:r w:rsidR="005E1812">
        <w:t xml:space="preserve">e payment of the revised amount, </w:t>
      </w:r>
      <w:r>
        <w:t>and in any case</w:t>
      </w:r>
      <w:r w:rsidR="005E1812">
        <w:t xml:space="preserve"> any award in respect of non-</w:t>
      </w:r>
      <w:r>
        <w:t>pecuniary damage should not exceed the amount of EUR 1,000.</w:t>
      </w:r>
    </w:p>
    <w:p w:rsidRPr="008712CA" w:rsidR="00774B7E" w:rsidP="008712CA" w:rsidRDefault="00774B7E">
      <w:pPr>
        <w:pStyle w:val="JuPara"/>
      </w:pPr>
      <w:r>
        <w:fldChar w:fldCharType="begin"/>
      </w:r>
      <w:r>
        <w:instrText xml:space="preserve"> SEQ level0 \*arabic </w:instrText>
      </w:r>
      <w:r>
        <w:fldChar w:fldCharType="separate"/>
      </w:r>
      <w:r w:rsidR="00CC5D83">
        <w:rPr>
          <w:noProof/>
        </w:rPr>
        <w:t>22</w:t>
      </w:r>
      <w:r>
        <w:fldChar w:fldCharType="end"/>
      </w:r>
      <w:r>
        <w:t xml:space="preserve">.  The Court considers that the applicants must have </w:t>
      </w:r>
      <w:r w:rsidR="005E1812">
        <w:t>experienced</w:t>
      </w:r>
      <w:r>
        <w:t xml:space="preserve"> frustration and stress having regard to the nature of the br</w:t>
      </w:r>
      <w:r w:rsidR="00E97170">
        <w:t xml:space="preserve">each. It therefore awards </w:t>
      </w:r>
      <w:r w:rsidR="005F0F38">
        <w:t xml:space="preserve">the applicants </w:t>
      </w:r>
      <w:r w:rsidR="00E97170">
        <w:t xml:space="preserve">EUR </w:t>
      </w:r>
      <w:r w:rsidR="00E71540">
        <w:t>2</w:t>
      </w:r>
      <w:r w:rsidR="00272A74">
        <w:t>,5</w:t>
      </w:r>
      <w:r>
        <w:t>00</w:t>
      </w:r>
      <w:r w:rsidR="00E71540">
        <w:t>, each,</w:t>
      </w:r>
      <w:r>
        <w:t xml:space="preserve"> in respect of non-pecuniary damage.</w:t>
      </w:r>
    </w:p>
    <w:p w:rsidRPr="00C873C2" w:rsidR="00C873C2" w:rsidRDefault="008712CA">
      <w:pPr>
        <w:pStyle w:val="JuHA"/>
      </w:pPr>
      <w:r>
        <w:t xml:space="preserve">C. </w:t>
      </w:r>
      <w:r w:rsidRPr="00C873C2" w:rsidR="00C873C2">
        <w:t>Costs and expenses</w:t>
      </w:r>
    </w:p>
    <w:p w:rsidR="00C873C2" w:rsidRDefault="00C873C2">
      <w:pPr>
        <w:pStyle w:val="JuPara"/>
      </w:pPr>
      <w:r w:rsidRPr="00C873C2">
        <w:fldChar w:fldCharType="begin"/>
      </w:r>
      <w:r w:rsidRPr="00C873C2">
        <w:instrText xml:space="preserve"> SEQ level0 \*arabic </w:instrText>
      </w:r>
      <w:r w:rsidRPr="00C873C2">
        <w:fldChar w:fldCharType="separate"/>
      </w:r>
      <w:r w:rsidR="00CC5D83">
        <w:rPr>
          <w:noProof/>
        </w:rPr>
        <w:t>23</w:t>
      </w:r>
      <w:r w:rsidRPr="00C873C2">
        <w:fldChar w:fldCharType="end"/>
      </w:r>
      <w:r w:rsidRPr="00C873C2">
        <w:t>.  </w:t>
      </w:r>
      <w:r w:rsidRPr="006C377B" w:rsidR="008712CA">
        <w:t>The applicant</w:t>
      </w:r>
      <w:r w:rsidR="008712CA">
        <w:t>s</w:t>
      </w:r>
      <w:r w:rsidRPr="006C377B" w:rsidR="008712CA">
        <w:t xml:space="preserve"> claimed</w:t>
      </w:r>
      <w:r w:rsidR="004B0166">
        <w:t xml:space="preserve"> a total of</w:t>
      </w:r>
      <w:r w:rsidRPr="006C377B" w:rsidR="008712CA">
        <w:t xml:space="preserve"> </w:t>
      </w:r>
      <w:r w:rsidR="008712CA">
        <w:t>EUR 6,095</w:t>
      </w:r>
      <w:r w:rsidRPr="006C377B" w:rsidR="008712CA">
        <w:t xml:space="preserve"> for cost</w:t>
      </w:r>
      <w:r w:rsidR="008712CA">
        <w:t xml:space="preserve">s and expenses incurred before </w:t>
      </w:r>
      <w:r w:rsidRPr="006C377B" w:rsidR="008712CA">
        <w:t xml:space="preserve">the domestic courts and </w:t>
      </w:r>
      <w:r w:rsidR="008712CA">
        <w:t>this</w:t>
      </w:r>
      <w:r w:rsidRPr="006C377B" w:rsidR="008712CA">
        <w:t xml:space="preserve"> Court</w:t>
      </w:r>
      <w:r w:rsidR="008712CA">
        <w:t>, covering legal fees of two solicitors</w:t>
      </w:r>
      <w:r w:rsidR="00CC36FE">
        <w:t xml:space="preserve"> (EUR</w:t>
      </w:r>
      <w:r w:rsidR="004B0166">
        <w:t xml:space="preserve"> </w:t>
      </w:r>
      <w:r w:rsidR="00CC36FE">
        <w:t xml:space="preserve">4,295) </w:t>
      </w:r>
      <w:r w:rsidR="004B0166">
        <w:t>and an outstanding bill of EUR 1,800</w:t>
      </w:r>
      <w:r w:rsidRPr="006C377B" w:rsidR="008712CA">
        <w:t>.</w:t>
      </w:r>
      <w:r w:rsidR="00B50B67">
        <w:t xml:space="preserve"> The applicants also attach</w:t>
      </w:r>
      <w:r w:rsidR="00CC36FE">
        <w:t>ed</w:t>
      </w:r>
      <w:r w:rsidR="00B50B67">
        <w:t xml:space="preserve"> a taxed bill of costs before the domestic courts amounting to EUR 3,640</w:t>
      </w:r>
      <w:r w:rsidR="00011916">
        <w:t xml:space="preserve">, although they have not made any specific claim in </w:t>
      </w:r>
      <w:r w:rsidR="005E1812">
        <w:t>that connection</w:t>
      </w:r>
      <w:r w:rsidR="00B50B67">
        <w:t>.</w:t>
      </w:r>
    </w:p>
    <w:p w:rsidR="00CC5D83" w:rsidRDefault="00D53A03">
      <w:pPr>
        <w:pStyle w:val="JuPara"/>
      </w:pPr>
      <w:r>
        <w:fldChar w:fldCharType="begin"/>
      </w:r>
      <w:r>
        <w:instrText xml:space="preserve"> SEQ level0 \*arabic </w:instrText>
      </w:r>
      <w:r>
        <w:fldChar w:fldCharType="separate"/>
      </w:r>
      <w:r w:rsidR="00CC5D83">
        <w:rPr>
          <w:noProof/>
        </w:rPr>
        <w:t>24</w:t>
      </w:r>
      <w:r>
        <w:fldChar w:fldCharType="end"/>
      </w:r>
      <w:r>
        <w:t xml:space="preserve">.  The Government submitted that the applicants still had an outstanding debt of EUR 3,275.14 in respect of </w:t>
      </w:r>
      <w:r w:rsidR="005E1812">
        <w:t>costs</w:t>
      </w:r>
      <w:r>
        <w:t xml:space="preserve"> they were ordered to pay in the domestic proceedings but which they had not paid; they thus considered that this sum should be deducted from the costs claimed.</w:t>
      </w:r>
    </w:p>
    <w:p w:rsidRPr="00C873C2" w:rsidR="00CC36FE" w:rsidRDefault="00CC36FE">
      <w:pPr>
        <w:pStyle w:val="JuPara"/>
      </w:pPr>
      <w:r>
        <w:fldChar w:fldCharType="begin"/>
      </w:r>
      <w:r>
        <w:instrText xml:space="preserve"> SEQ level0 \*arabic </w:instrText>
      </w:r>
      <w:r>
        <w:fldChar w:fldCharType="separate"/>
      </w:r>
      <w:r w:rsidR="00CC5D83">
        <w:rPr>
          <w:noProof/>
        </w:rPr>
        <w:t>25</w:t>
      </w:r>
      <w:r>
        <w:fldChar w:fldCharType="end"/>
      </w:r>
      <w:r>
        <w:t>.  According to the Court</w:t>
      </w:r>
      <w:r w:rsidR="00541E9E">
        <w:t>'</w:t>
      </w:r>
      <w:r>
        <w:t>s case-law, an applicant is entitled to the reimbursement of costs and expenses only in so far as it has been shown that these have been actually and necessarily incurred and are reasonable as to quantum. In the present case the Court notes that it has found a violation only in respect of Article 1 of Protocol No. 1</w:t>
      </w:r>
      <w:r w:rsidR="00317715">
        <w:t xml:space="preserve"> </w:t>
      </w:r>
      <w:r>
        <w:t>and has rejected the complaint under Article 6. Regard being had to the information in its possession and the above criteria,</w:t>
      </w:r>
      <w:r w:rsidRPr="00CC36FE">
        <w:t xml:space="preserve"> </w:t>
      </w:r>
      <w:r>
        <w:t>notably</w:t>
      </w:r>
      <w:r w:rsidR="005E1812">
        <w:t>,</w:t>
      </w:r>
      <w:r>
        <w:t xml:space="preserve"> the fact that the applicant did not submit any evidence substantiating the outstanding</w:t>
      </w:r>
      <w:r w:rsidR="00011916">
        <w:t xml:space="preserve"> lawyer</w:t>
      </w:r>
      <w:r w:rsidR="00541E9E">
        <w:t>'</w:t>
      </w:r>
      <w:r w:rsidR="00011916">
        <w:t>s</w:t>
      </w:r>
      <w:r w:rsidR="005E1812">
        <w:t xml:space="preserve"> bill and</w:t>
      </w:r>
      <w:r>
        <w:t xml:space="preserve"> the absence of details as to the number of hours worked and the rate charged per hour, </w:t>
      </w:r>
      <w:r w:rsidR="00011916">
        <w:t>and noting that the domestic court expenses</w:t>
      </w:r>
      <w:r w:rsidR="0073477D">
        <w:t>, which have not been explicitly claimed by the applicants,</w:t>
      </w:r>
      <w:r w:rsidR="00011916">
        <w:t xml:space="preserve"> </w:t>
      </w:r>
      <w:r w:rsidRPr="0073477D" w:rsidR="00011916">
        <w:t>remain due to the Government</w:t>
      </w:r>
      <w:r w:rsidR="00011916">
        <w:t xml:space="preserve">, </w:t>
      </w:r>
      <w:r>
        <w:t>the Court considers it reasonable to award the sum of EUR</w:t>
      </w:r>
      <w:r w:rsidR="00011916">
        <w:t xml:space="preserve"> 6,000</w:t>
      </w:r>
      <w:r>
        <w:t xml:space="preserve"> covering costs under all heads.</w:t>
      </w:r>
    </w:p>
    <w:p w:rsidRPr="00C873C2" w:rsidR="00C873C2" w:rsidRDefault="008712CA">
      <w:pPr>
        <w:pStyle w:val="JuHA"/>
      </w:pPr>
      <w:r>
        <w:t>D</w:t>
      </w:r>
      <w:r w:rsidRPr="00C873C2" w:rsidR="00C873C2">
        <w:t>.  Default interest</w:t>
      </w:r>
    </w:p>
    <w:p w:rsidRPr="00C873C2" w:rsidR="00746252" w:rsidRDefault="00C873C2">
      <w:pPr>
        <w:pStyle w:val="JuPara"/>
      </w:pPr>
      <w:r w:rsidRPr="00C873C2">
        <w:fldChar w:fldCharType="begin"/>
      </w:r>
      <w:r w:rsidRPr="00C873C2">
        <w:instrText xml:space="preserve"> SEQ level0 \*arabic </w:instrText>
      </w:r>
      <w:r w:rsidRPr="00C873C2">
        <w:fldChar w:fldCharType="separate"/>
      </w:r>
      <w:r w:rsidR="00CC5D83">
        <w:rPr>
          <w:noProof/>
        </w:rPr>
        <w:t>26</w:t>
      </w:r>
      <w:r w:rsidRPr="00C873C2">
        <w:fldChar w:fldCharType="end"/>
      </w:r>
      <w:r w:rsidRPr="00C873C2">
        <w:t>.  The Court considers it appropriate that the default interest should be based on the marginal lending rate of the European Central Bank, to which should be added three percentage points.</w:t>
      </w:r>
    </w:p>
    <w:p w:rsidRPr="00C873C2" w:rsidR="00746252" w:rsidRDefault="00746252">
      <w:pPr>
        <w:pStyle w:val="JuHHead"/>
      </w:pPr>
      <w:r w:rsidRPr="00C873C2">
        <w:t xml:space="preserve">FOR THESE REASONS, THE COURT </w:t>
      </w:r>
      <w:r w:rsidR="00AB00B4">
        <w:t>UNANIMOUSLY</w:t>
      </w:r>
    </w:p>
    <w:p w:rsidR="00CC5D83" w:rsidRDefault="00C873C2">
      <w:pPr>
        <w:pStyle w:val="JuList"/>
      </w:pPr>
      <w:r w:rsidRPr="00C873C2">
        <w:t>1.  </w:t>
      </w:r>
      <w:r w:rsidRPr="00C873C2">
        <w:rPr>
          <w:i/>
        </w:rPr>
        <w:t>Holds</w:t>
      </w:r>
    </w:p>
    <w:p w:rsidR="00CC5D83" w:rsidRDefault="00C873C2">
      <w:pPr>
        <w:pStyle w:val="JuLista"/>
      </w:pPr>
      <w:r w:rsidRPr="00C873C2">
        <w:t xml:space="preserve">(a)  that the respondent State is to pay the </w:t>
      </w:r>
      <w:r w:rsidR="00526694">
        <w:t>applicant</w:t>
      </w:r>
      <w:r w:rsidR="005E1812">
        <w:t>s</w:t>
      </w:r>
      <w:r w:rsidR="00526694">
        <w:t xml:space="preserve"> within three months </w:t>
      </w:r>
      <w:r w:rsidRPr="00C873C2">
        <w:t>from the date on which the judgment becomes final in accordance with A</w:t>
      </w:r>
      <w:r w:rsidR="00526694">
        <w:t>rticle 44 § 2 of the Convention</w:t>
      </w:r>
      <w:r w:rsidRPr="00C873C2">
        <w:t>,</w:t>
      </w:r>
    </w:p>
    <w:p w:rsidRPr="00C873C2" w:rsidR="00C873C2" w:rsidRDefault="00C873C2">
      <w:pPr>
        <w:pStyle w:val="JuListi"/>
      </w:pPr>
      <w:r w:rsidRPr="00C873C2">
        <w:t>(i)  </w:t>
      </w:r>
      <w:r w:rsidRPr="00C873C2" w:rsidR="00526694">
        <w:t xml:space="preserve">EUR </w:t>
      </w:r>
      <w:r w:rsidR="007B2BE0">
        <w:t>93</w:t>
      </w:r>
      <w:r w:rsidR="00526694">
        <w:t>,000</w:t>
      </w:r>
      <w:r w:rsidRPr="00C873C2" w:rsidR="00526694">
        <w:t xml:space="preserve"> (</w:t>
      </w:r>
      <w:r w:rsidR="00526694">
        <w:t>ninety-three thousand euros)</w:t>
      </w:r>
      <w:r w:rsidRPr="00C873C2">
        <w:t>,</w:t>
      </w:r>
      <w:r w:rsidRPr="00E71540" w:rsidR="00E71540">
        <w:t xml:space="preserve"> </w:t>
      </w:r>
      <w:r w:rsidR="00E71540">
        <w:t>jointly,</w:t>
      </w:r>
      <w:r w:rsidRPr="00C873C2">
        <w:t xml:space="preserve"> in respect of pecuniary damage;</w:t>
      </w:r>
    </w:p>
    <w:p w:rsidRPr="00C873C2" w:rsidR="00C873C2" w:rsidRDefault="00C873C2">
      <w:pPr>
        <w:pStyle w:val="JuListi"/>
      </w:pPr>
      <w:r w:rsidRPr="00C873C2">
        <w:t xml:space="preserve">(ii)  EUR </w:t>
      </w:r>
      <w:r w:rsidR="00E71540">
        <w:t>2</w:t>
      </w:r>
      <w:r w:rsidR="00AF4F3E">
        <w:t>,5</w:t>
      </w:r>
      <w:r w:rsidR="00526694">
        <w:t>00</w:t>
      </w:r>
      <w:r w:rsidRPr="00C873C2">
        <w:t xml:space="preserve"> </w:t>
      </w:r>
      <w:r w:rsidR="00526694">
        <w:t>(</w:t>
      </w:r>
      <w:r w:rsidR="00E71540">
        <w:t xml:space="preserve">two </w:t>
      </w:r>
      <w:r w:rsidR="00526694">
        <w:t xml:space="preserve">thousand </w:t>
      </w:r>
      <w:r w:rsidR="00AF4F3E">
        <w:t xml:space="preserve">five hundred </w:t>
      </w:r>
      <w:r w:rsidRPr="00C873C2">
        <w:t>euros),</w:t>
      </w:r>
      <w:r w:rsidR="00E71540">
        <w:t xml:space="preserve"> each,</w:t>
      </w:r>
      <w:r w:rsidRPr="00C873C2">
        <w:t xml:space="preserve"> plus any tax that may be chargeable, in respect of non-pecuniary damage;</w:t>
      </w:r>
    </w:p>
    <w:p w:rsidRPr="00C873C2" w:rsidR="00C873C2" w:rsidRDefault="00C873C2">
      <w:pPr>
        <w:pStyle w:val="JuListi"/>
      </w:pPr>
      <w:r w:rsidRPr="00C873C2">
        <w:t xml:space="preserve">(iii)  EUR </w:t>
      </w:r>
      <w:r w:rsidR="00526694">
        <w:t>6,000</w:t>
      </w:r>
      <w:r w:rsidRPr="00C873C2">
        <w:t xml:space="preserve"> (</w:t>
      </w:r>
      <w:r w:rsidR="00526694">
        <w:t xml:space="preserve">six thousand </w:t>
      </w:r>
      <w:r w:rsidRPr="00C873C2">
        <w:t>euros), plus any tax that may be chargeable, in</w:t>
      </w:r>
      <w:r w:rsidR="00526694">
        <w:t xml:space="preserve"> respect of costs and expenses;</w:t>
      </w:r>
    </w:p>
    <w:p w:rsidRPr="00C873C2" w:rsidR="00C873C2" w:rsidRDefault="00C873C2">
      <w:pPr>
        <w:pStyle w:val="JuLista"/>
      </w:pPr>
      <w:r w:rsidRPr="00C873C2">
        <w:t>(b)  that from the expiry of the above-mentioned three months until settlement simple interest shall</w:t>
      </w:r>
      <w:r w:rsidR="00193E95">
        <w:t xml:space="preserve"> be payable on the above amounts</w:t>
      </w:r>
      <w:r w:rsidRPr="00C873C2">
        <w:t xml:space="preserve"> at a rate equal to the marginal lending rate of the European Central Bank during the default period plus three percentage points;</w:t>
      </w:r>
    </w:p>
    <w:p w:rsidRPr="00C873C2" w:rsidR="00C873C2" w:rsidRDefault="00C873C2">
      <w:pPr>
        <w:pStyle w:val="JuList"/>
      </w:pPr>
    </w:p>
    <w:p w:rsidRPr="00C873C2" w:rsidR="00746252" w:rsidRDefault="00C873C2">
      <w:pPr>
        <w:pStyle w:val="JuList"/>
      </w:pPr>
      <w:r w:rsidRPr="00C873C2">
        <w:t>2.  </w:t>
      </w:r>
      <w:r w:rsidRPr="00C873C2">
        <w:rPr>
          <w:i/>
        </w:rPr>
        <w:t>Dismisses</w:t>
      </w:r>
      <w:r>
        <w:t xml:space="preserve"> </w:t>
      </w:r>
      <w:r w:rsidRPr="00C873C2">
        <w:t>the remainder of the applicants</w:t>
      </w:r>
      <w:r w:rsidR="00541E9E">
        <w:t>'</w:t>
      </w:r>
      <w:r w:rsidRPr="00C873C2">
        <w:t xml:space="preserve"> claim for just satisfaction.</w:t>
      </w:r>
    </w:p>
    <w:p w:rsidRPr="00C873C2" w:rsidR="00F378C5" w:rsidP="00A62A95" w:rsidRDefault="00746252">
      <w:pPr>
        <w:pStyle w:val="JuParaLast"/>
      </w:pPr>
      <w:r w:rsidRPr="00C873C2">
        <w:t xml:space="preserve">Done in English, and notified in writing on </w:t>
      </w:r>
      <w:r w:rsidR="006B2004">
        <w:t>28 September 2010</w:t>
      </w:r>
      <w:r w:rsidRPr="00C873C2">
        <w:t>, pursuant to Rule 77 §§</w:t>
      </w:r>
      <w:r w:rsidR="00AB00B4">
        <w:t xml:space="preserve"> 2 and 3 of the Rules of Court.</w:t>
      </w:r>
    </w:p>
    <w:p w:rsidRPr="00C873C2" w:rsidR="00E17294" w:rsidP="00E17294" w:rsidRDefault="00F378C5">
      <w:pPr>
        <w:pStyle w:val="JuSigned"/>
        <w:keepNext/>
        <w:keepLines/>
      </w:pPr>
      <w:r w:rsidRPr="00C873C2">
        <w:tab/>
      </w:r>
      <w:r w:rsidRPr="00544490" w:rsidR="006B2004">
        <w:rPr>
          <w:rStyle w:val="JuJudgesChar"/>
        </w:rPr>
        <w:t>Fatoş Aracı</w:t>
      </w:r>
      <w:r w:rsidRPr="00C873C2" w:rsidR="00502125">
        <w:tab/>
      </w:r>
      <w:r w:rsidRPr="00C873C2" w:rsidR="00C873C2">
        <w:t>Nicolas Bratza</w:t>
      </w:r>
      <w:r w:rsidRPr="00C873C2" w:rsidR="00502125">
        <w:br/>
      </w:r>
      <w:r w:rsidRPr="00C873C2" w:rsidR="00502125">
        <w:tab/>
      </w:r>
      <w:r w:rsidR="006B2004">
        <w:t xml:space="preserve">Deputy </w:t>
      </w:r>
      <w:r w:rsidRPr="00C873C2" w:rsidR="00C873C2">
        <w:rPr>
          <w:iCs/>
        </w:rPr>
        <w:t>Registrar</w:t>
      </w:r>
      <w:r w:rsidRPr="00C873C2" w:rsidR="00E17294">
        <w:tab/>
        <w:t>President</w:t>
      </w:r>
    </w:p>
    <w:sectPr w:rsidRPr="00C873C2" w:rsidR="00E17294" w:rsidSect="00AB00B4">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1B9" w:rsidRDefault="00FD31B9">
      <w:r>
        <w:separator/>
      </w:r>
    </w:p>
  </w:endnote>
  <w:endnote w:type="continuationSeparator" w:id="0">
    <w:p w:rsidR="00FD31B9" w:rsidRDefault="00FD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1B9" w:rsidRDefault="00FD31B9">
      <w:r>
        <w:separator/>
      </w:r>
    </w:p>
  </w:footnote>
  <w:footnote w:type="continuationSeparator" w:id="0">
    <w:p w:rsidR="00FD31B9" w:rsidRDefault="00FD3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B9" w:rsidRPr="00C00F0F" w:rsidRDefault="00FD31B9">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FD31B9" w:rsidRPr="00AB00B4" w:rsidRDefault="00FD31B9" w:rsidP="00AB00B4">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B9" w:rsidRDefault="00FD31B9">
    <w:pPr>
      <w:pStyle w:val="JuHeader"/>
    </w:pPr>
    <w:r>
      <w:rPr>
        <w:rStyle w:val="PageNumber"/>
      </w:rPr>
      <w:fldChar w:fldCharType="begin"/>
    </w:r>
    <w:r>
      <w:rPr>
        <w:rStyle w:val="PageNumber"/>
      </w:rPr>
      <w:instrText xml:space="preserve"> PAGE </w:instrText>
    </w:r>
    <w:r>
      <w:rPr>
        <w:rStyle w:val="PageNumber"/>
      </w:rPr>
      <w:fldChar w:fldCharType="separate"/>
    </w:r>
    <w:r w:rsidR="00541E9E">
      <w:rPr>
        <w:rStyle w:val="PageNumber"/>
        <w:noProof/>
      </w:rPr>
      <w:t>6</w:t>
    </w:r>
    <w:r>
      <w:rPr>
        <w:rStyle w:val="PageNumber"/>
      </w:rPr>
      <w:fldChar w:fldCharType="end"/>
    </w:r>
    <w:r>
      <w:tab/>
      <w:t xml:space="preserve">SCHEMBRI AND OTHERS v. </w:t>
    </w:r>
    <w:smartTag w:uri="urn:schemas-microsoft-com:office:smarttags" w:element="place">
      <w:smartTag w:uri="urn:schemas-microsoft-com:office:smarttags" w:element="country-region">
        <w:r>
          <w:t>MALTA</w:t>
        </w:r>
      </w:smartTag>
    </w:smartTag>
    <w:r>
      <w:t xml:space="preserve"> (JUST SATISFACTION)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B9" w:rsidRDefault="00FD31B9">
    <w:pPr>
      <w:pStyle w:val="JuHeader"/>
      <w:rPr>
        <w:rStyle w:val="PageNumber"/>
      </w:rPr>
    </w:pPr>
    <w:r>
      <w:tab/>
      <w:t xml:space="preserve">SCHEMBRI AND OTHERS v. </w:t>
    </w:r>
    <w:smartTag w:uri="urn:schemas-microsoft-com:office:smarttags" w:element="place">
      <w:smartTag w:uri="urn:schemas-microsoft-com:office:smarttags" w:element="country-region">
        <w:r>
          <w:t>MALTA</w:t>
        </w:r>
      </w:smartTag>
    </w:smartTag>
    <w:r>
      <w:t xml:space="preserve"> (JUST SATISFACTION) JUDGMENT</w:t>
    </w:r>
    <w:r>
      <w:tab/>
    </w:r>
    <w:r>
      <w:rPr>
        <w:rStyle w:val="PageNumber"/>
      </w:rPr>
      <w:fldChar w:fldCharType="begin"/>
    </w:r>
    <w:r>
      <w:rPr>
        <w:rStyle w:val="PageNumber"/>
      </w:rPr>
      <w:instrText xml:space="preserve"> PAGE </w:instrText>
    </w:r>
    <w:r>
      <w:rPr>
        <w:rStyle w:val="PageNumber"/>
      </w:rPr>
      <w:fldChar w:fldCharType="separate"/>
    </w:r>
    <w:r w:rsidR="00541E9E">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C873C2"/>
    <w:rsid w:val="00011916"/>
    <w:rsid w:val="00025636"/>
    <w:rsid w:val="0004604C"/>
    <w:rsid w:val="000554E9"/>
    <w:rsid w:val="00065C0F"/>
    <w:rsid w:val="00080644"/>
    <w:rsid w:val="000873D7"/>
    <w:rsid w:val="000D404C"/>
    <w:rsid w:val="00122647"/>
    <w:rsid w:val="00163E92"/>
    <w:rsid w:val="00193E95"/>
    <w:rsid w:val="001A458F"/>
    <w:rsid w:val="001A52D3"/>
    <w:rsid w:val="001C462F"/>
    <w:rsid w:val="001C7B1B"/>
    <w:rsid w:val="001E36DD"/>
    <w:rsid w:val="001E40EA"/>
    <w:rsid w:val="002073BD"/>
    <w:rsid w:val="00211DD7"/>
    <w:rsid w:val="00216096"/>
    <w:rsid w:val="00224462"/>
    <w:rsid w:val="002341E2"/>
    <w:rsid w:val="002661A0"/>
    <w:rsid w:val="00272A74"/>
    <w:rsid w:val="00284DE4"/>
    <w:rsid w:val="00292BBD"/>
    <w:rsid w:val="002D25FA"/>
    <w:rsid w:val="00306076"/>
    <w:rsid w:val="00306C25"/>
    <w:rsid w:val="00310080"/>
    <w:rsid w:val="00310EFC"/>
    <w:rsid w:val="00312BBD"/>
    <w:rsid w:val="00317715"/>
    <w:rsid w:val="00333B4D"/>
    <w:rsid w:val="00337B6B"/>
    <w:rsid w:val="00380703"/>
    <w:rsid w:val="0039626A"/>
    <w:rsid w:val="003B2536"/>
    <w:rsid w:val="003C1AAB"/>
    <w:rsid w:val="003D4F08"/>
    <w:rsid w:val="003D5E40"/>
    <w:rsid w:val="003E7766"/>
    <w:rsid w:val="004418BD"/>
    <w:rsid w:val="004518C8"/>
    <w:rsid w:val="00456D7D"/>
    <w:rsid w:val="00485210"/>
    <w:rsid w:val="004A021D"/>
    <w:rsid w:val="004A33FB"/>
    <w:rsid w:val="004B0166"/>
    <w:rsid w:val="004C1BFD"/>
    <w:rsid w:val="004C4031"/>
    <w:rsid w:val="004C5B0B"/>
    <w:rsid w:val="004D0482"/>
    <w:rsid w:val="00502125"/>
    <w:rsid w:val="0051346E"/>
    <w:rsid w:val="00513992"/>
    <w:rsid w:val="00516771"/>
    <w:rsid w:val="00523162"/>
    <w:rsid w:val="005262F5"/>
    <w:rsid w:val="00526694"/>
    <w:rsid w:val="0053051D"/>
    <w:rsid w:val="00541E9E"/>
    <w:rsid w:val="00547C4D"/>
    <w:rsid w:val="00552F4F"/>
    <w:rsid w:val="005802C6"/>
    <w:rsid w:val="00585284"/>
    <w:rsid w:val="0059490D"/>
    <w:rsid w:val="005A45F2"/>
    <w:rsid w:val="005B3ED3"/>
    <w:rsid w:val="005C1B10"/>
    <w:rsid w:val="005C2857"/>
    <w:rsid w:val="005E1812"/>
    <w:rsid w:val="005F0F38"/>
    <w:rsid w:val="006078B9"/>
    <w:rsid w:val="00624DE1"/>
    <w:rsid w:val="0063533A"/>
    <w:rsid w:val="00646D85"/>
    <w:rsid w:val="00670F0E"/>
    <w:rsid w:val="00672BB2"/>
    <w:rsid w:val="00682F98"/>
    <w:rsid w:val="00684324"/>
    <w:rsid w:val="00691FA2"/>
    <w:rsid w:val="00695B7E"/>
    <w:rsid w:val="006A3B4B"/>
    <w:rsid w:val="006B2004"/>
    <w:rsid w:val="006E252C"/>
    <w:rsid w:val="006F192D"/>
    <w:rsid w:val="00724534"/>
    <w:rsid w:val="0073477D"/>
    <w:rsid w:val="00735B7C"/>
    <w:rsid w:val="0074590A"/>
    <w:rsid w:val="00746252"/>
    <w:rsid w:val="00772AEA"/>
    <w:rsid w:val="00774B7E"/>
    <w:rsid w:val="00797B28"/>
    <w:rsid w:val="007A79E4"/>
    <w:rsid w:val="007B22B3"/>
    <w:rsid w:val="007B2BE0"/>
    <w:rsid w:val="007C1CD0"/>
    <w:rsid w:val="007C40C8"/>
    <w:rsid w:val="007E7913"/>
    <w:rsid w:val="007F6D0B"/>
    <w:rsid w:val="00804622"/>
    <w:rsid w:val="00814DC7"/>
    <w:rsid w:val="00814E1E"/>
    <w:rsid w:val="00822F6D"/>
    <w:rsid w:val="00824578"/>
    <w:rsid w:val="0083033D"/>
    <w:rsid w:val="008368B1"/>
    <w:rsid w:val="0084523B"/>
    <w:rsid w:val="00853F9F"/>
    <w:rsid w:val="008712CA"/>
    <w:rsid w:val="00874901"/>
    <w:rsid w:val="00885A90"/>
    <w:rsid w:val="00892C69"/>
    <w:rsid w:val="008937B2"/>
    <w:rsid w:val="00896020"/>
    <w:rsid w:val="008A2BE2"/>
    <w:rsid w:val="008A3659"/>
    <w:rsid w:val="008B1833"/>
    <w:rsid w:val="008C15C9"/>
    <w:rsid w:val="008C7454"/>
    <w:rsid w:val="008E1F91"/>
    <w:rsid w:val="0090573A"/>
    <w:rsid w:val="00911BE6"/>
    <w:rsid w:val="00931457"/>
    <w:rsid w:val="00991AB1"/>
    <w:rsid w:val="009F3912"/>
    <w:rsid w:val="009F73C7"/>
    <w:rsid w:val="00A05E58"/>
    <w:rsid w:val="00A11748"/>
    <w:rsid w:val="00A13F73"/>
    <w:rsid w:val="00A415E9"/>
    <w:rsid w:val="00A41C2F"/>
    <w:rsid w:val="00A44DF7"/>
    <w:rsid w:val="00A46AFC"/>
    <w:rsid w:val="00A52F3E"/>
    <w:rsid w:val="00A6216C"/>
    <w:rsid w:val="00A62A95"/>
    <w:rsid w:val="00A9162C"/>
    <w:rsid w:val="00AA520B"/>
    <w:rsid w:val="00AB00B4"/>
    <w:rsid w:val="00AB3187"/>
    <w:rsid w:val="00AC5E85"/>
    <w:rsid w:val="00AF23CB"/>
    <w:rsid w:val="00AF2E7B"/>
    <w:rsid w:val="00AF4F3E"/>
    <w:rsid w:val="00B02E82"/>
    <w:rsid w:val="00B41D44"/>
    <w:rsid w:val="00B50B67"/>
    <w:rsid w:val="00B629D8"/>
    <w:rsid w:val="00B62A66"/>
    <w:rsid w:val="00B734D2"/>
    <w:rsid w:val="00BC2767"/>
    <w:rsid w:val="00BD322D"/>
    <w:rsid w:val="00BE5E84"/>
    <w:rsid w:val="00BE6A06"/>
    <w:rsid w:val="00BF5D4E"/>
    <w:rsid w:val="00C02369"/>
    <w:rsid w:val="00C159C7"/>
    <w:rsid w:val="00C208D9"/>
    <w:rsid w:val="00C32675"/>
    <w:rsid w:val="00C366DD"/>
    <w:rsid w:val="00C4488A"/>
    <w:rsid w:val="00C7023B"/>
    <w:rsid w:val="00C873C2"/>
    <w:rsid w:val="00C92356"/>
    <w:rsid w:val="00C96085"/>
    <w:rsid w:val="00C96D30"/>
    <w:rsid w:val="00CA004C"/>
    <w:rsid w:val="00CA25A6"/>
    <w:rsid w:val="00CB1534"/>
    <w:rsid w:val="00CB44B6"/>
    <w:rsid w:val="00CB7811"/>
    <w:rsid w:val="00CC36FE"/>
    <w:rsid w:val="00CC5D83"/>
    <w:rsid w:val="00CD1CE5"/>
    <w:rsid w:val="00CF45E7"/>
    <w:rsid w:val="00CF72D0"/>
    <w:rsid w:val="00D0552D"/>
    <w:rsid w:val="00D07ADF"/>
    <w:rsid w:val="00D12406"/>
    <w:rsid w:val="00D25152"/>
    <w:rsid w:val="00D405E7"/>
    <w:rsid w:val="00D43C9C"/>
    <w:rsid w:val="00D47A5C"/>
    <w:rsid w:val="00D53A03"/>
    <w:rsid w:val="00D55A10"/>
    <w:rsid w:val="00D62FB0"/>
    <w:rsid w:val="00D66B4B"/>
    <w:rsid w:val="00D729CC"/>
    <w:rsid w:val="00D8378F"/>
    <w:rsid w:val="00D96B8F"/>
    <w:rsid w:val="00DA57D2"/>
    <w:rsid w:val="00DD4DB0"/>
    <w:rsid w:val="00DD67D3"/>
    <w:rsid w:val="00DE4E3C"/>
    <w:rsid w:val="00DF27DB"/>
    <w:rsid w:val="00E11DC4"/>
    <w:rsid w:val="00E17294"/>
    <w:rsid w:val="00E25954"/>
    <w:rsid w:val="00E350A0"/>
    <w:rsid w:val="00E41D96"/>
    <w:rsid w:val="00E429B6"/>
    <w:rsid w:val="00E57065"/>
    <w:rsid w:val="00E71540"/>
    <w:rsid w:val="00E948C1"/>
    <w:rsid w:val="00E97170"/>
    <w:rsid w:val="00E97DFA"/>
    <w:rsid w:val="00EC140B"/>
    <w:rsid w:val="00EC7896"/>
    <w:rsid w:val="00EE56B5"/>
    <w:rsid w:val="00EF0CB3"/>
    <w:rsid w:val="00F23CA7"/>
    <w:rsid w:val="00F262D9"/>
    <w:rsid w:val="00F30F15"/>
    <w:rsid w:val="00F378C5"/>
    <w:rsid w:val="00F43B7A"/>
    <w:rsid w:val="00F46024"/>
    <w:rsid w:val="00F61B9F"/>
    <w:rsid w:val="00F655E1"/>
    <w:rsid w:val="00F72F89"/>
    <w:rsid w:val="00F8425B"/>
    <w:rsid w:val="00F91115"/>
    <w:rsid w:val="00F92802"/>
    <w:rsid w:val="00FA6EFE"/>
    <w:rsid w:val="00FB1203"/>
    <w:rsid w:val="00FB24CF"/>
    <w:rsid w:val="00FD31B9"/>
    <w:rsid w:val="00FF250F"/>
    <w:rsid w:val="00FF62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90D"/>
    <w:pPr>
      <w:suppressAutoHyphens/>
    </w:pPr>
    <w:rPr>
      <w:sz w:val="24"/>
      <w:lang w:val="en-GB" w:eastAsia="fr-FR"/>
    </w:rPr>
  </w:style>
  <w:style w:type="paragraph" w:styleId="Heading1">
    <w:name w:val="heading 1"/>
    <w:basedOn w:val="Normal"/>
    <w:next w:val="Normal"/>
    <w:qFormat/>
    <w:rsid w:val="0059490D"/>
    <w:pPr>
      <w:keepNext/>
      <w:spacing w:before="360" w:after="240"/>
      <w:jc w:val="center"/>
      <w:outlineLvl w:val="0"/>
    </w:pPr>
    <w:rPr>
      <w:b/>
      <w:sz w:val="28"/>
    </w:rPr>
  </w:style>
  <w:style w:type="paragraph" w:styleId="Heading2">
    <w:name w:val="heading 2"/>
    <w:basedOn w:val="Normal"/>
    <w:next w:val="Normal"/>
    <w:qFormat/>
    <w:rsid w:val="0059490D"/>
    <w:pPr>
      <w:keepNext/>
      <w:spacing w:before="240" w:after="120"/>
      <w:ind w:left="284" w:hanging="284"/>
      <w:outlineLvl w:val="1"/>
    </w:pPr>
    <w:rPr>
      <w:b/>
    </w:rPr>
  </w:style>
  <w:style w:type="paragraph" w:styleId="Heading3">
    <w:name w:val="heading 3"/>
    <w:basedOn w:val="Normal"/>
    <w:next w:val="Normal"/>
    <w:qFormat/>
    <w:rsid w:val="0059490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59490D"/>
  </w:style>
  <w:style w:type="table" w:default="1" w:styleId="TableNormal">
    <w:name w:val="Normal Table"/>
    <w:semiHidden/>
    <w:rsid w:val="0059490D"/>
    <w:tblPr>
      <w:tblInd w:w="0" w:type="dxa"/>
      <w:tblCellMar>
        <w:top w:w="0" w:type="dxa"/>
        <w:left w:w="108" w:type="dxa"/>
        <w:bottom w:w="0" w:type="dxa"/>
        <w:right w:w="108" w:type="dxa"/>
      </w:tblCellMar>
    </w:tblPr>
  </w:style>
  <w:style w:type="numbering" w:default="1" w:styleId="NoList">
    <w:name w:val="No List"/>
    <w:semiHidden/>
    <w:rsid w:val="0059490D"/>
  </w:style>
  <w:style w:type="paragraph" w:customStyle="1" w:styleId="JuPara">
    <w:name w:val="Ju_Para"/>
    <w:aliases w:val="Left,First line:  0 cm"/>
    <w:basedOn w:val="Normal"/>
    <w:link w:val="JuParaCar"/>
    <w:rsid w:val="0059490D"/>
    <w:pPr>
      <w:ind w:firstLine="284"/>
      <w:jc w:val="both"/>
    </w:pPr>
  </w:style>
  <w:style w:type="paragraph" w:customStyle="1" w:styleId="JuHIRoman">
    <w:name w:val="Ju_H_I_Roman"/>
    <w:basedOn w:val="JuHHead"/>
    <w:next w:val="JuPara"/>
    <w:rsid w:val="0059490D"/>
    <w:pPr>
      <w:tabs>
        <w:tab w:val="left" w:pos="357"/>
      </w:tabs>
      <w:spacing w:before="360"/>
      <w:ind w:left="357" w:hanging="357"/>
    </w:pPr>
    <w:rPr>
      <w:sz w:val="24"/>
    </w:rPr>
  </w:style>
  <w:style w:type="paragraph" w:customStyle="1" w:styleId="JuHHead">
    <w:name w:val="Ju_H_Head"/>
    <w:basedOn w:val="Normal"/>
    <w:next w:val="JuPara"/>
    <w:rsid w:val="0059490D"/>
    <w:pPr>
      <w:keepNext/>
      <w:keepLines/>
      <w:spacing w:before="720" w:after="240"/>
      <w:jc w:val="both"/>
    </w:pPr>
    <w:rPr>
      <w:sz w:val="28"/>
    </w:rPr>
  </w:style>
  <w:style w:type="paragraph" w:styleId="Footer">
    <w:name w:val="footer"/>
    <w:basedOn w:val="Normal"/>
    <w:rsid w:val="0059490D"/>
    <w:pPr>
      <w:tabs>
        <w:tab w:val="center" w:pos="3686"/>
        <w:tab w:val="right" w:pos="7371"/>
      </w:tabs>
    </w:pPr>
    <w:rPr>
      <w:sz w:val="18"/>
    </w:rPr>
  </w:style>
  <w:style w:type="paragraph" w:customStyle="1" w:styleId="JuJudges">
    <w:name w:val="Ju_Judges"/>
    <w:basedOn w:val="Normal"/>
    <w:link w:val="JuJudgesChar"/>
    <w:rsid w:val="0059490D"/>
    <w:pPr>
      <w:tabs>
        <w:tab w:val="left" w:pos="567"/>
        <w:tab w:val="left" w:pos="1134"/>
      </w:tabs>
    </w:pPr>
  </w:style>
  <w:style w:type="character" w:customStyle="1" w:styleId="JuParaCar">
    <w:name w:val="Ju_Para Car"/>
    <w:basedOn w:val="DefaultParagraphFont"/>
    <w:link w:val="JuPara"/>
    <w:rsid w:val="00DD4DB0"/>
    <w:rPr>
      <w:sz w:val="24"/>
      <w:lang w:val="en-GB" w:eastAsia="fr-FR" w:bidi="ar-SA"/>
    </w:rPr>
  </w:style>
  <w:style w:type="paragraph" w:customStyle="1" w:styleId="JuHA">
    <w:name w:val="Ju_H_A"/>
    <w:basedOn w:val="JuHIRoman"/>
    <w:next w:val="JuPara"/>
    <w:rsid w:val="0059490D"/>
    <w:pPr>
      <w:tabs>
        <w:tab w:val="clear" w:pos="357"/>
        <w:tab w:val="left" w:pos="584"/>
      </w:tabs>
      <w:ind w:left="584" w:hanging="352"/>
    </w:pPr>
    <w:rPr>
      <w:b/>
    </w:rPr>
  </w:style>
  <w:style w:type="paragraph" w:customStyle="1" w:styleId="JuQuot">
    <w:name w:val="Ju_Quot"/>
    <w:basedOn w:val="JuPara"/>
    <w:rsid w:val="0059490D"/>
    <w:pPr>
      <w:spacing w:before="120" w:after="120"/>
      <w:ind w:left="425" w:firstLine="142"/>
    </w:pPr>
    <w:rPr>
      <w:sz w:val="20"/>
    </w:rPr>
  </w:style>
  <w:style w:type="paragraph" w:customStyle="1" w:styleId="JuSigned">
    <w:name w:val="Ju_Signed"/>
    <w:basedOn w:val="Normal"/>
    <w:next w:val="JuParaLast"/>
    <w:link w:val="JuSignedChar"/>
    <w:rsid w:val="00624DE1"/>
    <w:pPr>
      <w:tabs>
        <w:tab w:val="center" w:pos="1219"/>
        <w:tab w:val="center" w:pos="6379"/>
      </w:tabs>
      <w:spacing w:before="720"/>
    </w:pPr>
  </w:style>
  <w:style w:type="paragraph" w:customStyle="1" w:styleId="JuParaLast">
    <w:name w:val="Ju_Para_Last"/>
    <w:basedOn w:val="JuPara"/>
    <w:next w:val="JuPara"/>
    <w:rsid w:val="0059490D"/>
    <w:pPr>
      <w:spacing w:before="240"/>
    </w:pPr>
  </w:style>
  <w:style w:type="paragraph" w:customStyle="1" w:styleId="JuCase">
    <w:name w:val="Ju_Case"/>
    <w:basedOn w:val="JuPara"/>
    <w:next w:val="JuPara"/>
    <w:rsid w:val="0059490D"/>
    <w:rPr>
      <w:b/>
    </w:rPr>
  </w:style>
  <w:style w:type="paragraph" w:customStyle="1" w:styleId="JuList">
    <w:name w:val="Ju_List"/>
    <w:basedOn w:val="JuPara"/>
    <w:rsid w:val="0059490D"/>
    <w:pPr>
      <w:ind w:left="340" w:hanging="340"/>
    </w:pPr>
  </w:style>
  <w:style w:type="paragraph" w:customStyle="1" w:styleId="JuHArticle">
    <w:name w:val="Ju_H_Article"/>
    <w:basedOn w:val="JuHa0"/>
    <w:next w:val="JuQuot"/>
    <w:rsid w:val="0059490D"/>
    <w:pPr>
      <w:ind w:left="0" w:firstLine="0"/>
      <w:jc w:val="center"/>
    </w:pPr>
  </w:style>
  <w:style w:type="paragraph" w:customStyle="1" w:styleId="JuHa0">
    <w:name w:val="Ju_H_a"/>
    <w:basedOn w:val="JuH1"/>
    <w:next w:val="JuPara"/>
    <w:rsid w:val="0059490D"/>
    <w:pPr>
      <w:tabs>
        <w:tab w:val="clear" w:pos="731"/>
        <w:tab w:val="left" w:pos="975"/>
      </w:tabs>
      <w:ind w:left="975" w:hanging="340"/>
    </w:pPr>
    <w:rPr>
      <w:b/>
      <w:i w:val="0"/>
      <w:sz w:val="20"/>
    </w:rPr>
  </w:style>
  <w:style w:type="paragraph" w:customStyle="1" w:styleId="JuH1">
    <w:name w:val="Ju_H_1."/>
    <w:basedOn w:val="JuHA"/>
    <w:next w:val="JuPara"/>
    <w:rsid w:val="0059490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931457"/>
    <w:rPr>
      <w:b/>
      <w:bCs/>
    </w:rPr>
  </w:style>
  <w:style w:type="paragraph" w:styleId="CommentText">
    <w:name w:val="annotation text"/>
    <w:basedOn w:val="Normal"/>
    <w:semiHidden/>
    <w:rPr>
      <w:sz w:val="20"/>
    </w:rPr>
  </w:style>
  <w:style w:type="paragraph" w:customStyle="1" w:styleId="JuCourt">
    <w:name w:val="Ju_Court"/>
    <w:basedOn w:val="JuJudges"/>
    <w:rsid w:val="0059490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59490D"/>
    <w:pPr>
      <w:jc w:val="both"/>
    </w:pPr>
    <w:rPr>
      <w:sz w:val="20"/>
    </w:rPr>
  </w:style>
  <w:style w:type="character" w:styleId="FootnoteReference">
    <w:name w:val="footnote reference"/>
    <w:basedOn w:val="DefaultParagraphFont"/>
    <w:semiHidden/>
    <w:rsid w:val="0059490D"/>
    <w:rPr>
      <w:vertAlign w:val="superscript"/>
    </w:rPr>
  </w:style>
  <w:style w:type="paragraph" w:customStyle="1" w:styleId="JuHi">
    <w:name w:val="Ju_H_i"/>
    <w:basedOn w:val="JuHa0"/>
    <w:next w:val="JuPara"/>
    <w:rsid w:val="0059490D"/>
    <w:pPr>
      <w:tabs>
        <w:tab w:val="clear" w:pos="975"/>
        <w:tab w:val="left" w:pos="1191"/>
      </w:tabs>
      <w:ind w:left="1190" w:hanging="357"/>
    </w:pPr>
    <w:rPr>
      <w:b w:val="0"/>
      <w:i/>
    </w:rPr>
  </w:style>
  <w:style w:type="paragraph" w:styleId="Header">
    <w:name w:val="header"/>
    <w:basedOn w:val="Normal"/>
    <w:rsid w:val="0059490D"/>
    <w:pPr>
      <w:tabs>
        <w:tab w:val="center" w:pos="3686"/>
        <w:tab w:val="right" w:pos="7371"/>
      </w:tabs>
    </w:pPr>
    <w:rPr>
      <w:sz w:val="18"/>
    </w:rPr>
  </w:style>
  <w:style w:type="character" w:styleId="PageNumber">
    <w:name w:val="page number"/>
    <w:basedOn w:val="DefaultParagraphFont"/>
    <w:rsid w:val="0059490D"/>
    <w:rPr>
      <w:sz w:val="18"/>
    </w:rPr>
  </w:style>
  <w:style w:type="paragraph" w:customStyle="1" w:styleId="JuH">
    <w:name w:val="Ju_H_–"/>
    <w:basedOn w:val="JuHalpha"/>
    <w:next w:val="JuPara"/>
    <w:rsid w:val="0059490D"/>
    <w:pPr>
      <w:tabs>
        <w:tab w:val="clear" w:pos="1372"/>
      </w:tabs>
      <w:ind w:left="1236" w:firstLine="0"/>
    </w:pPr>
    <w:rPr>
      <w:i/>
    </w:rPr>
  </w:style>
  <w:style w:type="paragraph" w:customStyle="1" w:styleId="JuHalpha">
    <w:name w:val="Ju_H_alpha"/>
    <w:basedOn w:val="JuHi"/>
    <w:next w:val="JuPara"/>
    <w:rsid w:val="0059490D"/>
    <w:pPr>
      <w:tabs>
        <w:tab w:val="clear" w:pos="1191"/>
        <w:tab w:val="left" w:pos="1372"/>
      </w:tabs>
      <w:ind w:left="1373" w:hanging="335"/>
    </w:pPr>
    <w:rPr>
      <w:i w:val="0"/>
    </w:rPr>
  </w:style>
  <w:style w:type="paragraph" w:customStyle="1" w:styleId="JuLista">
    <w:name w:val="Ju_List_a"/>
    <w:basedOn w:val="JuList"/>
    <w:rsid w:val="0059490D"/>
    <w:pPr>
      <w:ind w:left="346" w:firstLine="0"/>
    </w:pPr>
  </w:style>
  <w:style w:type="paragraph" w:customStyle="1" w:styleId="JuListi">
    <w:name w:val="Ju_List_i"/>
    <w:basedOn w:val="JuLista"/>
    <w:link w:val="JuListiChar"/>
    <w:rsid w:val="0059490D"/>
    <w:pPr>
      <w:ind w:left="794"/>
    </w:pPr>
  </w:style>
  <w:style w:type="character" w:styleId="CommentReference">
    <w:name w:val="annotation reference"/>
    <w:basedOn w:val="DefaultParagraphFont"/>
    <w:semiHidden/>
    <w:rPr>
      <w:sz w:val="16"/>
    </w:rPr>
  </w:style>
  <w:style w:type="paragraph" w:customStyle="1" w:styleId="OpiHA">
    <w:name w:val="Opi_H_A"/>
    <w:basedOn w:val="JuHIRoman"/>
    <w:next w:val="OpiPara"/>
    <w:rsid w:val="0059490D"/>
    <w:pPr>
      <w:tabs>
        <w:tab w:val="clear" w:pos="357"/>
      </w:tabs>
    </w:pPr>
    <w:rPr>
      <w:b/>
    </w:rPr>
  </w:style>
  <w:style w:type="paragraph" w:customStyle="1" w:styleId="OpiPara">
    <w:name w:val="Opi_Para"/>
    <w:basedOn w:val="JuPara"/>
    <w:rsid w:val="0059490D"/>
  </w:style>
  <w:style w:type="paragraph" w:customStyle="1" w:styleId="OpiH1">
    <w:name w:val="Opi_H_1."/>
    <w:basedOn w:val="OpiHA"/>
    <w:next w:val="OpiPara"/>
    <w:rsid w:val="0059490D"/>
    <w:pPr>
      <w:spacing w:before="240" w:after="120"/>
      <w:ind w:left="635"/>
    </w:pPr>
    <w:rPr>
      <w:b w:val="0"/>
      <w:i/>
    </w:rPr>
  </w:style>
  <w:style w:type="paragraph" w:customStyle="1" w:styleId="OpiHa0">
    <w:name w:val="Opi_H_a"/>
    <w:basedOn w:val="OpiH1"/>
    <w:next w:val="OpiPara"/>
    <w:rsid w:val="0059490D"/>
    <w:pPr>
      <w:ind w:left="834"/>
    </w:pPr>
    <w:rPr>
      <w:b/>
      <w:i w:val="0"/>
      <w:sz w:val="20"/>
    </w:rPr>
  </w:style>
  <w:style w:type="paragraph" w:customStyle="1" w:styleId="OpiHHead">
    <w:name w:val="Opi_H_Head"/>
    <w:basedOn w:val="JuHHead"/>
    <w:next w:val="OpiPara"/>
    <w:rsid w:val="0059490D"/>
    <w:pPr>
      <w:spacing w:before="0"/>
      <w:jc w:val="center"/>
    </w:pPr>
  </w:style>
  <w:style w:type="paragraph" w:customStyle="1" w:styleId="OpiHi">
    <w:name w:val="Opi_H_i"/>
    <w:basedOn w:val="OpiHa0"/>
    <w:next w:val="OpiPara"/>
    <w:rsid w:val="0059490D"/>
    <w:pPr>
      <w:ind w:left="1038"/>
    </w:pPr>
    <w:rPr>
      <w:b w:val="0"/>
      <w:i/>
    </w:rPr>
  </w:style>
  <w:style w:type="paragraph" w:customStyle="1" w:styleId="OpiQuot">
    <w:name w:val="Opi_Quot"/>
    <w:basedOn w:val="JuQuot"/>
    <w:rsid w:val="0059490D"/>
  </w:style>
  <w:style w:type="paragraph" w:customStyle="1" w:styleId="OpiTranslation">
    <w:name w:val="Opi_Translation"/>
    <w:basedOn w:val="OpiHHead"/>
    <w:next w:val="OpiPara"/>
    <w:rsid w:val="0059490D"/>
    <w:rPr>
      <w:sz w:val="24"/>
    </w:rPr>
  </w:style>
  <w:style w:type="paragraph" w:customStyle="1" w:styleId="JuInitialled">
    <w:name w:val="Ju_Initialled"/>
    <w:basedOn w:val="JuSigned"/>
    <w:rsid w:val="0059490D"/>
    <w:pPr>
      <w:jc w:val="right"/>
    </w:pPr>
  </w:style>
  <w:style w:type="paragraph" w:customStyle="1" w:styleId="JuHeader">
    <w:name w:val="Ju_Header"/>
    <w:basedOn w:val="Header"/>
    <w:rsid w:val="0059490D"/>
  </w:style>
  <w:style w:type="paragraph" w:customStyle="1" w:styleId="DecHTitle">
    <w:name w:val="Dec_H_Title"/>
    <w:basedOn w:val="Normal"/>
    <w:rsid w:val="0059490D"/>
    <w:pPr>
      <w:spacing w:after="240"/>
      <w:jc w:val="center"/>
    </w:pPr>
    <w:rPr>
      <w:sz w:val="28"/>
    </w:rPr>
  </w:style>
  <w:style w:type="paragraph" w:customStyle="1" w:styleId="DecHCase">
    <w:name w:val="Dec_H_Case"/>
    <w:basedOn w:val="DecHTitle"/>
    <w:next w:val="JuPara"/>
    <w:rsid w:val="0059490D"/>
    <w:rPr>
      <w:sz w:val="24"/>
    </w:rPr>
  </w:style>
  <w:style w:type="paragraph" w:customStyle="1" w:styleId="DecList">
    <w:name w:val="Dec_List"/>
    <w:basedOn w:val="Normal"/>
    <w:rsid w:val="0059490D"/>
    <w:pPr>
      <w:spacing w:before="240"/>
      <w:ind w:left="284"/>
      <w:jc w:val="both"/>
    </w:pPr>
  </w:style>
  <w:style w:type="paragraph" w:customStyle="1" w:styleId="JuParaSub">
    <w:name w:val="Ju_Para_Sub"/>
    <w:basedOn w:val="JuPara"/>
    <w:rsid w:val="0059490D"/>
    <w:pPr>
      <w:ind w:left="284"/>
    </w:pPr>
    <w:rPr>
      <w:szCs w:val="24"/>
    </w:rPr>
  </w:style>
  <w:style w:type="paragraph" w:customStyle="1" w:styleId="JuQuotSub">
    <w:name w:val="Ju_Quot_Sub"/>
    <w:basedOn w:val="JuQuot"/>
    <w:rsid w:val="0059490D"/>
    <w:pPr>
      <w:ind w:left="567"/>
    </w:pPr>
  </w:style>
  <w:style w:type="paragraph" w:styleId="BalloonText">
    <w:name w:val="Balloon Text"/>
    <w:basedOn w:val="Normal"/>
    <w:semiHidden/>
    <w:rsid w:val="003D5E40"/>
    <w:rPr>
      <w:rFonts w:ascii="Tahoma" w:hAnsi="Tahoma" w:cs="Tahoma"/>
      <w:sz w:val="16"/>
      <w:szCs w:val="16"/>
    </w:rPr>
  </w:style>
  <w:style w:type="paragraph" w:customStyle="1" w:styleId="PJuPara">
    <w:name w:val="P_Ju_Para"/>
    <w:basedOn w:val="Normal"/>
    <w:rsid w:val="0059490D"/>
    <w:pPr>
      <w:ind w:firstLine="284"/>
      <w:jc w:val="both"/>
    </w:pPr>
  </w:style>
  <w:style w:type="paragraph" w:customStyle="1" w:styleId="PJuQuot">
    <w:name w:val="P_Ju_Quot"/>
    <w:basedOn w:val="Normal"/>
    <w:rsid w:val="0059490D"/>
    <w:pPr>
      <w:spacing w:before="120" w:after="120"/>
      <w:ind w:left="403" w:firstLine="176"/>
      <w:jc w:val="both"/>
    </w:pPr>
    <w:rPr>
      <w:sz w:val="20"/>
    </w:rPr>
  </w:style>
  <w:style w:type="paragraph" w:customStyle="1" w:styleId="PListArticleSubject">
    <w:name w:val="P_List_ArticleSubject"/>
    <w:basedOn w:val="Normal"/>
    <w:rsid w:val="0059490D"/>
    <w:pPr>
      <w:tabs>
        <w:tab w:val="left" w:pos="2977"/>
      </w:tabs>
      <w:ind w:left="2977" w:hanging="2977"/>
    </w:pPr>
  </w:style>
  <w:style w:type="paragraph" w:customStyle="1" w:styleId="SuCoverTitle1">
    <w:name w:val="Su_Cover_Title1"/>
    <w:basedOn w:val="Normal"/>
    <w:next w:val="SuCoverTitle2"/>
    <w:rsid w:val="0059490D"/>
    <w:pPr>
      <w:spacing w:before="2500"/>
      <w:jc w:val="center"/>
    </w:pPr>
    <w:rPr>
      <w:sz w:val="22"/>
    </w:rPr>
  </w:style>
  <w:style w:type="paragraph" w:customStyle="1" w:styleId="SuCoverTitle2">
    <w:name w:val="Su_Cover_Title2"/>
    <w:basedOn w:val="SuCoverTitle1"/>
    <w:next w:val="Normal"/>
    <w:rsid w:val="0059490D"/>
    <w:pPr>
      <w:spacing w:before="240"/>
    </w:pPr>
    <w:rPr>
      <w:sz w:val="18"/>
    </w:rPr>
  </w:style>
  <w:style w:type="paragraph" w:customStyle="1" w:styleId="SuPara">
    <w:name w:val="Su_Para"/>
    <w:basedOn w:val="SuKeywords"/>
    <w:rsid w:val="0059490D"/>
    <w:pPr>
      <w:spacing w:before="0" w:after="0"/>
    </w:pPr>
    <w:rPr>
      <w:i w:val="0"/>
    </w:rPr>
  </w:style>
  <w:style w:type="paragraph" w:customStyle="1" w:styleId="SuKeywords">
    <w:name w:val="Su_Keywords"/>
    <w:basedOn w:val="SuHHead"/>
    <w:rsid w:val="0059490D"/>
    <w:pPr>
      <w:spacing w:before="120"/>
    </w:pPr>
    <w:rPr>
      <w:b w:val="0"/>
      <w:i/>
    </w:rPr>
  </w:style>
  <w:style w:type="paragraph" w:customStyle="1" w:styleId="SuHHead">
    <w:name w:val="Su_H_Head"/>
    <w:basedOn w:val="SuSubject"/>
    <w:rsid w:val="0059490D"/>
    <w:pPr>
      <w:spacing w:after="120"/>
    </w:pPr>
  </w:style>
  <w:style w:type="paragraph" w:customStyle="1" w:styleId="SuSubject">
    <w:name w:val="Su_Subject"/>
    <w:basedOn w:val="SuSummary"/>
    <w:rsid w:val="0059490D"/>
    <w:pPr>
      <w:spacing w:before="360"/>
      <w:jc w:val="both"/>
    </w:pPr>
    <w:rPr>
      <w:b/>
      <w:sz w:val="22"/>
    </w:rPr>
  </w:style>
  <w:style w:type="paragraph" w:customStyle="1" w:styleId="SuSummary">
    <w:name w:val="Su_Summary"/>
    <w:basedOn w:val="Normal"/>
    <w:next w:val="SuSubject"/>
    <w:rsid w:val="0059490D"/>
    <w:pPr>
      <w:spacing w:after="240"/>
      <w:jc w:val="center"/>
    </w:pPr>
  </w:style>
  <w:style w:type="paragraph" w:customStyle="1" w:styleId="PListCaseNo">
    <w:name w:val="P_List_CaseNo"/>
    <w:basedOn w:val="Normal"/>
    <w:rsid w:val="0059490D"/>
    <w:pPr>
      <w:tabs>
        <w:tab w:val="left" w:pos="1276"/>
      </w:tabs>
      <w:spacing w:line="288" w:lineRule="auto"/>
      <w:ind w:left="1276" w:hanging="1276"/>
    </w:pPr>
  </w:style>
  <w:style w:type="paragraph" w:customStyle="1" w:styleId="PListCases">
    <w:name w:val="P_List_Cases"/>
    <w:basedOn w:val="Normal"/>
    <w:rsid w:val="0059490D"/>
    <w:pPr>
      <w:spacing w:line="288" w:lineRule="auto"/>
    </w:pPr>
  </w:style>
  <w:style w:type="paragraph" w:customStyle="1" w:styleId="PTextIntro">
    <w:name w:val="P_Text_Intro"/>
    <w:basedOn w:val="Normal"/>
    <w:rsid w:val="0059490D"/>
    <w:pPr>
      <w:jc w:val="both"/>
    </w:pPr>
    <w:rPr>
      <w:i/>
      <w:sz w:val="20"/>
    </w:rPr>
  </w:style>
  <w:style w:type="paragraph" w:customStyle="1" w:styleId="PTitleCover">
    <w:name w:val="P_Title_Cover"/>
    <w:basedOn w:val="Normal"/>
    <w:rsid w:val="0059490D"/>
    <w:pPr>
      <w:spacing w:before="2500"/>
      <w:jc w:val="center"/>
    </w:pPr>
    <w:rPr>
      <w:b/>
      <w:smallCaps/>
      <w:sz w:val="30"/>
    </w:rPr>
  </w:style>
  <w:style w:type="paragraph" w:customStyle="1" w:styleId="PTitle1Alpha">
    <w:name w:val="P_Title1_Alpha"/>
    <w:basedOn w:val="Normal"/>
    <w:next w:val="Normal"/>
    <w:rsid w:val="0059490D"/>
    <w:pPr>
      <w:spacing w:after="120"/>
      <w:jc w:val="center"/>
    </w:pPr>
    <w:rPr>
      <w:b/>
      <w:smallCaps/>
      <w:sz w:val="30"/>
    </w:rPr>
  </w:style>
  <w:style w:type="paragraph" w:customStyle="1" w:styleId="PTitle1IndexArticle">
    <w:name w:val="P_Title1_IndexArticle"/>
    <w:basedOn w:val="Normal"/>
    <w:rsid w:val="0059490D"/>
    <w:pPr>
      <w:spacing w:after="120"/>
      <w:jc w:val="center"/>
    </w:pPr>
    <w:rPr>
      <w:b/>
      <w:smallCaps/>
      <w:sz w:val="30"/>
    </w:rPr>
  </w:style>
  <w:style w:type="paragraph" w:customStyle="1" w:styleId="PTitle1IndexKey">
    <w:name w:val="P_Title1_IndexKey"/>
    <w:basedOn w:val="Normal"/>
    <w:rsid w:val="0059490D"/>
    <w:pPr>
      <w:spacing w:after="600"/>
      <w:jc w:val="center"/>
    </w:pPr>
    <w:rPr>
      <w:b/>
      <w:smallCaps/>
      <w:sz w:val="30"/>
    </w:rPr>
  </w:style>
  <w:style w:type="paragraph" w:customStyle="1" w:styleId="PTitle1Num">
    <w:name w:val="P_Title1_Num"/>
    <w:basedOn w:val="Normal"/>
    <w:next w:val="PListCaseNo"/>
    <w:rsid w:val="0059490D"/>
    <w:pPr>
      <w:spacing w:after="720"/>
      <w:jc w:val="center"/>
    </w:pPr>
    <w:rPr>
      <w:b/>
      <w:smallCaps/>
      <w:sz w:val="30"/>
    </w:rPr>
  </w:style>
  <w:style w:type="paragraph" w:customStyle="1" w:styleId="PTitle2Country">
    <w:name w:val="P_Title2_Country"/>
    <w:basedOn w:val="Normal"/>
    <w:next w:val="PListCases"/>
    <w:rsid w:val="0059490D"/>
    <w:pPr>
      <w:keepNext/>
      <w:keepLines/>
      <w:spacing w:before="600" w:after="360"/>
    </w:pPr>
    <w:rPr>
      <w:b/>
    </w:rPr>
  </w:style>
  <w:style w:type="paragraph" w:customStyle="1" w:styleId="PTitle2Letters">
    <w:name w:val="P_Title2_Letters"/>
    <w:basedOn w:val="Normal"/>
    <w:next w:val="PListCases"/>
    <w:rsid w:val="0059490D"/>
    <w:pPr>
      <w:keepNext/>
      <w:keepLines/>
      <w:spacing w:before="600" w:after="360"/>
    </w:pPr>
    <w:rPr>
      <w:b/>
      <w:sz w:val="28"/>
    </w:rPr>
  </w:style>
  <w:style w:type="paragraph" w:customStyle="1" w:styleId="PTitle2Part">
    <w:name w:val="P_Title2_Part"/>
    <w:basedOn w:val="Normal"/>
    <w:rsid w:val="0059490D"/>
    <w:pPr>
      <w:keepNext/>
      <w:keepLines/>
      <w:spacing w:before="600" w:after="240"/>
      <w:jc w:val="center"/>
    </w:pPr>
    <w:rPr>
      <w:b/>
      <w:caps/>
    </w:rPr>
  </w:style>
  <w:style w:type="paragraph" w:customStyle="1" w:styleId="PTitle3Article">
    <w:name w:val="P_Title3_Article"/>
    <w:basedOn w:val="Normal"/>
    <w:rsid w:val="0059490D"/>
    <w:pPr>
      <w:keepNext/>
      <w:keepLines/>
      <w:spacing w:before="360" w:after="120"/>
      <w:jc w:val="center"/>
    </w:pPr>
    <w:rPr>
      <w:b/>
      <w:smallCaps/>
      <w:sz w:val="22"/>
    </w:rPr>
  </w:style>
  <w:style w:type="paragraph" w:customStyle="1" w:styleId="PTitle4ArticleSub">
    <w:name w:val="P_Title4_Article_Sub"/>
    <w:basedOn w:val="PTitle3Article"/>
    <w:rsid w:val="0059490D"/>
    <w:pPr>
      <w:spacing w:before="240"/>
    </w:pPr>
    <w:rPr>
      <w:smallCaps w:val="0"/>
      <w:sz w:val="20"/>
    </w:rPr>
  </w:style>
  <w:style w:type="paragraph" w:customStyle="1" w:styleId="PTitle5Subject">
    <w:name w:val="P_Title5_Subject"/>
    <w:basedOn w:val="Normal"/>
    <w:rsid w:val="0059490D"/>
    <w:pPr>
      <w:keepNext/>
      <w:keepLines/>
      <w:spacing w:before="240" w:after="120"/>
      <w:jc w:val="both"/>
    </w:pPr>
    <w:rPr>
      <w:b/>
      <w:i/>
    </w:rPr>
  </w:style>
  <w:style w:type="paragraph" w:customStyle="1" w:styleId="PTitle6SubjectSub">
    <w:name w:val="P_Title6_Subject_Sub"/>
    <w:basedOn w:val="Normal"/>
    <w:rsid w:val="0059490D"/>
    <w:pPr>
      <w:keepNext/>
      <w:keepLines/>
      <w:spacing w:before="240" w:after="120"/>
      <w:ind w:left="284"/>
      <w:jc w:val="both"/>
    </w:pPr>
    <w:rPr>
      <w:b/>
      <w:sz w:val="20"/>
    </w:rPr>
  </w:style>
  <w:style w:type="paragraph" w:customStyle="1" w:styleId="PTitle7CaseName">
    <w:name w:val="P_Title7_CaseName"/>
    <w:basedOn w:val="Normal"/>
    <w:rsid w:val="0059490D"/>
    <w:pPr>
      <w:keepLines/>
      <w:spacing w:after="240"/>
      <w:jc w:val="right"/>
    </w:pPr>
    <w:rPr>
      <w:sz w:val="22"/>
    </w:rPr>
  </w:style>
  <w:style w:type="paragraph" w:customStyle="1" w:styleId="OpiParaSub">
    <w:name w:val="Opi_Para_Sub"/>
    <w:basedOn w:val="JuParaSub"/>
    <w:rsid w:val="0059490D"/>
  </w:style>
  <w:style w:type="paragraph" w:customStyle="1" w:styleId="OpiQuotSub">
    <w:name w:val="Opi_Quot_Sub"/>
    <w:basedOn w:val="JuQuotSub"/>
    <w:rsid w:val="0059490D"/>
  </w:style>
  <w:style w:type="character" w:customStyle="1" w:styleId="JuJudgesChar">
    <w:name w:val="Ju_Judges Char"/>
    <w:basedOn w:val="DefaultParagraphFont"/>
    <w:link w:val="JuJudges"/>
    <w:rsid w:val="00E17294"/>
    <w:rPr>
      <w:sz w:val="24"/>
      <w:lang w:val="en-GB" w:eastAsia="fr-FR" w:bidi="ar-SA"/>
    </w:rPr>
  </w:style>
  <w:style w:type="character" w:customStyle="1" w:styleId="JuSignedChar">
    <w:name w:val="Ju_Signed Char"/>
    <w:basedOn w:val="DefaultParagraphFont"/>
    <w:link w:val="JuSigned"/>
    <w:rsid w:val="00E17294"/>
    <w:rPr>
      <w:sz w:val="24"/>
      <w:lang w:val="en-GB" w:eastAsia="fr-FR" w:bidi="ar-SA"/>
    </w:rPr>
  </w:style>
  <w:style w:type="character" w:customStyle="1" w:styleId="JuParaChar">
    <w:name w:val="Ju_Para Char"/>
    <w:basedOn w:val="DefaultParagraphFont"/>
    <w:rsid w:val="0084523B"/>
    <w:rPr>
      <w:sz w:val="24"/>
      <w:lang w:val="en-GB" w:eastAsia="fr-FR" w:bidi="ar-SA"/>
    </w:rPr>
  </w:style>
  <w:style w:type="character" w:styleId="Hyperlink">
    <w:name w:val="Hyperlink"/>
    <w:basedOn w:val="DefaultParagraphFont"/>
    <w:rsid w:val="00C873C2"/>
    <w:rPr>
      <w:color w:val="0000FF"/>
      <w:u w:val="single"/>
    </w:rPr>
  </w:style>
  <w:style w:type="character" w:customStyle="1" w:styleId="JuListiChar">
    <w:name w:val="Ju_List_i Char"/>
    <w:basedOn w:val="DefaultParagraphFont"/>
    <w:link w:val="JuListi"/>
    <w:rsid w:val="00A52F3E"/>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312BBD"/>
  </w:style>
  <w:style w:type="paragraph" w:customStyle="1" w:styleId="ju-005fpara-002cleft-002cfirst-0020line-003a-0020-00200-0020cm">
    <w:name w:val="ju-005fpara-002cleft-002cfirst-0020line-003a-0020-00200-0020cm"/>
    <w:basedOn w:val="Normal"/>
    <w:rsid w:val="0074590A"/>
    <w:pPr>
      <w:suppressAutoHyphens w:val="0"/>
      <w:spacing w:before="100" w:beforeAutospacing="1" w:after="100" w:afterAutospacing="1"/>
    </w:pPr>
    <w:rPr>
      <w:szCs w:val="24"/>
      <w:lang w:eastAsia="en-GB"/>
    </w:rPr>
  </w:style>
  <w:style w:type="character" w:customStyle="1" w:styleId="strong--char">
    <w:name w:val="strong--char"/>
    <w:basedOn w:val="DefaultParagraphFont"/>
    <w:rsid w:val="0074590A"/>
  </w:style>
  <w:style w:type="character" w:customStyle="1" w:styleId="ju--005fpara--0020char1--0020char--0020char--0020char--0020char--0020char--0020char--0020char--0020char--0020char----char--char">
    <w:name w:val="ju--005fpara--0020char1--0020char--0020char--0020char--0020char--0020char--0020char--0020char--0020char--0020char----char--char"/>
    <w:basedOn w:val="DefaultParagraphFont"/>
    <w:rsid w:val="0074590A"/>
  </w:style>
  <w:style w:type="character" w:customStyle="1" w:styleId="ju-005fpara-0020char1-0020char-0020char-0020char-0020char-0020char--char">
    <w:name w:val="ju-005fpara-0020char1-0020char-0020char-0020char-0020char-0020char--char"/>
    <w:basedOn w:val="DefaultParagraphFont"/>
    <w:rsid w:val="008368B1"/>
  </w:style>
  <w:style w:type="paragraph" w:customStyle="1" w:styleId="jupara0">
    <w:name w:val="jupara"/>
    <w:basedOn w:val="Normal"/>
    <w:rsid w:val="00D25152"/>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A91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106563">
      <w:bodyDiv w:val="1"/>
      <w:marLeft w:val="0"/>
      <w:marRight w:val="0"/>
      <w:marTop w:val="0"/>
      <w:marBottom w:val="0"/>
      <w:divBdr>
        <w:top w:val="none" w:sz="0" w:space="0" w:color="auto"/>
        <w:left w:val="none" w:sz="0" w:space="0" w:color="auto"/>
        <w:bottom w:val="none" w:sz="0" w:space="0" w:color="auto"/>
        <w:right w:val="none" w:sz="0" w:space="0" w:color="auto"/>
      </w:divBdr>
    </w:div>
    <w:div w:id="728571233">
      <w:bodyDiv w:val="1"/>
      <w:marLeft w:val="0"/>
      <w:marRight w:val="0"/>
      <w:marTop w:val="0"/>
      <w:marBottom w:val="0"/>
      <w:divBdr>
        <w:top w:val="none" w:sz="0" w:space="0" w:color="auto"/>
        <w:left w:val="none" w:sz="0" w:space="0" w:color="auto"/>
        <w:bottom w:val="none" w:sz="0" w:space="0" w:color="auto"/>
        <w:right w:val="none" w:sz="0" w:space="0" w:color="auto"/>
      </w:divBdr>
      <w:divsChild>
        <w:div w:id="2102755034">
          <w:marLeft w:val="0"/>
          <w:marRight w:val="0"/>
          <w:marTop w:val="0"/>
          <w:marBottom w:val="0"/>
          <w:divBdr>
            <w:top w:val="none" w:sz="0" w:space="0" w:color="auto"/>
            <w:left w:val="none" w:sz="0" w:space="0" w:color="auto"/>
            <w:bottom w:val="none" w:sz="0" w:space="0" w:color="auto"/>
            <w:right w:val="none" w:sz="0" w:space="0" w:color="auto"/>
          </w:divBdr>
        </w:div>
      </w:divsChild>
    </w:div>
    <w:div w:id="1308819975">
      <w:bodyDiv w:val="1"/>
      <w:marLeft w:val="0"/>
      <w:marRight w:val="0"/>
      <w:marTop w:val="0"/>
      <w:marBottom w:val="0"/>
      <w:divBdr>
        <w:top w:val="none" w:sz="0" w:space="0" w:color="auto"/>
        <w:left w:val="none" w:sz="0" w:space="0" w:color="auto"/>
        <w:bottom w:val="none" w:sz="0" w:space="0" w:color="auto"/>
        <w:right w:val="none" w:sz="0" w:space="0" w:color="auto"/>
      </w:divBdr>
    </w:div>
    <w:div w:id="1464074534">
      <w:bodyDiv w:val="1"/>
      <w:marLeft w:val="0"/>
      <w:marRight w:val="0"/>
      <w:marTop w:val="0"/>
      <w:marBottom w:val="0"/>
      <w:divBdr>
        <w:top w:val="none" w:sz="0" w:space="0" w:color="auto"/>
        <w:left w:val="none" w:sz="0" w:space="0" w:color="auto"/>
        <w:bottom w:val="none" w:sz="0" w:space="0" w:color="auto"/>
        <w:right w:val="none" w:sz="0" w:space="0" w:color="auto"/>
      </w:divBdr>
    </w:div>
    <w:div w:id="1697541577">
      <w:bodyDiv w:val="1"/>
      <w:marLeft w:val="0"/>
      <w:marRight w:val="0"/>
      <w:marTop w:val="0"/>
      <w:marBottom w:val="0"/>
      <w:divBdr>
        <w:top w:val="none" w:sz="0" w:space="0" w:color="auto"/>
        <w:left w:val="none" w:sz="0" w:space="0" w:color="auto"/>
        <w:bottom w:val="none" w:sz="0" w:space="0" w:color="auto"/>
        <w:right w:val="none" w:sz="0" w:space="0" w:color="auto"/>
      </w:divBdr>
    </w:div>
    <w:div w:id="213216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60B8F0-D2D1-4739-8E6A-C361BA1DE759}"/>
</file>

<file path=customXml/itemProps2.xml><?xml version="1.0" encoding="utf-8"?>
<ds:datastoreItem xmlns:ds="http://schemas.openxmlformats.org/officeDocument/2006/customXml" ds:itemID="{E891AE42-DBA2-49B3-8309-287908C2B850}"/>
</file>

<file path=customXml/itemProps3.xml><?xml version="1.0" encoding="utf-8"?>
<ds:datastoreItem xmlns:ds="http://schemas.openxmlformats.org/officeDocument/2006/customXml" ds:itemID="{8A342CC6-75FA-4B66-8E9C-3097CF4F908B}"/>
</file>

<file path=docProps/app.xml><?xml version="1.0" encoding="utf-8"?>
<Properties xmlns="http://schemas.openxmlformats.org/officeDocument/2006/extended-properties" xmlns:vt="http://schemas.openxmlformats.org/officeDocument/2006/docPropsVTypes">
  <Template>Normal.dotm</Template>
  <TotalTime>9</TotalTime>
  <Pages>1</Pages>
  <Words>2767</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9</cp:revision>
  <cp:lastPrinted>2010-09-24T08:37:00Z</cp:lastPrinted>
  <dcterms:created xsi:type="dcterms:W3CDTF">2015-03-18T17:49:00Z</dcterms:created>
  <dcterms:modified xsi:type="dcterms:W3CDTF">2015-03-18T17:49:00Z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