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10" w:rsidRDefault="00381810">
      <w:pPr>
        <w:jc w:val="center"/>
        <w:rPr>
          <w:b/>
          <w:snapToGrid w:val="0"/>
          <w:sz w:val="28"/>
          <w:lang w:eastAsia="en-US"/>
        </w:rPr>
      </w:pPr>
      <w:bookmarkStart w:name="_GoBack" w:id="0"/>
      <w:bookmarkEnd w:id="0"/>
    </w:p>
    <w:p w:rsidR="00381810" w:rsidRDefault="00381810">
      <w:pPr>
        <w:jc w:val="center"/>
        <w:rPr>
          <w:b/>
          <w:snapToGrid w:val="0"/>
          <w:sz w:val="28"/>
          <w:lang w:eastAsia="en-US"/>
        </w:rPr>
      </w:pPr>
    </w:p>
    <w:p w:rsidRPr="00FB5487" w:rsidR="00F71A6A" w:rsidRDefault="00F71A6A">
      <w:pPr>
        <w:jc w:val="center"/>
      </w:pPr>
    </w:p>
    <w:p w:rsidRPr="00FB5487" w:rsidR="00F71A6A" w:rsidRDefault="00FB5487">
      <w:pPr>
        <w:jc w:val="center"/>
      </w:pPr>
      <w:r w:rsidRPr="00FB5487">
        <w:t>FIRST SECTION</w:t>
      </w:r>
    </w:p>
    <w:p w:rsidR="00381810" w:rsidRDefault="00381810">
      <w:pPr>
        <w:jc w:val="center"/>
      </w:pPr>
    </w:p>
    <w:p w:rsidR="00381810" w:rsidRDefault="00381810">
      <w:pPr>
        <w:jc w:val="center"/>
      </w:pPr>
    </w:p>
    <w:p w:rsidR="00381810" w:rsidRDefault="00381810">
      <w:pPr>
        <w:jc w:val="center"/>
      </w:pPr>
    </w:p>
    <w:p w:rsidR="00381810" w:rsidRDefault="00381810">
      <w:pPr>
        <w:jc w:val="center"/>
      </w:pPr>
    </w:p>
    <w:p w:rsidR="00381810" w:rsidRDefault="00381810">
      <w:pPr>
        <w:jc w:val="center"/>
      </w:pPr>
    </w:p>
    <w:p w:rsidRPr="00FB5487" w:rsidR="00F71A6A" w:rsidRDefault="00F71A6A">
      <w:pPr>
        <w:jc w:val="center"/>
      </w:pPr>
    </w:p>
    <w:p w:rsidRPr="00FB5487" w:rsidR="00F71A6A" w:rsidRDefault="00F71A6A">
      <w:pPr>
        <w:jc w:val="center"/>
        <w:rPr>
          <w:b/>
        </w:rPr>
      </w:pPr>
      <w:bookmarkStart w:name="To" w:id="1"/>
      <w:r w:rsidRPr="00FB5487">
        <w:rPr>
          <w:b/>
        </w:rPr>
        <w:t xml:space="preserve">CASE OF </w:t>
      </w:r>
      <w:bookmarkEnd w:id="1"/>
      <w:r w:rsidRPr="00FB5487" w:rsidR="00FB5487">
        <w:rPr>
          <w:b/>
        </w:rPr>
        <w:t xml:space="preserve">KRUMPHOLZ v. </w:t>
      </w:r>
      <w:smartTag w:uri="urn:schemas-microsoft-com:office:smarttags" w:element="place">
        <w:smartTag w:uri="urn:schemas-microsoft-com:office:smarttags" w:element="country-region">
          <w:r w:rsidR="00FB5487" w:rsidRPr="00FB5487">
            <w:rPr>
              <w:b/>
            </w:rPr>
            <w:t>AUSTRIA</w:t>
          </w:r>
        </w:smartTag>
      </w:smartTag>
    </w:p>
    <w:p w:rsidRPr="00FB5487" w:rsidR="00F71A6A" w:rsidRDefault="00F71A6A">
      <w:pPr>
        <w:jc w:val="center"/>
      </w:pPr>
    </w:p>
    <w:p w:rsidRPr="00FB5487" w:rsidR="00F71A6A" w:rsidRDefault="00F71A6A">
      <w:pPr>
        <w:jc w:val="center"/>
        <w:rPr>
          <w:i/>
        </w:rPr>
      </w:pPr>
      <w:r w:rsidRPr="00FB5487">
        <w:rPr>
          <w:i/>
        </w:rPr>
        <w:t>(</w:t>
      </w:r>
      <w:r w:rsidRPr="00FB5487" w:rsidR="00FB5487">
        <w:rPr>
          <w:i/>
        </w:rPr>
        <w:t>Application no. 13201/05</w:t>
      </w:r>
      <w:r w:rsidRPr="00FB5487">
        <w:rPr>
          <w:i/>
        </w:rPr>
        <w:t>)</w:t>
      </w:r>
    </w:p>
    <w:p w:rsidR="00381810" w:rsidP="00381810" w:rsidRDefault="00381810">
      <w:pPr>
        <w:jc w:val="center"/>
        <w:rPr>
          <w:sz w:val="22"/>
        </w:rPr>
      </w:pPr>
    </w:p>
    <w:p w:rsidR="00381810" w:rsidP="00381810" w:rsidRDefault="00381810">
      <w:pPr>
        <w:jc w:val="center"/>
        <w:rPr>
          <w:sz w:val="22"/>
        </w:rPr>
      </w:pPr>
    </w:p>
    <w:p w:rsidR="00381810" w:rsidP="00381810" w:rsidRDefault="00381810">
      <w:pPr>
        <w:jc w:val="center"/>
        <w:rPr>
          <w:sz w:val="22"/>
        </w:rPr>
      </w:pPr>
    </w:p>
    <w:p w:rsidR="00381810" w:rsidP="00381810" w:rsidRDefault="00381810">
      <w:pPr>
        <w:jc w:val="center"/>
        <w:rPr>
          <w:sz w:val="22"/>
        </w:rPr>
      </w:pPr>
    </w:p>
    <w:p w:rsidR="00381810" w:rsidP="00381810" w:rsidRDefault="00381810">
      <w:pPr>
        <w:jc w:val="center"/>
        <w:rPr>
          <w:sz w:val="22"/>
        </w:rPr>
      </w:pPr>
    </w:p>
    <w:p w:rsidR="00381810" w:rsidP="00381810" w:rsidRDefault="00381810">
      <w:pPr>
        <w:jc w:val="center"/>
        <w:rPr>
          <w:sz w:val="22"/>
        </w:rPr>
      </w:pPr>
    </w:p>
    <w:p w:rsidR="00381810" w:rsidP="00381810" w:rsidRDefault="00381810">
      <w:pPr>
        <w:jc w:val="center"/>
        <w:rPr>
          <w:sz w:val="22"/>
        </w:rPr>
      </w:pPr>
    </w:p>
    <w:p w:rsidR="00381810" w:rsidP="00381810" w:rsidRDefault="00381810">
      <w:pPr>
        <w:jc w:val="center"/>
        <w:rPr>
          <w:sz w:val="22"/>
        </w:rPr>
      </w:pPr>
      <w:r>
        <w:rPr>
          <w:sz w:val="22"/>
        </w:rPr>
        <w:t>JUDGMENT</w:t>
      </w:r>
    </w:p>
    <w:p w:rsidR="00381810" w:rsidP="00381810" w:rsidRDefault="00381810">
      <w:pPr>
        <w:jc w:val="center"/>
        <w:rPr>
          <w:sz w:val="22"/>
        </w:rPr>
      </w:pPr>
    </w:p>
    <w:p w:rsidR="00381810" w:rsidP="00381810" w:rsidRDefault="00381810">
      <w:pPr>
        <w:jc w:val="center"/>
        <w:rPr>
          <w:sz w:val="22"/>
        </w:rPr>
      </w:pPr>
    </w:p>
    <w:p w:rsidR="00381810" w:rsidP="00381810" w:rsidRDefault="00381810">
      <w:pPr>
        <w:jc w:val="center"/>
        <w:rPr>
          <w:sz w:val="22"/>
        </w:rPr>
      </w:pPr>
    </w:p>
    <w:p w:rsidR="00381810" w:rsidP="00381810" w:rsidRDefault="00381810">
      <w:pPr>
        <w:jc w:val="center"/>
        <w:rPr>
          <w:sz w:val="22"/>
        </w:rPr>
      </w:pPr>
      <w:smartTag w:uri="urn:schemas-microsoft-com:office:smarttags" w:element="place">
        <w:smartTag w:uri="urn:schemas-microsoft-com:office:smarttags" w:element="City">
          <w:r>
            <w:rPr>
              <w:sz w:val="22"/>
            </w:rPr>
            <w:t>STRASBOURG</w:t>
          </w:r>
        </w:smartTag>
      </w:smartTag>
    </w:p>
    <w:p w:rsidR="00381810" w:rsidP="00381810" w:rsidRDefault="00381810">
      <w:pPr>
        <w:jc w:val="center"/>
        <w:rPr>
          <w:sz w:val="22"/>
        </w:rPr>
      </w:pPr>
    </w:p>
    <w:p w:rsidR="00381810" w:rsidP="00381810" w:rsidRDefault="00381810">
      <w:pPr>
        <w:jc w:val="center"/>
        <w:rPr>
          <w:sz w:val="22"/>
        </w:rPr>
      </w:pPr>
      <w:r>
        <w:rPr>
          <w:sz w:val="22"/>
        </w:rPr>
        <w:t>18 March 2010</w:t>
      </w:r>
    </w:p>
    <w:p w:rsidR="00381810" w:rsidP="00381810" w:rsidRDefault="00381810">
      <w:pPr>
        <w:jc w:val="center"/>
        <w:rPr>
          <w:sz w:val="22"/>
        </w:rPr>
      </w:pPr>
    </w:p>
    <w:p w:rsidR="009D6A61" w:rsidP="009D6A61" w:rsidRDefault="009D6A61">
      <w:pPr>
        <w:jc w:val="center"/>
        <w:rPr>
          <w:b/>
          <w:color w:val="FF0000"/>
          <w:szCs w:val="24"/>
          <w:u w:val="single"/>
        </w:rPr>
      </w:pPr>
      <w:bookmarkStart w:name="OLE_LINK1" w:id="2"/>
      <w:bookmarkStart w:name="OLE_LINK2" w:id="3"/>
      <w:bookmarkStart w:name="OLE_LINK14" w:id="4"/>
      <w:bookmarkStart w:name="OLE_LINK15" w:id="5"/>
      <w:r w:rsidRPr="008F13C5">
        <w:rPr>
          <w:b/>
          <w:color w:val="FF0000"/>
          <w:szCs w:val="24"/>
          <w:u w:val="single"/>
        </w:rPr>
        <w:t>FINAL</w:t>
      </w:r>
    </w:p>
    <w:p w:rsidRPr="008F13C5" w:rsidR="009D6A61" w:rsidP="009D6A61" w:rsidRDefault="009D6A61">
      <w:pPr>
        <w:jc w:val="center"/>
        <w:rPr>
          <w:b/>
          <w:color w:val="FF0000"/>
          <w:szCs w:val="24"/>
          <w:u w:val="single"/>
        </w:rPr>
      </w:pPr>
    </w:p>
    <w:p w:rsidR="009D6A61" w:rsidP="009D6A61" w:rsidRDefault="009D6A61">
      <w:pPr>
        <w:jc w:val="center"/>
        <w:rPr>
          <w:i/>
          <w:color w:val="FF0000"/>
          <w:szCs w:val="24"/>
        </w:rPr>
      </w:pPr>
      <w:r>
        <w:rPr>
          <w:i/>
          <w:color w:val="FF0000"/>
          <w:szCs w:val="24"/>
        </w:rPr>
        <w:t>18/06</w:t>
      </w:r>
      <w:r w:rsidRPr="008F13C5">
        <w:rPr>
          <w:i/>
          <w:color w:val="FF0000"/>
          <w:szCs w:val="24"/>
        </w:rPr>
        <w:t>/2010</w:t>
      </w:r>
    </w:p>
    <w:p w:rsidR="009D6A61" w:rsidP="009D6A61" w:rsidRDefault="009D6A61">
      <w:pPr>
        <w:jc w:val="center"/>
        <w:rPr>
          <w:i/>
          <w:color w:val="FF0000"/>
          <w:szCs w:val="24"/>
        </w:rPr>
      </w:pPr>
    </w:p>
    <w:p w:rsidRPr="006540F9" w:rsidR="009D6A61" w:rsidP="009D6A61" w:rsidRDefault="009D6A61">
      <w:pPr>
        <w:rPr>
          <w:i/>
          <w:color w:val="000000"/>
          <w:szCs w:val="24"/>
        </w:rPr>
      </w:pPr>
      <w:r w:rsidRPr="006540F9">
        <w:rPr>
          <w:i/>
          <w:color w:val="000000"/>
          <w:szCs w:val="24"/>
        </w:rPr>
        <w:t xml:space="preserve">This judgment </w:t>
      </w:r>
      <w:r>
        <w:rPr>
          <w:i/>
          <w:color w:val="000000"/>
          <w:szCs w:val="24"/>
        </w:rPr>
        <w:t>has become</w:t>
      </w:r>
      <w:r w:rsidRPr="006540F9">
        <w:rPr>
          <w:i/>
          <w:color w:val="000000"/>
          <w:szCs w:val="24"/>
        </w:rPr>
        <w:t xml:space="preserve"> final </w:t>
      </w:r>
      <w:r>
        <w:rPr>
          <w:i/>
          <w:color w:val="000000"/>
          <w:szCs w:val="24"/>
        </w:rPr>
        <w:t>under</w:t>
      </w:r>
      <w:r w:rsidRPr="006540F9">
        <w:rPr>
          <w:i/>
          <w:color w:val="000000"/>
          <w:szCs w:val="24"/>
        </w:rPr>
        <w:t xml:space="preserve"> Article 44 § 2 of the Convention. It may be subject to editorial revision.</w:t>
      </w:r>
    </w:p>
    <w:bookmarkEnd w:id="2"/>
    <w:bookmarkEnd w:id="3"/>
    <w:bookmarkEnd w:id="4"/>
    <w:bookmarkEnd w:id="5"/>
    <w:p w:rsidR="00381810" w:rsidP="00B921A8" w:rsidRDefault="00381810">
      <w:pPr>
        <w:pStyle w:val="JuCase"/>
        <w:sectPr w:rsidR="00381810" w:rsidSect="0038181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78"/>
        </w:sectPr>
      </w:pPr>
    </w:p>
    <w:p w:rsidRPr="00FB5487" w:rsidR="00F71A6A" w:rsidP="00B921A8" w:rsidRDefault="00F71A6A">
      <w:pPr>
        <w:pStyle w:val="JuCase"/>
      </w:pPr>
      <w:r w:rsidRPr="00FB5487">
        <w:t xml:space="preserve">In the case of </w:t>
      </w:r>
      <w:r w:rsidRPr="00FB5487" w:rsidR="00FB5487">
        <w:rPr>
          <w:rStyle w:val="JuCaseChar"/>
        </w:rPr>
        <w:t xml:space="preserve">Krumpholz v. </w:t>
      </w:r>
      <w:smartTag w:uri="urn:schemas-microsoft-com:office:smarttags" w:element="place">
        <w:smartTag w:uri="urn:schemas-microsoft-com:office:smarttags" w:element="country-region">
          <w:r w:rsidR="00FB5487" w:rsidRPr="00FB5487">
            <w:rPr>
              <w:rStyle w:val="JuCaseChar"/>
            </w:rPr>
            <w:t>Austria</w:t>
          </w:r>
        </w:smartTag>
      </w:smartTag>
      <w:r w:rsidRPr="00FB5487">
        <w:t>,</w:t>
      </w:r>
    </w:p>
    <w:p w:rsidRPr="00FB5487" w:rsidR="00730433" w:rsidP="00730433" w:rsidRDefault="00F71A6A">
      <w:pPr>
        <w:pStyle w:val="JuPara"/>
      </w:pPr>
      <w:r w:rsidRPr="00FB5487">
        <w:t>The European Court of Human Rights (</w:t>
      </w:r>
      <w:r w:rsidRPr="00FB5487" w:rsidR="00FB5487">
        <w:t>First Section</w:t>
      </w:r>
      <w:r w:rsidRPr="00FB5487">
        <w:t xml:space="preserve">), sitting as a </w:t>
      </w:r>
      <w:r w:rsidRPr="00FB5487" w:rsidR="00FB5487">
        <w:t>Chamber</w:t>
      </w:r>
      <w:r w:rsidRPr="00FB5487" w:rsidR="00730433">
        <w:t xml:space="preserve"> composed of:</w:t>
      </w:r>
    </w:p>
    <w:p w:rsidRPr="00FB5487" w:rsidR="00F71A6A" w:rsidP="00730433" w:rsidRDefault="00381810">
      <w:pPr>
        <w:pStyle w:val="JuJudges"/>
      </w:pPr>
      <w:r w:rsidRPr="00381810">
        <w:tab/>
        <w:t>Christos</w:t>
      </w:r>
      <w:r>
        <w:t xml:space="preserve"> </w:t>
      </w:r>
      <w:r w:rsidRPr="00381810">
        <w:t>Rozakis</w:t>
      </w:r>
      <w:r>
        <w:t>,</w:t>
      </w:r>
      <w:r w:rsidRPr="00381810">
        <w:rPr>
          <w:i/>
        </w:rPr>
        <w:t xml:space="preserve"> President,</w:t>
      </w:r>
      <w:r>
        <w:rPr>
          <w:i/>
        </w:rPr>
        <w:br/>
      </w:r>
      <w:r w:rsidRPr="00381810">
        <w:tab/>
        <w:t>Nina</w:t>
      </w:r>
      <w:r>
        <w:t xml:space="preserve"> </w:t>
      </w:r>
      <w:r w:rsidRPr="00381810">
        <w:t>Vajić</w:t>
      </w:r>
      <w:r>
        <w:t>,</w:t>
      </w:r>
      <w:r>
        <w:rPr>
          <w:i/>
        </w:rPr>
        <w:br/>
      </w:r>
      <w:r w:rsidRPr="00381810">
        <w:tab/>
        <w:t>Anatoly</w:t>
      </w:r>
      <w:r>
        <w:t xml:space="preserve"> </w:t>
      </w:r>
      <w:r w:rsidRPr="00381810">
        <w:t>Kovler</w:t>
      </w:r>
      <w:r>
        <w:t>,</w:t>
      </w:r>
      <w:r>
        <w:rPr>
          <w:i/>
        </w:rPr>
        <w:br/>
      </w:r>
      <w:r w:rsidRPr="00381810">
        <w:tab/>
        <w:t>Elisabeth</w:t>
      </w:r>
      <w:r>
        <w:t xml:space="preserve"> </w:t>
      </w:r>
      <w:r w:rsidRPr="00381810">
        <w:t>Steiner</w:t>
      </w:r>
      <w:r>
        <w:t>,</w:t>
      </w:r>
      <w:r>
        <w:rPr>
          <w:i/>
        </w:rPr>
        <w:br/>
      </w:r>
      <w:r w:rsidRPr="00381810">
        <w:tab/>
        <w:t>Khanlar</w:t>
      </w:r>
      <w:r>
        <w:t xml:space="preserve"> </w:t>
      </w:r>
      <w:r w:rsidRPr="00381810">
        <w:t>Hajiyev</w:t>
      </w:r>
      <w:r>
        <w:t>,</w:t>
      </w:r>
      <w:r>
        <w:rPr>
          <w:i/>
        </w:rPr>
        <w:br/>
      </w:r>
      <w:r w:rsidRPr="00381810">
        <w:tab/>
        <w:t>Dean</w:t>
      </w:r>
      <w:r>
        <w:t xml:space="preserve"> </w:t>
      </w:r>
      <w:r w:rsidRPr="00381810">
        <w:t>Spielmann</w:t>
      </w:r>
      <w:r>
        <w:t>,</w:t>
      </w:r>
      <w:r>
        <w:rPr>
          <w:i/>
        </w:rPr>
        <w:br/>
      </w:r>
      <w:r w:rsidRPr="00381810">
        <w:tab/>
        <w:t>Sverre Erik</w:t>
      </w:r>
      <w:r>
        <w:t xml:space="preserve"> </w:t>
      </w:r>
      <w:r w:rsidRPr="00381810">
        <w:t>Jebens</w:t>
      </w:r>
      <w:r>
        <w:t>,</w:t>
      </w:r>
      <w:r w:rsidRPr="00381810">
        <w:rPr>
          <w:i/>
        </w:rPr>
        <w:t xml:space="preserve"> judges,</w:t>
      </w:r>
      <w:r w:rsidRPr="00FB5487" w:rsidR="00337600">
        <w:br/>
      </w:r>
      <w:r w:rsidRPr="00FB5487" w:rsidR="00F71A6A">
        <w:t>and</w:t>
      </w:r>
      <w:r w:rsidRPr="00FB5487" w:rsidR="000726F6">
        <w:t xml:space="preserve"> </w:t>
      </w:r>
      <w:r w:rsidR="00101DA6">
        <w:t>André Wampach</w:t>
      </w:r>
      <w:r w:rsidRPr="00FB5487" w:rsidR="000726F6">
        <w:rPr>
          <w:rStyle w:val="JuSignedChar"/>
        </w:rPr>
        <w:t xml:space="preserve">, </w:t>
      </w:r>
      <w:r w:rsidR="00101DA6">
        <w:rPr>
          <w:i/>
        </w:rPr>
        <w:t>Deputy S</w:t>
      </w:r>
      <w:r w:rsidRPr="00FB5487" w:rsidR="00FB5487">
        <w:rPr>
          <w:i/>
        </w:rPr>
        <w:t>ection Registrar</w:t>
      </w:r>
      <w:r w:rsidRPr="00FB5487" w:rsidR="00F71A6A">
        <w:t>,</w:t>
      </w:r>
    </w:p>
    <w:p w:rsidRPr="00FB5487" w:rsidR="00F71A6A" w:rsidRDefault="00F71A6A">
      <w:pPr>
        <w:pStyle w:val="JuPara"/>
      </w:pPr>
      <w:r w:rsidRPr="00FB5487">
        <w:t xml:space="preserve">Having deliberated in private on </w:t>
      </w:r>
      <w:r w:rsidR="00381810">
        <w:t>25 February 2010</w:t>
      </w:r>
      <w:r w:rsidRPr="00FB5487">
        <w:t>,</w:t>
      </w:r>
    </w:p>
    <w:p w:rsidRPr="00FB5487" w:rsidR="00F71A6A" w:rsidRDefault="00F71A6A">
      <w:pPr>
        <w:pStyle w:val="JuPara"/>
      </w:pPr>
      <w:r w:rsidRPr="00FB5487">
        <w:t>Delivers the following judgment, which was adopted on that date:</w:t>
      </w:r>
    </w:p>
    <w:p w:rsidRPr="00FB5487" w:rsidR="00F71A6A" w:rsidRDefault="00F71A6A">
      <w:pPr>
        <w:pStyle w:val="JuHHead"/>
      </w:pPr>
      <w:r w:rsidRPr="00FB5487">
        <w:t>PROCEDURE</w:t>
      </w:r>
    </w:p>
    <w:p w:rsidR="00BB42C3" w:rsidP="00AE2F4F" w:rsidRDefault="00FB5487">
      <w:pPr>
        <w:pStyle w:val="JuPara"/>
      </w:pPr>
      <w:r w:rsidRPr="00FB5487">
        <w:fldChar w:fldCharType="begin"/>
      </w:r>
      <w:r w:rsidRPr="00FB5487">
        <w:instrText xml:space="preserve"> SEQ level0 \*arabic </w:instrText>
      </w:r>
      <w:r w:rsidRPr="00FB5487">
        <w:fldChar w:fldCharType="separate"/>
      </w:r>
      <w:r w:rsidR="00101DA6">
        <w:rPr>
          <w:noProof/>
        </w:rPr>
        <w:t>1</w:t>
      </w:r>
      <w:r w:rsidRPr="00FB5487">
        <w:fldChar w:fldCharType="end"/>
      </w:r>
      <w:r w:rsidRPr="00FB5487" w:rsidR="00F71A6A">
        <w:t xml:space="preserve">.  The case originated in </w:t>
      </w:r>
      <w:r w:rsidRPr="00FB5487">
        <w:t>an application (no. 13201/05)</w:t>
      </w:r>
      <w:r w:rsidRPr="00FB5487" w:rsidR="00F71A6A">
        <w:t xml:space="preserve"> against </w:t>
      </w:r>
      <w:r w:rsidRPr="00FB5487">
        <w:t xml:space="preserve">the </w:t>
      </w:r>
      <w:smartTag w:uri="urn:schemas-microsoft-com:office:smarttags" w:element="place">
        <w:smartTag w:uri="urn:schemas-microsoft-com:office:smarttags" w:element="PlaceType">
          <w:r w:rsidRPr="00FB5487">
            <w:t>Republic</w:t>
          </w:r>
        </w:smartTag>
        <w:r w:rsidRPr="00FB5487">
          <w:t xml:space="preserve"> of </w:t>
        </w:r>
        <w:smartTag w:uri="urn:schemas-microsoft-com:office:smarttags" w:element="PlaceName">
          <w:r w:rsidRPr="00FB5487">
            <w:t>Austria</w:t>
          </w:r>
        </w:smartTag>
      </w:smartTag>
      <w:r w:rsidRPr="00FB5487" w:rsidR="00F71A6A">
        <w:t xml:space="preserve"> lodged with the </w:t>
      </w:r>
      <w:r w:rsidRPr="00FB5487">
        <w:t>Court under Article 34</w:t>
      </w:r>
      <w:r w:rsidRPr="00FB5487" w:rsidR="00F71A6A">
        <w:t xml:space="preserve"> of the Convention for the Protection of Human Rights and Fundamental Freedoms (“the Convention”) by </w:t>
      </w:r>
      <w:r w:rsidR="00BB42C3">
        <w:t>a</w:t>
      </w:r>
      <w:r w:rsidR="00C42B29">
        <w:t xml:space="preserve"> </w:t>
      </w:r>
      <w:r w:rsidRPr="00FB5487">
        <w:t>German national, Mr Claus Krumpholz (“the applicant”), on 25 March 2005</w:t>
      </w:r>
      <w:r w:rsidRPr="00FB5487" w:rsidR="00F71A6A">
        <w:t>.</w:t>
      </w:r>
    </w:p>
    <w:p w:rsidR="00C42B29" w:rsidP="00252B31" w:rsidRDefault="00FB5487">
      <w:pPr>
        <w:pStyle w:val="JuPara"/>
      </w:pPr>
      <w:r w:rsidRPr="00FB5487">
        <w:fldChar w:fldCharType="begin"/>
      </w:r>
      <w:r w:rsidRPr="00FB5487">
        <w:instrText xml:space="preserve"> SEQ level0 \*arabic </w:instrText>
      </w:r>
      <w:r w:rsidRPr="00FB5487">
        <w:fldChar w:fldCharType="separate"/>
      </w:r>
      <w:r w:rsidR="00101DA6">
        <w:rPr>
          <w:noProof/>
        </w:rPr>
        <w:t>2</w:t>
      </w:r>
      <w:r w:rsidRPr="00FB5487">
        <w:fldChar w:fldCharType="end"/>
      </w:r>
      <w:r w:rsidRPr="00FB5487" w:rsidR="00F71A6A">
        <w:t>.  </w:t>
      </w:r>
      <w:r w:rsidRPr="00FB5487">
        <w:t xml:space="preserve">The applicant was represented by Mr K. Schelling, a lawyer practising in Dornbirn. </w:t>
      </w:r>
      <w:r w:rsidRPr="00FB5487" w:rsidR="00F71A6A">
        <w:t xml:space="preserve">The </w:t>
      </w:r>
      <w:r w:rsidRPr="00FB5487">
        <w:t>Austrian</w:t>
      </w:r>
      <w:r w:rsidRPr="00FB5487" w:rsidR="00F71A6A">
        <w:t xml:space="preserve"> Government (“the Government”) were represented by their Agent, </w:t>
      </w:r>
      <w:r w:rsidR="00C42B29">
        <w:t>Ambassador F. Trauttmansdorff, Head of the International Law Department at the Federal Ministry for European and International Affairs. The German Government did not make use of their right to intervene under Article 36 § 1 of the Convention.</w:t>
      </w:r>
    </w:p>
    <w:p w:rsidRPr="00FB5487" w:rsidR="00F71A6A" w:rsidP="00252B31" w:rsidRDefault="00FB5487">
      <w:pPr>
        <w:pStyle w:val="JuPara"/>
      </w:pPr>
      <w:r w:rsidRPr="00FB5487">
        <w:fldChar w:fldCharType="begin"/>
      </w:r>
      <w:r w:rsidRPr="00FB5487">
        <w:instrText xml:space="preserve"> SEQ level0 \*arabic </w:instrText>
      </w:r>
      <w:r w:rsidRPr="00FB5487">
        <w:fldChar w:fldCharType="separate"/>
      </w:r>
      <w:r w:rsidR="00101DA6">
        <w:rPr>
          <w:noProof/>
        </w:rPr>
        <w:t>3</w:t>
      </w:r>
      <w:r w:rsidRPr="00FB5487">
        <w:fldChar w:fldCharType="end"/>
      </w:r>
      <w:r w:rsidRPr="00FB5487">
        <w:t xml:space="preserve">.  The applicant alleged </w:t>
      </w:r>
      <w:r w:rsidR="00EB0515">
        <w:t>a violation of the right to silence and the presumption of innocence</w:t>
      </w:r>
      <w:r w:rsidR="00C42B29">
        <w:t xml:space="preserve"> </w:t>
      </w:r>
      <w:r w:rsidR="00EB0515">
        <w:t xml:space="preserve">as </w:t>
      </w:r>
      <w:r w:rsidR="00C42B29">
        <w:t xml:space="preserve">he </w:t>
      </w:r>
      <w:r w:rsidR="00737996">
        <w:t xml:space="preserve">had been </w:t>
      </w:r>
      <w:r w:rsidR="00C42B29">
        <w:t xml:space="preserve">convicted of speeding on the sole ground </w:t>
      </w:r>
      <w:r w:rsidR="00EB0515">
        <w:t xml:space="preserve">of having refused to disclose </w:t>
      </w:r>
      <w:r w:rsidR="00C42B29">
        <w:t>the identity of the driver</w:t>
      </w:r>
      <w:r w:rsidR="00EB0515">
        <w:t>.</w:t>
      </w:r>
    </w:p>
    <w:p w:rsidRPr="00FB5487" w:rsidR="00F71A6A" w:rsidP="003E319C" w:rsidRDefault="00FB5487">
      <w:pPr>
        <w:pStyle w:val="JuPara"/>
      </w:pPr>
      <w:r w:rsidRPr="00FB5487">
        <w:fldChar w:fldCharType="begin"/>
      </w:r>
      <w:r w:rsidRPr="00FB5487">
        <w:instrText xml:space="preserve"> SEQ level0 \*arabic </w:instrText>
      </w:r>
      <w:r w:rsidRPr="00FB5487">
        <w:fldChar w:fldCharType="separate"/>
      </w:r>
      <w:r w:rsidR="00101DA6">
        <w:rPr>
          <w:noProof/>
        </w:rPr>
        <w:t>4</w:t>
      </w:r>
      <w:r w:rsidRPr="00FB5487">
        <w:fldChar w:fldCharType="end"/>
      </w:r>
      <w:r w:rsidRPr="00FB5487" w:rsidR="00F71A6A">
        <w:t xml:space="preserve">.  On </w:t>
      </w:r>
      <w:r w:rsidR="00EB0515">
        <w:t>23 June 2008</w:t>
      </w:r>
      <w:r w:rsidRPr="00FB5487" w:rsidR="00F71A6A">
        <w:t xml:space="preserve"> </w:t>
      </w:r>
      <w:r w:rsidRPr="00FB5487">
        <w:t>the President of the First Section</w:t>
      </w:r>
      <w:r w:rsidR="00EB0515">
        <w:t xml:space="preserve"> </w:t>
      </w:r>
      <w:r w:rsidRPr="00FB5487" w:rsidR="00F71A6A">
        <w:t xml:space="preserve">decided to </w:t>
      </w:r>
      <w:r w:rsidRPr="00FB5487" w:rsidR="00756D5B">
        <w:t>give notice of the application</w:t>
      </w:r>
      <w:r w:rsidR="00EB0515">
        <w:t xml:space="preserve"> </w:t>
      </w:r>
      <w:r w:rsidRPr="00FB5487" w:rsidR="00F71A6A">
        <w:t>to the Gove</w:t>
      </w:r>
      <w:r w:rsidRPr="00FB5487" w:rsidR="00485A6F">
        <w:t>rnment. I</w:t>
      </w:r>
      <w:r w:rsidRPr="00FB5487" w:rsidR="00F71A6A">
        <w:t>t</w:t>
      </w:r>
      <w:r w:rsidRPr="00FB5487">
        <w:t xml:space="preserve"> was</w:t>
      </w:r>
      <w:r w:rsidRPr="00FB5487" w:rsidR="001A0EBE">
        <w:t xml:space="preserve"> </w:t>
      </w:r>
      <w:r w:rsidRPr="00FB5487" w:rsidR="00485A6F">
        <w:t xml:space="preserve">also </w:t>
      </w:r>
      <w:r w:rsidRPr="00FB5487" w:rsidR="00F71A6A">
        <w:t xml:space="preserve">decided to examine the merits of the </w:t>
      </w:r>
      <w:r w:rsidRPr="00FB5487">
        <w:t>application</w:t>
      </w:r>
      <w:r w:rsidRPr="00FB5487" w:rsidR="00F71A6A">
        <w:t xml:space="preserve"> at the same time as </w:t>
      </w:r>
      <w:r w:rsidRPr="00FB5487">
        <w:t>its</w:t>
      </w:r>
      <w:r w:rsidRPr="00FB5487" w:rsidR="00F71A6A">
        <w:t xml:space="preserve"> admissibility</w:t>
      </w:r>
      <w:r w:rsidRPr="00FB5487" w:rsidR="00485A6F">
        <w:t xml:space="preserve"> (Article 29 § 3)</w:t>
      </w:r>
      <w:r w:rsidRPr="00FB5487" w:rsidR="00F71A6A">
        <w:t>.</w:t>
      </w:r>
    </w:p>
    <w:p w:rsidRPr="00FB5487" w:rsidR="00F71A6A" w:rsidRDefault="00F71A6A">
      <w:pPr>
        <w:pStyle w:val="JuHHead"/>
      </w:pPr>
      <w:r w:rsidRPr="00FB5487">
        <w:t>THE FACTS</w:t>
      </w:r>
    </w:p>
    <w:p w:rsidRPr="00FB5487" w:rsidR="00D353F4" w:rsidP="00D353F4" w:rsidRDefault="007352DD">
      <w:pPr>
        <w:pStyle w:val="JuHIRoman"/>
      </w:pPr>
      <w:r w:rsidRPr="00FB5487">
        <w:t xml:space="preserve">I.  THE CIRCUMSTANCES OF THE </w:t>
      </w:r>
      <w:r w:rsidRPr="00FB5487" w:rsidR="00D353F4">
        <w:t>CASE</w:t>
      </w:r>
    </w:p>
    <w:p w:rsidRPr="00FB5487" w:rsidR="00F71A6A" w:rsidRDefault="00FB5487">
      <w:pPr>
        <w:pStyle w:val="JuPara"/>
      </w:pPr>
      <w:r w:rsidRPr="00FB5487">
        <w:fldChar w:fldCharType="begin"/>
      </w:r>
      <w:r w:rsidRPr="00FB5487">
        <w:instrText xml:space="preserve"> SEQ level0 \*arabic </w:instrText>
      </w:r>
      <w:r w:rsidRPr="00FB5487">
        <w:fldChar w:fldCharType="separate"/>
      </w:r>
      <w:r w:rsidR="00101DA6">
        <w:rPr>
          <w:noProof/>
        </w:rPr>
        <w:t>5</w:t>
      </w:r>
      <w:r w:rsidRPr="00FB5487">
        <w:fldChar w:fldCharType="end"/>
      </w:r>
      <w:r w:rsidRPr="00FB5487" w:rsidR="00F71A6A">
        <w:t xml:space="preserve">.  The </w:t>
      </w:r>
      <w:r w:rsidRPr="00FB5487">
        <w:t>applicant was born in 1965 and lives</w:t>
      </w:r>
      <w:r w:rsidRPr="00FB5487" w:rsidR="00F71A6A">
        <w:t xml:space="preserve"> in </w:t>
      </w:r>
      <w:r w:rsidRPr="00FB5487">
        <w:t>Grafengehaig</w:t>
      </w:r>
      <w:r w:rsidRPr="00FB5487" w:rsidR="00F71A6A">
        <w:t>.</w:t>
      </w:r>
    </w:p>
    <w:p w:rsidR="00843E19" w:rsidP="00843E19" w:rsidRDefault="00FB5487">
      <w:pPr>
        <w:pStyle w:val="JuPara"/>
      </w:pPr>
      <w:r w:rsidRPr="00FB5487">
        <w:fldChar w:fldCharType="begin"/>
      </w:r>
      <w:r w:rsidRPr="00FB5487">
        <w:instrText xml:space="preserve"> SEQ level0 \*arabic </w:instrText>
      </w:r>
      <w:r w:rsidRPr="00FB5487">
        <w:fldChar w:fldCharType="separate"/>
      </w:r>
      <w:r w:rsidR="00101DA6">
        <w:rPr>
          <w:noProof/>
        </w:rPr>
        <w:t>6</w:t>
      </w:r>
      <w:r w:rsidRPr="00FB5487">
        <w:fldChar w:fldCharType="end"/>
      </w:r>
      <w:r w:rsidRPr="00FB5487" w:rsidR="00F71A6A">
        <w:t>.  </w:t>
      </w:r>
      <w:r w:rsidR="00843E19">
        <w:t xml:space="preserve">On 26 February 2003 at 3.03 p.m. the car of which the applicant is the registered keeper was recorded </w:t>
      </w:r>
      <w:r w:rsidR="00B8427A">
        <w:t xml:space="preserve">by police officers </w:t>
      </w:r>
      <w:r w:rsidR="00737996">
        <w:t xml:space="preserve">using </w:t>
      </w:r>
      <w:r w:rsidR="00843E19">
        <w:t xml:space="preserve">a radar speed detector </w:t>
      </w:r>
      <w:r w:rsidR="00737996">
        <w:t xml:space="preserve">travelling </w:t>
      </w:r>
      <w:r w:rsidR="00F939C8">
        <w:t>at a speed of 181 k.p.h.</w:t>
      </w:r>
      <w:r w:rsidR="00737996">
        <w:t>,</w:t>
      </w:r>
      <w:r w:rsidR="00F939C8">
        <w:t xml:space="preserve"> thus</w:t>
      </w:r>
      <w:r w:rsidR="00843E19">
        <w:t xml:space="preserve"> exceeding the speed limit </w:t>
      </w:r>
      <w:r w:rsidR="00C71AF7">
        <w:t xml:space="preserve">of </w:t>
      </w:r>
      <w:r w:rsidR="00F939C8">
        <w:t xml:space="preserve">130 </w:t>
      </w:r>
      <w:r w:rsidR="00843E19">
        <w:t>k.p.h.</w:t>
      </w:r>
    </w:p>
    <w:p w:rsidR="00843E19" w:rsidP="00843E19" w:rsidRDefault="00843E19">
      <w:pPr>
        <w:pStyle w:val="JuPara"/>
      </w:pPr>
      <w:r>
        <w:fldChar w:fldCharType="begin"/>
      </w:r>
      <w:r>
        <w:instrText xml:space="preserve"> SEQ level0 \*arabic </w:instrText>
      </w:r>
      <w:r>
        <w:fldChar w:fldCharType="separate"/>
      </w:r>
      <w:r w:rsidR="00101DA6">
        <w:rPr>
          <w:noProof/>
        </w:rPr>
        <w:t>7</w:t>
      </w:r>
      <w:r>
        <w:fldChar w:fldCharType="end"/>
      </w:r>
      <w:r w:rsidR="00BB42C3">
        <w:t>.  </w:t>
      </w:r>
      <w:r>
        <w:t>On 26 March 2003 the Graz-Umgebung District Authority (</w:t>
      </w:r>
      <w:r w:rsidRPr="00BB76FC">
        <w:rPr>
          <w:i/>
        </w:rPr>
        <w:t>Bezirkshauptmannschaft</w:t>
      </w:r>
      <w:r>
        <w:t>) ordered the applicant to disclose within two weeks the full name and address of the person who had been driving his car at the material time. The order referred to section 103(2) of the Motor Vehicles Act (</w:t>
      </w:r>
      <w:r w:rsidRPr="009F57B5">
        <w:rPr>
          <w:i/>
        </w:rPr>
        <w:t>Kraftfahrzeuggesetz</w:t>
      </w:r>
      <w:r>
        <w:t>) as its legal basis. The applicant did not reply.</w:t>
      </w:r>
    </w:p>
    <w:p w:rsidR="00843E19" w:rsidP="00843E19" w:rsidRDefault="00843E19">
      <w:pPr>
        <w:pStyle w:val="JuPara"/>
      </w:pPr>
      <w:r>
        <w:fldChar w:fldCharType="begin"/>
      </w:r>
      <w:r>
        <w:instrText xml:space="preserve"> SEQ level0 \*arabic </w:instrText>
      </w:r>
      <w:r>
        <w:fldChar w:fldCharType="separate"/>
      </w:r>
      <w:r w:rsidR="00101DA6">
        <w:rPr>
          <w:noProof/>
        </w:rPr>
        <w:t>8</w:t>
      </w:r>
      <w:r>
        <w:fldChar w:fldCharType="end"/>
      </w:r>
      <w:r>
        <w:t>.  On 14 April 2003 the Graz-Umgebung District Authority issued a provisional penal order (</w:t>
      </w:r>
      <w:r w:rsidRPr="00BB76FC">
        <w:rPr>
          <w:i/>
        </w:rPr>
        <w:t>Strafverfügung</w:t>
      </w:r>
      <w:r>
        <w:t>). Relying on sections 20(2) and 99(3)(a) of the Road Traffic Act, it sentenced the</w:t>
      </w:r>
      <w:r w:rsidR="00276DC0">
        <w:t xml:space="preserve"> applicant to pay a fine of 181 </w:t>
      </w:r>
      <w:r>
        <w:t>euros (EUR) with three days</w:t>
      </w:r>
      <w:r w:rsidR="009D6A61">
        <w:t>'</w:t>
      </w:r>
      <w:r>
        <w:t xml:space="preserve"> imprisonment in default for speeding. </w:t>
      </w:r>
      <w:r w:rsidR="0031189F">
        <w:t>In addition</w:t>
      </w:r>
      <w:r>
        <w:t>, relying on sections 103(2) and 134(1) of the Motor Vehicles Act, it sentenced the applicant to pay a fine of EUR 181 with three days</w:t>
      </w:r>
      <w:r w:rsidR="009D6A61">
        <w:t>'</w:t>
      </w:r>
      <w:r>
        <w:t xml:space="preserve"> imprisonment in default for failure to comply with the order of 26 March 2003 to disclose the driver</w:t>
      </w:r>
      <w:r w:rsidR="009D6A61">
        <w:t>'</w:t>
      </w:r>
      <w:r w:rsidR="0031189F">
        <w:t>s identity</w:t>
      </w:r>
      <w:r>
        <w:t>.</w:t>
      </w:r>
    </w:p>
    <w:p w:rsidR="00843E19" w:rsidP="00843E19" w:rsidRDefault="00843E19">
      <w:pPr>
        <w:pStyle w:val="JuPara"/>
      </w:pPr>
      <w:r>
        <w:fldChar w:fldCharType="begin"/>
      </w:r>
      <w:r>
        <w:instrText xml:space="preserve"> SEQ level0 \*arabic </w:instrText>
      </w:r>
      <w:r>
        <w:fldChar w:fldCharType="separate"/>
      </w:r>
      <w:r w:rsidR="00101DA6">
        <w:rPr>
          <w:noProof/>
        </w:rPr>
        <w:t>9</w:t>
      </w:r>
      <w:r>
        <w:fldChar w:fldCharType="end"/>
      </w:r>
      <w:r>
        <w:t xml:space="preserve">.  The applicant </w:t>
      </w:r>
      <w:r w:rsidR="00737996">
        <w:t xml:space="preserve">lodged </w:t>
      </w:r>
      <w:r>
        <w:t>an objection against this decision. On 19 May 2003 he filed submissions stating that he had not been driving his car but that he refused to disclose the driver</w:t>
      </w:r>
      <w:r w:rsidR="009D6A61">
        <w:t>'</w:t>
      </w:r>
      <w:r w:rsidR="009F1E44">
        <w:t>s identity</w:t>
      </w:r>
      <w:r>
        <w:t xml:space="preserve"> as he considered this obligation to be at variance with Article 6 of the Convention.</w:t>
      </w:r>
    </w:p>
    <w:p w:rsidR="00843E19" w:rsidP="00843E19" w:rsidRDefault="00843E19">
      <w:pPr>
        <w:pStyle w:val="JuPara"/>
      </w:pPr>
      <w:r>
        <w:fldChar w:fldCharType="begin"/>
      </w:r>
      <w:r>
        <w:instrText xml:space="preserve"> SEQ level0 \*arabic </w:instrText>
      </w:r>
      <w:r>
        <w:fldChar w:fldCharType="separate"/>
      </w:r>
      <w:r w:rsidR="00101DA6">
        <w:rPr>
          <w:noProof/>
        </w:rPr>
        <w:t>10</w:t>
      </w:r>
      <w:r>
        <w:fldChar w:fldCharType="end"/>
      </w:r>
      <w:r>
        <w:t xml:space="preserve">.  Subsequently, </w:t>
      </w:r>
      <w:r w:rsidR="00D705BF">
        <w:t xml:space="preserve">the Graz-Umgebung District Authority heard </w:t>
      </w:r>
      <w:r w:rsidR="009F1E44">
        <w:t xml:space="preserve">evidence from </w:t>
      </w:r>
      <w:r w:rsidR="00D705BF">
        <w:t>the police of</w:t>
      </w:r>
      <w:r w:rsidR="00AA0CE2">
        <w:t>ficer</w:t>
      </w:r>
      <w:r w:rsidR="00D705BF">
        <w:t xml:space="preserve"> who </w:t>
      </w:r>
      <w:r w:rsidR="00AA0CE2">
        <w:t>had initiated the proceedings for speeding. O</w:t>
      </w:r>
      <w:r>
        <w:t>n 15 July 2003 the statement of the police officer, who had confirmed that the radar detector</w:t>
      </w:r>
      <w:r w:rsidR="009F1E44">
        <w:t>,</w:t>
      </w:r>
      <w:r>
        <w:t xml:space="preserve"> </w:t>
      </w:r>
      <w:r w:rsidR="00AA0CE2">
        <w:t xml:space="preserve">which </w:t>
      </w:r>
      <w:r>
        <w:t xml:space="preserve">had </w:t>
      </w:r>
      <w:r w:rsidR="00AA0CE2">
        <w:t>been duly calibrated</w:t>
      </w:r>
      <w:r w:rsidR="009F1E44">
        <w:t>,</w:t>
      </w:r>
      <w:r w:rsidR="00AA0CE2">
        <w:t xml:space="preserve"> had </w:t>
      </w:r>
      <w:r>
        <w:t xml:space="preserve">measured a speed of 181 k.p.h. and that he had recorded the number of the car, was communicated to the applicant and he was requested to submit his defence in respect of </w:t>
      </w:r>
      <w:r w:rsidR="009F1E44">
        <w:t xml:space="preserve">the </w:t>
      </w:r>
      <w:r>
        <w:t>speeding</w:t>
      </w:r>
      <w:r w:rsidR="009F1E44">
        <w:t xml:space="preserve"> offence</w:t>
      </w:r>
      <w:r>
        <w:t>. At the same time he was informed that the proceedings for failure to disclose the</w:t>
      </w:r>
      <w:r w:rsidR="009F1E44">
        <w:t xml:space="preserve"> identity of the</w:t>
      </w:r>
      <w:r>
        <w:t xml:space="preserve"> driver had been discontinued.</w:t>
      </w:r>
    </w:p>
    <w:p w:rsidR="00843E19" w:rsidP="00843E19" w:rsidRDefault="00843E19">
      <w:pPr>
        <w:pStyle w:val="JuPara"/>
      </w:pPr>
      <w:r>
        <w:fldChar w:fldCharType="begin"/>
      </w:r>
      <w:r>
        <w:instrText xml:space="preserve"> SEQ level0 \*arabic </w:instrText>
      </w:r>
      <w:r>
        <w:fldChar w:fldCharType="separate"/>
      </w:r>
      <w:r w:rsidR="00101DA6">
        <w:rPr>
          <w:noProof/>
        </w:rPr>
        <w:t>11</w:t>
      </w:r>
      <w:r>
        <w:fldChar w:fldCharType="end"/>
      </w:r>
      <w:r>
        <w:t>.  By letter of 31 July 2003 the applicant, represented by counsel, maintained his defence.</w:t>
      </w:r>
    </w:p>
    <w:p w:rsidR="00843E19" w:rsidP="00843E19" w:rsidRDefault="00843E19">
      <w:pPr>
        <w:pStyle w:val="JuPara"/>
      </w:pPr>
      <w:r>
        <w:fldChar w:fldCharType="begin"/>
      </w:r>
      <w:r>
        <w:instrText xml:space="preserve"> SEQ level0 \*arabic </w:instrText>
      </w:r>
      <w:r>
        <w:fldChar w:fldCharType="separate"/>
      </w:r>
      <w:r w:rsidR="00101DA6">
        <w:rPr>
          <w:noProof/>
        </w:rPr>
        <w:t>12</w:t>
      </w:r>
      <w:r>
        <w:fldChar w:fldCharType="end"/>
      </w:r>
      <w:r>
        <w:t>.  On 15 October 2003 the Graz-Umgebung District Authority dismissed the applicant</w:t>
      </w:r>
      <w:r w:rsidR="009D6A61">
        <w:t>'</w:t>
      </w:r>
      <w:r>
        <w:t>s objection and issued a penal order (</w:t>
      </w:r>
      <w:r w:rsidRPr="009F57B5">
        <w:rPr>
          <w:i/>
        </w:rPr>
        <w:t>Strafverfügung</w:t>
      </w:r>
      <w:r>
        <w:t>) in which it convicted him of speeding and imposed a fine of EUR 180 with three days</w:t>
      </w:r>
      <w:r w:rsidR="009D6A61">
        <w:t>'</w:t>
      </w:r>
      <w:r>
        <w:t xml:space="preserve"> imprisonment in default. It also ordered him to pay procedural costs</w:t>
      </w:r>
      <w:r w:rsidR="00D705BF">
        <w:t xml:space="preserve"> in the amount of EUR 18</w:t>
      </w:r>
      <w:r>
        <w:t>.</w:t>
      </w:r>
    </w:p>
    <w:p w:rsidR="00843E19" w:rsidP="00843E19" w:rsidRDefault="00843E19">
      <w:pPr>
        <w:pStyle w:val="JuPara"/>
      </w:pPr>
      <w:r>
        <w:fldChar w:fldCharType="begin"/>
      </w:r>
      <w:r>
        <w:instrText xml:space="preserve"> SEQ level0 \*arabic </w:instrText>
      </w:r>
      <w:r>
        <w:fldChar w:fldCharType="separate"/>
      </w:r>
      <w:r w:rsidR="00101DA6">
        <w:rPr>
          <w:noProof/>
        </w:rPr>
        <w:t>13</w:t>
      </w:r>
      <w:r>
        <w:fldChar w:fldCharType="end"/>
      </w:r>
      <w:r>
        <w:t>.  The authority noted that the applicant had refused to disclose who had driven his car</w:t>
      </w:r>
      <w:r w:rsidR="00D705BF">
        <w:t xml:space="preserve"> on 26 February 2003 when it had been</w:t>
      </w:r>
      <w:r>
        <w:t xml:space="preserve"> recorded exceeding the speed limit. The authority therefore </w:t>
      </w:r>
      <w:r w:rsidR="00AA0CE2">
        <w:t xml:space="preserve">concluded </w:t>
      </w:r>
      <w:r>
        <w:t xml:space="preserve">that he had himself been the driver. It observed that this presumption was based on </w:t>
      </w:r>
      <w:r w:rsidR="009F1E44">
        <w:t xml:space="preserve">the </w:t>
      </w:r>
      <w:r>
        <w:t xml:space="preserve">case-law of the </w:t>
      </w:r>
      <w:smartTag w:uri="urn:schemas-microsoft-com:office:smarttags" w:element="Street">
        <w:smartTag w:uri="urn:schemas-microsoft-com:office:smarttags" w:element="address">
          <w:r>
            <w:t>Administrative Court</w:t>
          </w:r>
        </w:smartTag>
      </w:smartTag>
      <w:r w:rsidR="009F1E44">
        <w:t>,</w:t>
      </w:r>
      <w:r>
        <w:t xml:space="preserve"> which had considered that in a case in which the registered keeper of a car did not disclose the driver</w:t>
      </w:r>
      <w:r w:rsidR="009D6A61">
        <w:t>'</w:t>
      </w:r>
      <w:r w:rsidR="009F1E44">
        <w:t>s identity</w:t>
      </w:r>
      <w:r>
        <w:t xml:space="preserve"> and did not submit any exculpating evidence in his defence, the authority could reasonably conclude that </w:t>
      </w:r>
      <w:r w:rsidR="0031189F">
        <w:t>the keeper</w:t>
      </w:r>
      <w:r>
        <w:t xml:space="preserve"> himself</w:t>
      </w:r>
      <w:r w:rsidR="0031189F">
        <w:t xml:space="preserve"> had</w:t>
      </w:r>
      <w:r>
        <w:t xml:space="preserve"> been the driver.</w:t>
      </w:r>
    </w:p>
    <w:p w:rsidR="00843E19" w:rsidP="00843E19" w:rsidRDefault="00843E19">
      <w:pPr>
        <w:pStyle w:val="JuPara"/>
        <w:rPr>
          <w:lang w:eastAsia="en-US"/>
        </w:rPr>
      </w:pPr>
      <w:r>
        <w:fldChar w:fldCharType="begin"/>
      </w:r>
      <w:r>
        <w:instrText xml:space="preserve"> SEQ level0 \*arabic </w:instrText>
      </w:r>
      <w:r>
        <w:fldChar w:fldCharType="separate"/>
      </w:r>
      <w:r w:rsidR="00101DA6">
        <w:rPr>
          <w:noProof/>
        </w:rPr>
        <w:t>14</w:t>
      </w:r>
      <w:r>
        <w:fldChar w:fldCharType="end"/>
      </w:r>
      <w:r>
        <w:t>.  The appl</w:t>
      </w:r>
      <w:r w:rsidR="00D705BF">
        <w:t>icant appealed to the Styria</w:t>
      </w:r>
      <w:r>
        <w:t xml:space="preserve"> Independent Administrative Panel (</w:t>
      </w:r>
      <w:r w:rsidRPr="001C19EE">
        <w:rPr>
          <w:i/>
        </w:rPr>
        <w:t>Unabhängiger Verwaltungssenat</w:t>
      </w:r>
      <w:r>
        <w:t>). He maintained that the obligation to disclose the</w:t>
      </w:r>
      <w:r w:rsidR="009F1E44">
        <w:t xml:space="preserve"> identity of the</w:t>
      </w:r>
      <w:r>
        <w:t xml:space="preserve"> driver pursuant to section 103(2) was incompatible with Article 6 of the Convention</w:t>
      </w:r>
      <w:r w:rsidR="009F1E44">
        <w:t>,</w:t>
      </w:r>
      <w:r>
        <w:t xml:space="preserve"> as was the drawing of inferences from the mere fact that he had refused to disclose the driver</w:t>
      </w:r>
      <w:r w:rsidR="009D6A61">
        <w:t>'</w:t>
      </w:r>
      <w:r w:rsidR="009F1E44">
        <w:t>s identity</w:t>
      </w:r>
      <w:r>
        <w:t xml:space="preserve">. In this connection the applicant referred to </w:t>
      </w:r>
      <w:r w:rsidRPr="00CD5906">
        <w:rPr>
          <w:i/>
          <w:lang w:eastAsia="en-US"/>
        </w:rPr>
        <w:t>John Murray v. the United Kingdom</w:t>
      </w:r>
      <w:r>
        <w:rPr>
          <w:lang w:eastAsia="en-US"/>
        </w:rPr>
        <w:t xml:space="preserve"> (8</w:t>
      </w:r>
      <w:r w:rsidR="00BB42C3">
        <w:rPr>
          <w:lang w:eastAsia="en-US"/>
        </w:rPr>
        <w:t xml:space="preserve"> </w:t>
      </w:r>
      <w:r w:rsidRPr="00CD5906">
        <w:rPr>
          <w:lang w:eastAsia="en-US"/>
        </w:rPr>
        <w:t xml:space="preserve">February 1996, </w:t>
      </w:r>
      <w:r w:rsidRPr="00CD5906">
        <w:rPr>
          <w:i/>
          <w:lang w:eastAsia="en-US"/>
        </w:rPr>
        <w:t>Reports of Judgments and Decisions</w:t>
      </w:r>
      <w:r w:rsidRPr="00CD5906">
        <w:rPr>
          <w:lang w:eastAsia="en-US"/>
        </w:rPr>
        <w:t xml:space="preserve"> 1996</w:t>
      </w:r>
      <w:r w:rsidRPr="00CD5906">
        <w:rPr>
          <w:lang w:eastAsia="en-US"/>
        </w:rPr>
        <w:noBreakHyphen/>
        <w:t>I</w:t>
      </w:r>
      <w:r>
        <w:rPr>
          <w:lang w:eastAsia="en-US"/>
        </w:rPr>
        <w:t>). In addition</w:t>
      </w:r>
      <w:r w:rsidR="003B04E1">
        <w:rPr>
          <w:lang w:eastAsia="en-US"/>
        </w:rPr>
        <w:t>,</w:t>
      </w:r>
      <w:r>
        <w:rPr>
          <w:lang w:eastAsia="en-US"/>
        </w:rPr>
        <w:t xml:space="preserve"> he </w:t>
      </w:r>
      <w:r w:rsidR="003B04E1">
        <w:rPr>
          <w:lang w:eastAsia="en-US"/>
        </w:rPr>
        <w:t xml:space="preserve">reiterated </w:t>
      </w:r>
      <w:r>
        <w:rPr>
          <w:lang w:eastAsia="en-US"/>
        </w:rPr>
        <w:t>that he had not been driving his car on 26</w:t>
      </w:r>
      <w:r w:rsidR="00535D99">
        <w:rPr>
          <w:lang w:eastAsia="en-US"/>
        </w:rPr>
        <w:t> </w:t>
      </w:r>
      <w:r>
        <w:rPr>
          <w:lang w:eastAsia="en-US"/>
        </w:rPr>
        <w:t xml:space="preserve">February 2003 and had not even been in </w:t>
      </w:r>
      <w:smartTag w:uri="urn:schemas-microsoft-com:office:smarttags" w:element="place">
        <w:smartTag w:uri="urn:schemas-microsoft-com:office:smarttags" w:element="country-region">
          <w:r>
            <w:rPr>
              <w:lang w:eastAsia="en-US"/>
            </w:rPr>
            <w:t>Austria</w:t>
          </w:r>
        </w:smartTag>
      </w:smartTag>
      <w:r>
        <w:rPr>
          <w:lang w:eastAsia="en-US"/>
        </w:rPr>
        <w:t xml:space="preserve"> at the relevant time. </w:t>
      </w:r>
      <w:r w:rsidR="0031189F">
        <w:rPr>
          <w:lang w:eastAsia="en-US"/>
        </w:rPr>
        <w:t>H</w:t>
      </w:r>
      <w:r>
        <w:rPr>
          <w:lang w:eastAsia="en-US"/>
        </w:rPr>
        <w:t xml:space="preserve">e </w:t>
      </w:r>
      <w:r w:rsidR="0031189F">
        <w:rPr>
          <w:lang w:eastAsia="en-US"/>
        </w:rPr>
        <w:t xml:space="preserve">further </w:t>
      </w:r>
      <w:r>
        <w:rPr>
          <w:lang w:eastAsia="en-US"/>
        </w:rPr>
        <w:t xml:space="preserve">asserted that his car had been used </w:t>
      </w:r>
      <w:r w:rsidR="0031189F">
        <w:rPr>
          <w:lang w:eastAsia="en-US"/>
        </w:rPr>
        <w:t xml:space="preserve">regularly </w:t>
      </w:r>
      <w:r>
        <w:rPr>
          <w:lang w:eastAsia="en-US"/>
        </w:rPr>
        <w:t xml:space="preserve">by a number of persons but that he had not kept any records and </w:t>
      </w:r>
      <w:r w:rsidR="009F1E44">
        <w:rPr>
          <w:lang w:eastAsia="en-US"/>
        </w:rPr>
        <w:t xml:space="preserve">was </w:t>
      </w:r>
      <w:r>
        <w:rPr>
          <w:lang w:eastAsia="en-US"/>
        </w:rPr>
        <w:t>therefore not in a position to provide the required information.</w:t>
      </w:r>
    </w:p>
    <w:p w:rsidR="00843E19" w:rsidP="00843E19" w:rsidRDefault="00843E19">
      <w:pPr>
        <w:pStyle w:val="JuPara"/>
      </w:pPr>
      <w:r>
        <w:fldChar w:fldCharType="begin"/>
      </w:r>
      <w:r>
        <w:instrText xml:space="preserve"> SEQ level0 \*arabic </w:instrText>
      </w:r>
      <w:r>
        <w:fldChar w:fldCharType="separate"/>
      </w:r>
      <w:r w:rsidR="00101DA6">
        <w:rPr>
          <w:noProof/>
        </w:rPr>
        <w:t>15</w:t>
      </w:r>
      <w:r>
        <w:fldChar w:fldCharType="end"/>
      </w:r>
      <w:r>
        <w:t>.  On</w:t>
      </w:r>
      <w:r w:rsidR="00D705BF">
        <w:t xml:space="preserve"> 18 November 2003 the Styria</w:t>
      </w:r>
      <w:r>
        <w:t xml:space="preserve"> Independent Administrative Panel dismissed the appeal. It dispensed with a </w:t>
      </w:r>
      <w:r w:rsidR="00BB42C3">
        <w:t xml:space="preserve">hearing </w:t>
      </w:r>
      <w:r w:rsidR="0031189F">
        <w:t>by virtue of</w:t>
      </w:r>
      <w:r w:rsidR="00BB42C3">
        <w:t xml:space="preserve"> section 51e</w:t>
      </w:r>
      <w:r>
        <w:t xml:space="preserve">(3) of </w:t>
      </w:r>
      <w:r w:rsidR="00AA0CE2">
        <w:t>the Administrative Offences Act (</w:t>
      </w:r>
      <w:r w:rsidRPr="00AA0CE2" w:rsidR="00AA0CE2">
        <w:rPr>
          <w:i/>
        </w:rPr>
        <w:t>Verwaltungsstrafgesetz</w:t>
      </w:r>
      <w:r w:rsidR="00AA0CE2">
        <w:t>).</w:t>
      </w:r>
    </w:p>
    <w:p w:rsidR="000307A3" w:rsidP="00843E19" w:rsidRDefault="00843E19">
      <w:pPr>
        <w:pStyle w:val="JuPara"/>
      </w:pPr>
      <w:r>
        <w:fldChar w:fldCharType="begin"/>
      </w:r>
      <w:r>
        <w:instrText xml:space="preserve"> SEQ level0 \*arabic </w:instrText>
      </w:r>
      <w:r>
        <w:fldChar w:fldCharType="separate"/>
      </w:r>
      <w:r w:rsidR="00101DA6">
        <w:rPr>
          <w:noProof/>
        </w:rPr>
        <w:t>16</w:t>
      </w:r>
      <w:r>
        <w:fldChar w:fldCharType="end"/>
      </w:r>
      <w:r>
        <w:t>.  The I</w:t>
      </w:r>
      <w:r w:rsidR="000307A3">
        <w:t>ndependent Administrative Panel</w:t>
      </w:r>
      <w:r w:rsidR="009D6A61">
        <w:t>'</w:t>
      </w:r>
      <w:r w:rsidR="000307A3">
        <w:t>s reasoning reads as follows:</w:t>
      </w:r>
    </w:p>
    <w:p w:rsidR="00941A36" w:rsidP="000307A3" w:rsidRDefault="00941A36">
      <w:pPr>
        <w:pStyle w:val="JuQuot"/>
      </w:pPr>
      <w:r>
        <w:t xml:space="preserve">“In accordance with the </w:t>
      </w:r>
      <w:r w:rsidR="00CC3ADC">
        <w:t xml:space="preserve">principle of </w:t>
      </w:r>
      <w:r w:rsidR="003C04F6">
        <w:t>establishment of the facts of the authorities</w:t>
      </w:r>
      <w:r w:rsidR="009D6A61">
        <w:t>'</w:t>
      </w:r>
      <w:r w:rsidR="003C04F6">
        <w:t xml:space="preserve"> own motion </w:t>
      </w:r>
      <w:r w:rsidR="001D3129">
        <w:t>for the purposes of section 37 of the General Administrative Procedure Act (AVG),</w:t>
      </w:r>
      <w:r w:rsidR="00A02C27">
        <w:t xml:space="preserve"> </w:t>
      </w:r>
      <w:r w:rsidR="00CC3ADC">
        <w:t xml:space="preserve">the material truth </w:t>
      </w:r>
      <w:r w:rsidR="003550DC">
        <w:t xml:space="preserve">must be ascertained; in this regard </w:t>
      </w:r>
      <w:r w:rsidR="00A02C27">
        <w:t xml:space="preserve">the </w:t>
      </w:r>
      <w:r w:rsidR="00697E56">
        <w:t xml:space="preserve">authorities are not </w:t>
      </w:r>
      <w:r w:rsidR="003550DC">
        <w:t xml:space="preserve">bound by </w:t>
      </w:r>
      <w:r w:rsidR="00697E56">
        <w:t xml:space="preserve">the facts submitted by the parties, but must establish the true facts by taking the necessary evidence. </w:t>
      </w:r>
      <w:r w:rsidR="00281DD4">
        <w:t xml:space="preserve">Under section 45(2) of the AVG the authorities must assess freely, giving careful consideration to the results of the investigation, whether or not a given fact is to be </w:t>
      </w:r>
      <w:r w:rsidR="003550DC">
        <w:t>accepted as proven</w:t>
      </w:r>
      <w:r w:rsidR="00281DD4">
        <w:t xml:space="preserve">. On the basis of the </w:t>
      </w:r>
      <w:r w:rsidR="003550DC">
        <w:t xml:space="preserve">principle </w:t>
      </w:r>
      <w:r w:rsidR="00281DD4">
        <w:t>that the court controls the conduct of the proceedings</w:t>
      </w:r>
      <w:r w:rsidR="003B5EA3">
        <w:t>, articulated in</w:t>
      </w:r>
      <w:r w:rsidR="00281DD4">
        <w:t xml:space="preserve"> section 39 of the AVG</w:t>
      </w:r>
      <w:r w:rsidR="003B5EA3">
        <w:t>,</w:t>
      </w:r>
      <w:r w:rsidR="00281DD4">
        <w:t xml:space="preserve"> the </w:t>
      </w:r>
      <w:r w:rsidR="005D277E">
        <w:t xml:space="preserve">obligation to establish </w:t>
      </w:r>
      <w:r w:rsidR="00281DD4">
        <w:t xml:space="preserve">the facts </w:t>
      </w:r>
      <w:r w:rsidR="005D277E">
        <w:t xml:space="preserve">lies with </w:t>
      </w:r>
      <w:r w:rsidR="00281DD4">
        <w:t xml:space="preserve">the authorities; this does not, however, dispense the party from the obligation to contribute </w:t>
      </w:r>
      <w:r w:rsidR="0066135E">
        <w:t xml:space="preserve">to the establishment of the </w:t>
      </w:r>
      <w:r w:rsidR="00887E35">
        <w:t xml:space="preserve">relevant </w:t>
      </w:r>
      <w:r w:rsidR="0066135E">
        <w:t xml:space="preserve">facts. The obligation on the accused in criminal proceedings to cooperate means that </w:t>
      </w:r>
      <w:r w:rsidR="005D277E">
        <w:t xml:space="preserve">he is not merely responsible for </w:t>
      </w:r>
      <w:r w:rsidR="00112077">
        <w:t>con</w:t>
      </w:r>
      <w:smartTag w:uri="urn:schemas-microsoft-com:office:smarttags" w:element="PersonName">
        <w:r w:rsidR="00112077">
          <w:t>test</w:t>
        </w:r>
      </w:smartTag>
      <w:r w:rsidR="00112077">
        <w:t>ing the specific evidence against him</w:t>
      </w:r>
      <w:r w:rsidR="005D277E">
        <w:t>,</w:t>
      </w:r>
      <w:r w:rsidR="00647B59">
        <w:t xml:space="preserve"> without submitting equally specific statements </w:t>
      </w:r>
      <w:r w:rsidR="005D277E">
        <w:t xml:space="preserve">in reply </w:t>
      </w:r>
      <w:r w:rsidR="00647B59">
        <w:t xml:space="preserve">and adducing </w:t>
      </w:r>
      <w:r w:rsidR="005D277E">
        <w:t xml:space="preserve">the </w:t>
      </w:r>
      <w:r w:rsidR="00647B59">
        <w:t xml:space="preserve">relevant evidence </w:t>
      </w:r>
      <w:r w:rsidR="00381810">
        <w:t>...</w:t>
      </w:r>
      <w:r w:rsidR="00647B59">
        <w:t xml:space="preserve"> Nor can the appellant in the present case be released from this obligation by relying on Article 6 of the European Convention on Human Rights. On the contrary, the fact of refusing </w:t>
      </w:r>
      <w:r w:rsidR="003550DC">
        <w:t xml:space="preserve">to </w:t>
      </w:r>
      <w:r w:rsidR="00647B59">
        <w:t xml:space="preserve">name the driver of the vehicle amounts to an infringement of the </w:t>
      </w:r>
      <w:r w:rsidR="005D277E">
        <w:t xml:space="preserve">obligation </w:t>
      </w:r>
      <w:r w:rsidR="00647B59">
        <w:t xml:space="preserve">to cooperate as set </w:t>
      </w:r>
      <w:r w:rsidR="005D277E">
        <w:t xml:space="preserve">forth </w:t>
      </w:r>
      <w:r w:rsidR="00647B59">
        <w:t xml:space="preserve">above. </w:t>
      </w:r>
      <w:r w:rsidR="003E6CFF">
        <w:t xml:space="preserve">Hence, merely asserting that </w:t>
      </w:r>
      <w:r w:rsidR="00647B59">
        <w:t xml:space="preserve">he was not driving the vehicle registered in his name at </w:t>
      </w:r>
      <w:r w:rsidR="003E6CFF">
        <w:t xml:space="preserve">the scene of the offence and at </w:t>
      </w:r>
      <w:r w:rsidR="00647B59">
        <w:t xml:space="preserve">the material time </w:t>
      </w:r>
      <w:r w:rsidR="003E6CFF">
        <w:t xml:space="preserve">runs counter to </w:t>
      </w:r>
      <w:r w:rsidR="00647B59">
        <w:t>the appellant</w:t>
      </w:r>
      <w:r w:rsidR="009D6A61">
        <w:t>'</w:t>
      </w:r>
      <w:r w:rsidR="00647B59">
        <w:t>s obligation to contribute to the establishment of the relevant facts.</w:t>
      </w:r>
    </w:p>
    <w:p w:rsidR="00647B59" w:rsidP="000307A3" w:rsidRDefault="00647B59">
      <w:pPr>
        <w:pStyle w:val="JuQuot"/>
      </w:pPr>
      <w:r>
        <w:t xml:space="preserve">In accordance with section 45(2) of the AVG the authorities therefore presume that the appellant himself was the driver. His </w:t>
      </w:r>
      <w:r w:rsidR="003E6CFF">
        <w:t xml:space="preserve">statements </w:t>
      </w:r>
      <w:r>
        <w:t xml:space="preserve">are to be regarded as an attempt to justify his conduct. </w:t>
      </w:r>
      <w:r w:rsidR="00E46D63">
        <w:t xml:space="preserve">It has not been established during the proceedings, nor has the applicant seriously asserted in substance, that he </w:t>
      </w:r>
      <w:r w:rsidR="00F72D2D">
        <w:t>could not have contributed to the establishment of the facts</w:t>
      </w:r>
      <w:r w:rsidR="00D2603E">
        <w:t xml:space="preserve"> without incriminating himself</w:t>
      </w:r>
      <w:r w:rsidR="00E46D63">
        <w:t xml:space="preserve"> and could not</w:t>
      </w:r>
      <w:r w:rsidR="00F72D2D">
        <w:t xml:space="preserve"> have been expected to do so.</w:t>
      </w:r>
    </w:p>
    <w:p w:rsidRPr="00941A36" w:rsidR="00F72D2D" w:rsidP="000307A3" w:rsidRDefault="00F72D2D">
      <w:pPr>
        <w:pStyle w:val="JuQuot"/>
      </w:pPr>
      <w:r>
        <w:t xml:space="preserve">The offence </w:t>
      </w:r>
      <w:r w:rsidR="00E56762">
        <w:t xml:space="preserve">with </w:t>
      </w:r>
      <w:r>
        <w:t xml:space="preserve">which the appellant </w:t>
      </w:r>
      <w:r w:rsidR="00D2603E">
        <w:t xml:space="preserve">was </w:t>
      </w:r>
      <w:r w:rsidR="00E56762">
        <w:t xml:space="preserve">charged </w:t>
      </w:r>
      <w:r>
        <w:t xml:space="preserve">is therefore to be regarded as subjectively and objectively proven and </w:t>
      </w:r>
      <w:r w:rsidR="00D2603E">
        <w:t xml:space="preserve">imputable </w:t>
      </w:r>
      <w:r>
        <w:t xml:space="preserve">to him. </w:t>
      </w:r>
      <w:r w:rsidR="00867AA6">
        <w:t xml:space="preserve">His </w:t>
      </w:r>
      <w:r>
        <w:t xml:space="preserve">appeal submissions concerning Article 6 of the European Convention on Human Rights are unfounded </w:t>
      </w:r>
      <w:r w:rsidR="00867AA6">
        <w:t xml:space="preserve">in relation to </w:t>
      </w:r>
      <w:r>
        <w:t xml:space="preserve">the offence </w:t>
      </w:r>
      <w:r w:rsidR="00E56762">
        <w:t xml:space="preserve">with </w:t>
      </w:r>
      <w:r>
        <w:t xml:space="preserve">which he </w:t>
      </w:r>
      <w:r w:rsidR="00D2603E">
        <w:t xml:space="preserve">was </w:t>
      </w:r>
      <w:r w:rsidR="00E56762">
        <w:t>charged</w:t>
      </w:r>
      <w:r>
        <w:t>.”</w:t>
      </w:r>
    </w:p>
    <w:p w:rsidRPr="00F42B49" w:rsidR="00F42B49" w:rsidP="00F42B49" w:rsidRDefault="00F42B49">
      <w:pPr>
        <w:pStyle w:val="JuPara"/>
      </w:pPr>
      <w:r w:rsidRPr="00F42B49">
        <w:t xml:space="preserve">Turning to the fixing of the sentence, the Independent </w:t>
      </w:r>
      <w:r w:rsidRPr="00F42B49" w:rsidR="00BB42C3">
        <w:t>Administrative</w:t>
      </w:r>
      <w:r w:rsidRPr="00F42B49">
        <w:t xml:space="preserve"> Panel noted </w:t>
      </w:r>
      <w:r>
        <w:t xml:space="preserve">that </w:t>
      </w:r>
      <w:r w:rsidR="00E56762">
        <w:t xml:space="preserve">the applicant had been charged with </w:t>
      </w:r>
      <w:r>
        <w:t>exceeding the speed</w:t>
      </w:r>
      <w:r w:rsidR="009F1E44">
        <w:t xml:space="preserve"> </w:t>
      </w:r>
      <w:r>
        <w:t>limit substantially, by 45 k.p.h. As excess</w:t>
      </w:r>
      <w:r w:rsidR="009F1E44">
        <w:t>ive</w:t>
      </w:r>
      <w:r>
        <w:t xml:space="preserve"> speed on motorways was often the reason for serious or very serious traffic accidents, the imposition of a fine of EUR 180 </w:t>
      </w:r>
      <w:r w:rsidR="00E56762">
        <w:t xml:space="preserve">had been </w:t>
      </w:r>
      <w:r>
        <w:t>appropriate.</w:t>
      </w:r>
    </w:p>
    <w:p w:rsidR="00843E19" w:rsidP="00843E19" w:rsidRDefault="00843E19">
      <w:pPr>
        <w:pStyle w:val="JuPara"/>
      </w:pPr>
      <w:r>
        <w:fldChar w:fldCharType="begin"/>
      </w:r>
      <w:r>
        <w:instrText xml:space="preserve"> SEQ level0 \*arabic </w:instrText>
      </w:r>
      <w:r>
        <w:fldChar w:fldCharType="separate"/>
      </w:r>
      <w:r w:rsidR="00101DA6">
        <w:rPr>
          <w:noProof/>
        </w:rPr>
        <w:t>17</w:t>
      </w:r>
      <w:r>
        <w:fldChar w:fldCharType="end"/>
      </w:r>
      <w:r>
        <w:t xml:space="preserve">.  The applicant lodged a complaint with the </w:t>
      </w:r>
      <w:smartTag w:uri="urn:schemas-microsoft-com:office:smarttags" w:element="Street">
        <w:smartTag w:uri="urn:schemas-microsoft-com:office:smarttags" w:element="address">
          <w:r>
            <w:t>Constitutional Court</w:t>
          </w:r>
        </w:smartTag>
      </w:smartTag>
      <w:r>
        <w:t xml:space="preserve"> (</w:t>
      </w:r>
      <w:r w:rsidRPr="003609BF">
        <w:rPr>
          <w:i/>
        </w:rPr>
        <w:t>Verfassungsgerichtshof</w:t>
      </w:r>
      <w:r>
        <w:t xml:space="preserve">). Referring to </w:t>
      </w:r>
      <w:r w:rsidRPr="003609BF">
        <w:rPr>
          <w:i/>
        </w:rPr>
        <w:t>John Murray</w:t>
      </w:r>
      <w:r>
        <w:t xml:space="preserve"> (cited above)</w:t>
      </w:r>
      <w:r w:rsidR="009F1E44">
        <w:t>,</w:t>
      </w:r>
      <w:r>
        <w:t xml:space="preserve"> he asserted that he had been convicted solely on account of the fact that he had made use of his right to remain silent. The Independent Administrative Panel had not been in possession of any evidence </w:t>
      </w:r>
      <w:r w:rsidR="00860401">
        <w:t>to</w:t>
      </w:r>
      <w:r>
        <w:t xml:space="preserve"> indicate that he was the driver. Moreover, it had disregarded his defence that he had not been in </w:t>
      </w:r>
      <w:smartTag w:uri="urn:schemas-microsoft-com:office:smarttags" w:element="place">
        <w:smartTag w:uri="urn:schemas-microsoft-com:office:smarttags" w:element="country-region">
          <w:r>
            <w:t>Austria</w:t>
          </w:r>
        </w:smartTag>
      </w:smartTag>
      <w:r>
        <w:t xml:space="preserve"> at the material time and was unable to provide the name of the driver as he had </w:t>
      </w:r>
      <w:r w:rsidR="00FE215D">
        <w:t xml:space="preserve">not kept any </w:t>
      </w:r>
      <w:r>
        <w:t>records. These procedural deficiencies were aggravated by the fact that the Independent Administrative Panel had failed to hold a hearing.</w:t>
      </w:r>
    </w:p>
    <w:p w:rsidR="00843E19" w:rsidP="00843E19" w:rsidRDefault="00843E19">
      <w:pPr>
        <w:pStyle w:val="JuPara"/>
      </w:pPr>
      <w:r>
        <w:fldChar w:fldCharType="begin"/>
      </w:r>
      <w:r>
        <w:instrText xml:space="preserve"> SEQ level0 \*arabic </w:instrText>
      </w:r>
      <w:r>
        <w:fldChar w:fldCharType="separate"/>
      </w:r>
      <w:r w:rsidR="00101DA6">
        <w:rPr>
          <w:noProof/>
        </w:rPr>
        <w:t>18</w:t>
      </w:r>
      <w:r>
        <w:fldChar w:fldCharType="end"/>
      </w:r>
      <w:r>
        <w:t xml:space="preserve">.  On 9 June 2004 the </w:t>
      </w:r>
      <w:smartTag w:uri="urn:schemas-microsoft-com:office:smarttags" w:element="Street">
        <w:smartTag w:uri="urn:schemas-microsoft-com:office:smarttags" w:element="address">
          <w:r>
            <w:t>Constitutional Court</w:t>
          </w:r>
        </w:smartTag>
      </w:smartTag>
      <w:r>
        <w:t xml:space="preserve"> </w:t>
      </w:r>
      <w:r w:rsidR="00E06E71">
        <w:t>declined to examine</w:t>
      </w:r>
      <w:r>
        <w:t xml:space="preserve"> the applicant</w:t>
      </w:r>
      <w:r w:rsidR="009D6A61">
        <w:t>'</w:t>
      </w:r>
      <w:r>
        <w:t>s complaint for lack of prospects of success.</w:t>
      </w:r>
    </w:p>
    <w:p w:rsidRPr="00E151CE" w:rsidR="00843E19" w:rsidP="00843E19" w:rsidRDefault="00843E19">
      <w:pPr>
        <w:pStyle w:val="JuPara"/>
      </w:pPr>
      <w:r>
        <w:fldChar w:fldCharType="begin"/>
      </w:r>
      <w:r>
        <w:instrText xml:space="preserve"> SEQ level0 \*arabic </w:instrText>
      </w:r>
      <w:r>
        <w:fldChar w:fldCharType="separate"/>
      </w:r>
      <w:r w:rsidR="00101DA6">
        <w:rPr>
          <w:noProof/>
        </w:rPr>
        <w:t>19</w:t>
      </w:r>
      <w:r>
        <w:fldChar w:fldCharType="end"/>
      </w:r>
      <w:r>
        <w:t xml:space="preserve">.  On 19 October 2004 the </w:t>
      </w:r>
      <w:smartTag w:uri="urn:schemas-microsoft-com:office:smarttags" w:element="Street">
        <w:smartTag w:uri="urn:schemas-microsoft-com:office:smarttags" w:element="address">
          <w:r>
            <w:t>Administrative Court</w:t>
          </w:r>
        </w:smartTag>
      </w:smartTag>
      <w:r>
        <w:t xml:space="preserve"> </w:t>
      </w:r>
      <w:r w:rsidR="00E06E71">
        <w:t>declined to examine</w:t>
      </w:r>
      <w:r>
        <w:t xml:space="preserve"> the applicant</w:t>
      </w:r>
      <w:r w:rsidR="009D6A61">
        <w:t>'</w:t>
      </w:r>
      <w:r>
        <w:t xml:space="preserve">s complaint </w:t>
      </w:r>
      <w:r w:rsidR="00E06E71">
        <w:t>by virtue of</w:t>
      </w:r>
      <w:r>
        <w:t xml:space="preserve"> section 33a of the Administrative Court Act</w:t>
      </w:r>
      <w:r w:rsidR="00E06E71">
        <w:t>,</w:t>
      </w:r>
      <w:r>
        <w:t xml:space="preserve"> since the amount of the penalty did not exceed EUR 750 and no important legal </w:t>
      </w:r>
      <w:r w:rsidR="00E06E71">
        <w:t xml:space="preserve">issue </w:t>
      </w:r>
      <w:r>
        <w:t>was at stake.</w:t>
      </w:r>
    </w:p>
    <w:p w:rsidRPr="00FB5487" w:rsidR="007352DD" w:rsidP="007352DD" w:rsidRDefault="007352DD">
      <w:pPr>
        <w:pStyle w:val="JuHIRoman"/>
      </w:pPr>
      <w:r w:rsidRPr="00FB5487">
        <w:t>II.  RELE</w:t>
      </w:r>
      <w:r w:rsidR="00843E19">
        <w:t>VANT DOMESTIC LAW AND PRACTICE</w:t>
      </w:r>
    </w:p>
    <w:p w:rsidR="00932FA5" w:rsidP="007352DD" w:rsidRDefault="00FB5487">
      <w:pPr>
        <w:pStyle w:val="JuPara"/>
      </w:pPr>
      <w:r w:rsidRPr="00FB5487">
        <w:fldChar w:fldCharType="begin"/>
      </w:r>
      <w:r w:rsidRPr="00FB5487">
        <w:instrText xml:space="preserve"> SEQ level0 \*arabic </w:instrText>
      </w:r>
      <w:r w:rsidRPr="00FB5487">
        <w:fldChar w:fldCharType="separate"/>
      </w:r>
      <w:r w:rsidR="00101DA6">
        <w:rPr>
          <w:noProof/>
        </w:rPr>
        <w:t>20</w:t>
      </w:r>
      <w:r w:rsidRPr="00FB5487">
        <w:fldChar w:fldCharType="end"/>
      </w:r>
      <w:r w:rsidRPr="00FB5487" w:rsidR="007352DD">
        <w:t>.  </w:t>
      </w:r>
      <w:r w:rsidR="00932FA5">
        <w:t>Section 51e of the Administrative Offences Act (</w:t>
      </w:r>
      <w:r w:rsidRPr="00932FA5" w:rsidR="00932FA5">
        <w:rPr>
          <w:i/>
        </w:rPr>
        <w:t>Verwaltungsstraf-gesetz</w:t>
      </w:r>
      <w:r w:rsidR="00932FA5">
        <w:t>) reads as follows:</w:t>
      </w:r>
    </w:p>
    <w:p w:rsidR="00F72D2D" w:rsidP="00222628" w:rsidRDefault="00F72D2D">
      <w:pPr>
        <w:pStyle w:val="JuQuot"/>
        <w:spacing w:after="0"/>
      </w:pPr>
      <w:r>
        <w:t xml:space="preserve">“(1)  The </w:t>
      </w:r>
      <w:r w:rsidR="00867AA6">
        <w:t>I</w:t>
      </w:r>
      <w:r>
        <w:t xml:space="preserve">ndependent </w:t>
      </w:r>
      <w:r w:rsidR="00867AA6">
        <w:t>A</w:t>
      </w:r>
      <w:r>
        <w:t xml:space="preserve">dministrative </w:t>
      </w:r>
      <w:r w:rsidR="00867AA6">
        <w:t>P</w:t>
      </w:r>
      <w:r>
        <w:t xml:space="preserve">anel shall </w:t>
      </w:r>
      <w:r w:rsidR="00867AA6">
        <w:t xml:space="preserve">hold </w:t>
      </w:r>
      <w:r>
        <w:t>a hearing in public.</w:t>
      </w:r>
    </w:p>
    <w:p w:rsidR="00F72D2D" w:rsidP="00222628" w:rsidRDefault="00381810">
      <w:pPr>
        <w:pStyle w:val="JuQuot"/>
        <w:spacing w:after="0"/>
      </w:pPr>
      <w:r>
        <w:t>...</w:t>
      </w:r>
    </w:p>
    <w:p w:rsidR="00F72D2D" w:rsidP="00222628" w:rsidRDefault="00F72D2D">
      <w:pPr>
        <w:pStyle w:val="JuQuot"/>
        <w:spacing w:after="0"/>
      </w:pPr>
      <w:r>
        <w:t xml:space="preserve">(3)  The </w:t>
      </w:r>
      <w:r w:rsidR="00E56762">
        <w:t>I</w:t>
      </w:r>
      <w:r>
        <w:t xml:space="preserve">ndependent </w:t>
      </w:r>
      <w:r w:rsidR="00E56762">
        <w:t>A</w:t>
      </w:r>
      <w:r>
        <w:t xml:space="preserve">dministrative </w:t>
      </w:r>
      <w:r w:rsidR="00E56762">
        <w:t>P</w:t>
      </w:r>
      <w:r w:rsidR="00D76C14">
        <w:t xml:space="preserve">anel may </w:t>
      </w:r>
      <w:r w:rsidR="00867AA6">
        <w:t xml:space="preserve">dispense with </w:t>
      </w:r>
      <w:r w:rsidR="00D76C14">
        <w:t>an appeal hearing if</w:t>
      </w:r>
    </w:p>
    <w:p w:rsidR="00D76C14" w:rsidP="00222628" w:rsidRDefault="00D76C14">
      <w:pPr>
        <w:pStyle w:val="JuQuot"/>
        <w:spacing w:after="0"/>
      </w:pPr>
      <w:r>
        <w:t xml:space="preserve">1.  the appeal is </w:t>
      </w:r>
      <w:r w:rsidR="00867AA6">
        <w:t>based solely on an incorrect legal assessment</w:t>
      </w:r>
      <w:r w:rsidR="006E0DDC">
        <w:t>,</w:t>
      </w:r>
      <w:r w:rsidR="00867AA6">
        <w:t xml:space="preserve"> or</w:t>
      </w:r>
    </w:p>
    <w:p w:rsidR="00D76C14" w:rsidP="00222628" w:rsidRDefault="00D76C14">
      <w:pPr>
        <w:pStyle w:val="JuQuot"/>
        <w:spacing w:after="0"/>
      </w:pPr>
      <w:r>
        <w:t>2.  the appeal is directed</w:t>
      </w:r>
      <w:r w:rsidR="00867AA6">
        <w:t xml:space="preserve"> solely</w:t>
      </w:r>
      <w:r>
        <w:t xml:space="preserve"> against the amount of the penalty</w:t>
      </w:r>
      <w:r w:rsidR="006E0DDC">
        <w:t>, or</w:t>
      </w:r>
    </w:p>
    <w:p w:rsidR="00D76C14" w:rsidP="00222628" w:rsidRDefault="00D76C14">
      <w:pPr>
        <w:pStyle w:val="JuQuot"/>
        <w:spacing w:after="0"/>
      </w:pPr>
      <w:r>
        <w:t>3.  the decision being appealed against imposed a fina</w:t>
      </w:r>
      <w:r w:rsidR="00276DC0">
        <w:t>ncial penalty not exceeding 500 </w:t>
      </w:r>
      <w:r>
        <w:t>euros</w:t>
      </w:r>
    </w:p>
    <w:p w:rsidR="00D76C14" w:rsidP="00222628" w:rsidRDefault="00D76C14">
      <w:pPr>
        <w:pStyle w:val="JuQuot"/>
        <w:spacing w:after="0"/>
      </w:pPr>
      <w:r>
        <w:t>4.  the appeal is directed against a procedural decision</w:t>
      </w:r>
    </w:p>
    <w:p w:rsidRPr="00F72D2D" w:rsidR="00D76C14" w:rsidP="00222628" w:rsidRDefault="00D76C14">
      <w:pPr>
        <w:pStyle w:val="JuQuot"/>
        <w:spacing w:after="0"/>
      </w:pPr>
      <w:r>
        <w:t xml:space="preserve">and </w:t>
      </w:r>
      <w:r w:rsidR="00272420">
        <w:t xml:space="preserve">no party has requested that a hearing be held. </w:t>
      </w:r>
      <w:r w:rsidR="006E0DDC">
        <w:t xml:space="preserve">Any </w:t>
      </w:r>
      <w:r w:rsidR="00272420">
        <w:t xml:space="preserve">request </w:t>
      </w:r>
      <w:r w:rsidR="006E0DDC">
        <w:t xml:space="preserve">by the appellant </w:t>
      </w:r>
      <w:r w:rsidR="00272420">
        <w:t xml:space="preserve">for a hearing to be held must be made </w:t>
      </w:r>
      <w:r w:rsidR="006E0DDC">
        <w:t xml:space="preserve">in </w:t>
      </w:r>
      <w:r w:rsidR="00272420">
        <w:t xml:space="preserve">the appeal </w:t>
      </w:r>
      <w:r w:rsidR="006E0DDC">
        <w:t>itself</w:t>
      </w:r>
      <w:r w:rsidR="00381810">
        <w:t>...</w:t>
      </w:r>
      <w:r w:rsidR="00272420">
        <w:t>”</w:t>
      </w:r>
    </w:p>
    <w:p w:rsidRPr="00FB5487" w:rsidR="00F71A6A" w:rsidP="00090C82" w:rsidRDefault="00F71A6A">
      <w:pPr>
        <w:pStyle w:val="JuHHead"/>
      </w:pPr>
      <w:r w:rsidRPr="00FB5487">
        <w:t>THE LAW</w:t>
      </w:r>
    </w:p>
    <w:p w:rsidRPr="00FB5487" w:rsidR="00F71A6A" w:rsidRDefault="00F71A6A">
      <w:pPr>
        <w:pStyle w:val="JuHIRoman"/>
      </w:pPr>
      <w:r w:rsidRPr="00FB5487">
        <w:t xml:space="preserve">I.  ALLEGED VIOLATION OF ARTICLE </w:t>
      </w:r>
      <w:r w:rsidR="008A7A71">
        <w:t>6</w:t>
      </w:r>
      <w:r w:rsidRPr="00FB5487">
        <w:t xml:space="preserve"> OF THE CONVENTION</w:t>
      </w:r>
    </w:p>
    <w:p w:rsidR="00F71A6A" w:rsidRDefault="00FB5487">
      <w:pPr>
        <w:pStyle w:val="JuPara"/>
      </w:pPr>
      <w:r w:rsidRPr="00FB5487">
        <w:fldChar w:fldCharType="begin"/>
      </w:r>
      <w:r w:rsidRPr="00FB5487">
        <w:instrText xml:space="preserve"> SEQ level0 \*arabic </w:instrText>
      </w:r>
      <w:r w:rsidRPr="00FB5487">
        <w:fldChar w:fldCharType="separate"/>
      </w:r>
      <w:r w:rsidR="00101DA6">
        <w:rPr>
          <w:noProof/>
        </w:rPr>
        <w:t>21</w:t>
      </w:r>
      <w:r w:rsidRPr="00FB5487">
        <w:fldChar w:fldCharType="end"/>
      </w:r>
      <w:r w:rsidRPr="00FB5487" w:rsidR="00F71A6A">
        <w:t xml:space="preserve">.  The </w:t>
      </w:r>
      <w:r w:rsidRPr="00FB5487">
        <w:t>applicant</w:t>
      </w:r>
      <w:r w:rsidRPr="00FB5487" w:rsidR="00F71A6A">
        <w:t xml:space="preserve"> complained that </w:t>
      </w:r>
      <w:r w:rsidR="00D705BF">
        <w:t>his conviction for speeding on the sole ground that he had refused to disclose the</w:t>
      </w:r>
      <w:r w:rsidR="00E06E71">
        <w:t xml:space="preserve"> identity of the</w:t>
      </w:r>
      <w:r w:rsidR="00276DC0">
        <w:t xml:space="preserve"> driver violated Article </w:t>
      </w:r>
      <w:r w:rsidR="00D705BF">
        <w:t>6 of the Convention</w:t>
      </w:r>
      <w:r w:rsidRPr="00FB5487" w:rsidR="00F71A6A">
        <w:t xml:space="preserve"> which</w:t>
      </w:r>
      <w:r w:rsidR="00D705BF">
        <w:t xml:space="preserve">, </w:t>
      </w:r>
      <w:r w:rsidR="009A2A58">
        <w:t xml:space="preserve">in </w:t>
      </w:r>
      <w:r w:rsidR="00D705BF">
        <w:t>so far as material,</w:t>
      </w:r>
      <w:r w:rsidRPr="00FB5487" w:rsidR="00F71A6A">
        <w:t xml:space="preserve"> reads as follows:</w:t>
      </w:r>
    </w:p>
    <w:p w:rsidR="00B21B45" w:rsidRDefault="008A7A71">
      <w:pPr>
        <w:pStyle w:val="JuQuot"/>
      </w:pPr>
      <w:r>
        <w:t xml:space="preserve">“1.  In the determination of </w:t>
      </w:r>
      <w:r w:rsidR="00BB42C3">
        <w:t>...</w:t>
      </w:r>
      <w:r>
        <w:t xml:space="preserve">any criminal charge against him, everyone is entitled to a fair </w:t>
      </w:r>
      <w:r w:rsidR="00BB42C3">
        <w:t>...</w:t>
      </w:r>
      <w:r>
        <w:t xml:space="preserve"> </w:t>
      </w:r>
      <w:r w:rsidR="00B21B45">
        <w:t xml:space="preserve">hearing </w:t>
      </w:r>
      <w:r w:rsidR="00BB42C3">
        <w:t>...</w:t>
      </w:r>
      <w:r>
        <w:t xml:space="preserve"> by </w:t>
      </w:r>
      <w:r w:rsidR="00B21B45">
        <w:t>[</w:t>
      </w:r>
      <w:r>
        <w:t>a</w:t>
      </w:r>
      <w:r w:rsidR="00B21B45">
        <w:t>]</w:t>
      </w:r>
      <w:r>
        <w:t xml:space="preserve"> </w:t>
      </w:r>
      <w:r w:rsidR="00BB42C3">
        <w:t>...</w:t>
      </w:r>
      <w:r w:rsidR="00B21B45">
        <w:t xml:space="preserve"> </w:t>
      </w:r>
      <w:r>
        <w:t xml:space="preserve">tribunal </w:t>
      </w:r>
      <w:r w:rsidR="00BB42C3">
        <w:t>...</w:t>
      </w:r>
    </w:p>
    <w:p w:rsidRPr="00FB5487" w:rsidR="005B16A8" w:rsidRDefault="008A7A71">
      <w:pPr>
        <w:pStyle w:val="JuQuot"/>
      </w:pPr>
      <w:r>
        <w:t>2.  Everyone charged with a criminal offence shall be presumed innocent until pro</w:t>
      </w:r>
      <w:r w:rsidR="00B21B45">
        <w:t>ved guilty according to law.</w:t>
      </w:r>
      <w:r>
        <w:t>”</w:t>
      </w:r>
    </w:p>
    <w:p w:rsidRPr="00FB5487" w:rsidR="00F71A6A" w:rsidRDefault="00FB5487">
      <w:pPr>
        <w:pStyle w:val="JuPara"/>
      </w:pPr>
      <w:r w:rsidRPr="00FB5487">
        <w:fldChar w:fldCharType="begin"/>
      </w:r>
      <w:r w:rsidRPr="00FB5487">
        <w:instrText xml:space="preserve"> SEQ level0 \*arabic </w:instrText>
      </w:r>
      <w:r w:rsidRPr="00FB5487">
        <w:fldChar w:fldCharType="separate"/>
      </w:r>
      <w:r w:rsidR="00101DA6">
        <w:rPr>
          <w:noProof/>
        </w:rPr>
        <w:t>22</w:t>
      </w:r>
      <w:r w:rsidRPr="00FB5487">
        <w:fldChar w:fldCharType="end"/>
      </w:r>
      <w:r w:rsidRPr="00FB5487" w:rsidR="00F71A6A">
        <w:t>.  The Gov</w:t>
      </w:r>
      <w:r w:rsidR="00D705BF">
        <w:t>ernment submitted that the applicant could not claim to be a victim as</w:t>
      </w:r>
      <w:r w:rsidR="00E06E71">
        <w:t>,</w:t>
      </w:r>
      <w:r w:rsidR="00D705BF">
        <w:t xml:space="preserve"> according to their information</w:t>
      </w:r>
      <w:r w:rsidR="00E06E71">
        <w:t>,</w:t>
      </w:r>
      <w:r w:rsidR="00D705BF">
        <w:t xml:space="preserve"> the fine imposed on him had not be</w:t>
      </w:r>
      <w:r w:rsidR="00A21625">
        <w:t xml:space="preserve">en enforced and could no longer be enforced as </w:t>
      </w:r>
      <w:r w:rsidR="009A2A58">
        <w:t xml:space="preserve">it was </w:t>
      </w:r>
      <w:r w:rsidR="00A21625">
        <w:t xml:space="preserve">time-barred, </w:t>
      </w:r>
      <w:r w:rsidR="00E06E71">
        <w:t xml:space="preserve">since </w:t>
      </w:r>
      <w:r w:rsidR="00A21625">
        <w:t>more than three years had elapsed since it had been imposed with final effect.</w:t>
      </w:r>
    </w:p>
    <w:p w:rsidR="00F71A6A" w:rsidRDefault="00FB5487">
      <w:pPr>
        <w:pStyle w:val="JuPara"/>
      </w:pPr>
      <w:r w:rsidRPr="00FB5487">
        <w:fldChar w:fldCharType="begin"/>
      </w:r>
      <w:r w:rsidRPr="00FB5487">
        <w:instrText xml:space="preserve"> SEQ level0 \*arabic </w:instrText>
      </w:r>
      <w:r w:rsidRPr="00FB5487">
        <w:fldChar w:fldCharType="separate"/>
      </w:r>
      <w:r w:rsidR="00101DA6">
        <w:rPr>
          <w:noProof/>
        </w:rPr>
        <w:t>23</w:t>
      </w:r>
      <w:r w:rsidRPr="00FB5487">
        <w:fldChar w:fldCharType="end"/>
      </w:r>
      <w:r w:rsidRPr="00FB5487" w:rsidR="00F71A6A">
        <w:t>.  </w:t>
      </w:r>
      <w:r w:rsidR="00A21625">
        <w:t>The applicant conteste</w:t>
      </w:r>
      <w:r w:rsidR="001301CD">
        <w:t xml:space="preserve">d this </w:t>
      </w:r>
      <w:r w:rsidR="00E06E71">
        <w:t xml:space="preserve">assertion </w:t>
      </w:r>
      <w:r w:rsidR="001301CD">
        <w:t xml:space="preserve">and submitted evidence </w:t>
      </w:r>
      <w:r w:rsidR="00E06E71">
        <w:t xml:space="preserve">in the form of </w:t>
      </w:r>
      <w:r w:rsidR="001301CD">
        <w:t>a copy of the bank transfer covering the amount of the fine and the costs of the proceedings.</w:t>
      </w:r>
    </w:p>
    <w:p w:rsidRPr="00FB5487" w:rsidR="00A21625" w:rsidRDefault="00A21625">
      <w:pPr>
        <w:pStyle w:val="JuPara"/>
        <w:rPr>
          <w:lang w:eastAsia="en-US"/>
        </w:rPr>
      </w:pPr>
      <w:r>
        <w:fldChar w:fldCharType="begin"/>
      </w:r>
      <w:r>
        <w:instrText xml:space="preserve"> SEQ level0 \*arabic </w:instrText>
      </w:r>
      <w:r>
        <w:fldChar w:fldCharType="separate"/>
      </w:r>
      <w:r w:rsidR="00101DA6">
        <w:rPr>
          <w:noProof/>
        </w:rPr>
        <w:t>24</w:t>
      </w:r>
      <w:r>
        <w:fldChar w:fldCharType="end"/>
      </w:r>
      <w:r w:rsidR="001301CD">
        <w:t>.  The Court notes</w:t>
      </w:r>
      <w:r w:rsidR="00EB0515">
        <w:t xml:space="preserve"> that on the basis of the file it is established</w:t>
      </w:r>
      <w:r w:rsidR="001301CD">
        <w:t xml:space="preserve"> that the applicant paid the fine imposed on him.</w:t>
      </w:r>
      <w:r w:rsidR="00FE215D">
        <w:t xml:space="preserve"> In any case</w:t>
      </w:r>
      <w:r w:rsidR="000642DD">
        <w:t>,</w:t>
      </w:r>
      <w:r w:rsidR="00FE215D">
        <w:t xml:space="preserve"> </w:t>
      </w:r>
      <w:r>
        <w:t>the question whether an applicant can claim to be a victim does not depend on a</w:t>
      </w:r>
      <w:r w:rsidR="001301CD">
        <w:t>ctual prejudice being suffered</w:t>
      </w:r>
      <w:r w:rsidR="000642DD">
        <w:t xml:space="preserve">. The question whether an applicant has actually been placed in an unfavourable position is not a matter for Article 34 of the Convention and the issue of damage becomes </w:t>
      </w:r>
      <w:r w:rsidRPr="00BF1E0B" w:rsidR="000642DD">
        <w:t>relevant only in the context of Article</w:t>
      </w:r>
      <w:r w:rsidR="00005B4C">
        <w:t xml:space="preserve"> </w:t>
      </w:r>
      <w:r w:rsidR="000642DD">
        <w:t xml:space="preserve">41 (see, among many authorities, </w:t>
      </w:r>
      <w:r w:rsidRPr="000642DD" w:rsidR="000642DD">
        <w:rPr>
          <w:i/>
          <w:lang w:eastAsia="en-US"/>
        </w:rPr>
        <w:t xml:space="preserve">Moscow Branch of the Salvation Army v. </w:t>
      </w:r>
      <w:smartTag w:uri="urn:schemas-microsoft-com:office:smarttags" w:element="place">
        <w:smartTag w:uri="urn:schemas-microsoft-com:office:smarttags" w:element="country-region">
          <w:r w:rsidR="000642DD" w:rsidRPr="000642DD">
            <w:rPr>
              <w:i/>
              <w:lang w:eastAsia="en-US"/>
            </w:rPr>
            <w:t>Russia</w:t>
          </w:r>
        </w:smartTag>
      </w:smartTag>
      <w:r w:rsidRPr="000642DD" w:rsidR="000642DD">
        <w:rPr>
          <w:lang w:eastAsia="en-US"/>
        </w:rPr>
        <w:t>, no. 72881/01, §</w:t>
      </w:r>
      <w:r w:rsidR="000642DD">
        <w:rPr>
          <w:lang w:eastAsia="en-US"/>
        </w:rPr>
        <w:t xml:space="preserve"> 65</w:t>
      </w:r>
      <w:r w:rsidRPr="000642DD" w:rsidR="000642DD">
        <w:rPr>
          <w:lang w:eastAsia="en-US"/>
        </w:rPr>
        <w:t>,</w:t>
      </w:r>
      <w:r w:rsidRPr="000642DD" w:rsidR="000642DD">
        <w:rPr>
          <w:szCs w:val="24"/>
          <w:lang w:eastAsia="en-US"/>
        </w:rPr>
        <w:t xml:space="preserve"> ECHR 2006</w:t>
      </w:r>
      <w:r w:rsidRPr="000642DD" w:rsidR="000642DD">
        <w:rPr>
          <w:szCs w:val="24"/>
          <w:lang w:eastAsia="en-US"/>
        </w:rPr>
        <w:noBreakHyphen/>
        <w:t>XI</w:t>
      </w:r>
      <w:r w:rsidR="00005B4C">
        <w:rPr>
          <w:szCs w:val="24"/>
          <w:lang w:eastAsia="en-US"/>
        </w:rPr>
        <w:t>, and</w:t>
      </w:r>
      <w:r w:rsidR="000642DD">
        <w:rPr>
          <w:szCs w:val="24"/>
          <w:lang w:eastAsia="en-US"/>
        </w:rPr>
        <w:t xml:space="preserve"> </w:t>
      </w:r>
      <w:r w:rsidRPr="00BF1E0B" w:rsidR="000642DD">
        <w:rPr>
          <w:i/>
          <w:lang w:eastAsia="en-US"/>
        </w:rPr>
        <w:t>Wassink v. the Netherlands</w:t>
      </w:r>
      <w:r w:rsidRPr="00BF1E0B" w:rsidR="000642DD">
        <w:rPr>
          <w:lang w:eastAsia="en-US"/>
        </w:rPr>
        <w:t>, 27</w:t>
      </w:r>
      <w:r w:rsidR="00535D99">
        <w:rPr>
          <w:lang w:eastAsia="en-US"/>
        </w:rPr>
        <w:t> </w:t>
      </w:r>
      <w:r w:rsidRPr="00BF1E0B" w:rsidR="000642DD">
        <w:rPr>
          <w:lang w:eastAsia="en-US"/>
        </w:rPr>
        <w:t>Sep</w:t>
      </w:r>
      <w:r w:rsidR="00005B4C">
        <w:rPr>
          <w:lang w:eastAsia="en-US"/>
        </w:rPr>
        <w:t xml:space="preserve">tember 1990, </w:t>
      </w:r>
      <w:r w:rsidRPr="00BF1E0B" w:rsidR="00005B4C">
        <w:rPr>
          <w:lang w:eastAsia="en-US"/>
        </w:rPr>
        <w:t>§</w:t>
      </w:r>
      <w:r w:rsidR="00005B4C">
        <w:rPr>
          <w:lang w:eastAsia="en-US"/>
        </w:rPr>
        <w:t xml:space="preserve"> </w:t>
      </w:r>
      <w:r w:rsidR="00005B4C">
        <w:t xml:space="preserve">38, </w:t>
      </w:r>
      <w:r w:rsidR="00005B4C">
        <w:rPr>
          <w:lang w:eastAsia="en-US"/>
        </w:rPr>
        <w:t>Series A no. 185</w:t>
      </w:r>
      <w:r w:rsidR="00005B4C">
        <w:rPr>
          <w:lang w:eastAsia="en-US"/>
        </w:rPr>
        <w:noBreakHyphen/>
        <w:t>A</w:t>
      </w:r>
      <w:r w:rsidR="000642DD">
        <w:t>).</w:t>
      </w:r>
      <w:r w:rsidR="000642DD">
        <w:rPr>
          <w:lang w:eastAsia="en-US"/>
        </w:rPr>
        <w:t xml:space="preserve"> </w:t>
      </w:r>
      <w:r w:rsidR="001301CD">
        <w:t>The Court therefore rejects the Government</w:t>
      </w:r>
      <w:r w:rsidR="009D6A61">
        <w:t>'</w:t>
      </w:r>
      <w:r w:rsidR="001301CD">
        <w:t>s argument that the applicant cannot claim to be a victim of the alleged violation</w:t>
      </w:r>
      <w:r w:rsidR="000642DD">
        <w:t>.</w:t>
      </w:r>
    </w:p>
    <w:p w:rsidRPr="00FB5487" w:rsidR="00F71A6A" w:rsidRDefault="00F71A6A">
      <w:pPr>
        <w:pStyle w:val="JuHA"/>
      </w:pPr>
      <w:r w:rsidRPr="00FB5487">
        <w:t>A.  Admissibility</w:t>
      </w:r>
    </w:p>
    <w:p w:rsidRPr="00FB5487" w:rsidR="00F71A6A" w:rsidP="00EB41E9" w:rsidRDefault="00FB5487">
      <w:pPr>
        <w:pStyle w:val="JuPara"/>
      </w:pPr>
      <w:r w:rsidRPr="00FB5487">
        <w:fldChar w:fldCharType="begin"/>
      </w:r>
      <w:r w:rsidRPr="00FB5487">
        <w:instrText xml:space="preserve"> SEQ level0 \*arabic </w:instrText>
      </w:r>
      <w:r w:rsidRPr="00FB5487">
        <w:fldChar w:fldCharType="separate"/>
      </w:r>
      <w:r w:rsidR="00101DA6">
        <w:rPr>
          <w:noProof/>
        </w:rPr>
        <w:t>25</w:t>
      </w:r>
      <w:r w:rsidRPr="00FB5487">
        <w:fldChar w:fldCharType="end"/>
      </w:r>
      <w:r w:rsidRPr="00FB5487" w:rsidR="00F71A6A">
        <w:t>.  The C</w:t>
      </w:r>
      <w:r w:rsidR="00A21625">
        <w:t>ourt notes that the application</w:t>
      </w:r>
      <w:r w:rsidRPr="00FB5487" w:rsidR="00F71A6A">
        <w:t xml:space="preserve"> is not manifestly ill-founded within the meaning of Article 35 § 3 of the Convention. It further notes that it is not inadmissible on any other grounds. It must therefore be declared admissible.</w:t>
      </w:r>
    </w:p>
    <w:p w:rsidR="00F71A6A" w:rsidRDefault="00F71A6A">
      <w:pPr>
        <w:pStyle w:val="JuHA"/>
      </w:pPr>
      <w:r w:rsidRPr="00FB5487">
        <w:t>B.  Merits</w:t>
      </w:r>
    </w:p>
    <w:p w:rsidRPr="000F2F93" w:rsidR="000F2F93" w:rsidP="000F2F93" w:rsidRDefault="008129A2">
      <w:pPr>
        <w:pStyle w:val="JuH1"/>
      </w:pPr>
      <w:r>
        <w:t>1.  </w:t>
      </w:r>
      <w:r w:rsidR="000F2F93">
        <w:t>The parties</w:t>
      </w:r>
      <w:r w:rsidR="009D6A61">
        <w:t>'</w:t>
      </w:r>
      <w:r w:rsidR="000F2F93">
        <w:t xml:space="preserve"> submissions</w:t>
      </w:r>
    </w:p>
    <w:p w:rsidRPr="00FB5487" w:rsidR="00F71A6A" w:rsidRDefault="00FB5487">
      <w:pPr>
        <w:pStyle w:val="JuPara"/>
      </w:pPr>
      <w:r w:rsidRPr="00FB5487">
        <w:fldChar w:fldCharType="begin"/>
      </w:r>
      <w:r w:rsidRPr="00FB5487">
        <w:instrText xml:space="preserve"> SEQ level0 \*arabic </w:instrText>
      </w:r>
      <w:r w:rsidRPr="00FB5487">
        <w:fldChar w:fldCharType="separate"/>
      </w:r>
      <w:r w:rsidR="00101DA6">
        <w:rPr>
          <w:noProof/>
        </w:rPr>
        <w:t>26</w:t>
      </w:r>
      <w:r w:rsidRPr="00FB5487">
        <w:fldChar w:fldCharType="end"/>
      </w:r>
      <w:r w:rsidRPr="00FB5487" w:rsidR="00F71A6A">
        <w:t xml:space="preserve">.  The </w:t>
      </w:r>
      <w:r w:rsidRPr="00FB5487">
        <w:t>applicant</w:t>
      </w:r>
      <w:r w:rsidRPr="00FB5487" w:rsidR="00F71A6A">
        <w:t xml:space="preserve"> </w:t>
      </w:r>
      <w:r w:rsidR="005624CF">
        <w:t>maintained</w:t>
      </w:r>
      <w:r w:rsidR="001301CD">
        <w:t xml:space="preserve"> </w:t>
      </w:r>
      <w:r w:rsidR="00697FDC">
        <w:t>that his c</w:t>
      </w:r>
      <w:r w:rsidR="00276DC0">
        <w:t>onviction violated Article 6 §§ </w:t>
      </w:r>
      <w:r w:rsidR="00697FDC">
        <w:t xml:space="preserve">1 and 2 of the Convention. </w:t>
      </w:r>
      <w:r w:rsidR="005624CF">
        <w:t>He submitted</w:t>
      </w:r>
      <w:r w:rsidR="001301CD">
        <w:t xml:space="preserve"> in particular that </w:t>
      </w:r>
      <w:r w:rsidR="00F37472">
        <w:t xml:space="preserve">apart from the fact that he was the registered keeper of the car which had been </w:t>
      </w:r>
      <w:r w:rsidR="004E761A">
        <w:t xml:space="preserve">recorded </w:t>
      </w:r>
      <w:r w:rsidR="00F37472">
        <w:t xml:space="preserve">speeding on </w:t>
      </w:r>
      <w:r w:rsidR="004E761A">
        <w:t>26 February 2003</w:t>
      </w:r>
      <w:r w:rsidR="00697B66">
        <w:t xml:space="preserve">, </w:t>
      </w:r>
      <w:r w:rsidR="00F37472">
        <w:t xml:space="preserve">the authorities did not have any evidence against him. The fact that he </w:t>
      </w:r>
      <w:r w:rsidR="00E06E71">
        <w:t xml:space="preserve">had been </w:t>
      </w:r>
      <w:r w:rsidR="00F37472">
        <w:t>found guilty of speeding merely</w:t>
      </w:r>
      <w:r w:rsidR="005624CF">
        <w:t xml:space="preserve"> because he </w:t>
      </w:r>
      <w:r w:rsidR="00E06E71">
        <w:t xml:space="preserve">had </w:t>
      </w:r>
      <w:r w:rsidR="00697B66">
        <w:t xml:space="preserve">refused to disclose </w:t>
      </w:r>
      <w:r w:rsidR="00FB3265">
        <w:t xml:space="preserve">the </w:t>
      </w:r>
      <w:r w:rsidR="00E06E71">
        <w:t xml:space="preserve">identity of the </w:t>
      </w:r>
      <w:r w:rsidR="00FB3265">
        <w:t xml:space="preserve">driver </w:t>
      </w:r>
      <w:r w:rsidR="00F37472">
        <w:t>violated his right to silence on the one hand and the presumption of innocence on the other. In addition</w:t>
      </w:r>
      <w:r w:rsidR="00B34243">
        <w:t>,</w:t>
      </w:r>
      <w:r w:rsidR="00F37472">
        <w:t xml:space="preserve"> he</w:t>
      </w:r>
      <w:r w:rsidR="005624CF">
        <w:t xml:space="preserve"> asserted</w:t>
      </w:r>
      <w:r w:rsidR="00F37472">
        <w:t xml:space="preserve"> that the registered keeper</w:t>
      </w:r>
      <w:r w:rsidR="009D6A61">
        <w:t>'</w:t>
      </w:r>
      <w:r w:rsidR="00F37472">
        <w:t>s obligation to disclose the</w:t>
      </w:r>
      <w:r w:rsidR="00E06E71">
        <w:t xml:space="preserve"> identity of the</w:t>
      </w:r>
      <w:r w:rsidR="00F37472">
        <w:t xml:space="preserve"> driver </w:t>
      </w:r>
      <w:r w:rsidR="009A2A58">
        <w:t xml:space="preserve">of the vehicle </w:t>
      </w:r>
      <w:r w:rsidR="008129A2">
        <w:t>pursuant to section 103</w:t>
      </w:r>
      <w:r w:rsidR="00FB3265">
        <w:t xml:space="preserve">(2) </w:t>
      </w:r>
      <w:r w:rsidR="00B34243">
        <w:t>of the Motor Vehicles Act</w:t>
      </w:r>
      <w:r w:rsidR="00FB3265">
        <w:t xml:space="preserve"> in itself</w:t>
      </w:r>
      <w:r w:rsidR="00B34243">
        <w:t xml:space="preserve"> </w:t>
      </w:r>
      <w:r w:rsidR="005624CF">
        <w:t>violated</w:t>
      </w:r>
      <w:r w:rsidR="00F37472">
        <w:t xml:space="preserve"> the </w:t>
      </w:r>
      <w:r w:rsidR="005624CF">
        <w:t>right to silence.</w:t>
      </w:r>
    </w:p>
    <w:p w:rsidR="00BB42C3" w:rsidP="00922F92" w:rsidRDefault="00FB5487">
      <w:pPr>
        <w:pStyle w:val="JuPara"/>
      </w:pPr>
      <w:r w:rsidRPr="00FB5487">
        <w:fldChar w:fldCharType="begin"/>
      </w:r>
      <w:r w:rsidRPr="00FB5487">
        <w:instrText xml:space="preserve"> SEQ level0 \*arabic </w:instrText>
      </w:r>
      <w:r w:rsidRPr="00FB5487">
        <w:fldChar w:fldCharType="separate"/>
      </w:r>
      <w:r w:rsidR="00101DA6">
        <w:rPr>
          <w:noProof/>
        </w:rPr>
        <w:t>27</w:t>
      </w:r>
      <w:r w:rsidRPr="00FB5487">
        <w:fldChar w:fldCharType="end"/>
      </w:r>
      <w:r w:rsidRPr="00FB5487" w:rsidR="008E05A3">
        <w:t>.  The Government</w:t>
      </w:r>
      <w:r w:rsidR="00922F92">
        <w:t xml:space="preserve"> observed that the right to silence and the presumption of innocence were closely connected and that they would therefore address </w:t>
      </w:r>
      <w:r w:rsidR="00697FDC">
        <w:t xml:space="preserve">both issues </w:t>
      </w:r>
      <w:r w:rsidR="00DE50F9">
        <w:t xml:space="preserve">jointly. </w:t>
      </w:r>
      <w:r w:rsidR="00922F92">
        <w:t xml:space="preserve">They noted at the outset that in the present case the applicant had not been convicted </w:t>
      </w:r>
      <w:r w:rsidR="003C04F6">
        <w:t xml:space="preserve">of </w:t>
      </w:r>
      <w:r w:rsidR="00106780">
        <w:t>failure to disclose</w:t>
      </w:r>
      <w:r w:rsidR="00922F92">
        <w:t xml:space="preserve"> the </w:t>
      </w:r>
      <w:r w:rsidR="00E06E71">
        <w:t xml:space="preserve">identity of the </w:t>
      </w:r>
      <w:r w:rsidR="00922F92">
        <w:t xml:space="preserve">driver, as the proceedings regarding that offence had been discontinued. The applicant </w:t>
      </w:r>
      <w:r w:rsidR="00C5092F">
        <w:t xml:space="preserve">had been </w:t>
      </w:r>
      <w:r w:rsidR="00106780">
        <w:t>convicted of the underlying traffic offence</w:t>
      </w:r>
      <w:r w:rsidR="00922F92">
        <w:t xml:space="preserve">, namely speeding, on the basis </w:t>
      </w:r>
      <w:r w:rsidR="00106780">
        <w:t xml:space="preserve">of evidence which </w:t>
      </w:r>
      <w:r w:rsidR="00922F92">
        <w:t xml:space="preserve">had been </w:t>
      </w:r>
      <w:r w:rsidR="00106780">
        <w:t>free</w:t>
      </w:r>
      <w:r w:rsidR="00C5092F">
        <w:t>ly evaluated by the authority.</w:t>
      </w:r>
    </w:p>
    <w:p w:rsidR="00DE50F9" w:rsidP="00DE50F9" w:rsidRDefault="00922F92">
      <w:pPr>
        <w:pStyle w:val="JuPara"/>
      </w:pPr>
      <w:r>
        <w:fldChar w:fldCharType="begin"/>
      </w:r>
      <w:r>
        <w:instrText xml:space="preserve"> SEQ level0 \*arabic </w:instrText>
      </w:r>
      <w:r>
        <w:fldChar w:fldCharType="separate"/>
      </w:r>
      <w:r w:rsidR="00101DA6">
        <w:rPr>
          <w:noProof/>
        </w:rPr>
        <w:t>28</w:t>
      </w:r>
      <w:r>
        <w:fldChar w:fldCharType="end"/>
      </w:r>
      <w:r w:rsidR="00DE50F9">
        <w:t>. </w:t>
      </w:r>
      <w:r w:rsidR="008129A2">
        <w:t> </w:t>
      </w:r>
      <w:r w:rsidR="00DE50F9">
        <w:t>R</w:t>
      </w:r>
      <w:r w:rsidR="00697FDC">
        <w:t>eferring to</w:t>
      </w:r>
      <w:r w:rsidR="00106780">
        <w:t xml:space="preserve"> </w:t>
      </w:r>
      <w:r w:rsidRPr="00697FDC" w:rsidR="00106780">
        <w:rPr>
          <w:i/>
        </w:rPr>
        <w:t>John Murray</w:t>
      </w:r>
      <w:r w:rsidR="00697FDC">
        <w:t xml:space="preserve"> (cited above)</w:t>
      </w:r>
      <w:r w:rsidR="00DE50F9">
        <w:t xml:space="preserve"> the Government</w:t>
      </w:r>
      <w:r w:rsidR="00106780">
        <w:t xml:space="preserve"> </w:t>
      </w:r>
      <w:r w:rsidR="00E06E71">
        <w:t xml:space="preserve">stressed </w:t>
      </w:r>
      <w:r w:rsidR="00697FDC">
        <w:t xml:space="preserve">that the right to silence was not absolute and that </w:t>
      </w:r>
      <w:r w:rsidR="00FB3265">
        <w:t xml:space="preserve">it </w:t>
      </w:r>
      <w:r w:rsidR="00697FDC">
        <w:t>did not preclude the drawin</w:t>
      </w:r>
      <w:r w:rsidR="00FB3265">
        <w:t xml:space="preserve">g of </w:t>
      </w:r>
      <w:r w:rsidR="00D95539">
        <w:t xml:space="preserve">inferences </w:t>
      </w:r>
      <w:r w:rsidR="00FB3265">
        <w:t>from the accuse</w:t>
      </w:r>
      <w:r w:rsidR="00697FDC">
        <w:t>d</w:t>
      </w:r>
      <w:r w:rsidR="009D6A61">
        <w:t>'</w:t>
      </w:r>
      <w:r w:rsidR="00697FDC">
        <w:t xml:space="preserve">s silence where, on the basis of the evidence obtained, the situation clearly called for an explanation. </w:t>
      </w:r>
      <w:r w:rsidR="00DE50F9">
        <w:t xml:space="preserve">Furthermore, they explained that in administrative criminal proceedings the authorities were obliged to establish the relevant facts of their own motion and to take all necessary evidence. However, where facts were known </w:t>
      </w:r>
      <w:r w:rsidR="0033003D">
        <w:t xml:space="preserve">only </w:t>
      </w:r>
      <w:r w:rsidR="00DE50F9">
        <w:t xml:space="preserve">to </w:t>
      </w:r>
      <w:r w:rsidR="0033003D">
        <w:t>one of the parties to the proceedings</w:t>
      </w:r>
      <w:r w:rsidR="00DE50F9">
        <w:t>, the latter had to contribute to the establishment of the facts, if need be by submitting evidence. In that connection the silence of a party could be taken into account in the evaluation of the evidence.</w:t>
      </w:r>
    </w:p>
    <w:p w:rsidR="004F2A2E" w:rsidP="008E05A3" w:rsidRDefault="00FB3265">
      <w:pPr>
        <w:pStyle w:val="JuPara"/>
      </w:pPr>
      <w:r>
        <w:fldChar w:fldCharType="begin"/>
      </w:r>
      <w:r>
        <w:instrText xml:space="preserve"> SEQ level0 \*arabic </w:instrText>
      </w:r>
      <w:r>
        <w:fldChar w:fldCharType="separate"/>
      </w:r>
      <w:r w:rsidR="00101DA6">
        <w:rPr>
          <w:noProof/>
        </w:rPr>
        <w:t>29</w:t>
      </w:r>
      <w:r>
        <w:fldChar w:fldCharType="end"/>
      </w:r>
      <w:r>
        <w:t>.  </w:t>
      </w:r>
      <w:r w:rsidR="004F2A2E">
        <w:t>In the Government</w:t>
      </w:r>
      <w:r w:rsidR="009D6A61">
        <w:t>'</w:t>
      </w:r>
      <w:r w:rsidR="004F2A2E">
        <w:t xml:space="preserve">s view the authorities in the present case </w:t>
      </w:r>
      <w:r w:rsidR="0033003D">
        <w:t xml:space="preserve">had been </w:t>
      </w:r>
      <w:r w:rsidR="004F2A2E">
        <w:t xml:space="preserve">confronted with a situation that clearly required an explanation from the applicant. </w:t>
      </w:r>
      <w:r w:rsidR="00697FDC">
        <w:t xml:space="preserve">His car had been recorded speeding and it </w:t>
      </w:r>
      <w:r w:rsidR="0033003D">
        <w:t>had</w:t>
      </w:r>
      <w:r w:rsidR="004F2A2E">
        <w:t xml:space="preserve"> been for him to give a plausible reason </w:t>
      </w:r>
      <w:r w:rsidR="0033003D">
        <w:t xml:space="preserve">as to </w:t>
      </w:r>
      <w:r w:rsidR="004F2A2E">
        <w:t xml:space="preserve">why he had not been in </w:t>
      </w:r>
      <w:smartTag w:uri="urn:schemas-microsoft-com:office:smarttags" w:element="place">
        <w:smartTag w:uri="urn:schemas-microsoft-com:office:smarttags" w:element="country-region">
          <w:r w:rsidR="004F2A2E">
            <w:t>Austria</w:t>
          </w:r>
        </w:smartTag>
      </w:smartTag>
      <w:r w:rsidR="004F2A2E">
        <w:t xml:space="preserve"> driving his car at the </w:t>
      </w:r>
      <w:r w:rsidR="00697FDC">
        <w:t>specified date and time and to offer some evidence</w:t>
      </w:r>
      <w:r w:rsidR="004F2A2E">
        <w:t>.</w:t>
      </w:r>
      <w:r w:rsidR="00697FDC">
        <w:t xml:space="preserve"> However,</w:t>
      </w:r>
      <w:r w:rsidR="00BB42C3">
        <w:t xml:space="preserve"> </w:t>
      </w:r>
      <w:r w:rsidR="00697FDC">
        <w:t>h</w:t>
      </w:r>
      <w:r w:rsidR="004F2A2E">
        <w:t xml:space="preserve">e </w:t>
      </w:r>
      <w:r w:rsidR="003C04F6">
        <w:t xml:space="preserve">had </w:t>
      </w:r>
      <w:r w:rsidR="004F2A2E">
        <w:t xml:space="preserve">confined himself to stating that he had not </w:t>
      </w:r>
      <w:r w:rsidR="009A2A58">
        <w:t xml:space="preserve">been driving </w:t>
      </w:r>
      <w:r w:rsidR="004F2A2E">
        <w:t>the car</w:t>
      </w:r>
      <w:r w:rsidR="0033003D">
        <w:t>,</w:t>
      </w:r>
      <w:r w:rsidR="004F2A2E">
        <w:t xml:space="preserve"> which was regularly used by several persons and that </w:t>
      </w:r>
      <w:r w:rsidR="0033003D">
        <w:t xml:space="preserve">owing </w:t>
      </w:r>
      <w:r w:rsidR="004F2A2E">
        <w:t>to the lapse of time</w:t>
      </w:r>
      <w:r w:rsidR="0033003D">
        <w:t xml:space="preserve"> since the events</w:t>
      </w:r>
      <w:r w:rsidR="004F2A2E">
        <w:t xml:space="preserve"> he could no longer recall who had been the driver.</w:t>
      </w:r>
      <w:r>
        <w:t xml:space="preserve"> </w:t>
      </w:r>
      <w:r w:rsidR="00E83922">
        <w:t>In drawing the conclusion that the applicant had himself been the driver, t</w:t>
      </w:r>
      <w:r>
        <w:t>he a</w:t>
      </w:r>
      <w:r w:rsidR="00E83922">
        <w:t>uthorities had done no more than</w:t>
      </w:r>
      <w:r>
        <w:t xml:space="preserve"> make use of their p</w:t>
      </w:r>
      <w:r w:rsidR="007D7F66">
        <w:t>ower</w:t>
      </w:r>
      <w:r>
        <w:t xml:space="preserve"> to </w:t>
      </w:r>
      <w:r w:rsidR="00E83922">
        <w:t xml:space="preserve">freely </w:t>
      </w:r>
      <w:r>
        <w:t>evaluate the evidence before them.</w:t>
      </w:r>
    </w:p>
    <w:p w:rsidRPr="00FB5487" w:rsidR="004F2A2E" w:rsidP="000F2F93" w:rsidRDefault="008129A2">
      <w:pPr>
        <w:pStyle w:val="JuH1"/>
      </w:pPr>
      <w:r>
        <w:t>2.  </w:t>
      </w:r>
      <w:r w:rsidR="000F2F93">
        <w:t>The Court</w:t>
      </w:r>
      <w:r w:rsidR="009D6A61">
        <w:t>'</w:t>
      </w:r>
      <w:r w:rsidR="000F2F93">
        <w:t>s assessment</w:t>
      </w:r>
    </w:p>
    <w:p w:rsidR="00111877" w:rsidRDefault="00FB5487">
      <w:pPr>
        <w:pStyle w:val="JuPara"/>
      </w:pPr>
      <w:r w:rsidRPr="00FB5487">
        <w:fldChar w:fldCharType="begin"/>
      </w:r>
      <w:r w:rsidRPr="00FB5487">
        <w:instrText xml:space="preserve"> SEQ level0 \*arabic </w:instrText>
      </w:r>
      <w:r w:rsidRPr="00FB5487">
        <w:fldChar w:fldCharType="separate"/>
      </w:r>
      <w:r w:rsidR="00101DA6">
        <w:rPr>
          <w:noProof/>
        </w:rPr>
        <w:t>30</w:t>
      </w:r>
      <w:r w:rsidRPr="00FB5487">
        <w:fldChar w:fldCharType="end"/>
      </w:r>
      <w:r w:rsidRPr="00FB5487" w:rsidR="00F71A6A">
        <w:t xml:space="preserve">.  The Court </w:t>
      </w:r>
      <w:r w:rsidR="000F2F93">
        <w:t xml:space="preserve">considers that the right to silence and the privilege against self-incrimination as guaranteed by </w:t>
      </w:r>
      <w:r w:rsidR="00111877">
        <w:t>Article 6 §</w:t>
      </w:r>
      <w:r w:rsidR="000F2F93">
        <w:t xml:space="preserve"> </w:t>
      </w:r>
      <w:r w:rsidR="00111877">
        <w:t xml:space="preserve">1 and </w:t>
      </w:r>
      <w:r w:rsidR="000F2F93">
        <w:t>the presumption of innocence enshrined in A</w:t>
      </w:r>
      <w:r w:rsidR="00932FA5">
        <w:t>rticle 6 § 2 are closely linked</w:t>
      </w:r>
      <w:r w:rsidR="003C04F6">
        <w:t>,</w:t>
      </w:r>
      <w:r w:rsidR="00D515FF">
        <w:t xml:space="preserve"> </w:t>
      </w:r>
      <w:r w:rsidR="000F2F93">
        <w:t xml:space="preserve">and </w:t>
      </w:r>
      <w:r w:rsidR="003C04F6">
        <w:t xml:space="preserve">it </w:t>
      </w:r>
      <w:r w:rsidR="000F2F93">
        <w:t>will therefore examine both aspects together</w:t>
      </w:r>
      <w:r w:rsidR="002D385D">
        <w:t xml:space="preserve"> (see</w:t>
      </w:r>
      <w:r w:rsidR="00021EC3">
        <w:t>,</w:t>
      </w:r>
      <w:r w:rsidR="002D385D">
        <w:t xml:space="preserve"> for instance</w:t>
      </w:r>
      <w:r w:rsidR="00D95539">
        <w:t>,</w:t>
      </w:r>
      <w:r w:rsidR="002D385D">
        <w:t xml:space="preserve"> </w:t>
      </w:r>
      <w:r w:rsidRPr="002D385D" w:rsidR="002D385D">
        <w:rPr>
          <w:i/>
        </w:rPr>
        <w:t>John Murray</w:t>
      </w:r>
      <w:r w:rsidR="00276DC0">
        <w:t>, cited above, §§ </w:t>
      </w:r>
      <w:r w:rsidR="002D385D">
        <w:t>57-58)</w:t>
      </w:r>
      <w:r w:rsidR="000F2F93">
        <w:t>.</w:t>
      </w:r>
    </w:p>
    <w:p w:rsidR="00BB42C3" w:rsidRDefault="00D95539">
      <w:pPr>
        <w:pStyle w:val="JuPara"/>
      </w:pPr>
      <w:r>
        <w:fldChar w:fldCharType="begin"/>
      </w:r>
      <w:r>
        <w:instrText xml:space="preserve"> SEQ level0 \*arabic </w:instrText>
      </w:r>
      <w:r>
        <w:fldChar w:fldCharType="separate"/>
      </w:r>
      <w:r w:rsidR="00101DA6">
        <w:rPr>
          <w:noProof/>
        </w:rPr>
        <w:t>31</w:t>
      </w:r>
      <w:r>
        <w:fldChar w:fldCharType="end"/>
      </w:r>
      <w:r>
        <w:t>.  </w:t>
      </w:r>
      <w:r w:rsidR="00DA5736">
        <w:t>Although not specif</w:t>
      </w:r>
      <w:r w:rsidR="00C412C1">
        <w:t xml:space="preserve">ically mentioned in Article 6 of the Convention, the right to silence and the privilege against self-incrimination are generally recognised </w:t>
      </w:r>
      <w:r w:rsidR="00A55AB4">
        <w:t>international standards which lie at the heart of the notion of a fair procedure under Article 6 (</w:t>
      </w:r>
      <w:r w:rsidR="000D5557">
        <w:t xml:space="preserve">see </w:t>
      </w:r>
      <w:r w:rsidRPr="000642DD" w:rsidR="00A55AB4">
        <w:rPr>
          <w:i/>
        </w:rPr>
        <w:t>John Murray</w:t>
      </w:r>
      <w:r w:rsidR="00A55AB4">
        <w:t>, cited above, § 45).</w:t>
      </w:r>
    </w:p>
    <w:p w:rsidR="003B0F21" w:rsidRDefault="00D95539">
      <w:pPr>
        <w:pStyle w:val="JuPara"/>
      </w:pPr>
      <w:r>
        <w:fldChar w:fldCharType="begin"/>
      </w:r>
      <w:r>
        <w:instrText xml:space="preserve"> SEQ level0 \*arabic </w:instrText>
      </w:r>
      <w:r>
        <w:fldChar w:fldCharType="separate"/>
      </w:r>
      <w:r w:rsidR="00101DA6">
        <w:rPr>
          <w:noProof/>
        </w:rPr>
        <w:t>32</w:t>
      </w:r>
      <w:r>
        <w:fldChar w:fldCharType="end"/>
      </w:r>
      <w:r>
        <w:t>.  </w:t>
      </w:r>
      <w:r w:rsidR="002D385D">
        <w:t>While the Court has accepted that the drawing of adverse inferences from an accused</w:t>
      </w:r>
      <w:r w:rsidR="009D6A61">
        <w:t>'</w:t>
      </w:r>
      <w:r w:rsidR="002D385D">
        <w:t xml:space="preserve">s silence does </w:t>
      </w:r>
      <w:r>
        <w:t xml:space="preserve">not in itself infringe Article 6, the question of a possible violation </w:t>
      </w:r>
      <w:r w:rsidR="002D385D">
        <w:t>has to be determined in the light of all the circumstances of the case, having particular regard to the situations wh</w:t>
      </w:r>
      <w:r w:rsidR="00EA13A2">
        <w:t>ere inferences may be drawn, the weight attached to them by the national courts in their assessment of the evidence before them and the degree of compulsion inherent in the situation (ibid.</w:t>
      </w:r>
      <w:r w:rsidR="0033003D">
        <w:t>,</w:t>
      </w:r>
      <w:r w:rsidR="00EA13A2">
        <w:t xml:space="preserve"> § 47). </w:t>
      </w:r>
      <w:r>
        <w:t xml:space="preserve">The </w:t>
      </w:r>
      <w:r w:rsidRPr="00D95539" w:rsidR="00EA13A2">
        <w:rPr>
          <w:i/>
        </w:rPr>
        <w:t>John Murray</w:t>
      </w:r>
      <w:r>
        <w:t xml:space="preserve"> judgment</w:t>
      </w:r>
      <w:r w:rsidR="00EA13A2">
        <w:t xml:space="preserve"> concerned the application of a law which allowed the drawing of inferences from the accused</w:t>
      </w:r>
      <w:r w:rsidR="009D6A61">
        <w:t>'</w:t>
      </w:r>
      <w:r w:rsidR="00EA13A2">
        <w:t xml:space="preserve">s silence, where the prosecution had established a case against him which clearly called for an explanation. </w:t>
      </w:r>
      <w:r w:rsidR="009E4FD1">
        <w:t>Considering</w:t>
      </w:r>
      <w:r w:rsidR="0033003D">
        <w:t>,</w:t>
      </w:r>
      <w:r w:rsidR="009E4FD1">
        <w:t xml:space="preserve"> on the facts of the case, that the evidence adduced at the trial constituted a formidable case against the applicant, the Court found that the drawing of such inference</w:t>
      </w:r>
      <w:r>
        <w:t>s</w:t>
      </w:r>
      <w:r w:rsidR="009E4FD1">
        <w:t>, which was moreover subje</w:t>
      </w:r>
      <w:r>
        <w:t>c</w:t>
      </w:r>
      <w:r w:rsidR="009E4FD1">
        <w:t>t to important procedural safeguards, did not violate Article 6 §§ 1 and 2 in the circumstances of the case (ibid</w:t>
      </w:r>
      <w:r>
        <w:t>.</w:t>
      </w:r>
      <w:r w:rsidR="009E4FD1">
        <w:t xml:space="preserve">, §§ </w:t>
      </w:r>
      <w:r>
        <w:t>48-58</w:t>
      </w:r>
      <w:r w:rsidR="009E4FD1">
        <w:t>).</w:t>
      </w:r>
    </w:p>
    <w:p w:rsidR="00BB42C3" w:rsidRDefault="00D95539">
      <w:pPr>
        <w:pStyle w:val="JuPara"/>
      </w:pPr>
      <w:r>
        <w:fldChar w:fldCharType="begin"/>
      </w:r>
      <w:r>
        <w:instrText xml:space="preserve"> SEQ level0 \*arabic </w:instrText>
      </w:r>
      <w:r>
        <w:fldChar w:fldCharType="separate"/>
      </w:r>
      <w:r w:rsidR="00101DA6">
        <w:rPr>
          <w:noProof/>
        </w:rPr>
        <w:t>33</w:t>
      </w:r>
      <w:r>
        <w:fldChar w:fldCharType="end"/>
      </w:r>
      <w:r>
        <w:t>.  Furthermore, t</w:t>
      </w:r>
      <w:r w:rsidR="003B0F21">
        <w:t>he</w:t>
      </w:r>
      <w:r w:rsidR="00F244FD">
        <w:t xml:space="preserve"> </w:t>
      </w:r>
      <w:r w:rsidR="003B0F21">
        <w:t>Court has held that the drawing of inferences</w:t>
      </w:r>
      <w:r w:rsidR="00F244FD">
        <w:t xml:space="preserve"> from an accused</w:t>
      </w:r>
      <w:r w:rsidR="009D6A61">
        <w:t>'</w:t>
      </w:r>
      <w:r w:rsidR="00F244FD">
        <w:t xml:space="preserve">s silence may also be permissible in a system like the Austrian one where the courts freely evaluate the evidence before them, provided that the evidence is such that the only common-sense inference to </w:t>
      </w:r>
      <w:r w:rsidR="0033003D">
        <w:t xml:space="preserve">be </w:t>
      </w:r>
      <w:r w:rsidR="00F244FD">
        <w:t>drawn is that the accused has no answ</w:t>
      </w:r>
      <w:r w:rsidR="008129A2">
        <w:t>er to the case against him (see</w:t>
      </w:r>
      <w:r w:rsidR="00F244FD">
        <w:t xml:space="preserve"> </w:t>
      </w:r>
      <w:r w:rsidRPr="00DA5736" w:rsidR="00F244FD">
        <w:rPr>
          <w:i/>
        </w:rPr>
        <w:t>Telfner v. Austria</w:t>
      </w:r>
      <w:r w:rsidR="00F244FD">
        <w:t xml:space="preserve">, no. 33501/96, § </w:t>
      </w:r>
      <w:r w:rsidR="00DA5736">
        <w:t>17, 20 March 2001).</w:t>
      </w:r>
    </w:p>
    <w:p w:rsidR="00BB42C3" w:rsidRDefault="00D95539">
      <w:pPr>
        <w:pStyle w:val="JuPara"/>
        <w:rPr>
          <w:lang w:eastAsia="en-US"/>
        </w:rPr>
      </w:pPr>
      <w:r>
        <w:fldChar w:fldCharType="begin"/>
      </w:r>
      <w:r>
        <w:instrText xml:space="preserve"> SEQ level0 \*arabic </w:instrText>
      </w:r>
      <w:r>
        <w:fldChar w:fldCharType="separate"/>
      </w:r>
      <w:r w:rsidR="00101DA6">
        <w:rPr>
          <w:noProof/>
        </w:rPr>
        <w:t>34</w:t>
      </w:r>
      <w:r>
        <w:fldChar w:fldCharType="end"/>
      </w:r>
      <w:r>
        <w:t>.  </w:t>
      </w:r>
      <w:r w:rsidR="00EA13A2">
        <w:t>Similarly</w:t>
      </w:r>
      <w:r w:rsidR="009A2A58">
        <w:t>,</w:t>
      </w:r>
      <w:r w:rsidR="00EA13A2">
        <w:t xml:space="preserve"> a person</w:t>
      </w:r>
      <w:r w:rsidR="009D6A61">
        <w:t>'</w:t>
      </w:r>
      <w:r w:rsidR="00EA13A2">
        <w:t xml:space="preserve">s right in a criminal case to be presumed innocent and to require the prosecution </w:t>
      </w:r>
      <w:r w:rsidR="0033003D">
        <w:t xml:space="preserve">to </w:t>
      </w:r>
      <w:r w:rsidR="00EA13A2">
        <w:t>bear the onus of proving the allegations against him or her is not absolute</w:t>
      </w:r>
      <w:r w:rsidR="00F3575E">
        <w:t xml:space="preserve">, since presumptions of fact or law operate in every criminal-law system and are not prohibited in principle by the Convention, as long as States remain within reasonable limits, taking into account the importance of what is at stake and maintaining the rights of the defence (see </w:t>
      </w:r>
      <w:r w:rsidRPr="00F3575E" w:rsidR="00F3575E">
        <w:rPr>
          <w:i/>
          <w:lang w:eastAsia="en-US"/>
        </w:rPr>
        <w:t>Salabiaku v. France</w:t>
      </w:r>
      <w:r w:rsidRPr="00F3575E" w:rsidR="00F3575E">
        <w:rPr>
          <w:lang w:eastAsia="en-US"/>
        </w:rPr>
        <w:t>, 7 October 1988, §</w:t>
      </w:r>
      <w:r w:rsidR="00F3575E">
        <w:rPr>
          <w:lang w:eastAsia="en-US"/>
        </w:rPr>
        <w:t xml:space="preserve"> 28</w:t>
      </w:r>
      <w:r>
        <w:rPr>
          <w:lang w:eastAsia="en-US"/>
        </w:rPr>
        <w:t>, Series A no. </w:t>
      </w:r>
      <w:r w:rsidR="00F3575E">
        <w:rPr>
          <w:lang w:eastAsia="en-US"/>
        </w:rPr>
        <w:t>141</w:t>
      </w:r>
      <w:r w:rsidR="00F3575E">
        <w:rPr>
          <w:lang w:eastAsia="en-US"/>
        </w:rPr>
        <w:noBreakHyphen/>
        <w:t>A).</w:t>
      </w:r>
    </w:p>
    <w:p w:rsidR="00111877" w:rsidRDefault="00793F1D">
      <w:pPr>
        <w:pStyle w:val="JuPara"/>
      </w:pPr>
      <w:r>
        <w:fldChar w:fldCharType="begin"/>
      </w:r>
      <w:r>
        <w:instrText xml:space="preserve"> SEQ level0 \*arabic </w:instrText>
      </w:r>
      <w:r>
        <w:fldChar w:fldCharType="separate"/>
      </w:r>
      <w:r w:rsidR="00101DA6">
        <w:rPr>
          <w:noProof/>
        </w:rPr>
        <w:t>35</w:t>
      </w:r>
      <w:r>
        <w:fldChar w:fldCharType="end"/>
      </w:r>
      <w:r>
        <w:t>.  In addition to these general principles</w:t>
      </w:r>
      <w:r w:rsidR="000642DD">
        <w:t>, t</w:t>
      </w:r>
      <w:r w:rsidR="005C5FDA">
        <w:t xml:space="preserve">he Court </w:t>
      </w:r>
      <w:r w:rsidR="009C23AF">
        <w:t xml:space="preserve">reiterates its </w:t>
      </w:r>
      <w:r w:rsidR="005C5FDA">
        <w:t xml:space="preserve">case-law </w:t>
      </w:r>
      <w:r w:rsidR="009C23AF">
        <w:t xml:space="preserve">concerning the right to silence and the presumption of innocence in the specific </w:t>
      </w:r>
      <w:r w:rsidR="006B6A58">
        <w:t xml:space="preserve">context </w:t>
      </w:r>
      <w:r>
        <w:t>of the pro</w:t>
      </w:r>
      <w:r w:rsidR="009C23AF">
        <w:t xml:space="preserve">secution of </w:t>
      </w:r>
      <w:r w:rsidR="000642DD">
        <w:t>road traffic offences.</w:t>
      </w:r>
    </w:p>
    <w:p w:rsidR="00111877" w:rsidRDefault="00793F1D">
      <w:pPr>
        <w:pStyle w:val="JuPara"/>
      </w:pPr>
      <w:r>
        <w:fldChar w:fldCharType="begin"/>
      </w:r>
      <w:r>
        <w:instrText xml:space="preserve"> SEQ level0 \*arabic </w:instrText>
      </w:r>
      <w:r>
        <w:fldChar w:fldCharType="separate"/>
      </w:r>
      <w:r w:rsidR="00101DA6">
        <w:rPr>
          <w:noProof/>
        </w:rPr>
        <w:t>36</w:t>
      </w:r>
      <w:r>
        <w:fldChar w:fldCharType="end"/>
      </w:r>
      <w:r>
        <w:t>.  </w:t>
      </w:r>
      <w:r w:rsidR="00F62225">
        <w:t xml:space="preserve">In </w:t>
      </w:r>
      <w:r w:rsidRPr="00F62225" w:rsidR="00F62225">
        <w:rPr>
          <w:i/>
          <w:lang w:eastAsia="en-US"/>
        </w:rPr>
        <w:t>O</w:t>
      </w:r>
      <w:r w:rsidR="009D6A61">
        <w:rPr>
          <w:i/>
          <w:lang w:eastAsia="en-US"/>
        </w:rPr>
        <w:t>'</w:t>
      </w:r>
      <w:r w:rsidRPr="00F62225" w:rsidR="00F62225">
        <w:rPr>
          <w:i/>
          <w:lang w:eastAsia="en-US"/>
        </w:rPr>
        <w:t>Halloran and Francis v. the United Kingdom</w:t>
      </w:r>
      <w:r w:rsidR="006B6A58">
        <w:rPr>
          <w:lang w:eastAsia="en-US"/>
        </w:rPr>
        <w:t xml:space="preserve"> [GC]</w:t>
      </w:r>
      <w:r w:rsidRPr="00F62225" w:rsidR="00F62225">
        <w:rPr>
          <w:lang w:eastAsia="en-US"/>
        </w:rPr>
        <w:t xml:space="preserve"> </w:t>
      </w:r>
      <w:r w:rsidR="006B6A58">
        <w:rPr>
          <w:lang w:eastAsia="en-US"/>
        </w:rPr>
        <w:t>(</w:t>
      </w:r>
      <w:r w:rsidR="008129A2">
        <w:rPr>
          <w:lang w:eastAsia="en-US"/>
        </w:rPr>
        <w:t>nos. </w:t>
      </w:r>
      <w:r w:rsidRPr="00F62225" w:rsidR="00F62225">
        <w:rPr>
          <w:lang w:eastAsia="en-US"/>
        </w:rPr>
        <w:t>15809/02 and 25624/02, §</w:t>
      </w:r>
      <w:r>
        <w:rPr>
          <w:lang w:eastAsia="en-US"/>
        </w:rPr>
        <w:t>§ 55-63</w:t>
      </w:r>
      <w:r w:rsidRPr="00F62225" w:rsidR="00F62225">
        <w:rPr>
          <w:lang w:eastAsia="en-US"/>
        </w:rPr>
        <w:t>, ECHR 2007</w:t>
      </w:r>
      <w:r w:rsidRPr="00F62225" w:rsidR="00F62225">
        <w:rPr>
          <w:lang w:eastAsia="en-US"/>
        </w:rPr>
        <w:noBreakHyphen/>
        <w:t>VIII</w:t>
      </w:r>
      <w:r w:rsidR="006B6A58">
        <w:rPr>
          <w:lang w:eastAsia="en-US"/>
        </w:rPr>
        <w:t>)</w:t>
      </w:r>
      <w:r w:rsidR="00F62225">
        <w:rPr>
          <w:lang w:eastAsia="en-US"/>
        </w:rPr>
        <w:t xml:space="preserve"> and</w:t>
      </w:r>
      <w:r w:rsidR="000642DD">
        <w:rPr>
          <w:lang w:eastAsia="en-US"/>
        </w:rPr>
        <w:t>,</w:t>
      </w:r>
      <w:r w:rsidR="00F62225">
        <w:rPr>
          <w:lang w:eastAsia="en-US"/>
        </w:rPr>
        <w:t xml:space="preserve"> subsequently</w:t>
      </w:r>
      <w:r w:rsidR="000642DD">
        <w:rPr>
          <w:lang w:eastAsia="en-US"/>
        </w:rPr>
        <w:t>,</w:t>
      </w:r>
      <w:r w:rsidR="00F62225">
        <w:rPr>
          <w:lang w:eastAsia="en-US"/>
        </w:rPr>
        <w:t xml:space="preserve"> in </w:t>
      </w:r>
      <w:r w:rsidR="00F62225">
        <w:rPr>
          <w:i/>
        </w:rPr>
        <w:t>Lü</w:t>
      </w:r>
      <w:r w:rsidRPr="00F62225" w:rsidR="00111877">
        <w:rPr>
          <w:i/>
        </w:rPr>
        <w:t>ckhof and Spanner</w:t>
      </w:r>
      <w:r w:rsidR="00F62225">
        <w:t xml:space="preserve"> </w:t>
      </w:r>
      <w:r w:rsidR="006B6A58">
        <w:t>(</w:t>
      </w:r>
      <w:r w:rsidR="00F62225">
        <w:t xml:space="preserve">nos. 58452/00 and 61920/00, </w:t>
      </w:r>
      <w:r w:rsidR="006B6A58">
        <w:t>§</w:t>
      </w:r>
      <w:r>
        <w:t>§ 52-59,</w:t>
      </w:r>
      <w:r w:rsidR="006B6A58">
        <w:t xml:space="preserve"> </w:t>
      </w:r>
      <w:r w:rsidR="00F62225">
        <w:t>10 January 2008</w:t>
      </w:r>
      <w:r w:rsidR="006B6A58">
        <w:t>)</w:t>
      </w:r>
      <w:r w:rsidR="00F62225">
        <w:t xml:space="preserve">, the Court found that the </w:t>
      </w:r>
      <w:r w:rsidR="00BE13F6">
        <w:t xml:space="preserve">obligation for the </w:t>
      </w:r>
      <w:r w:rsidR="00F62225">
        <w:t>registered keeper</w:t>
      </w:r>
      <w:r w:rsidR="00BE13F6">
        <w:t xml:space="preserve"> of the vehicle</w:t>
      </w:r>
      <w:r w:rsidR="00F62225">
        <w:t xml:space="preserve"> to disclose, on pain of a fine, who had been the driver at </w:t>
      </w:r>
      <w:r w:rsidR="00021EC3">
        <w:t xml:space="preserve">the </w:t>
      </w:r>
      <w:r w:rsidR="00F62225">
        <w:t xml:space="preserve">time when a traffic offence </w:t>
      </w:r>
      <w:r w:rsidR="00BE13F6">
        <w:t>was</w:t>
      </w:r>
      <w:r w:rsidR="00F62225">
        <w:t xml:space="preserve"> committed did not violate the right to silence and the privilege against self-incrimination.</w:t>
      </w:r>
      <w:r w:rsidR="00C31312">
        <w:t xml:space="preserve"> </w:t>
      </w:r>
      <w:r w:rsidR="0029712F">
        <w:t xml:space="preserve">In coming to that conclusion it had regard to the fact that although direct compulsion was brought to bear on the respective applicants </w:t>
      </w:r>
      <w:r w:rsidR="000642DD">
        <w:t>as</w:t>
      </w:r>
      <w:r w:rsidR="00BE13F6">
        <w:t xml:space="preserve"> the</w:t>
      </w:r>
      <w:r w:rsidR="000642DD">
        <w:t xml:space="preserve"> </w:t>
      </w:r>
      <w:r w:rsidR="0029712F">
        <w:t>registered keeper</w:t>
      </w:r>
      <w:r w:rsidR="000642DD">
        <w:t>s of a car</w:t>
      </w:r>
      <w:r w:rsidR="0029712F">
        <w:t xml:space="preserve">, it had to be seen </w:t>
      </w:r>
      <w:r w:rsidR="000642DD">
        <w:t>in the specific context</w:t>
      </w:r>
      <w:r w:rsidR="0029712F">
        <w:t xml:space="preserve"> of </w:t>
      </w:r>
      <w:r w:rsidR="008A7FB6">
        <w:t xml:space="preserve">the regulatory regime for the use of motor vehicles </w:t>
      </w:r>
      <w:r w:rsidR="006B6A58">
        <w:t>in which</w:t>
      </w:r>
      <w:r w:rsidR="008A7FB6">
        <w:t xml:space="preserve"> car owners and drivers </w:t>
      </w:r>
      <w:r w:rsidR="006B6A58">
        <w:t xml:space="preserve">subjected themselves </w:t>
      </w:r>
      <w:r w:rsidR="008A7FB6">
        <w:t xml:space="preserve">to certain responsibilities and obligations. </w:t>
      </w:r>
      <w:r w:rsidR="00903C53">
        <w:t xml:space="preserve">The Court </w:t>
      </w:r>
      <w:r w:rsidR="008A7FB6">
        <w:t xml:space="preserve">also had regard to </w:t>
      </w:r>
      <w:r w:rsidR="006B6A58">
        <w:t xml:space="preserve">the </w:t>
      </w:r>
      <w:r w:rsidR="008A7FB6">
        <w:t>nature of the penalties and the limited n</w:t>
      </w:r>
      <w:r w:rsidR="006B6A58">
        <w:t>ature of the inquiry permitted</w:t>
      </w:r>
      <w:r w:rsidR="00424AE3">
        <w:t>.</w:t>
      </w:r>
      <w:r w:rsidR="008A7FB6">
        <w:t xml:space="preserve"> Finally</w:t>
      </w:r>
      <w:r w:rsidR="006B6A58">
        <w:t>,</w:t>
      </w:r>
      <w:r w:rsidR="008A7FB6">
        <w:t xml:space="preserve"> it noted that certain procedural safeguards were in place so that the </w:t>
      </w:r>
      <w:r w:rsidR="006B6A58">
        <w:t xml:space="preserve">registered keeper of the car </w:t>
      </w:r>
      <w:r w:rsidR="008A7FB6">
        <w:t>was not left without any defence.</w:t>
      </w:r>
    </w:p>
    <w:p w:rsidR="00111877" w:rsidP="00406B44" w:rsidRDefault="00793F1D">
      <w:pPr>
        <w:pStyle w:val="JuPara"/>
        <w:rPr>
          <w:lang w:eastAsia="en-US"/>
        </w:rPr>
      </w:pPr>
      <w:r>
        <w:fldChar w:fldCharType="begin"/>
      </w:r>
      <w:r>
        <w:instrText xml:space="preserve"> SEQ level0 \*arabic </w:instrText>
      </w:r>
      <w:r>
        <w:fldChar w:fldCharType="separate"/>
      </w:r>
      <w:r w:rsidR="00101DA6">
        <w:rPr>
          <w:noProof/>
        </w:rPr>
        <w:t>37</w:t>
      </w:r>
      <w:r>
        <w:fldChar w:fldCharType="end"/>
      </w:r>
      <w:r>
        <w:t>.  </w:t>
      </w:r>
      <w:r w:rsidR="008A7FB6">
        <w:t xml:space="preserve">In </w:t>
      </w:r>
      <w:r w:rsidRPr="006B6A58" w:rsidR="008A7FB6">
        <w:rPr>
          <w:i/>
        </w:rPr>
        <w:t>Falk v. the Netherlands</w:t>
      </w:r>
      <w:r w:rsidR="00192AC6">
        <w:t xml:space="preserve"> (dec.), (no. 66273/01,</w:t>
      </w:r>
      <w:r w:rsidR="0029655E">
        <w:t xml:space="preserve"> </w:t>
      </w:r>
      <w:r w:rsidR="00192AC6">
        <w:t xml:space="preserve">19 October 2004) </w:t>
      </w:r>
      <w:r w:rsidR="009C23AF">
        <w:t>the Court found that the registered owner</w:t>
      </w:r>
      <w:r w:rsidR="009D6A61">
        <w:t>'</w:t>
      </w:r>
      <w:r w:rsidR="009C23AF">
        <w:t xml:space="preserve">s liability for minor traffic </w:t>
      </w:r>
      <w:r w:rsidR="00B806F3">
        <w:t xml:space="preserve">offences </w:t>
      </w:r>
      <w:r w:rsidR="009C23AF">
        <w:t xml:space="preserve">was not incompatible with Article 6 § 2 of the Convention. </w:t>
      </w:r>
      <w:r w:rsidR="00903C53">
        <w:t xml:space="preserve">In </w:t>
      </w:r>
      <w:r w:rsidR="009C23AF">
        <w:t xml:space="preserve">reaching that conclusion it had regard to its case-law </w:t>
      </w:r>
      <w:r w:rsidR="00B806F3">
        <w:t xml:space="preserve">concerning the use </w:t>
      </w:r>
      <w:r w:rsidR="00BE13F6">
        <w:t xml:space="preserve">of </w:t>
      </w:r>
      <w:r w:rsidR="00B806F3">
        <w:t xml:space="preserve">presumptions in criminal law, </w:t>
      </w:r>
      <w:r w:rsidR="00406B44">
        <w:t>and also noted that the person concerned could challenge the fine before a trial court with full competence in the matter and was not left without any me</w:t>
      </w:r>
      <w:r w:rsidR="00424AE3">
        <w:t>ans of defence</w:t>
      </w:r>
      <w:r w:rsidR="0052762E">
        <w:t>.</w:t>
      </w:r>
    </w:p>
    <w:p w:rsidR="00AC45CB" w:rsidRDefault="00793F1D">
      <w:pPr>
        <w:pStyle w:val="JuPara"/>
      </w:pPr>
      <w:r>
        <w:fldChar w:fldCharType="begin"/>
      </w:r>
      <w:r>
        <w:instrText xml:space="preserve"> SEQ level0 \*arabic </w:instrText>
      </w:r>
      <w:r>
        <w:fldChar w:fldCharType="separate"/>
      </w:r>
      <w:r w:rsidR="00101DA6">
        <w:rPr>
          <w:noProof/>
        </w:rPr>
        <w:t>38</w:t>
      </w:r>
      <w:r>
        <w:fldChar w:fldCharType="end"/>
      </w:r>
      <w:r>
        <w:t>.  </w:t>
      </w:r>
      <w:r w:rsidR="00406B44">
        <w:t xml:space="preserve">The Court observes that </w:t>
      </w:r>
      <w:r w:rsidR="00AC45CB">
        <w:t xml:space="preserve">in the present case </w:t>
      </w:r>
      <w:r w:rsidR="009C23AF">
        <w:t xml:space="preserve">the </w:t>
      </w:r>
      <w:r w:rsidR="006E295F">
        <w:t>authorities</w:t>
      </w:r>
      <w:r w:rsidR="00AC45CB">
        <w:t xml:space="preserve"> did not make use of the possibility to punish the app</w:t>
      </w:r>
      <w:r w:rsidR="00F62225">
        <w:t xml:space="preserve">licant for failure to disclose the identity of </w:t>
      </w:r>
      <w:r w:rsidR="008A7FB6">
        <w:t>the</w:t>
      </w:r>
      <w:r w:rsidR="008129A2">
        <w:t xml:space="preserve"> driver </w:t>
      </w:r>
      <w:r w:rsidR="00903C53">
        <w:t>under</w:t>
      </w:r>
      <w:r w:rsidR="008129A2">
        <w:t xml:space="preserve"> section 103</w:t>
      </w:r>
      <w:r w:rsidR="008A7FB6">
        <w:t xml:space="preserve">(2) of </w:t>
      </w:r>
      <w:r w:rsidR="005A5C9E">
        <w:t>the Motor Vehicles Act.</w:t>
      </w:r>
      <w:r w:rsidR="00AC45CB">
        <w:t xml:space="preserve"> </w:t>
      </w:r>
      <w:r w:rsidR="005A5C9E">
        <w:t xml:space="preserve">In fact these proceedings were discontinued. </w:t>
      </w:r>
      <w:r w:rsidR="00AC45CB">
        <w:t>For reasons which remain unclear</w:t>
      </w:r>
      <w:r w:rsidR="005A5C9E">
        <w:t>,</w:t>
      </w:r>
      <w:r w:rsidR="00AC45CB">
        <w:t xml:space="preserve"> the authorities chose to prosecute </w:t>
      </w:r>
      <w:r w:rsidR="005A5C9E">
        <w:t xml:space="preserve">the applicant </w:t>
      </w:r>
      <w:r w:rsidR="00AC45CB">
        <w:t>for</w:t>
      </w:r>
      <w:r w:rsidR="00062EED">
        <w:t xml:space="preserve"> the underlying traffic offence, namely speeding.</w:t>
      </w:r>
      <w:r w:rsidR="00AC45CB">
        <w:t xml:space="preserve"> In this context it is noted that Austrian law </w:t>
      </w:r>
      <w:r w:rsidR="007D7F66">
        <w:t>does not contain any presumption that the registered keeper of a motor vehicle is to be considered as the driver unless he proves otherwise, nor does it establish the registered keeper</w:t>
      </w:r>
      <w:r w:rsidR="009D6A61">
        <w:t>'</w:t>
      </w:r>
      <w:r w:rsidR="007D7F66">
        <w:t>s liability for traffic offences committed with the motor vehicle.</w:t>
      </w:r>
    </w:p>
    <w:p w:rsidR="00BB42C3" w:rsidRDefault="00793F1D">
      <w:pPr>
        <w:pStyle w:val="JuPara"/>
      </w:pPr>
      <w:r>
        <w:fldChar w:fldCharType="begin"/>
      </w:r>
      <w:r>
        <w:instrText xml:space="preserve"> SEQ level0 \*arabic </w:instrText>
      </w:r>
      <w:r>
        <w:fldChar w:fldCharType="separate"/>
      </w:r>
      <w:r w:rsidR="00101DA6">
        <w:rPr>
          <w:noProof/>
        </w:rPr>
        <w:t>39</w:t>
      </w:r>
      <w:r>
        <w:fldChar w:fldCharType="end"/>
      </w:r>
      <w:r>
        <w:t>.  </w:t>
      </w:r>
      <w:r w:rsidR="00AC45CB">
        <w:t xml:space="preserve">It is therefore to be examined in accordance with the general principles </w:t>
      </w:r>
      <w:r w:rsidR="005A5C9E">
        <w:t xml:space="preserve">set out above </w:t>
      </w:r>
      <w:r w:rsidR="00AC45CB">
        <w:t>whether or not the applicant</w:t>
      </w:r>
      <w:r w:rsidR="009D6A61">
        <w:t>'</w:t>
      </w:r>
      <w:r w:rsidR="00AC45CB">
        <w:t>s conviction for speeding violated Article 6 §§ 1 and 2.</w:t>
      </w:r>
    </w:p>
    <w:p w:rsidR="00BA1BF1" w:rsidP="004606E6" w:rsidRDefault="00793F1D">
      <w:pPr>
        <w:pStyle w:val="JuPara"/>
      </w:pPr>
      <w:r>
        <w:fldChar w:fldCharType="begin"/>
      </w:r>
      <w:r>
        <w:instrText xml:space="preserve"> SEQ level0 \*arabic </w:instrText>
      </w:r>
      <w:r>
        <w:fldChar w:fldCharType="separate"/>
      </w:r>
      <w:r w:rsidR="00101DA6">
        <w:rPr>
          <w:noProof/>
        </w:rPr>
        <w:t>40</w:t>
      </w:r>
      <w:r>
        <w:fldChar w:fldCharType="end"/>
      </w:r>
      <w:r>
        <w:t>.  </w:t>
      </w:r>
      <w:r w:rsidR="00DB0B42">
        <w:t>The Government argued in essence that the Independent Administrative Panel, which freely evaluates the evidence before it, drew inferences from the manner in which the applicant conducted his defence in a situation that clearly required an explanation. The Court is not convinced by that argument. The only evidence which the Independent Administrative Panel possessed were a speed recording of the car of which the applicant was the registered keeper and the policeman</w:t>
      </w:r>
      <w:r w:rsidR="009D6A61">
        <w:t>'</w:t>
      </w:r>
      <w:r w:rsidR="00DB0B42">
        <w:t>s statement that this recording had been duly made. There was no evidence giving any indication as to the identity of the driver. Furthermore, the Independent Administrative Panel had before it the applicant</w:t>
      </w:r>
      <w:r w:rsidR="009D6A61">
        <w:t>'</w:t>
      </w:r>
      <w:r w:rsidR="00DB0B42">
        <w:t xml:space="preserve">s written submission in which he claimed that he had not been driving the car, had not even been in Austria at the material time and was not in a position to provide the name and address of the driver as the car had been used regularly by a number of persons. The Court cannot find that in such a situation the only common-sense conclusion was that the applicant himself had been the driver. By requiring the applicant to provide an explanation although it had not been able to establish a convincing prima facie case against him, the Independent Administrative Panel shifted the burden of proof from the prosecution to the defence (see, </w:t>
      </w:r>
      <w:r w:rsidRPr="00C74EA4" w:rsidR="00DB0B42">
        <w:rPr>
          <w:i/>
        </w:rPr>
        <w:t>Telfner</w:t>
      </w:r>
      <w:r w:rsidR="00DB0B42">
        <w:t>, cited above, § 18).</w:t>
      </w:r>
    </w:p>
    <w:p w:rsidR="00BB42C3" w:rsidP="00424AE3" w:rsidRDefault="00793F1D">
      <w:pPr>
        <w:pStyle w:val="JuPara"/>
      </w:pPr>
      <w:r>
        <w:fldChar w:fldCharType="begin"/>
      </w:r>
      <w:r>
        <w:instrText xml:space="preserve"> SEQ level0 \*arabic </w:instrText>
      </w:r>
      <w:r>
        <w:fldChar w:fldCharType="separate"/>
      </w:r>
      <w:r w:rsidR="00101DA6">
        <w:rPr>
          <w:noProof/>
        </w:rPr>
        <w:t>41</w:t>
      </w:r>
      <w:r>
        <w:fldChar w:fldCharType="end"/>
      </w:r>
      <w:r>
        <w:t>.  </w:t>
      </w:r>
      <w:r w:rsidR="00C93DCF">
        <w:t xml:space="preserve">Moreover, the Court notes that there were no </w:t>
      </w:r>
      <w:r w:rsidR="00D515FF">
        <w:t xml:space="preserve">sufficient </w:t>
      </w:r>
      <w:r w:rsidR="00C93DCF">
        <w:t xml:space="preserve">procedural safeguards in place. </w:t>
      </w:r>
      <w:r w:rsidR="00062EED">
        <w:t xml:space="preserve">The Independent Administrative Panel found that it </w:t>
      </w:r>
      <w:r w:rsidR="00A02C27">
        <w:t>had</w:t>
      </w:r>
      <w:r w:rsidR="00062EED">
        <w:t xml:space="preserve"> been for the applicant to make specific submission</w:t>
      </w:r>
      <w:r w:rsidR="009E4FD1">
        <w:t>s</w:t>
      </w:r>
      <w:r w:rsidR="00062EED">
        <w:t xml:space="preserve"> as to his whereabouts and to submit evidence. </w:t>
      </w:r>
      <w:r w:rsidR="00686E2E">
        <w:t xml:space="preserve">In addition, pursuant to section 51e of the </w:t>
      </w:r>
      <w:r w:rsidR="00556CA2">
        <w:t>Administrative Offences</w:t>
      </w:r>
      <w:r w:rsidR="00686E2E">
        <w:t xml:space="preserve"> Act</w:t>
      </w:r>
      <w:r w:rsidR="00D515FF">
        <w:t>,</w:t>
      </w:r>
      <w:r w:rsidR="00686E2E">
        <w:t xml:space="preserve"> the I</w:t>
      </w:r>
      <w:r w:rsidR="00C93DCF">
        <w:t xml:space="preserve">ndependent Administrative Panel, which was the first and only </w:t>
      </w:r>
      <w:r w:rsidR="000D5557">
        <w:t xml:space="preserve">court </w:t>
      </w:r>
      <w:r w:rsidR="00C93DCF">
        <w:t>to examine the case</w:t>
      </w:r>
      <w:r w:rsidR="000642DD">
        <w:t xml:space="preserve"> (see </w:t>
      </w:r>
      <w:r w:rsidRPr="000642DD" w:rsidR="000642DD">
        <w:rPr>
          <w:i/>
          <w:lang w:eastAsia="en-US"/>
        </w:rPr>
        <w:t>Baischer v. Austria</w:t>
      </w:r>
      <w:r w:rsidR="00FA57C3">
        <w:rPr>
          <w:lang w:eastAsia="en-US"/>
        </w:rPr>
        <w:t>, no.</w:t>
      </w:r>
      <w:r w:rsidR="00535D99">
        <w:rPr>
          <w:lang w:eastAsia="en-US"/>
        </w:rPr>
        <w:t> </w:t>
      </w:r>
      <w:r w:rsidR="00FA57C3">
        <w:rPr>
          <w:lang w:eastAsia="en-US"/>
        </w:rPr>
        <w:t>32381/96, §§ 25-30</w:t>
      </w:r>
      <w:r w:rsidRPr="000642DD" w:rsidR="000642DD">
        <w:rPr>
          <w:lang w:eastAsia="en-US"/>
        </w:rPr>
        <w:t>, 20 December 2001</w:t>
      </w:r>
      <w:r w:rsidR="000642DD">
        <w:rPr>
          <w:lang w:eastAsia="en-US"/>
        </w:rPr>
        <w:t>)</w:t>
      </w:r>
      <w:r w:rsidR="00C93DCF">
        <w:t xml:space="preserve">, </w:t>
      </w:r>
      <w:r w:rsidR="00686E2E">
        <w:t>was not obliged to hold a hearing</w:t>
      </w:r>
      <w:r w:rsidR="009B5E1F">
        <w:t xml:space="preserve"> unless the applicant requested one. </w:t>
      </w:r>
      <w:r w:rsidR="00424AE3">
        <w:t>Thus, not only the burden of proof but the responsibility for the conduct of the proceedings was shifted on</w:t>
      </w:r>
      <w:r w:rsidR="00BE13F6">
        <w:t xml:space="preserve"> to</w:t>
      </w:r>
      <w:r w:rsidR="00424AE3">
        <w:t xml:space="preserve"> the applicant. </w:t>
      </w:r>
      <w:r w:rsidR="00D515FF">
        <w:t xml:space="preserve">The </w:t>
      </w:r>
      <w:r w:rsidR="009B5E1F">
        <w:t>Court</w:t>
      </w:r>
      <w:r w:rsidR="00686E2E">
        <w:t xml:space="preserve"> </w:t>
      </w:r>
      <w:r w:rsidR="009B5E1F">
        <w:t>considers that if the Independent Administrat</w:t>
      </w:r>
      <w:r w:rsidR="00686E2E">
        <w:t>ive Panel wished to draw inferences from the applicant</w:t>
      </w:r>
      <w:r w:rsidR="009D6A61">
        <w:t>'</w:t>
      </w:r>
      <w:r w:rsidR="00686E2E">
        <w:t>s refusal to disclose the identity of the driver, it should have held a hearing of its own motion</w:t>
      </w:r>
      <w:r w:rsidR="00BA1BF1">
        <w:t xml:space="preserve"> in order to question the applicant and to obtain a direct impression of his credibility.</w:t>
      </w:r>
    </w:p>
    <w:p w:rsidR="00AC45CB" w:rsidRDefault="00FA57C3">
      <w:pPr>
        <w:pStyle w:val="JuPara"/>
      </w:pPr>
      <w:r>
        <w:fldChar w:fldCharType="begin"/>
      </w:r>
      <w:r>
        <w:instrText xml:space="preserve"> SEQ level0 \*arabic </w:instrText>
      </w:r>
      <w:r>
        <w:fldChar w:fldCharType="separate"/>
      </w:r>
      <w:r w:rsidR="00101DA6">
        <w:rPr>
          <w:noProof/>
        </w:rPr>
        <w:t>42</w:t>
      </w:r>
      <w:r>
        <w:fldChar w:fldCharType="end"/>
      </w:r>
      <w:r>
        <w:t>.  </w:t>
      </w:r>
      <w:r w:rsidR="00BD0967">
        <w:t>In sum</w:t>
      </w:r>
      <w:r w:rsidR="00424AE3">
        <w:t>,</w:t>
      </w:r>
      <w:r w:rsidR="00BD0967">
        <w:t xml:space="preserve"> the drawing of inferences in a situation which did not clearly call for an explanation from the applicant and without </w:t>
      </w:r>
      <w:r w:rsidR="00D515FF">
        <w:t xml:space="preserve">sufficient </w:t>
      </w:r>
      <w:r w:rsidR="00BD0967">
        <w:t>procedural safe</w:t>
      </w:r>
      <w:r w:rsidR="00062EED">
        <w:t>guards being applied violated the applicant</w:t>
      </w:r>
      <w:r w:rsidR="009D6A61">
        <w:t>'</w:t>
      </w:r>
      <w:r w:rsidR="00062EED">
        <w:t>s right to silence and the presumption of innocence.</w:t>
      </w:r>
    </w:p>
    <w:p w:rsidR="00AC45CB" w:rsidRDefault="00FA57C3">
      <w:pPr>
        <w:pStyle w:val="JuPara"/>
      </w:pPr>
      <w:r>
        <w:fldChar w:fldCharType="begin"/>
      </w:r>
      <w:r>
        <w:instrText xml:space="preserve"> SEQ level0 \*arabic </w:instrText>
      </w:r>
      <w:r>
        <w:fldChar w:fldCharType="separate"/>
      </w:r>
      <w:r w:rsidR="00101DA6">
        <w:rPr>
          <w:noProof/>
        </w:rPr>
        <w:t>43</w:t>
      </w:r>
      <w:r>
        <w:fldChar w:fldCharType="end"/>
      </w:r>
      <w:r>
        <w:t>.  </w:t>
      </w:r>
      <w:r w:rsidR="00BD0967">
        <w:t xml:space="preserve">There has therefore been a violation of Article </w:t>
      </w:r>
      <w:r w:rsidR="007A5B99">
        <w:t>6 §§ 1 and 2 of the Convention.</w:t>
      </w:r>
    </w:p>
    <w:p w:rsidRPr="00FB5487" w:rsidR="00F71A6A" w:rsidRDefault="00FA57C3">
      <w:pPr>
        <w:pStyle w:val="JuHIRoman"/>
      </w:pPr>
      <w:r>
        <w:t>II</w:t>
      </w:r>
      <w:r w:rsidRPr="00FB5487" w:rsidR="00F71A6A">
        <w:t>.  APPLICATION OF ARTICLE 41 OF THE CONVENTION</w:t>
      </w:r>
    </w:p>
    <w:p w:rsidRPr="00FB5487" w:rsidR="00F71A6A" w:rsidRDefault="00FB5487">
      <w:pPr>
        <w:pStyle w:val="JuPara"/>
        <w:keepNext/>
        <w:keepLines/>
      </w:pPr>
      <w:r w:rsidRPr="00FB5487">
        <w:fldChar w:fldCharType="begin"/>
      </w:r>
      <w:r w:rsidRPr="00FB5487">
        <w:instrText xml:space="preserve"> SEQ level0 \*arabic </w:instrText>
      </w:r>
      <w:r w:rsidRPr="00FB5487">
        <w:fldChar w:fldCharType="separate"/>
      </w:r>
      <w:r w:rsidR="00101DA6">
        <w:rPr>
          <w:noProof/>
        </w:rPr>
        <w:t>44</w:t>
      </w:r>
      <w:r w:rsidRPr="00FB5487">
        <w:fldChar w:fldCharType="end"/>
      </w:r>
      <w:r w:rsidRPr="00FB5487" w:rsidR="00F71A6A">
        <w:t>.  Article 41 of the Convention provides:</w:t>
      </w:r>
    </w:p>
    <w:p w:rsidRPr="00FB5487" w:rsidR="00F71A6A" w:rsidRDefault="00F71A6A">
      <w:pPr>
        <w:pStyle w:val="JuQuot"/>
        <w:keepNext/>
        <w:keepLines/>
      </w:pPr>
      <w:r w:rsidRPr="00FB548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B5487" w:rsidR="00F71A6A" w:rsidP="00522362" w:rsidRDefault="00F71A6A">
      <w:pPr>
        <w:pStyle w:val="JuHA"/>
        <w:keepLines w:val="0"/>
      </w:pPr>
      <w:r w:rsidRPr="00FB5487">
        <w:t>A.  Damage</w:t>
      </w:r>
    </w:p>
    <w:p w:rsidR="002C33D0" w:rsidRDefault="00FB5487">
      <w:pPr>
        <w:pStyle w:val="JuPara"/>
      </w:pPr>
      <w:r w:rsidRPr="00FB5487">
        <w:fldChar w:fldCharType="begin"/>
      </w:r>
      <w:r w:rsidRPr="00FB5487">
        <w:instrText xml:space="preserve"> SEQ level0 \*arabic </w:instrText>
      </w:r>
      <w:r w:rsidRPr="00FB5487">
        <w:fldChar w:fldCharType="separate"/>
      </w:r>
      <w:r w:rsidR="00101DA6">
        <w:rPr>
          <w:noProof/>
        </w:rPr>
        <w:t>45</w:t>
      </w:r>
      <w:r w:rsidRPr="00FB5487">
        <w:fldChar w:fldCharType="end"/>
      </w:r>
      <w:r w:rsidRPr="00FB5487" w:rsidR="00F71A6A">
        <w:t xml:space="preserve">.  The </w:t>
      </w:r>
      <w:r w:rsidRPr="00FB5487">
        <w:t>applicant</w:t>
      </w:r>
      <w:r w:rsidRPr="00FB5487" w:rsidR="00F71A6A">
        <w:t xml:space="preserve"> claimed </w:t>
      </w:r>
      <w:r w:rsidR="002C33D0">
        <w:t xml:space="preserve">234 euros (EUR) in respect of </w:t>
      </w:r>
      <w:r w:rsidRPr="00FB5487" w:rsidR="00F71A6A">
        <w:t xml:space="preserve">pecuniary </w:t>
      </w:r>
      <w:r w:rsidR="002C33D0">
        <w:t xml:space="preserve">damage, </w:t>
      </w:r>
      <w:r w:rsidR="00941A36">
        <w:t xml:space="preserve">in the form of </w:t>
      </w:r>
      <w:r w:rsidR="002C33D0">
        <w:t>compensation for the fine imposed on him for speeding plus the procedural costs.</w:t>
      </w:r>
    </w:p>
    <w:p w:rsidRPr="00FB5487" w:rsidR="00F71A6A" w:rsidRDefault="00FB5487">
      <w:pPr>
        <w:pStyle w:val="JuPara"/>
      </w:pPr>
      <w:r w:rsidRPr="00FB5487">
        <w:fldChar w:fldCharType="begin"/>
      </w:r>
      <w:r w:rsidRPr="00FB5487">
        <w:instrText xml:space="preserve"> SEQ level0 \*arabic </w:instrText>
      </w:r>
      <w:r w:rsidRPr="00FB5487">
        <w:fldChar w:fldCharType="separate"/>
      </w:r>
      <w:r w:rsidR="00101DA6">
        <w:rPr>
          <w:noProof/>
        </w:rPr>
        <w:t>46</w:t>
      </w:r>
      <w:r w:rsidRPr="00FB5487">
        <w:fldChar w:fldCharType="end"/>
      </w:r>
      <w:r w:rsidRPr="00FB5487" w:rsidR="00F71A6A">
        <w:t xml:space="preserve">.  The Government </w:t>
      </w:r>
      <w:r w:rsidR="00CE191C">
        <w:t xml:space="preserve">commented that it was not for the Court to speculate </w:t>
      </w:r>
      <w:r w:rsidR="009047BC">
        <w:t>what the outcome of the proceedings would have been had there been no violation of the Convention.</w:t>
      </w:r>
    </w:p>
    <w:p w:rsidR="00BB42C3" w:rsidRDefault="00FB5487">
      <w:pPr>
        <w:pStyle w:val="JuPara"/>
        <w:rPr>
          <w:lang w:eastAsia="en-US"/>
        </w:rPr>
      </w:pPr>
      <w:r w:rsidRPr="00FB5487">
        <w:fldChar w:fldCharType="begin"/>
      </w:r>
      <w:r w:rsidRPr="00FB5487">
        <w:instrText xml:space="preserve"> SEQ level0 \*arabic </w:instrText>
      </w:r>
      <w:r w:rsidRPr="00FB5487">
        <w:fldChar w:fldCharType="separate"/>
      </w:r>
      <w:r w:rsidR="00101DA6">
        <w:rPr>
          <w:noProof/>
        </w:rPr>
        <w:t>47</w:t>
      </w:r>
      <w:r w:rsidRPr="00FB5487">
        <w:fldChar w:fldCharType="end"/>
      </w:r>
      <w:r w:rsidRPr="00FB5487" w:rsidR="00F71A6A">
        <w:t>.  The Court</w:t>
      </w:r>
      <w:r w:rsidR="009047BC">
        <w:t xml:space="preserve"> reiterates that it is not for the Court to speculate as to what would have been the outcome of the proceedings if they had satisfied the requirements of Article</w:t>
      </w:r>
      <w:r w:rsidR="008129A2">
        <w:t xml:space="preserve"> </w:t>
      </w:r>
      <w:r w:rsidR="009047BC">
        <w:t>6</w:t>
      </w:r>
      <w:r w:rsidR="008129A2">
        <w:t xml:space="preserve"> </w:t>
      </w:r>
      <w:r w:rsidR="009047BC">
        <w:t>§</w:t>
      </w:r>
      <w:r w:rsidR="008129A2">
        <w:t xml:space="preserve"> </w:t>
      </w:r>
      <w:r w:rsidR="009047BC">
        <w:t>1 (</w:t>
      </w:r>
      <w:r w:rsidR="00A02C27">
        <w:t xml:space="preserve">see </w:t>
      </w:r>
      <w:r w:rsidRPr="009047BC" w:rsidR="009047BC">
        <w:rPr>
          <w:i/>
          <w:lang w:eastAsia="en-US"/>
        </w:rPr>
        <w:t xml:space="preserve">Werner v. </w:t>
      </w:r>
      <w:smartTag w:uri="urn:schemas-microsoft-com:office:smarttags" w:element="place">
        <w:smartTag w:uri="urn:schemas-microsoft-com:office:smarttags" w:element="country-region">
          <w:r w:rsidR="009047BC" w:rsidRPr="009047BC">
            <w:rPr>
              <w:i/>
              <w:lang w:eastAsia="en-US"/>
            </w:rPr>
            <w:t>Austria</w:t>
          </w:r>
        </w:smartTag>
      </w:smartTag>
      <w:r w:rsidRPr="009047BC" w:rsidR="009047BC">
        <w:rPr>
          <w:lang w:eastAsia="en-US"/>
        </w:rPr>
        <w:t>, 24 November 1997, §</w:t>
      </w:r>
      <w:r w:rsidR="00535D99">
        <w:rPr>
          <w:lang w:eastAsia="en-US"/>
        </w:rPr>
        <w:t> </w:t>
      </w:r>
      <w:r w:rsidR="009047BC">
        <w:rPr>
          <w:lang w:eastAsia="en-US"/>
        </w:rPr>
        <w:t>72</w:t>
      </w:r>
      <w:r w:rsidRPr="009047BC" w:rsidR="009047BC">
        <w:rPr>
          <w:lang w:eastAsia="en-US"/>
        </w:rPr>
        <w:t xml:space="preserve">, </w:t>
      </w:r>
      <w:r w:rsidRPr="009047BC" w:rsidR="009047BC">
        <w:rPr>
          <w:i/>
          <w:lang w:eastAsia="en-US"/>
        </w:rPr>
        <w:t xml:space="preserve">Reports </w:t>
      </w:r>
      <w:r w:rsidR="009047BC">
        <w:rPr>
          <w:lang w:eastAsia="en-US"/>
        </w:rPr>
        <w:t>1997</w:t>
      </w:r>
      <w:r w:rsidR="009047BC">
        <w:rPr>
          <w:lang w:eastAsia="en-US"/>
        </w:rPr>
        <w:noBreakHyphen/>
        <w:t>VII). It therefore rejects the applicant</w:t>
      </w:r>
      <w:r w:rsidR="009D6A61">
        <w:rPr>
          <w:lang w:eastAsia="en-US"/>
        </w:rPr>
        <w:t>'</w:t>
      </w:r>
      <w:r w:rsidR="009047BC">
        <w:rPr>
          <w:lang w:eastAsia="en-US"/>
        </w:rPr>
        <w:t xml:space="preserve">s claim for pecuniary damage. The applicant has not claimed any </w:t>
      </w:r>
      <w:r w:rsidR="00941A36">
        <w:rPr>
          <w:lang w:eastAsia="en-US"/>
        </w:rPr>
        <w:t xml:space="preserve">amount in respect of </w:t>
      </w:r>
      <w:r w:rsidR="009047BC">
        <w:rPr>
          <w:lang w:eastAsia="en-US"/>
        </w:rPr>
        <w:t>non-pecuniary damage. Consequently, the Court does not make any award under this head.</w:t>
      </w:r>
    </w:p>
    <w:p w:rsidRPr="00FB5487" w:rsidR="00F71A6A" w:rsidRDefault="00F71A6A">
      <w:pPr>
        <w:pStyle w:val="JuHA"/>
      </w:pPr>
      <w:r w:rsidRPr="00FB5487">
        <w:t>B.  Costs and expenses</w:t>
      </w:r>
    </w:p>
    <w:p w:rsidRPr="00FB5487" w:rsidR="00F71A6A" w:rsidRDefault="00FB5487">
      <w:pPr>
        <w:pStyle w:val="JuPara"/>
      </w:pPr>
      <w:r w:rsidRPr="00FB5487">
        <w:fldChar w:fldCharType="begin"/>
      </w:r>
      <w:r w:rsidRPr="00FB5487">
        <w:instrText xml:space="preserve"> SEQ level0 \*arabic </w:instrText>
      </w:r>
      <w:r w:rsidRPr="00FB5487">
        <w:fldChar w:fldCharType="separate"/>
      </w:r>
      <w:r w:rsidR="00101DA6">
        <w:rPr>
          <w:noProof/>
        </w:rPr>
        <w:t>48</w:t>
      </w:r>
      <w:r w:rsidRPr="00FB5487">
        <w:fldChar w:fldCharType="end"/>
      </w:r>
      <w:r w:rsidRPr="00FB5487" w:rsidR="00F71A6A">
        <w:t xml:space="preserve">.  The </w:t>
      </w:r>
      <w:r w:rsidRPr="00FB5487">
        <w:t>applicant</w:t>
      </w:r>
      <w:r w:rsidRPr="00FB5487" w:rsidR="00F71A6A">
        <w:t xml:space="preserve"> also claimed </w:t>
      </w:r>
      <w:r w:rsidR="002C33D0">
        <w:t xml:space="preserve">a total amount of </w:t>
      </w:r>
      <w:r w:rsidRPr="00FB5487" w:rsidR="00F71A6A">
        <w:t xml:space="preserve">EUR </w:t>
      </w:r>
      <w:r w:rsidR="002C33D0">
        <w:t>8,598.48</w:t>
      </w:r>
      <w:r w:rsidRPr="00FB5487" w:rsidR="00F71A6A">
        <w:t xml:space="preserve"> for </w:t>
      </w:r>
      <w:r w:rsidR="002C33D0">
        <w:t>costs and expenses. T</w:t>
      </w:r>
      <w:r w:rsidR="00CE191C">
        <w:t>his sum, whic</w:t>
      </w:r>
      <w:r w:rsidR="008129A2">
        <w:t>h includes value</w:t>
      </w:r>
      <w:r w:rsidR="00941A36">
        <w:t>-</w:t>
      </w:r>
      <w:r w:rsidR="008129A2">
        <w:t>added tax</w:t>
      </w:r>
      <w:r w:rsidR="00941A36">
        <w:t>,</w:t>
      </w:r>
      <w:r w:rsidR="00CE191C">
        <w:t xml:space="preserve"> </w:t>
      </w:r>
      <w:r w:rsidR="008129A2">
        <w:t>consists of EUR </w:t>
      </w:r>
      <w:r w:rsidR="00CE191C">
        <w:t>4</w:t>
      </w:r>
      <w:r w:rsidR="008129A2">
        <w:t>,</w:t>
      </w:r>
      <w:r w:rsidR="00CE191C">
        <w:t>674</w:t>
      </w:r>
      <w:r w:rsidR="008129A2">
        <w:t>.</w:t>
      </w:r>
      <w:r w:rsidR="00CE191C">
        <w:t>48 for costs and expenses incurred in the domestic proceedings</w:t>
      </w:r>
      <w:r w:rsidRPr="00FB5487" w:rsidR="00F71A6A">
        <w:t xml:space="preserve"> and EUR </w:t>
      </w:r>
      <w:r w:rsidR="00CE191C">
        <w:t>3,924 for those incurred before</w:t>
      </w:r>
      <w:r w:rsidRPr="00FB5487" w:rsidR="00F71A6A">
        <w:t xml:space="preserve"> the Court.</w:t>
      </w:r>
    </w:p>
    <w:p w:rsidRPr="00FB5487" w:rsidR="00F71A6A" w:rsidRDefault="00FB5487">
      <w:pPr>
        <w:pStyle w:val="JuPara"/>
      </w:pPr>
      <w:r w:rsidRPr="00FB5487">
        <w:fldChar w:fldCharType="begin"/>
      </w:r>
      <w:r w:rsidRPr="00FB5487">
        <w:instrText xml:space="preserve"> SEQ level0 \*arabic </w:instrText>
      </w:r>
      <w:r w:rsidRPr="00FB5487">
        <w:fldChar w:fldCharType="separate"/>
      </w:r>
      <w:r w:rsidR="00101DA6">
        <w:rPr>
          <w:noProof/>
        </w:rPr>
        <w:t>49</w:t>
      </w:r>
      <w:r w:rsidRPr="00FB5487">
        <w:fldChar w:fldCharType="end"/>
      </w:r>
      <w:r w:rsidRPr="00FB5487" w:rsidR="00F71A6A">
        <w:t>.  The Government</w:t>
      </w:r>
      <w:r w:rsidR="00CE191C">
        <w:t xml:space="preserve"> submitted that the applicant</w:t>
      </w:r>
      <w:r w:rsidR="009D6A61">
        <w:t>'</w:t>
      </w:r>
      <w:r w:rsidR="00CE191C">
        <w:t>s claim was excessive.</w:t>
      </w:r>
    </w:p>
    <w:p w:rsidRPr="00FB5487" w:rsidR="00F71A6A" w:rsidRDefault="00FB5487">
      <w:pPr>
        <w:pStyle w:val="JuPara"/>
      </w:pPr>
      <w:r w:rsidRPr="00FB5487">
        <w:fldChar w:fldCharType="begin"/>
      </w:r>
      <w:r w:rsidRPr="00FB5487">
        <w:instrText xml:space="preserve"> SEQ level0 \*arabic </w:instrText>
      </w:r>
      <w:r w:rsidRPr="00FB5487">
        <w:fldChar w:fldCharType="separate"/>
      </w:r>
      <w:r w:rsidR="00101DA6">
        <w:rPr>
          <w:noProof/>
        </w:rPr>
        <w:t>50</w:t>
      </w:r>
      <w:r w:rsidRPr="00FB5487">
        <w:fldChar w:fldCharType="end"/>
      </w:r>
      <w:r w:rsidRPr="00FB5487" w:rsidR="00F71A6A">
        <w:t>.  </w:t>
      </w:r>
      <w:r w:rsidRPr="00FB5487">
        <w:t>According to the Court</w:t>
      </w:r>
      <w:r w:rsidR="009D6A61">
        <w:t>'</w:t>
      </w:r>
      <w:r w:rsidRPr="00FB5487">
        <w:t>s case-law, an applicant is entitled to the reimbursement of costs and expenses only in so far as it has been shown that these have been actually and necessarily incurred and were reasonable as to quantum. In the present case, regard</w:t>
      </w:r>
      <w:r w:rsidRPr="009E4FD1" w:rsidR="00F73D18">
        <w:t xml:space="preserve"> </w:t>
      </w:r>
      <w:r w:rsidRPr="00FB5487" w:rsidR="005F7A10">
        <w:t xml:space="preserve">being had to the documents in its possession and </w:t>
      </w:r>
      <w:r w:rsidRPr="00FB5487">
        <w:t>the above criteria</w:t>
      </w:r>
      <w:r w:rsidRPr="00FB5487" w:rsidR="00F73D18">
        <w:t xml:space="preserve">, </w:t>
      </w:r>
      <w:r w:rsidRPr="00FB5487" w:rsidR="00F71A6A">
        <w:t xml:space="preserve">the Court considers it reasonable to award the sum of EUR </w:t>
      </w:r>
      <w:r w:rsidR="007A5B99">
        <w:t xml:space="preserve">7,000 </w:t>
      </w:r>
      <w:r w:rsidRPr="00FB5487" w:rsidR="00F71A6A">
        <w:t>covering costs under all heads</w:t>
      </w:r>
      <w:r w:rsidR="005E3917">
        <w:t xml:space="preserve">, plus any tax that may be chargeable </w:t>
      </w:r>
      <w:r w:rsidR="00941A36">
        <w:t xml:space="preserve">to </w:t>
      </w:r>
      <w:r w:rsidR="005E3917">
        <w:t>the applicant.</w:t>
      </w:r>
    </w:p>
    <w:p w:rsidRPr="00FB5487" w:rsidR="00F71A6A" w:rsidRDefault="00F71A6A">
      <w:pPr>
        <w:pStyle w:val="JuHA"/>
      </w:pPr>
      <w:r w:rsidRPr="00FB5487">
        <w:t>C.  Default interest</w:t>
      </w:r>
    </w:p>
    <w:p w:rsidRPr="00FB5487" w:rsidR="00F71A6A" w:rsidRDefault="00FB5487">
      <w:pPr>
        <w:pStyle w:val="JuPara"/>
      </w:pPr>
      <w:r w:rsidRPr="00FB5487">
        <w:fldChar w:fldCharType="begin"/>
      </w:r>
      <w:r w:rsidRPr="00FB5487">
        <w:instrText xml:space="preserve"> SEQ level0 \*arabic </w:instrText>
      </w:r>
      <w:r w:rsidRPr="00FB5487">
        <w:fldChar w:fldCharType="separate"/>
      </w:r>
      <w:r w:rsidR="00101DA6">
        <w:rPr>
          <w:noProof/>
        </w:rPr>
        <w:t>51</w:t>
      </w:r>
      <w:r w:rsidRPr="00FB5487">
        <w:fldChar w:fldCharType="end"/>
      </w:r>
      <w:r w:rsidRPr="00FB5487" w:rsidR="00F71A6A">
        <w:t>.  The Court considers it appropriate that the default interest should be based on the marginal lending rate of the European Central Bank, to which should be added three percentage points.</w:t>
      </w:r>
    </w:p>
    <w:p w:rsidRPr="00FB5487" w:rsidR="00F71A6A" w:rsidRDefault="00DB0B42">
      <w:pPr>
        <w:pStyle w:val="JuHHead"/>
      </w:pPr>
      <w:r>
        <w:t>FOR THESE REASONS, THE COURT UNANIMOUSLY</w:t>
      </w:r>
    </w:p>
    <w:p w:rsidRPr="00FB5487" w:rsidR="00F71A6A" w:rsidRDefault="00F71A6A">
      <w:pPr>
        <w:pStyle w:val="JuList"/>
      </w:pPr>
      <w:r w:rsidRPr="00FB5487">
        <w:t>1.  </w:t>
      </w:r>
      <w:r w:rsidRPr="00FB5487">
        <w:rPr>
          <w:i/>
        </w:rPr>
        <w:t>Declares</w:t>
      </w:r>
      <w:r w:rsidRPr="00FB5487">
        <w:t xml:space="preserve"> the </w:t>
      </w:r>
      <w:r w:rsidRPr="00FB5487" w:rsidR="00FB5487">
        <w:t>application</w:t>
      </w:r>
      <w:r w:rsidR="00DB0B42">
        <w:t xml:space="preserve"> admissible</w:t>
      </w:r>
      <w:r w:rsidRPr="00FB5487">
        <w:t>;</w:t>
      </w:r>
    </w:p>
    <w:p w:rsidRPr="00FB5487" w:rsidR="00F71A6A" w:rsidRDefault="00F71A6A">
      <w:pPr>
        <w:pStyle w:val="JuList"/>
      </w:pPr>
    </w:p>
    <w:p w:rsidRPr="00FB5487" w:rsidR="00F71A6A" w:rsidRDefault="00F71A6A">
      <w:pPr>
        <w:pStyle w:val="JuList"/>
      </w:pPr>
      <w:r w:rsidRPr="00FB5487">
        <w:t>2.  </w:t>
      </w:r>
      <w:r w:rsidRPr="00FB5487">
        <w:rPr>
          <w:i/>
        </w:rPr>
        <w:t>Holds</w:t>
      </w:r>
      <w:r w:rsidRPr="00FB5487">
        <w:t xml:space="preserve"> that there has been a violation of Article </w:t>
      </w:r>
      <w:r w:rsidR="00D515FF">
        <w:t xml:space="preserve">6 §§ 1 and 2 </w:t>
      </w:r>
      <w:r w:rsidRPr="00FB5487">
        <w:t>of the Convention;</w:t>
      </w:r>
    </w:p>
    <w:p w:rsidRPr="00FB5487" w:rsidR="00F71A6A" w:rsidRDefault="00F71A6A">
      <w:pPr>
        <w:pStyle w:val="JuList"/>
      </w:pPr>
    </w:p>
    <w:p w:rsidRPr="00FB5487" w:rsidR="00F71A6A" w:rsidRDefault="00D515FF">
      <w:pPr>
        <w:pStyle w:val="JuList"/>
      </w:pPr>
      <w:r>
        <w:t>3</w:t>
      </w:r>
      <w:r w:rsidRPr="00FB5487" w:rsidR="00F71A6A">
        <w:t>.  </w:t>
      </w:r>
      <w:r w:rsidRPr="00FB5487" w:rsidR="00F71A6A">
        <w:rPr>
          <w:i/>
        </w:rPr>
        <w:t>Holds</w:t>
      </w:r>
    </w:p>
    <w:p w:rsidR="00D515FF" w:rsidRDefault="00F71A6A">
      <w:pPr>
        <w:pStyle w:val="JuLista"/>
      </w:pPr>
      <w:r w:rsidRPr="00FB5487">
        <w:t xml:space="preserve">(a)  that the respondent State is to pay the </w:t>
      </w:r>
      <w:r w:rsidRPr="00FB5487" w:rsidR="00FB5487">
        <w:t>applicant</w:t>
      </w:r>
      <w:r w:rsidRPr="00FB5487">
        <w:t>, within three months</w:t>
      </w:r>
      <w:r w:rsidRPr="00FB5487" w:rsidR="00FB5487">
        <w:t xml:space="preserve"> from the date on which the judgment becomes final in accordance with Article 44</w:t>
      </w:r>
      <w:r w:rsidR="008129A2">
        <w:t xml:space="preserve"> </w:t>
      </w:r>
      <w:r w:rsidRPr="00FB5487" w:rsidR="00FB5487">
        <w:t>§</w:t>
      </w:r>
      <w:r w:rsidR="008129A2">
        <w:t xml:space="preserve"> </w:t>
      </w:r>
      <w:r w:rsidRPr="00FB5487" w:rsidR="00FB5487">
        <w:t>2 of the Convention,</w:t>
      </w:r>
      <w:r w:rsidRPr="00FB5487">
        <w:t xml:space="preserve"> EUR </w:t>
      </w:r>
      <w:r w:rsidR="00D515FF">
        <w:t>7,000</w:t>
      </w:r>
      <w:r w:rsidRPr="00FB5487">
        <w:t xml:space="preserve"> (</w:t>
      </w:r>
      <w:r w:rsidR="008129A2">
        <w:t xml:space="preserve">seven </w:t>
      </w:r>
      <w:r w:rsidR="00D515FF">
        <w:t>thousand</w:t>
      </w:r>
      <w:r w:rsidRPr="00FB5487">
        <w:t xml:space="preserve"> euros)</w:t>
      </w:r>
      <w:r w:rsidRPr="00FB5487" w:rsidR="00371277">
        <w:t>, plus any tax that may be chargeable</w:t>
      </w:r>
      <w:r w:rsidR="00D515FF">
        <w:t xml:space="preserve"> to the applicant</w:t>
      </w:r>
      <w:r w:rsidRPr="00FB5487" w:rsidR="00371277">
        <w:t xml:space="preserve"> </w:t>
      </w:r>
      <w:r w:rsidRPr="00FB5487">
        <w:t>in respect of costs and expenses</w:t>
      </w:r>
      <w:r w:rsidR="00FA57C3">
        <w:t>;</w:t>
      </w:r>
    </w:p>
    <w:p w:rsidRPr="00FB5487" w:rsidR="00F71A6A" w:rsidRDefault="00F71A6A">
      <w:pPr>
        <w:pStyle w:val="JuLista"/>
      </w:pPr>
      <w:r w:rsidRPr="00FB5487">
        <w:t>(b)  that from the expiry of the above-mentioned three months until settlement simple interest shall be payable on the above</w:t>
      </w:r>
      <w:r w:rsidR="005E3917">
        <w:t xml:space="preserve"> amount</w:t>
      </w:r>
      <w:r w:rsidRPr="00FB5487">
        <w:t xml:space="preserve"> at a rate equal to the marginal lending rate of the European Central Bank during the default period plus three percentage points;</w:t>
      </w:r>
    </w:p>
    <w:p w:rsidRPr="00FB5487" w:rsidR="00F71A6A" w:rsidRDefault="00F71A6A">
      <w:pPr>
        <w:pStyle w:val="JuList"/>
      </w:pPr>
    </w:p>
    <w:p w:rsidRPr="00FB5487" w:rsidR="00F71A6A" w:rsidRDefault="00D515FF">
      <w:pPr>
        <w:pStyle w:val="JuList"/>
      </w:pPr>
      <w:r>
        <w:t>4</w:t>
      </w:r>
      <w:r w:rsidRPr="00FB5487" w:rsidR="00F71A6A">
        <w:t>.  </w:t>
      </w:r>
      <w:r w:rsidRPr="00FB5487" w:rsidR="00F71A6A">
        <w:rPr>
          <w:i/>
        </w:rPr>
        <w:t>Dismisses</w:t>
      </w:r>
      <w:r w:rsidRPr="00FB5487" w:rsidR="00F71A6A">
        <w:t xml:space="preserve"> the remainder of the </w:t>
      </w:r>
      <w:r w:rsidRPr="00FB5487" w:rsidR="00FB5487">
        <w:t>applicant</w:t>
      </w:r>
      <w:r w:rsidR="009D6A61">
        <w:t>'</w:t>
      </w:r>
      <w:r w:rsidRPr="00FB5487" w:rsidR="00FB5487">
        <w:t>s</w:t>
      </w:r>
      <w:r w:rsidRPr="00FB5487" w:rsidR="00F71A6A">
        <w:t xml:space="preserve"> claim for just satisfaction.</w:t>
      </w:r>
    </w:p>
    <w:p w:rsidRPr="00FB5487" w:rsidR="00325C2B" w:rsidP="00325C2B" w:rsidRDefault="00F71A6A">
      <w:pPr>
        <w:pStyle w:val="JuParaLast"/>
      </w:pPr>
      <w:r w:rsidRPr="00FB5487">
        <w:t xml:space="preserve">Done in English, and notified in writing on </w:t>
      </w:r>
      <w:r w:rsidR="00381810">
        <w:t>18 March 2010</w:t>
      </w:r>
      <w:r w:rsidRPr="00FB5487">
        <w:t>, pursuant to Rule</w:t>
      </w:r>
      <w:r w:rsidR="00DB0B42">
        <w:t> </w:t>
      </w:r>
      <w:r w:rsidRPr="00FB5487">
        <w:t>77</w:t>
      </w:r>
      <w:r w:rsidRPr="00FB5487" w:rsidR="0011665B">
        <w:t xml:space="preserve"> </w:t>
      </w:r>
      <w:r w:rsidRPr="00FB5487">
        <w:t>§§</w:t>
      </w:r>
      <w:r w:rsidRPr="00FB5487" w:rsidR="0011665B">
        <w:t xml:space="preserve"> </w:t>
      </w:r>
      <w:r w:rsidRPr="00FB5487">
        <w:t>2 and</w:t>
      </w:r>
      <w:r w:rsidRPr="00FB5487" w:rsidR="0011665B">
        <w:t xml:space="preserve"> </w:t>
      </w:r>
      <w:r w:rsidRPr="00FB5487">
        <w:t>3 of the Rules of Court.</w:t>
      </w:r>
    </w:p>
    <w:p w:rsidRPr="00FB5487" w:rsidR="0079187F" w:rsidP="00101DA6" w:rsidRDefault="00325C2B">
      <w:pPr>
        <w:pStyle w:val="JuSigned"/>
        <w:keepNext/>
        <w:keepLines/>
        <w:tabs>
          <w:tab w:val="clear" w:pos="1219"/>
          <w:tab w:val="clear" w:pos="6379"/>
          <w:tab w:val="center" w:pos="855"/>
          <w:tab w:val="center" w:pos="6521"/>
        </w:tabs>
      </w:pPr>
      <w:r w:rsidRPr="00FB5487">
        <w:tab/>
      </w:r>
      <w:r w:rsidR="00101DA6">
        <w:t>André Wampach</w:t>
      </w:r>
      <w:r w:rsidRPr="00FB5487" w:rsidR="000726F6">
        <w:tab/>
      </w:r>
      <w:r w:rsidR="00D515FF">
        <w:t>Christos Rozakis</w:t>
      </w:r>
      <w:r w:rsidRPr="00FB5487" w:rsidR="000726F6">
        <w:br/>
      </w:r>
      <w:r w:rsidRPr="00FB5487" w:rsidR="000726F6">
        <w:tab/>
      </w:r>
      <w:r w:rsidR="00101DA6">
        <w:t>Deputy</w:t>
      </w:r>
      <w:r w:rsidRPr="00FB5487" w:rsidR="00FB5487">
        <w:t>Registrar</w:t>
      </w:r>
      <w:r w:rsidRPr="00FB5487" w:rsidR="000726F6">
        <w:tab/>
        <w:t>President</w:t>
      </w:r>
    </w:p>
    <w:sectPr w:rsidRPr="00FB5487" w:rsidR="0079187F" w:rsidSect="00381810">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62" w:rsidRDefault="00580862">
      <w:r>
        <w:separator/>
      </w:r>
    </w:p>
  </w:endnote>
  <w:endnote w:type="continuationSeparator" w:id="0">
    <w:p w:rsidR="00580862" w:rsidRDefault="0058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62" w:rsidRDefault="00580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62" w:rsidRDefault="00580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62" w:rsidRDefault="00580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62" w:rsidRDefault="00580862">
      <w:r>
        <w:separator/>
      </w:r>
    </w:p>
  </w:footnote>
  <w:footnote w:type="continuationSeparator" w:id="0">
    <w:p w:rsidR="00580862" w:rsidRDefault="00580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62" w:rsidRDefault="00580862">
    <w:pPr>
      <w:pStyle w:val="Ju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62" w:rsidRPr="00C00F0F" w:rsidRDefault="00580862">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pt;height:164.3pt">
          <v:imagedata r:id="rId1" o:title="TranspDocHeaderBigBlack"/>
        </v:shape>
      </w:pict>
    </w:r>
  </w:p>
  <w:p w:rsidR="00580862" w:rsidRDefault="00580862" w:rsidP="00381810">
    <w:pPr>
      <w:pStyle w:val="Ju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62" w:rsidRDefault="005808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62" w:rsidRDefault="00580862">
    <w:pPr>
      <w:pStyle w:val="JuHeader"/>
    </w:pPr>
    <w:r>
      <w:rPr>
        <w:rStyle w:val="PageNumber"/>
      </w:rPr>
      <w:fldChar w:fldCharType="begin"/>
    </w:r>
    <w:r>
      <w:rPr>
        <w:rStyle w:val="PageNumber"/>
      </w:rPr>
      <w:instrText xml:space="preserve"> PAGE </w:instrText>
    </w:r>
    <w:r>
      <w:rPr>
        <w:rStyle w:val="PageNumber"/>
      </w:rPr>
      <w:fldChar w:fldCharType="separate"/>
    </w:r>
    <w:r w:rsidR="009D6A61">
      <w:rPr>
        <w:rStyle w:val="PageNumber"/>
        <w:noProof/>
      </w:rPr>
      <w:t>10</w:t>
    </w:r>
    <w:r>
      <w:rPr>
        <w:rStyle w:val="PageNumber"/>
      </w:rPr>
      <w:fldChar w:fldCharType="end"/>
    </w:r>
    <w:r>
      <w:tab/>
      <w:t xml:space="preserve">KRUMPHOLZ v. </w:t>
    </w:r>
    <w:smartTag w:uri="urn:schemas-microsoft-com:office:smarttags" w:element="place">
      <w:smartTag w:uri="urn:schemas-microsoft-com:office:smarttags" w:element="country-region">
        <w:r>
          <w:t>AUSTRIA</w:t>
        </w:r>
      </w:smartTag>
    </w:smartTag>
    <w: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862" w:rsidRDefault="00580862">
    <w:pPr>
      <w:pStyle w:val="JuHeader"/>
    </w:pPr>
    <w:r>
      <w:tab/>
      <w:t xml:space="preserve">KRUMPHOLZ v. </w:t>
    </w:r>
    <w:smartTag w:uri="urn:schemas-microsoft-com:office:smarttags" w:element="place">
      <w:smartTag w:uri="urn:schemas-microsoft-com:office:smarttags" w:element="country-region">
        <w:r>
          <w:t>AUSTRIA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9D6A61">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1"/>
    <w:docVar w:name="ETRANSMISSION" w:val=" "/>
    <w:docVar w:name="L4_1Annex" w:val="0"/>
    <w:docVar w:name="L4_1Anonymity" w:val="0"/>
    <w:docVar w:name="L4_1AppNatList" w:val="German"/>
    <w:docVar w:name="SignForeName" w:val="0"/>
  </w:docVars>
  <w:rsids>
    <w:rsidRoot w:val="00FB5487"/>
    <w:rsid w:val="00005B4C"/>
    <w:rsid w:val="00021EC3"/>
    <w:rsid w:val="000307A3"/>
    <w:rsid w:val="00055AC1"/>
    <w:rsid w:val="00062EED"/>
    <w:rsid w:val="000642DD"/>
    <w:rsid w:val="000726F6"/>
    <w:rsid w:val="00076A67"/>
    <w:rsid w:val="00085837"/>
    <w:rsid w:val="00090C82"/>
    <w:rsid w:val="000D5557"/>
    <w:rsid w:val="000D6108"/>
    <w:rsid w:val="000E1449"/>
    <w:rsid w:val="000E4011"/>
    <w:rsid w:val="000F2F93"/>
    <w:rsid w:val="000F699D"/>
    <w:rsid w:val="00101DA6"/>
    <w:rsid w:val="00104AD1"/>
    <w:rsid w:val="00106780"/>
    <w:rsid w:val="00111877"/>
    <w:rsid w:val="00112077"/>
    <w:rsid w:val="0011665B"/>
    <w:rsid w:val="00126213"/>
    <w:rsid w:val="001301CD"/>
    <w:rsid w:val="001812B2"/>
    <w:rsid w:val="00192AC6"/>
    <w:rsid w:val="00197C29"/>
    <w:rsid w:val="001A0EBE"/>
    <w:rsid w:val="001B62B1"/>
    <w:rsid w:val="001B68EB"/>
    <w:rsid w:val="001B74F7"/>
    <w:rsid w:val="001D3129"/>
    <w:rsid w:val="001F2F80"/>
    <w:rsid w:val="001F5586"/>
    <w:rsid w:val="00222628"/>
    <w:rsid w:val="002266CD"/>
    <w:rsid w:val="002401AE"/>
    <w:rsid w:val="00252B31"/>
    <w:rsid w:val="00272420"/>
    <w:rsid w:val="00276DC0"/>
    <w:rsid w:val="00281DD4"/>
    <w:rsid w:val="0029655E"/>
    <w:rsid w:val="0029712F"/>
    <w:rsid w:val="002C33D0"/>
    <w:rsid w:val="002D385D"/>
    <w:rsid w:val="002F6FE9"/>
    <w:rsid w:val="0031189F"/>
    <w:rsid w:val="0031573C"/>
    <w:rsid w:val="0032093A"/>
    <w:rsid w:val="00325C2B"/>
    <w:rsid w:val="0033003D"/>
    <w:rsid w:val="00332547"/>
    <w:rsid w:val="00336887"/>
    <w:rsid w:val="00337600"/>
    <w:rsid w:val="003550DC"/>
    <w:rsid w:val="00355755"/>
    <w:rsid w:val="00362EE5"/>
    <w:rsid w:val="00371277"/>
    <w:rsid w:val="00381810"/>
    <w:rsid w:val="003A10D2"/>
    <w:rsid w:val="003B04E1"/>
    <w:rsid w:val="003B0F21"/>
    <w:rsid w:val="003B5EA3"/>
    <w:rsid w:val="003C04F6"/>
    <w:rsid w:val="003E2C8B"/>
    <w:rsid w:val="003E319C"/>
    <w:rsid w:val="003E6CFF"/>
    <w:rsid w:val="003F3BFD"/>
    <w:rsid w:val="00406B44"/>
    <w:rsid w:val="00424AE3"/>
    <w:rsid w:val="00457A18"/>
    <w:rsid w:val="004606E6"/>
    <w:rsid w:val="00460FAD"/>
    <w:rsid w:val="004853E0"/>
    <w:rsid w:val="00485A6F"/>
    <w:rsid w:val="004E5DFC"/>
    <w:rsid w:val="004E761A"/>
    <w:rsid w:val="004F2A2E"/>
    <w:rsid w:val="00516EBF"/>
    <w:rsid w:val="00522362"/>
    <w:rsid w:val="0052762E"/>
    <w:rsid w:val="00535D99"/>
    <w:rsid w:val="005419B6"/>
    <w:rsid w:val="00546F49"/>
    <w:rsid w:val="00556CA2"/>
    <w:rsid w:val="005624CF"/>
    <w:rsid w:val="0056771C"/>
    <w:rsid w:val="005777BA"/>
    <w:rsid w:val="00577E6A"/>
    <w:rsid w:val="00580862"/>
    <w:rsid w:val="005A5C9E"/>
    <w:rsid w:val="005B16A8"/>
    <w:rsid w:val="005B3AF6"/>
    <w:rsid w:val="005B4233"/>
    <w:rsid w:val="005C1929"/>
    <w:rsid w:val="005C5FDA"/>
    <w:rsid w:val="005D277E"/>
    <w:rsid w:val="005E384F"/>
    <w:rsid w:val="005E3917"/>
    <w:rsid w:val="005F7A10"/>
    <w:rsid w:val="006111FF"/>
    <w:rsid w:val="0062787C"/>
    <w:rsid w:val="00636941"/>
    <w:rsid w:val="00640B82"/>
    <w:rsid w:val="00647B59"/>
    <w:rsid w:val="00655126"/>
    <w:rsid w:val="0066135E"/>
    <w:rsid w:val="00686E2E"/>
    <w:rsid w:val="00697B66"/>
    <w:rsid w:val="00697E56"/>
    <w:rsid w:val="00697FDC"/>
    <w:rsid w:val="006B6A58"/>
    <w:rsid w:val="006C2B52"/>
    <w:rsid w:val="006C35C5"/>
    <w:rsid w:val="006E0DDC"/>
    <w:rsid w:val="006E295F"/>
    <w:rsid w:val="007156E0"/>
    <w:rsid w:val="00730053"/>
    <w:rsid w:val="00730433"/>
    <w:rsid w:val="007352DD"/>
    <w:rsid w:val="00737996"/>
    <w:rsid w:val="00750E5E"/>
    <w:rsid w:val="00756D5B"/>
    <w:rsid w:val="00780BF1"/>
    <w:rsid w:val="00782497"/>
    <w:rsid w:val="007827E7"/>
    <w:rsid w:val="0079187F"/>
    <w:rsid w:val="00793F1D"/>
    <w:rsid w:val="007A5B99"/>
    <w:rsid w:val="007A6DBA"/>
    <w:rsid w:val="007C1CE3"/>
    <w:rsid w:val="007D0D75"/>
    <w:rsid w:val="007D7F66"/>
    <w:rsid w:val="00806E5F"/>
    <w:rsid w:val="008129A2"/>
    <w:rsid w:val="00842577"/>
    <w:rsid w:val="00843E19"/>
    <w:rsid w:val="00846856"/>
    <w:rsid w:val="00853345"/>
    <w:rsid w:val="00860401"/>
    <w:rsid w:val="00867AA6"/>
    <w:rsid w:val="0088315D"/>
    <w:rsid w:val="00886BB5"/>
    <w:rsid w:val="00887E35"/>
    <w:rsid w:val="008A7A71"/>
    <w:rsid w:val="008A7FB6"/>
    <w:rsid w:val="008C6F68"/>
    <w:rsid w:val="008E05A3"/>
    <w:rsid w:val="008F232D"/>
    <w:rsid w:val="009024A8"/>
    <w:rsid w:val="00903C53"/>
    <w:rsid w:val="009047BC"/>
    <w:rsid w:val="00922F92"/>
    <w:rsid w:val="00932FA5"/>
    <w:rsid w:val="00941A36"/>
    <w:rsid w:val="0094239F"/>
    <w:rsid w:val="00956501"/>
    <w:rsid w:val="00965BD4"/>
    <w:rsid w:val="00981CF4"/>
    <w:rsid w:val="0098535B"/>
    <w:rsid w:val="00995F44"/>
    <w:rsid w:val="009A2A58"/>
    <w:rsid w:val="009B039E"/>
    <w:rsid w:val="009B5E1F"/>
    <w:rsid w:val="009C23AF"/>
    <w:rsid w:val="009D6A61"/>
    <w:rsid w:val="009E4FD1"/>
    <w:rsid w:val="009F1E44"/>
    <w:rsid w:val="009F5625"/>
    <w:rsid w:val="00A012A5"/>
    <w:rsid w:val="00A02C27"/>
    <w:rsid w:val="00A1252F"/>
    <w:rsid w:val="00A21625"/>
    <w:rsid w:val="00A34641"/>
    <w:rsid w:val="00A5331A"/>
    <w:rsid w:val="00A55AB4"/>
    <w:rsid w:val="00AA0CE2"/>
    <w:rsid w:val="00AB2166"/>
    <w:rsid w:val="00AB6316"/>
    <w:rsid w:val="00AC45CB"/>
    <w:rsid w:val="00AD57B2"/>
    <w:rsid w:val="00AE2F4F"/>
    <w:rsid w:val="00B0594B"/>
    <w:rsid w:val="00B116A3"/>
    <w:rsid w:val="00B21B45"/>
    <w:rsid w:val="00B34243"/>
    <w:rsid w:val="00B64488"/>
    <w:rsid w:val="00B662B2"/>
    <w:rsid w:val="00B6763B"/>
    <w:rsid w:val="00B806F3"/>
    <w:rsid w:val="00B80C24"/>
    <w:rsid w:val="00B8427A"/>
    <w:rsid w:val="00B921A8"/>
    <w:rsid w:val="00BA1BF1"/>
    <w:rsid w:val="00BB42C3"/>
    <w:rsid w:val="00BD0967"/>
    <w:rsid w:val="00BD19AE"/>
    <w:rsid w:val="00BE13F6"/>
    <w:rsid w:val="00BE50FE"/>
    <w:rsid w:val="00BE5958"/>
    <w:rsid w:val="00BF7EBD"/>
    <w:rsid w:val="00C01E1C"/>
    <w:rsid w:val="00C24EDB"/>
    <w:rsid w:val="00C27EF9"/>
    <w:rsid w:val="00C30671"/>
    <w:rsid w:val="00C31312"/>
    <w:rsid w:val="00C412C1"/>
    <w:rsid w:val="00C41A62"/>
    <w:rsid w:val="00C42B29"/>
    <w:rsid w:val="00C5092F"/>
    <w:rsid w:val="00C71AF7"/>
    <w:rsid w:val="00C93DCF"/>
    <w:rsid w:val="00C96EBF"/>
    <w:rsid w:val="00CC3ADC"/>
    <w:rsid w:val="00CD5D90"/>
    <w:rsid w:val="00CE191C"/>
    <w:rsid w:val="00CE1C9D"/>
    <w:rsid w:val="00D102A7"/>
    <w:rsid w:val="00D15473"/>
    <w:rsid w:val="00D2603E"/>
    <w:rsid w:val="00D353F4"/>
    <w:rsid w:val="00D357B5"/>
    <w:rsid w:val="00D515FF"/>
    <w:rsid w:val="00D55634"/>
    <w:rsid w:val="00D63793"/>
    <w:rsid w:val="00D705BF"/>
    <w:rsid w:val="00D76C14"/>
    <w:rsid w:val="00D90810"/>
    <w:rsid w:val="00D95539"/>
    <w:rsid w:val="00DA5736"/>
    <w:rsid w:val="00DB0B42"/>
    <w:rsid w:val="00DB6D67"/>
    <w:rsid w:val="00DC2093"/>
    <w:rsid w:val="00DC5C22"/>
    <w:rsid w:val="00DD6637"/>
    <w:rsid w:val="00DE50F9"/>
    <w:rsid w:val="00DE5E8F"/>
    <w:rsid w:val="00E06E71"/>
    <w:rsid w:val="00E076B2"/>
    <w:rsid w:val="00E30DF6"/>
    <w:rsid w:val="00E32971"/>
    <w:rsid w:val="00E46D63"/>
    <w:rsid w:val="00E526A4"/>
    <w:rsid w:val="00E56762"/>
    <w:rsid w:val="00E81663"/>
    <w:rsid w:val="00E83922"/>
    <w:rsid w:val="00E85079"/>
    <w:rsid w:val="00EA13A2"/>
    <w:rsid w:val="00EA2B39"/>
    <w:rsid w:val="00EB0515"/>
    <w:rsid w:val="00EB41E9"/>
    <w:rsid w:val="00ED12C3"/>
    <w:rsid w:val="00ED3AC7"/>
    <w:rsid w:val="00EE47FF"/>
    <w:rsid w:val="00EE7911"/>
    <w:rsid w:val="00EF2384"/>
    <w:rsid w:val="00F244FD"/>
    <w:rsid w:val="00F3575E"/>
    <w:rsid w:val="00F37472"/>
    <w:rsid w:val="00F42B49"/>
    <w:rsid w:val="00F43FF3"/>
    <w:rsid w:val="00F5124B"/>
    <w:rsid w:val="00F62225"/>
    <w:rsid w:val="00F71A6A"/>
    <w:rsid w:val="00F72D2D"/>
    <w:rsid w:val="00F73D18"/>
    <w:rsid w:val="00F9226D"/>
    <w:rsid w:val="00F939C8"/>
    <w:rsid w:val="00FA57C3"/>
    <w:rsid w:val="00FB3265"/>
    <w:rsid w:val="00FB5487"/>
    <w:rsid w:val="00FE215D"/>
    <w:rsid w:val="00FE6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E"/>
    <w:pPr>
      <w:suppressAutoHyphens/>
    </w:pPr>
    <w:rPr>
      <w:sz w:val="24"/>
      <w:lang w:val="en-GB"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9B039E"/>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9B039E"/>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aliases w:val="Left,First line:  0 cm"/>
    <w:basedOn w:val="Normal"/>
    <w:link w:val="JuParaChar"/>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customStyle="1" w:styleId="JuParaChar">
    <w:name w:val="Ju_Para Char"/>
    <w:basedOn w:val="DefaultParagraphFont"/>
    <w:link w:val="JuPara"/>
    <w:rsid w:val="00B921A8"/>
    <w:rPr>
      <w:sz w:val="24"/>
      <w:lang w:val="en-GB" w:eastAsia="fr-FR" w:bidi="ar-SA"/>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link w:val="JuCaseChar"/>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basedOn w:val="DefaultParagraphFont"/>
    <w:link w:val="JuSigned"/>
    <w:rsid w:val="000726F6"/>
    <w:rPr>
      <w:sz w:val="24"/>
      <w:lang w:val="en-GB" w:eastAsia="fr-FR" w:bidi="ar-SA"/>
    </w:rPr>
  </w:style>
  <w:style w:type="character" w:customStyle="1" w:styleId="JuJudgesChar">
    <w:name w:val="Ju_Judges Char"/>
    <w:basedOn w:val="DefaultParagraphFont"/>
    <w:link w:val="JuJudges"/>
    <w:locked/>
    <w:rsid w:val="00D15473"/>
    <w:rPr>
      <w:sz w:val="24"/>
      <w:lang w:val="en-GB" w:eastAsia="fr-FR" w:bidi="ar-SA"/>
    </w:rPr>
  </w:style>
  <w:style w:type="character" w:customStyle="1" w:styleId="JuCaseChar">
    <w:name w:val="Ju_Case Char"/>
    <w:basedOn w:val="JuParaChar"/>
    <w:link w:val="JuCase"/>
    <w:rsid w:val="00B921A8"/>
    <w:rPr>
      <w:b/>
      <w:sz w:val="24"/>
      <w:lang w:val="en-GB" w:eastAsia="fr-FR" w:bidi="ar-SA"/>
    </w:rPr>
  </w:style>
  <w:style w:type="character" w:customStyle="1" w:styleId="JuParaCar">
    <w:name w:val="Ju_Para Car"/>
    <w:basedOn w:val="DefaultParagraphFont"/>
    <w:rsid w:val="00F73D18"/>
    <w:rPr>
      <w:sz w:val="24"/>
      <w:lang w:val="en-GB" w:eastAsia="fr-FR" w:bidi="ar-SA"/>
    </w:rPr>
  </w:style>
  <w:style w:type="character" w:styleId="Hyperlink">
    <w:name w:val="Hyperlink"/>
    <w:basedOn w:val="DefaultParagraphFont"/>
    <w:rsid w:val="00FB5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28B06-9D8A-4546-91FC-90F8432E149C}"/>
</file>

<file path=customXml/itemProps2.xml><?xml version="1.0" encoding="utf-8"?>
<ds:datastoreItem xmlns:ds="http://schemas.openxmlformats.org/officeDocument/2006/customXml" ds:itemID="{19CDD749-2559-4A36-9312-B683B72C2C04}"/>
</file>

<file path=customXml/itemProps3.xml><?xml version="1.0" encoding="utf-8"?>
<ds:datastoreItem xmlns:ds="http://schemas.openxmlformats.org/officeDocument/2006/customXml" ds:itemID="{663739AC-F555-49C2-974E-59D34E36DD0F}"/>
</file>

<file path=docProps/app.xml><?xml version="1.0" encoding="utf-8"?>
<Properties xmlns="http://schemas.openxmlformats.org/officeDocument/2006/extended-properties" xmlns:vt="http://schemas.openxmlformats.org/officeDocument/2006/docPropsVTypes">
  <Template>Normal.dotm</Template>
  <TotalTime>0</TotalTime>
  <Pages>1</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cp:lastPrinted>2010-03-01T12:22:00Z</cp:lastPrinted>
  <dcterms:created xsi:type="dcterms:W3CDTF">2016-07-12T08:48:00Z</dcterms:created>
  <dcterms:modified xsi:type="dcterms:W3CDTF">2016-07-12T08:48:00Z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