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A2C" w:rsidP="00D5014E" w:rsidRDefault="00B17A2C">
      <w:pPr>
        <w:jc w:val="center"/>
      </w:pPr>
      <w:bookmarkStart w:name="_GoBack" w:id="0"/>
      <w:bookmarkEnd w:id="0"/>
    </w:p>
    <w:p w:rsidR="00B17A2C" w:rsidP="00D5014E" w:rsidRDefault="00B17A2C">
      <w:pPr>
        <w:jc w:val="center"/>
      </w:pPr>
    </w:p>
    <w:p w:rsidRPr="007156E0" w:rsidR="00F71A6A" w:rsidP="00D5014E" w:rsidRDefault="00F71A6A">
      <w:pPr>
        <w:jc w:val="center"/>
      </w:pPr>
    </w:p>
    <w:p w:rsidRPr="007156E0" w:rsidR="00F71A6A" w:rsidP="00D5014E" w:rsidRDefault="00966961">
      <w:pPr>
        <w:jc w:val="center"/>
      </w:pPr>
      <w:r>
        <w:t>THIRD SECTION</w:t>
      </w:r>
    </w:p>
    <w:p w:rsidR="00B17A2C" w:rsidP="00D5014E" w:rsidRDefault="00B17A2C">
      <w:pPr>
        <w:jc w:val="center"/>
      </w:pPr>
    </w:p>
    <w:p w:rsidR="00B17A2C" w:rsidP="00D5014E" w:rsidRDefault="00B17A2C">
      <w:pPr>
        <w:jc w:val="center"/>
      </w:pPr>
    </w:p>
    <w:p w:rsidR="00B17A2C" w:rsidP="00D5014E" w:rsidRDefault="00B17A2C">
      <w:pPr>
        <w:jc w:val="center"/>
      </w:pPr>
    </w:p>
    <w:p w:rsidRPr="007156E0" w:rsidR="00F71A6A" w:rsidP="00D5014E" w:rsidRDefault="00F71A6A">
      <w:pPr>
        <w:jc w:val="center"/>
      </w:pPr>
    </w:p>
    <w:p w:rsidRPr="007156E0" w:rsidR="00F71A6A" w:rsidP="00D5014E" w:rsidRDefault="00F71A6A">
      <w:pPr>
        <w:jc w:val="center"/>
        <w:rPr>
          <w:b/>
        </w:rPr>
      </w:pPr>
      <w:bookmarkStart w:name="To" w:id="1"/>
      <w:r w:rsidRPr="007156E0">
        <w:rPr>
          <w:b/>
        </w:rPr>
        <w:t xml:space="preserve">CASE OF </w:t>
      </w:r>
      <w:bookmarkEnd w:id="1"/>
      <w:r w:rsidR="00AD05BD">
        <w:rPr>
          <w:b/>
        </w:rPr>
        <w:t xml:space="preserve">MIHAI </w:t>
      </w:r>
      <w:r w:rsidR="00966961">
        <w:rPr>
          <w:b/>
        </w:rPr>
        <w:t xml:space="preserve">TOMA v. </w:t>
      </w:r>
      <w:smartTag w:uri="urn:schemas-microsoft-com:office:smarttags" w:element="place">
        <w:smartTag w:uri="urn:schemas-microsoft-com:office:smarttags" w:element="country-region">
          <w:r w:rsidR="00966961">
            <w:rPr>
              <w:b/>
            </w:rPr>
            <w:t>ROMANIA</w:t>
          </w:r>
        </w:smartTag>
      </w:smartTag>
    </w:p>
    <w:p w:rsidRPr="007156E0" w:rsidR="00F71A6A" w:rsidP="00D5014E" w:rsidRDefault="00F71A6A">
      <w:pPr>
        <w:jc w:val="center"/>
      </w:pPr>
    </w:p>
    <w:p w:rsidRPr="007156E0" w:rsidR="00F71A6A" w:rsidP="00D5014E" w:rsidRDefault="00F71A6A">
      <w:pPr>
        <w:jc w:val="center"/>
        <w:rPr>
          <w:i/>
        </w:rPr>
      </w:pPr>
      <w:r w:rsidRPr="007156E0">
        <w:rPr>
          <w:i/>
        </w:rPr>
        <w:t>(</w:t>
      </w:r>
      <w:r w:rsidRPr="007156E0" w:rsidR="00966961">
        <w:rPr>
          <w:i/>
          <w:noProof/>
        </w:rPr>
        <w:t xml:space="preserve">Application no. </w:t>
      </w:r>
      <w:r w:rsidR="00966961">
        <w:rPr>
          <w:i/>
          <w:noProof/>
        </w:rPr>
        <w:t>1051/06</w:t>
      </w:r>
      <w:r w:rsidRPr="007156E0">
        <w:rPr>
          <w:i/>
        </w:rPr>
        <w:t>)</w:t>
      </w:r>
    </w:p>
    <w:p w:rsidR="00B17A2C" w:rsidP="00B17A2C" w:rsidRDefault="00B17A2C">
      <w:pPr>
        <w:pStyle w:val="JuCase"/>
        <w:ind w:firstLine="0"/>
        <w:jc w:val="center"/>
        <w:rPr>
          <w:rStyle w:val="JuCaseChar"/>
          <w:b w:val="0"/>
        </w:rPr>
      </w:pPr>
    </w:p>
    <w:p w:rsidRPr="007156E0" w:rsidR="00213AFA" w:rsidP="00213AFA" w:rsidRDefault="00213AFA">
      <w:pPr>
        <w:jc w:val="center"/>
      </w:pPr>
    </w:p>
    <w:p w:rsidR="00213AFA" w:rsidP="00213AFA" w:rsidRDefault="00213AFA">
      <w:pPr>
        <w:jc w:val="center"/>
      </w:pPr>
    </w:p>
    <w:p w:rsidR="00213AFA" w:rsidP="00213AFA" w:rsidRDefault="00213AFA">
      <w:pPr>
        <w:jc w:val="center"/>
      </w:pPr>
    </w:p>
    <w:p w:rsidR="00213AFA" w:rsidP="00213AFA" w:rsidRDefault="00213AFA">
      <w:pPr>
        <w:jc w:val="center"/>
      </w:pPr>
    </w:p>
    <w:p w:rsidR="00213AFA" w:rsidP="00213AFA" w:rsidRDefault="00213AFA">
      <w:pPr>
        <w:jc w:val="center"/>
      </w:pPr>
    </w:p>
    <w:p w:rsidRPr="007156E0" w:rsidR="00AD11E4" w:rsidP="00213AFA" w:rsidRDefault="00AD11E4">
      <w:pPr>
        <w:jc w:val="center"/>
      </w:pPr>
    </w:p>
    <w:p w:rsidRPr="007156E0" w:rsidR="00213AFA" w:rsidP="00213AFA" w:rsidRDefault="00213AFA">
      <w:pPr>
        <w:jc w:val="center"/>
      </w:pPr>
      <w:r>
        <w:t>JUDGMENT</w:t>
      </w:r>
    </w:p>
    <w:p w:rsidRPr="007156E0" w:rsidR="00213AFA" w:rsidP="00213AFA" w:rsidRDefault="00213AFA">
      <w:pPr>
        <w:jc w:val="center"/>
      </w:pPr>
    </w:p>
    <w:p w:rsidRPr="007156E0" w:rsidR="00213AFA" w:rsidP="00213AFA" w:rsidRDefault="00213AFA">
      <w:pPr>
        <w:jc w:val="center"/>
      </w:pPr>
    </w:p>
    <w:p w:rsidRPr="00EF74C6" w:rsidR="00213AFA" w:rsidP="00213AFA" w:rsidRDefault="00213AFA">
      <w:pPr>
        <w:jc w:val="center"/>
      </w:pPr>
    </w:p>
    <w:p w:rsidR="00213AFA" w:rsidP="00213AFA" w:rsidRDefault="00213AFA">
      <w:pPr>
        <w:pStyle w:val="JuCase"/>
        <w:ind w:firstLine="0"/>
        <w:jc w:val="center"/>
        <w:rPr>
          <w:b w:val="0"/>
        </w:rPr>
      </w:pPr>
      <w:smartTag w:uri="urn:schemas-microsoft-com:office:smarttags" w:element="place">
        <w:smartTag w:uri="urn:schemas-microsoft-com:office:smarttags" w:element="City">
          <w:r w:rsidRPr="00EF74C6">
            <w:rPr>
              <w:b w:val="0"/>
            </w:rPr>
            <w:t>STRASBOURG</w:t>
          </w:r>
        </w:smartTag>
      </w:smartTag>
    </w:p>
    <w:p w:rsidR="00213AFA" w:rsidP="00213AFA" w:rsidRDefault="00213AFA">
      <w:pPr>
        <w:pStyle w:val="JuPara"/>
        <w:ind w:firstLine="0"/>
        <w:jc w:val="center"/>
      </w:pPr>
    </w:p>
    <w:p w:rsidRPr="00213AFA" w:rsidR="00213AFA" w:rsidP="00213AFA" w:rsidRDefault="00213AFA">
      <w:pPr>
        <w:pStyle w:val="JuPara"/>
        <w:ind w:firstLine="0"/>
        <w:jc w:val="center"/>
      </w:pPr>
    </w:p>
    <w:p w:rsidRPr="005B7CA9" w:rsidR="00B17A2C" w:rsidP="00B17A2C" w:rsidRDefault="005B7CA9">
      <w:pPr>
        <w:pStyle w:val="JuCase"/>
        <w:ind w:firstLine="0"/>
        <w:jc w:val="center"/>
        <w:rPr>
          <w:rStyle w:val="JuCaseChar"/>
          <w:b w:val="0"/>
        </w:rPr>
      </w:pPr>
      <w:r w:rsidRPr="005B7CA9">
        <w:rPr>
          <w:rStyle w:val="JuCaseChar"/>
          <w:b w:val="0"/>
        </w:rPr>
        <w:t>2</w:t>
      </w:r>
      <w:r w:rsidR="00755043">
        <w:rPr>
          <w:rStyle w:val="JuCaseChar"/>
          <w:b w:val="0"/>
        </w:rPr>
        <w:t>4</w:t>
      </w:r>
      <w:r w:rsidRPr="005B7CA9">
        <w:rPr>
          <w:rStyle w:val="JuCaseChar"/>
          <w:b w:val="0"/>
        </w:rPr>
        <w:t xml:space="preserve"> January 2012</w:t>
      </w:r>
    </w:p>
    <w:p w:rsidRPr="005B7CA9" w:rsidR="00B17A2C" w:rsidP="00B17A2C" w:rsidRDefault="00B17A2C">
      <w:pPr>
        <w:pStyle w:val="JuCase"/>
        <w:ind w:firstLine="0"/>
        <w:jc w:val="center"/>
        <w:rPr>
          <w:rStyle w:val="JuCaseChar"/>
          <w:b w:val="0"/>
        </w:rPr>
      </w:pPr>
    </w:p>
    <w:p w:rsidRPr="005428F6" w:rsidR="00E9537A" w:rsidP="00E9537A" w:rsidRDefault="00E9537A">
      <w:pPr>
        <w:jc w:val="center"/>
        <w:rPr>
          <w:b/>
          <w:bCs/>
          <w:color w:val="FF0000"/>
          <w:sz w:val="28"/>
          <w:szCs w:val="28"/>
          <w:u w:val="single"/>
        </w:rPr>
      </w:pPr>
      <w:r w:rsidRPr="005428F6">
        <w:rPr>
          <w:b/>
          <w:bCs/>
          <w:color w:val="FF0000"/>
          <w:sz w:val="28"/>
          <w:szCs w:val="28"/>
          <w:u w:val="single"/>
        </w:rPr>
        <w:t>FINAL</w:t>
      </w:r>
    </w:p>
    <w:p w:rsidRPr="00B54AEE" w:rsidR="00E9537A" w:rsidP="00E9537A" w:rsidRDefault="00E9537A">
      <w:pPr>
        <w:jc w:val="center"/>
        <w:rPr>
          <w:b/>
          <w:color w:val="FF0000"/>
          <w:u w:val="single"/>
        </w:rPr>
      </w:pPr>
    </w:p>
    <w:p w:rsidRPr="00B54AEE" w:rsidR="00E9537A" w:rsidP="00E9537A" w:rsidRDefault="00E9537A">
      <w:pPr>
        <w:jc w:val="center"/>
        <w:rPr>
          <w:i/>
          <w:color w:val="FF0000"/>
          <w:sz w:val="28"/>
          <w:szCs w:val="28"/>
        </w:rPr>
      </w:pPr>
      <w:r>
        <w:rPr>
          <w:i/>
          <w:color w:val="FF0000"/>
          <w:sz w:val="28"/>
          <w:szCs w:val="28"/>
        </w:rPr>
        <w:t>24/04/2012</w:t>
      </w:r>
    </w:p>
    <w:p w:rsidRPr="00B54AEE" w:rsidR="00E9537A" w:rsidP="00E9537A" w:rsidRDefault="00E9537A">
      <w:pPr>
        <w:jc w:val="center"/>
        <w:rPr>
          <w:i/>
        </w:rPr>
      </w:pPr>
    </w:p>
    <w:p w:rsidRPr="00E9537A" w:rsidR="00213AFA" w:rsidP="00E9537A" w:rsidRDefault="00E9537A">
      <w:pPr>
        <w:pStyle w:val="JuCase"/>
        <w:ind w:firstLine="0"/>
        <w:rPr>
          <w:b w:val="0"/>
          <w:i/>
          <w:sz w:val="22"/>
        </w:rPr>
      </w:pPr>
      <w:r w:rsidRPr="00E9537A">
        <w:rPr>
          <w:b w:val="0"/>
          <w:i/>
          <w:color w:val="000000"/>
        </w:rPr>
        <w:t>This judgment has become final under Article 44 § 2 of the Convention. It may be subject to editorial revision</w:t>
      </w:r>
      <w:r w:rsidRPr="00E9537A">
        <w:rPr>
          <w:b w:val="0"/>
          <w:i/>
          <w:sz w:val="22"/>
        </w:rPr>
        <w:t>.</w:t>
      </w:r>
    </w:p>
    <w:p w:rsidRPr="0076705B" w:rsidR="00213AFA" w:rsidP="00213AFA" w:rsidRDefault="00213AFA">
      <w:pPr>
        <w:pStyle w:val="JuPara"/>
        <w:sectPr w:rsidRPr="0076705B" w:rsidR="00213AFA" w:rsidSect="00AD11E4">
          <w:headerReference w:type="default" r:id="rId7"/>
          <w:headerReference w:type="first" r:id="rId8"/>
          <w:footerReference w:type="first" r:id="rId9"/>
          <w:footnotePr>
            <w:numRestart w:val="eachPage"/>
          </w:footnotePr>
          <w:pgSz w:w="11906" w:h="16838" w:code="9"/>
          <w:pgMar w:top="2274" w:right="2274" w:bottom="2274" w:left="2274" w:header="1701" w:footer="720" w:gutter="0"/>
          <w:pgNumType w:start="1"/>
          <w:cols w:space="720"/>
          <w:titlePg/>
          <w:docGrid w:linePitch="254"/>
        </w:sectPr>
      </w:pPr>
    </w:p>
    <w:p w:rsidRPr="007156E0" w:rsidR="00213AFA" w:rsidP="00213AFA" w:rsidRDefault="00213AFA">
      <w:pPr>
        <w:pStyle w:val="JuCase"/>
      </w:pPr>
      <w:r w:rsidRPr="00B921A8">
        <w:t xml:space="preserve">In the case of </w:t>
      </w:r>
      <w:proofErr w:type="spellStart"/>
      <w:r w:rsidR="00DC6071">
        <w:t>Mihai</w:t>
      </w:r>
      <w:proofErr w:type="spellEnd"/>
      <w:r w:rsidR="00DC6071">
        <w:t xml:space="preserve"> </w:t>
      </w:r>
      <w:proofErr w:type="spellStart"/>
      <w:r>
        <w:rPr>
          <w:rStyle w:val="JuCaseChar"/>
        </w:rPr>
        <w:t>Toma</w:t>
      </w:r>
      <w:proofErr w:type="spellEnd"/>
      <w:r>
        <w:rPr>
          <w:rStyle w:val="JuCaseChar"/>
        </w:rPr>
        <w:t xml:space="preserve"> v. </w:t>
      </w:r>
      <w:smartTag w:uri="urn:schemas-microsoft-com:office:smarttags" w:element="place">
        <w:smartTag w:uri="urn:schemas-microsoft-com:office:smarttags" w:element="country-region">
          <w:r>
            <w:rPr>
              <w:rStyle w:val="JuCaseChar"/>
            </w:rPr>
            <w:t>Romania</w:t>
          </w:r>
        </w:smartTag>
      </w:smartTag>
      <w:r w:rsidRPr="007A6DBA">
        <w:t>,</w:t>
      </w:r>
    </w:p>
    <w:p w:rsidRPr="007156E0" w:rsidR="00730433" w:rsidP="00D5014E" w:rsidRDefault="00F71A6A">
      <w:pPr>
        <w:pStyle w:val="JuPara"/>
      </w:pPr>
      <w:r w:rsidRPr="007156E0">
        <w:t>The European Court of Human Rights (</w:t>
      </w:r>
      <w:r w:rsidR="00966961">
        <w:t>Third Section</w:t>
      </w:r>
      <w:r w:rsidRPr="007156E0">
        <w:t xml:space="preserve">), sitting as a </w:t>
      </w:r>
      <w:r w:rsidR="00966961">
        <w:rPr>
          <w:noProof/>
        </w:rPr>
        <w:t>Chamber</w:t>
      </w:r>
      <w:r w:rsidRPr="007156E0" w:rsidR="00730433">
        <w:t xml:space="preserve"> composed of:</w:t>
      </w:r>
    </w:p>
    <w:p w:rsidRPr="007156E0" w:rsidR="00F71A6A" w:rsidP="005B7CA9" w:rsidRDefault="005B7CA9">
      <w:pPr>
        <w:pStyle w:val="JuPara"/>
        <w:ind w:firstLine="0"/>
        <w:jc w:val="left"/>
      </w:pPr>
      <w:r w:rsidRPr="005907EE">
        <w:rPr>
          <w:rStyle w:val="JuJudgesChar"/>
        </w:rPr>
        <w:tab/>
      </w:r>
      <w:proofErr w:type="spellStart"/>
      <w:r w:rsidRPr="005907EE">
        <w:t>Josep</w:t>
      </w:r>
      <w:proofErr w:type="spellEnd"/>
      <w:r>
        <w:t xml:space="preserve"> </w:t>
      </w:r>
      <w:proofErr w:type="spellStart"/>
      <w:r w:rsidRPr="005907EE">
        <w:t>Casadevall</w:t>
      </w:r>
      <w:proofErr w:type="spellEnd"/>
      <w:r>
        <w:t>,</w:t>
      </w:r>
      <w:r w:rsidRPr="005907EE">
        <w:rPr>
          <w:i/>
        </w:rPr>
        <w:t xml:space="preserve"> President,</w:t>
      </w:r>
      <w:r>
        <w:rPr>
          <w:rStyle w:val="JuJudgesChar"/>
          <w:i/>
        </w:rPr>
        <w:br/>
      </w:r>
      <w:r w:rsidRPr="005907EE">
        <w:rPr>
          <w:rStyle w:val="JuJudgesChar"/>
        </w:rPr>
        <w:tab/>
      </w:r>
      <w:proofErr w:type="spellStart"/>
      <w:r w:rsidRPr="005907EE">
        <w:t>Alvina</w:t>
      </w:r>
      <w:proofErr w:type="spellEnd"/>
      <w:r>
        <w:t xml:space="preserve"> </w:t>
      </w:r>
      <w:proofErr w:type="spellStart"/>
      <w:r w:rsidRPr="005907EE">
        <w:t>Gyulumyan</w:t>
      </w:r>
      <w:proofErr w:type="spellEnd"/>
      <w:r>
        <w:t>,</w:t>
      </w:r>
      <w:r>
        <w:rPr>
          <w:rStyle w:val="JuJudgesChar"/>
          <w:i/>
        </w:rPr>
        <w:br/>
      </w:r>
      <w:r w:rsidRPr="005907EE">
        <w:rPr>
          <w:rStyle w:val="JuJudgesChar"/>
        </w:rPr>
        <w:tab/>
      </w:r>
      <w:r w:rsidRPr="005907EE">
        <w:t>Egbert</w:t>
      </w:r>
      <w:r>
        <w:t xml:space="preserve"> </w:t>
      </w:r>
      <w:proofErr w:type="spellStart"/>
      <w:r w:rsidRPr="005907EE">
        <w:t>Myjer</w:t>
      </w:r>
      <w:proofErr w:type="spellEnd"/>
      <w:r>
        <w:t>,</w:t>
      </w:r>
      <w:r>
        <w:rPr>
          <w:rStyle w:val="JuJudgesChar"/>
          <w:i/>
        </w:rPr>
        <w:br/>
      </w:r>
      <w:r w:rsidRPr="005907EE">
        <w:rPr>
          <w:rStyle w:val="JuJudgesChar"/>
        </w:rPr>
        <w:tab/>
      </w:r>
      <w:proofErr w:type="spellStart"/>
      <w:r w:rsidRPr="005907EE">
        <w:t>Ineta</w:t>
      </w:r>
      <w:proofErr w:type="spellEnd"/>
      <w:r>
        <w:t xml:space="preserve"> </w:t>
      </w:r>
      <w:proofErr w:type="spellStart"/>
      <w:r w:rsidRPr="005907EE">
        <w:t>Ziemele</w:t>
      </w:r>
      <w:proofErr w:type="spellEnd"/>
      <w:r>
        <w:t>,</w:t>
      </w:r>
      <w:r>
        <w:rPr>
          <w:rStyle w:val="JuJudgesChar"/>
          <w:i/>
        </w:rPr>
        <w:br/>
      </w:r>
      <w:r w:rsidRPr="005907EE">
        <w:rPr>
          <w:rStyle w:val="JuJudgesChar"/>
        </w:rPr>
        <w:tab/>
      </w:r>
      <w:r w:rsidRPr="005907EE">
        <w:t>Luis</w:t>
      </w:r>
      <w:r>
        <w:t xml:space="preserve"> </w:t>
      </w:r>
      <w:proofErr w:type="spellStart"/>
      <w:r w:rsidRPr="005907EE">
        <w:t>López</w:t>
      </w:r>
      <w:proofErr w:type="spellEnd"/>
      <w:r w:rsidRPr="005907EE">
        <w:t xml:space="preserve"> Guerra</w:t>
      </w:r>
      <w:r>
        <w:t>,</w:t>
      </w:r>
      <w:r>
        <w:rPr>
          <w:rStyle w:val="JuJudgesChar"/>
          <w:i/>
        </w:rPr>
        <w:br/>
      </w:r>
      <w:r w:rsidRPr="005907EE">
        <w:rPr>
          <w:rStyle w:val="JuJudgesChar"/>
        </w:rPr>
        <w:tab/>
      </w:r>
      <w:proofErr w:type="spellStart"/>
      <w:r w:rsidRPr="005907EE">
        <w:t>Mihai</w:t>
      </w:r>
      <w:proofErr w:type="spellEnd"/>
      <w:r>
        <w:t xml:space="preserve"> </w:t>
      </w:r>
      <w:proofErr w:type="spellStart"/>
      <w:r w:rsidRPr="005907EE">
        <w:t>Poalelungi</w:t>
      </w:r>
      <w:proofErr w:type="spellEnd"/>
      <w:r>
        <w:t>,</w:t>
      </w:r>
      <w:r>
        <w:rPr>
          <w:rStyle w:val="JuJudgesChar"/>
          <w:i/>
        </w:rPr>
        <w:br/>
      </w:r>
      <w:r w:rsidRPr="005907EE">
        <w:rPr>
          <w:rStyle w:val="JuJudgesChar"/>
        </w:rPr>
        <w:tab/>
      </w:r>
      <w:r w:rsidRPr="005907EE">
        <w:t>Kristina</w:t>
      </w:r>
      <w:r>
        <w:t xml:space="preserve"> </w:t>
      </w:r>
      <w:proofErr w:type="spellStart"/>
      <w:r w:rsidRPr="005907EE">
        <w:t>Pardalos</w:t>
      </w:r>
      <w:proofErr w:type="spellEnd"/>
      <w:r>
        <w:t>,</w:t>
      </w:r>
      <w:r w:rsidRPr="005907EE">
        <w:rPr>
          <w:i/>
        </w:rPr>
        <w:t xml:space="preserve"> judges,</w:t>
      </w:r>
      <w:r>
        <w:rPr>
          <w:rStyle w:val="JuJudgesChar"/>
          <w:i/>
        </w:rPr>
        <w:br/>
      </w:r>
      <w:r w:rsidRPr="007156E0" w:rsidR="00F71A6A">
        <w:t>and</w:t>
      </w:r>
      <w:r w:rsidR="000726F6">
        <w:t xml:space="preserve"> </w:t>
      </w:r>
      <w:r w:rsidR="00966961">
        <w:rPr>
          <w:noProof/>
        </w:rPr>
        <w:t>Santiago</w:t>
      </w:r>
      <w:r w:rsidRPr="004A5708" w:rsidR="00966961">
        <w:rPr>
          <w:noProof/>
        </w:rPr>
        <w:t xml:space="preserve"> </w:t>
      </w:r>
      <w:r w:rsidR="00966961">
        <w:rPr>
          <w:noProof/>
        </w:rPr>
        <w:t>Quesada</w:t>
      </w:r>
      <w:r w:rsidRPr="004A5708" w:rsidR="009D4B87">
        <w:rPr>
          <w:rStyle w:val="JuJudgesChar"/>
        </w:rPr>
        <w:t xml:space="preserve">, </w:t>
      </w:r>
      <w:r w:rsidR="00966961">
        <w:rPr>
          <w:i/>
          <w:noProof/>
        </w:rPr>
        <w:t xml:space="preserve">Section </w:t>
      </w:r>
      <w:r w:rsidRPr="006F3D99" w:rsidR="00966961">
        <w:rPr>
          <w:i/>
          <w:iCs/>
          <w:noProof/>
        </w:rPr>
        <w:t>Registrar</w:t>
      </w:r>
      <w:r w:rsidRPr="00085B3A" w:rsidR="00F71A6A">
        <w:rPr>
          <w:i/>
        </w:rPr>
        <w:t>,</w:t>
      </w:r>
    </w:p>
    <w:p w:rsidRPr="007156E0" w:rsidR="00F71A6A" w:rsidP="00D5014E" w:rsidRDefault="00F71A6A">
      <w:pPr>
        <w:pStyle w:val="JuPara"/>
      </w:pPr>
      <w:r w:rsidRPr="007156E0">
        <w:t xml:space="preserve">Having deliberated in private on </w:t>
      </w:r>
      <w:r w:rsidR="005B7CA9">
        <w:t>4 January 2012</w:t>
      </w:r>
      <w:r w:rsidRPr="007156E0">
        <w:t>,</w:t>
      </w:r>
    </w:p>
    <w:p w:rsidRPr="007156E0" w:rsidR="00F71A6A" w:rsidP="00D5014E" w:rsidRDefault="00F71A6A">
      <w:pPr>
        <w:pStyle w:val="JuPara"/>
      </w:pPr>
      <w:r w:rsidRPr="007156E0">
        <w:t>Delivers the following judgment, which was adopted on that date:</w:t>
      </w:r>
    </w:p>
    <w:p w:rsidRPr="007156E0" w:rsidR="00F71A6A" w:rsidP="00D5014E" w:rsidRDefault="00F71A6A">
      <w:pPr>
        <w:pStyle w:val="JuHHead"/>
      </w:pPr>
      <w:r w:rsidRPr="007156E0">
        <w:t>PROCEDURE</w:t>
      </w:r>
    </w:p>
    <w:p w:rsidRPr="00756D5B" w:rsidR="00F71A6A" w:rsidP="00D5014E" w:rsidRDefault="00966961">
      <w:pPr>
        <w:pStyle w:val="JuPara"/>
        <w:rPr>
          <w:lang w:val="pt-BR"/>
        </w:rPr>
      </w:pPr>
      <w:r>
        <w:fldChar w:fldCharType="begin"/>
      </w:r>
      <w:r>
        <w:instrText xml:space="preserve"> SEQ level0 \*arabic </w:instrText>
      </w:r>
      <w:r>
        <w:fldChar w:fldCharType="separate"/>
      </w:r>
      <w:r w:rsidR="00E9537A">
        <w:rPr>
          <w:noProof/>
        </w:rPr>
        <w:t>1</w:t>
      </w:r>
      <w:r>
        <w:fldChar w:fldCharType="end"/>
      </w:r>
      <w:r w:rsidRPr="007156E0" w:rsidR="00F71A6A">
        <w:t xml:space="preserve">.  The case originated in </w:t>
      </w:r>
      <w:r w:rsidRPr="007156E0">
        <w:rPr>
          <w:noProof/>
        </w:rPr>
        <w:t xml:space="preserve">an application (no. </w:t>
      </w:r>
      <w:r>
        <w:rPr>
          <w:noProof/>
        </w:rPr>
        <w:t>1051/06</w:t>
      </w:r>
      <w:r w:rsidRPr="007156E0">
        <w:rPr>
          <w:noProof/>
        </w:rPr>
        <w:t>)</w:t>
      </w:r>
      <w:r w:rsidRPr="007156E0" w:rsidR="00F71A6A">
        <w:t xml:space="preserve"> against </w:t>
      </w:r>
      <w:smartTag w:uri="urn:schemas-microsoft-com:office:smarttags" w:element="place">
        <w:smartTag w:uri="urn:schemas-microsoft-com:office:smarttags" w:element="country-region">
          <w:r>
            <w:t>Romania</w:t>
          </w:r>
        </w:smartTag>
      </w:smartTag>
      <w:r w:rsidRPr="007156E0" w:rsidR="00F71A6A">
        <w:t xml:space="preserve"> lodged with the </w:t>
      </w:r>
      <w:r w:rsidRPr="004D4F4E">
        <w:rPr>
          <w:noProof/>
        </w:rPr>
        <w:t>Court under Article 34</w:t>
      </w:r>
      <w:r w:rsidRPr="004D4F4E" w:rsidR="004920B1">
        <w:t xml:space="preserve"> of the Convention for the Protection of Human Rights and Fundamental Freedoms (“the Convention”)</w:t>
      </w:r>
      <w:r w:rsidRPr="007156E0" w:rsidR="00F71A6A">
        <w:t xml:space="preserve"> by </w:t>
      </w:r>
      <w:r w:rsidRPr="007156E0">
        <w:rPr>
          <w:noProof/>
        </w:rPr>
        <w:t xml:space="preserve">a </w:t>
      </w:r>
      <w:r>
        <w:rPr>
          <w:noProof/>
        </w:rPr>
        <w:t>Romanian</w:t>
      </w:r>
      <w:r w:rsidRPr="007156E0">
        <w:rPr>
          <w:noProof/>
        </w:rPr>
        <w:t xml:space="preserve"> national, </w:t>
      </w:r>
      <w:r>
        <w:rPr>
          <w:noProof/>
        </w:rPr>
        <w:t>Mr</w:t>
      </w:r>
      <w:r w:rsidRPr="007156E0">
        <w:rPr>
          <w:noProof/>
        </w:rPr>
        <w:t xml:space="preserve"> </w:t>
      </w:r>
      <w:r>
        <w:rPr>
          <w:noProof/>
        </w:rPr>
        <w:t>Mihai</w:t>
      </w:r>
      <w:r w:rsidRPr="007156E0">
        <w:rPr>
          <w:noProof/>
        </w:rPr>
        <w:t xml:space="preserve"> </w:t>
      </w:r>
      <w:r>
        <w:rPr>
          <w:noProof/>
        </w:rPr>
        <w:t>Toma</w:t>
      </w:r>
      <w:r w:rsidRPr="007156E0">
        <w:rPr>
          <w:noProof/>
        </w:rPr>
        <w:t xml:space="preserve"> (“the applicant”), on </w:t>
      </w:r>
      <w:r>
        <w:rPr>
          <w:noProof/>
        </w:rPr>
        <w:t>12</w:t>
      </w:r>
      <w:r w:rsidR="005B7CA9">
        <w:rPr>
          <w:noProof/>
        </w:rPr>
        <w:t> </w:t>
      </w:r>
      <w:r>
        <w:rPr>
          <w:noProof/>
        </w:rPr>
        <w:t>December</w:t>
      </w:r>
      <w:r w:rsidR="005B7CA9">
        <w:rPr>
          <w:noProof/>
        </w:rPr>
        <w:t> </w:t>
      </w:r>
      <w:r>
        <w:rPr>
          <w:noProof/>
        </w:rPr>
        <w:t>2005</w:t>
      </w:r>
      <w:r w:rsidRPr="00756D5B" w:rsidR="00F71A6A">
        <w:rPr>
          <w:lang w:val="pt-BR"/>
        </w:rPr>
        <w:t>.</w:t>
      </w:r>
    </w:p>
    <w:p w:rsidRPr="00697F14" w:rsidR="00966961" w:rsidP="00D5014E" w:rsidRDefault="00966961">
      <w:pPr>
        <w:pStyle w:val="JuPara"/>
        <w:rPr>
          <w:noProof/>
        </w:rPr>
      </w:pPr>
      <w:r>
        <w:rPr>
          <w:lang w:val="pt-BR"/>
        </w:rPr>
        <w:fldChar w:fldCharType="begin"/>
      </w:r>
      <w:r>
        <w:rPr>
          <w:lang w:val="pt-BR"/>
        </w:rPr>
        <w:instrText xml:space="preserve"> SEQ level0 \*arabic </w:instrText>
      </w:r>
      <w:r>
        <w:rPr>
          <w:lang w:val="pt-BR"/>
        </w:rPr>
        <w:fldChar w:fldCharType="separate"/>
      </w:r>
      <w:r w:rsidR="00E9537A">
        <w:rPr>
          <w:noProof/>
          <w:lang w:val="pt-BR"/>
        </w:rPr>
        <w:t>2</w:t>
      </w:r>
      <w:r>
        <w:rPr>
          <w:lang w:val="pt-BR"/>
        </w:rPr>
        <w:fldChar w:fldCharType="end"/>
      </w:r>
      <w:r w:rsidRPr="00756D5B" w:rsidR="00F71A6A">
        <w:rPr>
          <w:lang w:val="pt-BR"/>
        </w:rPr>
        <w:t>.  </w:t>
      </w:r>
      <w:r w:rsidRPr="008C6E5D" w:rsidR="00F71A6A">
        <w:t xml:space="preserve">The </w:t>
      </w:r>
      <w:r w:rsidRPr="008C6E5D">
        <w:t>Romanian</w:t>
      </w:r>
      <w:r w:rsidRPr="008C6E5D" w:rsidR="00F71A6A">
        <w:t xml:space="preserve"> Government (“the Government”) were represented by their Agent, </w:t>
      </w:r>
      <w:r w:rsidRPr="008C6E5D" w:rsidR="008C6E5D">
        <w:t xml:space="preserve">Mr </w:t>
      </w:r>
      <w:proofErr w:type="spellStart"/>
      <w:r w:rsidRPr="008C6E5D" w:rsidR="008C6E5D">
        <w:t>Răzvan</w:t>
      </w:r>
      <w:proofErr w:type="spellEnd"/>
      <w:r w:rsidRPr="008C6E5D" w:rsidR="008C6E5D">
        <w:t xml:space="preserve"> </w:t>
      </w:r>
      <w:proofErr w:type="spellStart"/>
      <w:r w:rsidRPr="008C6E5D" w:rsidR="008C6E5D">
        <w:t>Horaţiu</w:t>
      </w:r>
      <w:proofErr w:type="spellEnd"/>
      <w:r w:rsidRPr="008C6E5D" w:rsidR="008C6E5D">
        <w:t xml:space="preserve"> </w:t>
      </w:r>
      <w:proofErr w:type="spellStart"/>
      <w:r w:rsidRPr="008C6E5D" w:rsidR="008C6E5D">
        <w:t>Radu</w:t>
      </w:r>
      <w:proofErr w:type="spellEnd"/>
      <w:r w:rsidRPr="008C6E5D" w:rsidR="008C6E5D">
        <w:t>, of the Ministry of Foreign Affairs</w:t>
      </w:r>
      <w:r w:rsidRPr="00AD57B2" w:rsidR="00F71A6A">
        <w:rPr>
          <w:lang w:val="pt-PT"/>
        </w:rPr>
        <w:t>.</w:t>
      </w:r>
    </w:p>
    <w:p w:rsidRPr="00D83643" w:rsidR="00D83643" w:rsidP="00D83643" w:rsidRDefault="00D83643">
      <w:pPr>
        <w:pStyle w:val="JuPara"/>
        <w:rPr>
          <w:noProof/>
        </w:rPr>
      </w:pPr>
      <w:r>
        <w:rPr>
          <w:noProof/>
        </w:rPr>
        <w:fldChar w:fldCharType="begin"/>
      </w:r>
      <w:r>
        <w:rPr>
          <w:noProof/>
        </w:rPr>
        <w:instrText xml:space="preserve"> SEQ level0 \*arabic </w:instrText>
      </w:r>
      <w:r>
        <w:rPr>
          <w:noProof/>
        </w:rPr>
        <w:fldChar w:fldCharType="separate"/>
      </w:r>
      <w:r w:rsidR="00E9537A">
        <w:rPr>
          <w:noProof/>
        </w:rPr>
        <w:t>3</w:t>
      </w:r>
      <w:r>
        <w:rPr>
          <w:noProof/>
        </w:rPr>
        <w:fldChar w:fldCharType="end"/>
      </w:r>
      <w:r>
        <w:rPr>
          <w:noProof/>
        </w:rPr>
        <w:t>.  </w:t>
      </w:r>
      <w:r w:rsidRPr="00425521" w:rsidR="00425521">
        <w:rPr>
          <w:noProof/>
        </w:rPr>
        <w:t xml:space="preserve">As Mr Corneliu Bîrsan, the judge elected in respect of </w:t>
      </w:r>
      <w:smartTag w:uri="urn:schemas-microsoft-com:office:smarttags" w:element="place">
        <w:smartTag w:uri="urn:schemas-microsoft-com:office:smarttags" w:element="country-region">
          <w:r w:rsidR="00425521" w:rsidRPr="00425521">
            <w:rPr>
              <w:noProof/>
            </w:rPr>
            <w:t>Romania</w:t>
          </w:r>
        </w:smartTag>
      </w:smartTag>
      <w:r w:rsidRPr="00425521" w:rsidR="00425521">
        <w:rPr>
          <w:noProof/>
        </w:rPr>
        <w:t xml:space="preserve">, had withdrawn from the case (Rule 28 of the Rules of Court), the President of the </w:t>
      </w:r>
      <w:r w:rsidR="00C751FE">
        <w:rPr>
          <w:noProof/>
        </w:rPr>
        <w:t>Chamber</w:t>
      </w:r>
      <w:r w:rsidRPr="00425521" w:rsidR="00425521">
        <w:rPr>
          <w:noProof/>
        </w:rPr>
        <w:t xml:space="preserve"> appointed Mr Mihai Poalelungi to sit as </w:t>
      </w:r>
      <w:r w:rsidRPr="00425521" w:rsidR="00425521">
        <w:rPr>
          <w:i/>
          <w:noProof/>
        </w:rPr>
        <w:t>ad hoc</w:t>
      </w:r>
      <w:r w:rsidRPr="00425521" w:rsidR="00425521">
        <w:rPr>
          <w:noProof/>
        </w:rPr>
        <w:t xml:space="preserve"> judge (Article 26 § 4 of the Convention and Rule 29 § 1 of the Rules of Court)</w:t>
      </w:r>
      <w:r w:rsidR="00425521">
        <w:rPr>
          <w:noProof/>
        </w:rPr>
        <w:t>.</w:t>
      </w:r>
    </w:p>
    <w:p w:rsidRPr="00AD57B2" w:rsidR="00F71A6A" w:rsidP="00D5014E" w:rsidRDefault="00966961">
      <w:pPr>
        <w:pStyle w:val="JuPara"/>
        <w:rPr>
          <w:lang w:val="pt-PT"/>
        </w:rPr>
      </w:pPr>
      <w:r>
        <w:rPr>
          <w:noProof/>
        </w:rPr>
        <w:fldChar w:fldCharType="begin"/>
      </w:r>
      <w:r>
        <w:rPr>
          <w:noProof/>
        </w:rPr>
        <w:instrText xml:space="preserve"> SEQ level0 \*arabic </w:instrText>
      </w:r>
      <w:r>
        <w:rPr>
          <w:noProof/>
        </w:rPr>
        <w:fldChar w:fldCharType="separate"/>
      </w:r>
      <w:r w:rsidR="00E9537A">
        <w:rPr>
          <w:noProof/>
        </w:rPr>
        <w:t>4</w:t>
      </w:r>
      <w:r>
        <w:rPr>
          <w:noProof/>
        </w:rPr>
        <w:fldChar w:fldCharType="end"/>
      </w:r>
      <w:r w:rsidR="008C6E5D">
        <w:rPr>
          <w:noProof/>
        </w:rPr>
        <w:t>.  The applicant alleged</w:t>
      </w:r>
      <w:r w:rsidRPr="00697F14">
        <w:rPr>
          <w:noProof/>
        </w:rPr>
        <w:t xml:space="preserve">, in particular, </w:t>
      </w:r>
      <w:r w:rsidR="008C6E5D">
        <w:rPr>
          <w:noProof/>
        </w:rPr>
        <w:t xml:space="preserve">a violation of his rights guaranteed by Articles 6 and 7 of the Convention, in so far as his </w:t>
      </w:r>
      <w:r w:rsidRPr="008C6E5D" w:rsidR="008C6E5D">
        <w:t>driving licence had been annulled almost ten years after the events that could have given rise to th</w:t>
      </w:r>
      <w:r w:rsidR="0099142E">
        <w:t>at</w:t>
      </w:r>
      <w:r w:rsidRPr="008C6E5D" w:rsidR="008C6E5D">
        <w:t xml:space="preserve"> measure, and in application of a law that was not available at the time of the events</w:t>
      </w:r>
      <w:r w:rsidR="008C6E5D">
        <w:t>.</w:t>
      </w:r>
    </w:p>
    <w:p w:rsidRPr="007156E0" w:rsidR="00F71A6A" w:rsidP="00D5014E" w:rsidRDefault="00966961">
      <w:pPr>
        <w:pStyle w:val="JuPara"/>
      </w:pPr>
      <w:r>
        <w:fldChar w:fldCharType="begin"/>
      </w:r>
      <w:r>
        <w:instrText xml:space="preserve"> SEQ level0 \*arabic </w:instrText>
      </w:r>
      <w:r>
        <w:fldChar w:fldCharType="separate"/>
      </w:r>
      <w:r w:rsidR="00E9537A">
        <w:rPr>
          <w:noProof/>
        </w:rPr>
        <w:t>5</w:t>
      </w:r>
      <w:r>
        <w:fldChar w:fldCharType="end"/>
      </w:r>
      <w:r w:rsidRPr="007156E0" w:rsidR="00F71A6A">
        <w:t xml:space="preserve">.  On </w:t>
      </w:r>
      <w:r w:rsidR="008C6E5D">
        <w:t>12</w:t>
      </w:r>
      <w:r w:rsidR="005B7CA9">
        <w:t> </w:t>
      </w:r>
      <w:r w:rsidR="008C6E5D">
        <w:t xml:space="preserve">May </w:t>
      </w:r>
      <w:r>
        <w:rPr>
          <w:noProof/>
          <w:szCs w:val="24"/>
        </w:rPr>
        <w:t>2010</w:t>
      </w:r>
      <w:r w:rsidRPr="007156E0" w:rsidR="00F71A6A">
        <w:t xml:space="preserve"> </w:t>
      </w:r>
      <w:r>
        <w:rPr>
          <w:noProof/>
        </w:rPr>
        <w:t>the President of the Third Section</w:t>
      </w:r>
      <w:r w:rsidRPr="007156E0" w:rsidR="00F71A6A">
        <w:t xml:space="preserve"> decided to </w:t>
      </w:r>
      <w:r w:rsidR="00756D5B">
        <w:t>give notice of</w:t>
      </w:r>
      <w:r w:rsidRPr="00110F02" w:rsidR="00756D5B">
        <w:t xml:space="preserve"> the application</w:t>
      </w:r>
      <w:r w:rsidRPr="007156E0" w:rsidR="00F71A6A">
        <w:t xml:space="preserve"> to the Gove</w:t>
      </w:r>
      <w:r w:rsidR="00485A6F">
        <w:t>rnment.</w:t>
      </w:r>
      <w:r>
        <w:rPr>
          <w:noProof/>
        </w:rPr>
        <w:t xml:space="preserve"> I</w:t>
      </w:r>
      <w:r w:rsidRPr="00110F02">
        <w:rPr>
          <w:noProof/>
        </w:rPr>
        <w:t>t</w:t>
      </w:r>
      <w:r>
        <w:rPr>
          <w:noProof/>
        </w:rPr>
        <w:t xml:space="preserve"> was also </w:t>
      </w:r>
      <w:r w:rsidRPr="00110F02">
        <w:rPr>
          <w:noProof/>
        </w:rPr>
        <w:t>decided to rule on the admissibility and merits of the application at the same time</w:t>
      </w:r>
      <w:r>
        <w:rPr>
          <w:noProof/>
        </w:rPr>
        <w:t xml:space="preserve"> (</w:t>
      </w:r>
      <w:r w:rsidRPr="00110F02">
        <w:rPr>
          <w:noProof/>
        </w:rPr>
        <w:t>Art</w:t>
      </w:r>
      <w:r w:rsidR="008C6E5D">
        <w:rPr>
          <w:noProof/>
        </w:rPr>
        <w:t>icle </w:t>
      </w:r>
      <w:r>
        <w:rPr>
          <w:noProof/>
        </w:rPr>
        <w:t>29</w:t>
      </w:r>
      <w:r w:rsidR="008C6E5D">
        <w:rPr>
          <w:noProof/>
        </w:rPr>
        <w:t> </w:t>
      </w:r>
      <w:r>
        <w:rPr>
          <w:noProof/>
        </w:rPr>
        <w:t>§</w:t>
      </w:r>
      <w:r w:rsidR="008C6E5D">
        <w:rPr>
          <w:noProof/>
        </w:rPr>
        <w:t> </w:t>
      </w:r>
      <w:r>
        <w:rPr>
          <w:noProof/>
        </w:rPr>
        <w:t>1)</w:t>
      </w:r>
      <w:r w:rsidRPr="00110F02">
        <w:rPr>
          <w:noProof/>
        </w:rPr>
        <w:t>.</w:t>
      </w:r>
    </w:p>
    <w:p w:rsidRPr="007156E0" w:rsidR="00F71A6A" w:rsidP="00D5014E" w:rsidRDefault="00F71A6A">
      <w:pPr>
        <w:pStyle w:val="JuHHead"/>
      </w:pPr>
      <w:r w:rsidRPr="007156E0">
        <w:t>THE FACTS</w:t>
      </w:r>
    </w:p>
    <w:p w:rsidRPr="007156E0" w:rsidR="00D353F4" w:rsidP="00D5014E" w:rsidRDefault="007352DD">
      <w:pPr>
        <w:pStyle w:val="JuHIRoman"/>
        <w:outlineLvl w:val="0"/>
      </w:pPr>
      <w:r w:rsidRPr="004D4F4E">
        <w:t>I.</w:t>
      </w:r>
      <w:r>
        <w:t xml:space="preserve">  THE CIRCUMSTANCES OF THE </w:t>
      </w:r>
      <w:r w:rsidRPr="007156E0" w:rsidR="00D353F4">
        <w:t>CASE</w:t>
      </w:r>
    </w:p>
    <w:p w:rsidRPr="007156E0" w:rsidR="00F71A6A" w:rsidP="00D5014E" w:rsidRDefault="00966961">
      <w:pPr>
        <w:pStyle w:val="JuPara"/>
      </w:pPr>
      <w:r>
        <w:fldChar w:fldCharType="begin"/>
      </w:r>
      <w:r>
        <w:instrText xml:space="preserve"> SEQ level0 \*arabic </w:instrText>
      </w:r>
      <w:r>
        <w:fldChar w:fldCharType="separate"/>
      </w:r>
      <w:r w:rsidR="00E9537A">
        <w:rPr>
          <w:noProof/>
        </w:rPr>
        <w:t>6</w:t>
      </w:r>
      <w:r>
        <w:fldChar w:fldCharType="end"/>
      </w:r>
      <w:r w:rsidRPr="007156E0" w:rsidR="00F71A6A">
        <w:t xml:space="preserve">.  The </w:t>
      </w:r>
      <w:r w:rsidRPr="007156E0">
        <w:rPr>
          <w:noProof/>
        </w:rPr>
        <w:t xml:space="preserve">applicant was born in </w:t>
      </w:r>
      <w:r>
        <w:rPr>
          <w:noProof/>
        </w:rPr>
        <w:t>1948</w:t>
      </w:r>
      <w:r w:rsidRPr="007156E0">
        <w:rPr>
          <w:noProof/>
        </w:rPr>
        <w:t xml:space="preserve"> and lives</w:t>
      </w:r>
      <w:r w:rsidRPr="007156E0" w:rsidR="00F71A6A">
        <w:t xml:space="preserve"> in </w:t>
      </w:r>
      <w:proofErr w:type="spellStart"/>
      <w:r w:rsidR="008C6E5D">
        <w:t>T</w:t>
      </w:r>
      <w:r w:rsidR="00213AFA">
        <w:t>â</w:t>
      </w:r>
      <w:r w:rsidR="008C6E5D">
        <w:t>rgu</w:t>
      </w:r>
      <w:r w:rsidRPr="002506A1" w:rsidR="008C6E5D">
        <w:t>-Jiu</w:t>
      </w:r>
      <w:proofErr w:type="spellEnd"/>
      <w:r w:rsidRPr="007156E0" w:rsidR="00F71A6A">
        <w:t>.</w:t>
      </w:r>
    </w:p>
    <w:p w:rsidR="008C6E5D" w:rsidP="00D5014E" w:rsidRDefault="00966961">
      <w:pPr>
        <w:pStyle w:val="JuPara"/>
      </w:pPr>
      <w:r>
        <w:fldChar w:fldCharType="begin"/>
      </w:r>
      <w:r>
        <w:instrText xml:space="preserve"> SEQ level0 \*arabic </w:instrText>
      </w:r>
      <w:r>
        <w:fldChar w:fldCharType="separate"/>
      </w:r>
      <w:r w:rsidR="00E9537A">
        <w:rPr>
          <w:noProof/>
        </w:rPr>
        <w:t>7</w:t>
      </w:r>
      <w:r>
        <w:fldChar w:fldCharType="end"/>
      </w:r>
      <w:r w:rsidRPr="007156E0" w:rsidR="00F71A6A">
        <w:t>.  </w:t>
      </w:r>
      <w:r w:rsidR="008C6E5D">
        <w:t>On 2</w:t>
      </w:r>
      <w:r w:rsidR="00213AFA">
        <w:t> </w:t>
      </w:r>
      <w:r w:rsidR="008C6E5D">
        <w:t>December 1995 the applicant was stopped by police for drink</w:t>
      </w:r>
      <w:r w:rsidR="008C6E5D">
        <w:noBreakHyphen/>
        <w:t>driving. The police informed him on the spot that his right to drive on the public roads was suspended for ninety days. The driving licence was not physically removed from the applicant</w:t>
      </w:r>
      <w:r w:rsidR="00E9537A">
        <w:t>’</w:t>
      </w:r>
      <w:r w:rsidR="008C6E5D">
        <w:t>s possession.</w:t>
      </w:r>
    </w:p>
    <w:p w:rsidR="008C6E5D" w:rsidP="00D5014E" w:rsidRDefault="001003E6">
      <w:pPr>
        <w:pStyle w:val="JuPara"/>
      </w:pPr>
      <w:r>
        <w:fldChar w:fldCharType="begin"/>
      </w:r>
      <w:r>
        <w:instrText xml:space="preserve"> SEQ level0 \*arabic </w:instrText>
      </w:r>
      <w:r>
        <w:fldChar w:fldCharType="separate"/>
      </w:r>
      <w:r w:rsidR="00E9537A">
        <w:rPr>
          <w:noProof/>
        </w:rPr>
        <w:t>8</w:t>
      </w:r>
      <w:r>
        <w:fldChar w:fldCharType="end"/>
      </w:r>
      <w:r>
        <w:t>.  </w:t>
      </w:r>
      <w:r w:rsidR="008C6E5D">
        <w:t>On 13</w:t>
      </w:r>
      <w:r w:rsidR="00213AFA">
        <w:t> </w:t>
      </w:r>
      <w:r w:rsidR="008C6E5D">
        <w:t>February 1996 the applicant was stopped by police while driving a car and was committed to trial for the offence of driving on public roads while his driving licence was suspended under Article 36</w:t>
      </w:r>
      <w:r w:rsidR="00213AFA">
        <w:t> </w:t>
      </w:r>
      <w:r w:rsidR="008C6E5D">
        <w:t>§</w:t>
      </w:r>
      <w:r w:rsidR="00213AFA">
        <w:t> </w:t>
      </w:r>
      <w:r w:rsidR="008C6E5D">
        <w:t>2 of Decree no. 328/1966 on driving on public roads (“Decree no. 328/1966”).</w:t>
      </w:r>
    </w:p>
    <w:p w:rsidR="008C6E5D" w:rsidP="00D5014E" w:rsidRDefault="001003E6">
      <w:pPr>
        <w:pStyle w:val="JuPara"/>
      </w:pPr>
      <w:r>
        <w:fldChar w:fldCharType="begin"/>
      </w:r>
      <w:r>
        <w:instrText xml:space="preserve"> SEQ level0 \*arabic </w:instrText>
      </w:r>
      <w:r>
        <w:fldChar w:fldCharType="separate"/>
      </w:r>
      <w:r w:rsidR="00E9537A">
        <w:rPr>
          <w:noProof/>
        </w:rPr>
        <w:t>9</w:t>
      </w:r>
      <w:r>
        <w:fldChar w:fldCharType="end"/>
      </w:r>
      <w:r>
        <w:t>.  </w:t>
      </w:r>
      <w:r w:rsidR="008C6E5D">
        <w:t xml:space="preserve">In a decision of 5 June 1997 the </w:t>
      </w:r>
      <w:proofErr w:type="spellStart"/>
      <w:r w:rsidR="008C6E5D">
        <w:t>T</w:t>
      </w:r>
      <w:r w:rsidR="00213AFA">
        <w:t>â</w:t>
      </w:r>
      <w:r w:rsidR="008C6E5D">
        <w:t>rgu-Jiu</w:t>
      </w:r>
      <w:proofErr w:type="spellEnd"/>
      <w:r w:rsidR="008C6E5D">
        <w:t xml:space="preserve"> District Court convicted the applicant of that offence and </w:t>
      </w:r>
      <w:r w:rsidR="0099142E">
        <w:t>imposed on him</w:t>
      </w:r>
      <w:r w:rsidR="008C6E5D">
        <w:t xml:space="preserve"> </w:t>
      </w:r>
      <w:r w:rsidR="00F955CB">
        <w:t>a criminal fine of 80,000 </w:t>
      </w:r>
      <w:r w:rsidR="008C6E5D">
        <w:t>Romanian lei (ROL) and</w:t>
      </w:r>
      <w:r w:rsidR="00F8590B">
        <w:t xml:space="preserve"> ordered him</w:t>
      </w:r>
      <w:r w:rsidR="008C6E5D">
        <w:t xml:space="preserve"> to pay ROL 40,000 in costs. It also informed the applicant that if he did not comply with the payment order the fine could be converted into a prison sentence (Article</w:t>
      </w:r>
      <w:r w:rsidR="00213AFA">
        <w:t> </w:t>
      </w:r>
      <w:r w:rsidR="008C6E5D">
        <w:t>63 of the Criminal Code). The decision became final, as the parties did not appeal against it.</w:t>
      </w:r>
    </w:p>
    <w:p w:rsidR="008C6E5D" w:rsidP="00D5014E" w:rsidRDefault="001003E6">
      <w:pPr>
        <w:pStyle w:val="JuPara"/>
      </w:pPr>
      <w:r>
        <w:fldChar w:fldCharType="begin"/>
      </w:r>
      <w:r>
        <w:instrText xml:space="preserve"> SEQ level0 \*arabic </w:instrText>
      </w:r>
      <w:r>
        <w:fldChar w:fldCharType="separate"/>
      </w:r>
      <w:r w:rsidR="00E9537A">
        <w:rPr>
          <w:noProof/>
        </w:rPr>
        <w:t>10</w:t>
      </w:r>
      <w:r>
        <w:fldChar w:fldCharType="end"/>
      </w:r>
      <w:r>
        <w:t>.  </w:t>
      </w:r>
      <w:r w:rsidR="008C6E5D">
        <w:t>On 15</w:t>
      </w:r>
      <w:r w:rsidR="00213AFA">
        <w:t> </w:t>
      </w:r>
      <w:r w:rsidR="008C6E5D">
        <w:t xml:space="preserve">December 2004 the applicant went to </w:t>
      </w:r>
      <w:proofErr w:type="spellStart"/>
      <w:smartTag w:uri="urn:schemas-microsoft-com:office:smarttags" w:element="Street">
        <w:smartTag w:uri="urn:schemas-microsoft-com:office:smarttags" w:element="address">
          <w:r w:rsidR="008C6E5D">
            <w:t>Gorj</w:t>
          </w:r>
          <w:proofErr w:type="spellEnd"/>
          <w:r w:rsidR="008C6E5D">
            <w:t xml:space="preserve"> Road</w:t>
          </w:r>
        </w:smartTag>
      </w:smartTag>
      <w:r w:rsidR="008C6E5D">
        <w:t xml:space="preserve"> </w:t>
      </w:r>
      <w:r w:rsidR="0099142E">
        <w:t>p</w:t>
      </w:r>
      <w:r w:rsidR="008C6E5D">
        <w:t>olice</w:t>
      </w:r>
      <w:r w:rsidR="00213AFA">
        <w:t> </w:t>
      </w:r>
      <w:r w:rsidR="0099142E">
        <w:t>station</w:t>
      </w:r>
      <w:r w:rsidR="008C6E5D">
        <w:t xml:space="preserve"> to ask for his old driving licence to be replaced with the new model, </w:t>
      </w:r>
      <w:r w:rsidR="0099142E">
        <w:t>in accordance with</w:t>
      </w:r>
      <w:r w:rsidR="008C6E5D">
        <w:t xml:space="preserve"> the new requirements in the matter. On this occasion, the police withdrew his driving licence and informed him that it would be annulled, as the applicant had been stopped for drink-</w:t>
      </w:r>
      <w:r w:rsidRPr="00A570D0" w:rsidR="008C6E5D">
        <w:t>driving</w:t>
      </w:r>
      <w:r w:rsidR="008C6E5D">
        <w:t xml:space="preserve"> in 1995.</w:t>
      </w:r>
    </w:p>
    <w:p w:rsidR="008C6E5D" w:rsidP="00D5014E" w:rsidRDefault="001003E6">
      <w:pPr>
        <w:pStyle w:val="JuPara"/>
      </w:pPr>
      <w:r>
        <w:fldChar w:fldCharType="begin"/>
      </w:r>
      <w:r>
        <w:instrText xml:space="preserve"> SEQ level0 \*arabic </w:instrText>
      </w:r>
      <w:r>
        <w:fldChar w:fldCharType="separate"/>
      </w:r>
      <w:r w:rsidR="00E9537A">
        <w:rPr>
          <w:noProof/>
        </w:rPr>
        <w:t>11</w:t>
      </w:r>
      <w:r>
        <w:fldChar w:fldCharType="end"/>
      </w:r>
      <w:r>
        <w:t>.  </w:t>
      </w:r>
      <w:r w:rsidR="002318C2">
        <w:t>On t</w:t>
      </w:r>
      <w:r w:rsidR="008C6E5D">
        <w:t>he same day the police informed the applicant that under Article 101 § 1 (b) of Emergency Ordinance no.</w:t>
      </w:r>
      <w:r w:rsidR="00213AFA">
        <w:t> </w:t>
      </w:r>
      <w:r w:rsidR="008C6E5D">
        <w:t>195/2002 his driving licence had been annulled with effect from 9 December</w:t>
      </w:r>
      <w:r w:rsidR="00213AFA">
        <w:t> </w:t>
      </w:r>
      <w:r w:rsidR="008C6E5D">
        <w:t xml:space="preserve">2004. His objection to the annulment was dismissed by </w:t>
      </w:r>
      <w:proofErr w:type="spellStart"/>
      <w:r w:rsidR="008C6E5D">
        <w:t>Gorj</w:t>
      </w:r>
      <w:proofErr w:type="spellEnd"/>
      <w:r w:rsidR="008C6E5D">
        <w:t xml:space="preserve"> County Police on 25 January</w:t>
      </w:r>
      <w:r w:rsidR="00213AFA">
        <w:t> </w:t>
      </w:r>
      <w:r w:rsidR="008C6E5D">
        <w:t>2005.</w:t>
      </w:r>
    </w:p>
    <w:p w:rsidR="008C6E5D" w:rsidP="00D5014E" w:rsidRDefault="001003E6">
      <w:pPr>
        <w:pStyle w:val="JuPara"/>
      </w:pPr>
      <w:r>
        <w:fldChar w:fldCharType="begin"/>
      </w:r>
      <w:r>
        <w:instrText xml:space="preserve"> SEQ level0 \*arabic </w:instrText>
      </w:r>
      <w:r>
        <w:fldChar w:fldCharType="separate"/>
      </w:r>
      <w:r w:rsidR="00E9537A">
        <w:rPr>
          <w:noProof/>
        </w:rPr>
        <w:t>12</w:t>
      </w:r>
      <w:r>
        <w:fldChar w:fldCharType="end"/>
      </w:r>
      <w:r>
        <w:t>.  </w:t>
      </w:r>
      <w:r w:rsidR="008C6E5D">
        <w:t>On 10</w:t>
      </w:r>
      <w:r w:rsidR="00213AFA">
        <w:t> </w:t>
      </w:r>
      <w:r w:rsidR="008C6E5D">
        <w:t xml:space="preserve">March 2005 the applicant appealed before the </w:t>
      </w:r>
      <w:proofErr w:type="spellStart"/>
      <w:r w:rsidR="008C6E5D">
        <w:t>Gorj</w:t>
      </w:r>
      <w:proofErr w:type="spellEnd"/>
      <w:r w:rsidR="008C6E5D">
        <w:t xml:space="preserve"> County Court, seeking the revocation of the annulment order.</w:t>
      </w:r>
    </w:p>
    <w:p w:rsidR="008C6E5D" w:rsidP="00D5014E" w:rsidRDefault="001003E6">
      <w:pPr>
        <w:pStyle w:val="JuPara"/>
      </w:pPr>
      <w:r>
        <w:fldChar w:fldCharType="begin"/>
      </w:r>
      <w:r>
        <w:instrText xml:space="preserve"> SEQ level0 \*arabic </w:instrText>
      </w:r>
      <w:r>
        <w:fldChar w:fldCharType="separate"/>
      </w:r>
      <w:r w:rsidR="00E9537A">
        <w:rPr>
          <w:noProof/>
        </w:rPr>
        <w:t>13</w:t>
      </w:r>
      <w:r>
        <w:fldChar w:fldCharType="end"/>
      </w:r>
      <w:r>
        <w:t>.  </w:t>
      </w:r>
      <w:r w:rsidR="008C6E5D">
        <w:t>In a decision of 15 April 2005 the County Court (Administrative</w:t>
      </w:r>
      <w:r w:rsidR="00213AFA">
        <w:t> </w:t>
      </w:r>
      <w:r w:rsidR="008C6E5D">
        <w:t>Law Section) allowed the action for the following reasons:</w:t>
      </w:r>
    </w:p>
    <w:p w:rsidR="00235F1F" w:rsidP="00D5014E" w:rsidRDefault="008C6E5D">
      <w:pPr>
        <w:pStyle w:val="JuQuot"/>
      </w:pPr>
      <w:r>
        <w:t xml:space="preserve">“Indeed, in the judgment of 5 June 1997 of the </w:t>
      </w:r>
      <w:proofErr w:type="spellStart"/>
      <w:r>
        <w:t>T</w:t>
      </w:r>
      <w:r w:rsidR="00AD11E4">
        <w:t>â</w:t>
      </w:r>
      <w:r>
        <w:t>rgu-Jiu</w:t>
      </w:r>
      <w:proofErr w:type="spellEnd"/>
      <w:r>
        <w:t xml:space="preserve"> County Court</w:t>
      </w:r>
      <w:r w:rsidR="0099142E">
        <w:t xml:space="preserve"> </w:t>
      </w:r>
      <w:r w:rsidR="00B17A2C">
        <w:t>...</w:t>
      </w:r>
      <w:r>
        <w:t xml:space="preserve"> the [applicant] was sentenced to pay a </w:t>
      </w:r>
      <w:r w:rsidR="002318C2">
        <w:t xml:space="preserve">fine of </w:t>
      </w:r>
      <w:r>
        <w:t xml:space="preserve">ROL 80,000 </w:t>
      </w:r>
      <w:r w:rsidR="00B17A2C">
        <w:t>...</w:t>
      </w:r>
      <w:r>
        <w:t xml:space="preserve"> and under Emergency Ordinance no. 195/2002, the driving licence stood to be annulled if the driver </w:t>
      </w:r>
      <w:r w:rsidR="0099142E">
        <w:t xml:space="preserve">was </w:t>
      </w:r>
      <w:r>
        <w:t>convicted of a traffic offence</w:t>
      </w:r>
      <w:r w:rsidR="002318C2">
        <w:t xml:space="preserve"> </w:t>
      </w:r>
      <w:r>
        <w:t>...</w:t>
      </w:r>
    </w:p>
    <w:p w:rsidR="008C6E5D" w:rsidP="00D5014E" w:rsidRDefault="008C6E5D">
      <w:pPr>
        <w:pStyle w:val="JuQuot"/>
      </w:pPr>
      <w:r>
        <w:t>Under Article 126 (c) of the Code of Criminal Procedure, the enforcement of the criminal fine becomes statute-barred after three years; therefore the annulment of the driving licence</w:t>
      </w:r>
      <w:r w:rsidR="002318C2">
        <w:t>,</w:t>
      </w:r>
      <w:r w:rsidRPr="004F1D51">
        <w:t xml:space="preserve"> being a</w:t>
      </w:r>
      <w:r>
        <w:t xml:space="preserve"> </w:t>
      </w:r>
      <w:r w:rsidRPr="00EA08F0">
        <w:t>subsidiary penalty (</w:t>
      </w:r>
      <w:proofErr w:type="spellStart"/>
      <w:r w:rsidRPr="00EA08F0">
        <w:rPr>
          <w:i/>
        </w:rPr>
        <w:t>pedeapsa</w:t>
      </w:r>
      <w:proofErr w:type="spellEnd"/>
      <w:r w:rsidRPr="00EA08F0">
        <w:rPr>
          <w:i/>
        </w:rPr>
        <w:t xml:space="preserve"> </w:t>
      </w:r>
      <w:proofErr w:type="spellStart"/>
      <w:r w:rsidRPr="00EA08F0">
        <w:rPr>
          <w:i/>
        </w:rPr>
        <w:t>accesorie</w:t>
      </w:r>
      <w:proofErr w:type="spellEnd"/>
      <w:r w:rsidRPr="00EA08F0">
        <w:t>), becomes</w:t>
      </w:r>
      <w:r>
        <w:t xml:space="preserve"> statute</w:t>
      </w:r>
      <w:r>
        <w:noBreakHyphen/>
        <w:t>barred at the same time</w:t>
      </w:r>
      <w:r w:rsidRPr="004F1D51">
        <w:t xml:space="preserve"> </w:t>
      </w:r>
      <w:r>
        <w:t>as the main penalty.</w:t>
      </w:r>
    </w:p>
    <w:p w:rsidR="008C6E5D" w:rsidP="00D5014E" w:rsidRDefault="008C6E5D">
      <w:pPr>
        <w:pStyle w:val="JuQuot"/>
      </w:pPr>
      <w:r>
        <w:t xml:space="preserve">The time-limits are counted from the date when the events occurred, therefore </w:t>
      </w:r>
      <w:r w:rsidR="00B17A2C">
        <w:t>...</w:t>
      </w:r>
      <w:r>
        <w:t xml:space="preserve"> the penalty is at present statute-barred.”</w:t>
      </w:r>
    </w:p>
    <w:p w:rsidR="008C6E5D" w:rsidP="00D5014E" w:rsidRDefault="001003E6">
      <w:pPr>
        <w:pStyle w:val="JuPara"/>
      </w:pPr>
      <w:r>
        <w:fldChar w:fldCharType="begin"/>
      </w:r>
      <w:r>
        <w:instrText xml:space="preserve"> SEQ level0 \*arabic </w:instrText>
      </w:r>
      <w:r>
        <w:fldChar w:fldCharType="separate"/>
      </w:r>
      <w:r w:rsidR="00E9537A">
        <w:rPr>
          <w:noProof/>
        </w:rPr>
        <w:t>14</w:t>
      </w:r>
      <w:r>
        <w:fldChar w:fldCharType="end"/>
      </w:r>
      <w:r>
        <w:t>.  </w:t>
      </w:r>
      <w:r w:rsidR="008C6E5D">
        <w:t xml:space="preserve">The </w:t>
      </w:r>
      <w:proofErr w:type="spellStart"/>
      <w:r w:rsidR="008C6E5D">
        <w:t>Gorj</w:t>
      </w:r>
      <w:proofErr w:type="spellEnd"/>
      <w:r w:rsidR="008C6E5D">
        <w:t xml:space="preserve"> County Police appealed, and in a final decision of 12</w:t>
      </w:r>
      <w:r w:rsidR="00AD11E4">
        <w:t> </w:t>
      </w:r>
      <w:r w:rsidR="008C6E5D">
        <w:t>July</w:t>
      </w:r>
      <w:r w:rsidR="00AD11E4">
        <w:t> </w:t>
      </w:r>
      <w:r w:rsidR="008C6E5D">
        <w:t>2005 the Craiova Court of Appeal (Administrative Law Section) reversed the judgment and dismissed the applicant</w:t>
      </w:r>
      <w:r w:rsidR="00E9537A">
        <w:t>’</w:t>
      </w:r>
      <w:r w:rsidR="008C6E5D">
        <w:t>s initial action, giving the following grounds:</w:t>
      </w:r>
    </w:p>
    <w:p w:rsidR="008C6E5D" w:rsidP="00D5014E" w:rsidRDefault="008C6E5D">
      <w:pPr>
        <w:pStyle w:val="JuQuot"/>
      </w:pPr>
      <w:r>
        <w:t xml:space="preserve">“The annulment of the driving licence is not </w:t>
      </w:r>
      <w:r w:rsidRPr="00EA08F0">
        <w:t>a subsidiary penalty, as</w:t>
      </w:r>
      <w:r>
        <w:t xml:space="preserve"> the first</w:t>
      </w:r>
      <w:r>
        <w:noBreakHyphen/>
        <w:t xml:space="preserve">instance court wrongly considered; it represents an administrative measure with distinct rules applicable to it that can only be imposed by </w:t>
      </w:r>
      <w:r w:rsidR="00F8590B">
        <w:t xml:space="preserve">the </w:t>
      </w:r>
      <w:r>
        <w:t>police.</w:t>
      </w:r>
    </w:p>
    <w:p w:rsidRPr="004F1D51" w:rsidR="008C6E5D" w:rsidP="00D5014E" w:rsidRDefault="008C6E5D">
      <w:pPr>
        <w:pStyle w:val="JuQuot"/>
      </w:pPr>
      <w:r>
        <w:t>Decree no. 328/1966 and Emergency Ordinance no. 195/2002</w:t>
      </w:r>
      <w:r w:rsidR="00F955CB">
        <w:t xml:space="preserve"> do not provide a time</w:t>
      </w:r>
      <w:r w:rsidR="00F955CB">
        <w:noBreakHyphen/>
      </w:r>
      <w:r>
        <w:t>limit for the application of this measure; moreover</w:t>
      </w:r>
      <w:r w:rsidR="002318C2">
        <w:t>,</w:t>
      </w:r>
      <w:r>
        <w:t xml:space="preserve"> in the applicant</w:t>
      </w:r>
      <w:r w:rsidR="00E9537A">
        <w:t>’</w:t>
      </w:r>
      <w:r>
        <w:t>s case the measure is applied automatically, as he was criminally convicted for a traffic offence.”</w:t>
      </w:r>
    </w:p>
    <w:p w:rsidRPr="004D4F4E" w:rsidR="007352DD" w:rsidP="00D5014E" w:rsidRDefault="007352DD">
      <w:pPr>
        <w:pStyle w:val="JuHIRoman"/>
        <w:outlineLvl w:val="0"/>
      </w:pPr>
      <w:r w:rsidRPr="004D4F4E">
        <w:t>II.  RELEVANT DOMESTIC LAW</w:t>
      </w:r>
    </w:p>
    <w:p w:rsidR="0078484D" w:rsidP="00D5014E" w:rsidRDefault="00966961">
      <w:pPr>
        <w:pStyle w:val="JuPara"/>
      </w:pPr>
      <w:r>
        <w:fldChar w:fldCharType="begin"/>
      </w:r>
      <w:r>
        <w:instrText xml:space="preserve"> SEQ level0 \*arabic </w:instrText>
      </w:r>
      <w:r>
        <w:fldChar w:fldCharType="separate"/>
      </w:r>
      <w:r w:rsidR="00E9537A">
        <w:rPr>
          <w:noProof/>
        </w:rPr>
        <w:t>15</w:t>
      </w:r>
      <w:r>
        <w:fldChar w:fldCharType="end"/>
      </w:r>
      <w:r w:rsidRPr="004D4F4E" w:rsidR="007352DD">
        <w:t>.  </w:t>
      </w:r>
      <w:r w:rsidR="0078484D">
        <w:t>Article</w:t>
      </w:r>
      <w:r w:rsidR="00AD11E4">
        <w:t> </w:t>
      </w:r>
      <w:r w:rsidR="0078484D">
        <w:t>36</w:t>
      </w:r>
      <w:r w:rsidR="00AD11E4">
        <w:t> </w:t>
      </w:r>
      <w:r w:rsidR="0078484D">
        <w:t>§</w:t>
      </w:r>
      <w:r w:rsidR="00AD11E4">
        <w:t> </w:t>
      </w:r>
      <w:r w:rsidR="0078484D">
        <w:t xml:space="preserve">2 of Decree no. 328/1966 on driving on public roads criminalises the offence of driving on public roads with a suspended driving licence. The same Act provides that </w:t>
      </w:r>
      <w:r w:rsidR="00D15777">
        <w:t xml:space="preserve">a </w:t>
      </w:r>
      <w:r w:rsidR="0078484D">
        <w:t>driving licence may be annulled if its owner has been convicted of a criminal offence under the regulations on driving on public roads</w:t>
      </w:r>
      <w:r w:rsidRPr="00761038" w:rsidR="0078484D">
        <w:t xml:space="preserve"> </w:t>
      </w:r>
      <w:r w:rsidR="0078484D">
        <w:t xml:space="preserve">(Article 42 § 2). The annulment is decided by the Head of </w:t>
      </w:r>
      <w:r w:rsidR="00D15777">
        <w:t xml:space="preserve">the </w:t>
      </w:r>
      <w:smartTag w:uri="urn:schemas-microsoft-com:office:smarttags" w:element="place">
        <w:smartTag w:uri="urn:schemas-microsoft-com:office:smarttags" w:element="PlaceType">
          <w:r w:rsidR="0078484D">
            <w:t>County</w:t>
          </w:r>
        </w:smartTag>
        <w:r w:rsidR="0078484D">
          <w:t xml:space="preserve"> </w:t>
        </w:r>
        <w:smartTag w:uri="urn:schemas-microsoft-com:office:smarttags" w:element="PlaceName">
          <w:r w:rsidR="0078484D">
            <w:t>Police</w:t>
          </w:r>
        </w:smartTag>
      </w:smartTag>
      <w:r w:rsidR="0078484D">
        <w:t xml:space="preserve"> once the criminal decision is final (Articles 42 § 3 and 43).</w:t>
      </w:r>
    </w:p>
    <w:p w:rsidRPr="004D4F4E" w:rsidR="007352DD" w:rsidP="00D5014E" w:rsidRDefault="0078484D">
      <w:pPr>
        <w:pStyle w:val="JuPara"/>
      </w:pPr>
      <w:r>
        <w:fldChar w:fldCharType="begin"/>
      </w:r>
      <w:r>
        <w:instrText xml:space="preserve"> SEQ level0 \*arabic </w:instrText>
      </w:r>
      <w:r>
        <w:fldChar w:fldCharType="separate"/>
      </w:r>
      <w:r w:rsidR="00E9537A">
        <w:rPr>
          <w:noProof/>
        </w:rPr>
        <w:t>16</w:t>
      </w:r>
      <w:r>
        <w:fldChar w:fldCharType="end"/>
      </w:r>
      <w:r>
        <w:t>.  Decree no.</w:t>
      </w:r>
      <w:r w:rsidR="00AD11E4">
        <w:t> </w:t>
      </w:r>
      <w:r>
        <w:t xml:space="preserve">328/1966 was abolished by Emergency Ordinance no. 195/2002, which entered into force on 1 February 2003, and which in its </w:t>
      </w:r>
      <w:r w:rsidR="00DE04C3">
        <w:t>Article</w:t>
      </w:r>
      <w:r>
        <w:t> 101</w:t>
      </w:r>
      <w:r w:rsidR="00AD11E4">
        <w:t> </w:t>
      </w:r>
      <w:r>
        <w:t>§</w:t>
      </w:r>
      <w:r w:rsidR="00AD11E4">
        <w:t> </w:t>
      </w:r>
      <w:r>
        <w:t>1</w:t>
      </w:r>
      <w:r w:rsidR="00AD11E4">
        <w:t> </w:t>
      </w:r>
      <w:r>
        <w:t>(b) made the annulment of the driving licence automatic</w:t>
      </w:r>
      <w:r w:rsidR="00DE04C3">
        <w:t>.</w:t>
      </w:r>
      <w:r>
        <w:t xml:space="preserve"> This Act was amended</w:t>
      </w:r>
      <w:r w:rsidR="00D15777">
        <w:t xml:space="preserve"> on several occasions</w:t>
      </w:r>
      <w:r>
        <w:t>, but the relevant provision was in place on the date when the final decision was rendered in the case at hand.</w:t>
      </w:r>
    </w:p>
    <w:p w:rsidRPr="007156E0" w:rsidR="00F71A6A" w:rsidP="00D5014E" w:rsidRDefault="00F71A6A">
      <w:pPr>
        <w:pStyle w:val="JuHHead"/>
      </w:pPr>
      <w:r w:rsidRPr="007156E0">
        <w:t>THE LAW</w:t>
      </w:r>
    </w:p>
    <w:p w:rsidRPr="007156E0" w:rsidR="00F71A6A" w:rsidP="00D5014E" w:rsidRDefault="002814C3">
      <w:pPr>
        <w:pStyle w:val="JuHIRoman"/>
      </w:pPr>
      <w:r>
        <w:t>I</w:t>
      </w:r>
      <w:r w:rsidRPr="007156E0" w:rsidR="00F71A6A">
        <w:t>.</w:t>
      </w:r>
      <w:r w:rsidRPr="007156E0" w:rsidR="00337600">
        <w:t xml:space="preserve">  ALLEGED VIOLATION OF ARTICLE </w:t>
      </w:r>
      <w:r>
        <w:t>7</w:t>
      </w:r>
      <w:r w:rsidRPr="007156E0" w:rsidR="00F71A6A">
        <w:t xml:space="preserve"> OF THE CONVENTION</w:t>
      </w:r>
    </w:p>
    <w:p w:rsidR="00201247" w:rsidP="00D5014E" w:rsidRDefault="00602584">
      <w:pPr>
        <w:pStyle w:val="JuPara"/>
      </w:pPr>
      <w:r>
        <w:fldChar w:fldCharType="begin"/>
      </w:r>
      <w:r>
        <w:instrText xml:space="preserve"> SEQ level0 \*arabic </w:instrText>
      </w:r>
      <w:r>
        <w:fldChar w:fldCharType="separate"/>
      </w:r>
      <w:r w:rsidR="00E9537A">
        <w:rPr>
          <w:noProof/>
        </w:rPr>
        <w:t>17</w:t>
      </w:r>
      <w:r>
        <w:fldChar w:fldCharType="end"/>
      </w:r>
      <w:r>
        <w:t xml:space="preserve">.  The applicant complained about the annulment of his driving licence. </w:t>
      </w:r>
      <w:r w:rsidR="008843E5">
        <w:t xml:space="preserve">He relied on Article 6 of the Convention. </w:t>
      </w:r>
      <w:r w:rsidR="00540D63">
        <w:t>The</w:t>
      </w:r>
      <w:r w:rsidR="00316367">
        <w:t xml:space="preserve"> Court consider</w:t>
      </w:r>
      <w:r w:rsidR="00DE04C3">
        <w:t>s</w:t>
      </w:r>
      <w:r w:rsidR="00316367">
        <w:t xml:space="preserve"> that the application </w:t>
      </w:r>
      <w:r w:rsidR="008843E5">
        <w:t>may raise</w:t>
      </w:r>
      <w:r w:rsidR="00316367">
        <w:t xml:space="preserve"> an issue under Article 7 of the Convention. </w:t>
      </w:r>
      <w:r w:rsidR="00201247">
        <w:t xml:space="preserve">It reiterates that </w:t>
      </w:r>
      <w:r w:rsidR="002814C3">
        <w:t xml:space="preserve">it is master of the </w:t>
      </w:r>
      <w:r w:rsidRPr="00516984" w:rsidR="002814C3">
        <w:t xml:space="preserve">characterisation to be given in law to the facts and </w:t>
      </w:r>
      <w:r w:rsidR="00316367">
        <w:t xml:space="preserve">as it </w:t>
      </w:r>
      <w:r w:rsidRPr="00516984" w:rsidR="002814C3">
        <w:t xml:space="preserve">could decide to examine the complaint submitted to it under </w:t>
      </w:r>
      <w:r w:rsidR="002814C3">
        <w:t>more than one of the Convention</w:t>
      </w:r>
      <w:r w:rsidR="00E9537A">
        <w:t>’</w:t>
      </w:r>
      <w:r w:rsidRPr="00516984" w:rsidR="002814C3">
        <w:t>s provisions</w:t>
      </w:r>
      <w:r w:rsidR="002814C3">
        <w:t xml:space="preserve"> (see </w:t>
      </w:r>
      <w:proofErr w:type="spellStart"/>
      <w:r w:rsidRPr="00516984" w:rsidR="002814C3">
        <w:rPr>
          <w:i/>
          <w:lang w:eastAsia="en-US"/>
        </w:rPr>
        <w:t>Scoppola</w:t>
      </w:r>
      <w:proofErr w:type="spellEnd"/>
      <w:r w:rsidRPr="00516984" w:rsidR="002814C3">
        <w:rPr>
          <w:i/>
          <w:lang w:eastAsia="en-US"/>
        </w:rPr>
        <w:t xml:space="preserve"> v. </w:t>
      </w:r>
      <w:smartTag w:uri="urn:schemas-microsoft-com:office:smarttags" w:element="place">
        <w:smartTag w:uri="urn:schemas-microsoft-com:office:smarttags" w:element="country-region">
          <w:r w:rsidR="002814C3" w:rsidRPr="00516984">
            <w:rPr>
              <w:i/>
              <w:lang w:eastAsia="en-US"/>
            </w:rPr>
            <w:t>Italy</w:t>
          </w:r>
        </w:smartTag>
      </w:smartTag>
      <w:r w:rsidRPr="00516984" w:rsidR="002814C3">
        <w:rPr>
          <w:lang w:eastAsia="en-US"/>
        </w:rPr>
        <w:t xml:space="preserve"> </w:t>
      </w:r>
      <w:r w:rsidRPr="00516984" w:rsidR="002814C3">
        <w:rPr>
          <w:i/>
          <w:lang w:eastAsia="en-US"/>
        </w:rPr>
        <w:t xml:space="preserve">(no. 2) </w:t>
      </w:r>
      <w:r w:rsidRPr="00516984" w:rsidR="002814C3">
        <w:rPr>
          <w:lang w:eastAsia="en-US"/>
        </w:rPr>
        <w:t xml:space="preserve">[GC], </w:t>
      </w:r>
      <w:r w:rsidR="002814C3">
        <w:rPr>
          <w:lang w:val="pt-BR" w:eastAsia="en-US"/>
        </w:rPr>
        <w:t>no. </w:t>
      </w:r>
      <w:r w:rsidRPr="00516984" w:rsidR="002814C3">
        <w:rPr>
          <w:lang w:val="pt-BR" w:eastAsia="en-US"/>
        </w:rPr>
        <w:t>10249/03</w:t>
      </w:r>
      <w:r w:rsidRPr="00516984" w:rsidR="002814C3">
        <w:rPr>
          <w:lang w:eastAsia="en-US"/>
        </w:rPr>
        <w:t xml:space="preserve">, </w:t>
      </w:r>
      <w:r w:rsidR="002814C3">
        <w:t xml:space="preserve">§ 54, </w:t>
      </w:r>
      <w:r w:rsidRPr="00516984" w:rsidR="002814C3">
        <w:rPr>
          <w:lang w:eastAsia="en-US"/>
        </w:rPr>
        <w:t>ECHR 2009</w:t>
      </w:r>
      <w:r w:rsidRPr="00516984" w:rsidR="002814C3">
        <w:rPr>
          <w:lang w:eastAsia="en-US"/>
        </w:rPr>
        <w:noBreakHyphen/>
      </w:r>
      <w:r w:rsidR="00B17A2C">
        <w:rPr>
          <w:lang w:eastAsia="en-US"/>
        </w:rPr>
        <w:t>...</w:t>
      </w:r>
      <w:r w:rsidR="002814C3">
        <w:t>)</w:t>
      </w:r>
      <w:r w:rsidR="005C76A9">
        <w:t>.</w:t>
      </w:r>
    </w:p>
    <w:p w:rsidR="00F71A6A" w:rsidP="00D5014E" w:rsidRDefault="005C76A9">
      <w:pPr>
        <w:pStyle w:val="JuPara"/>
      </w:pPr>
      <w:r>
        <w:t>Article 7 of the Convention reads as follows:</w:t>
      </w:r>
    </w:p>
    <w:p w:rsidR="005C76A9" w:rsidP="00D5014E" w:rsidRDefault="005C76A9">
      <w:pPr>
        <w:pStyle w:val="JuQuot"/>
      </w:pPr>
      <w:r>
        <w:t>“1.  No one shall be held guilty of any criminal offence on account of any act or omission which did not constitute a criminal offence under national or international law at the time when it was committed. Nor shall a heavier penalty be imposed than the one that was applicable at the time the criminal offence was committed.</w:t>
      </w:r>
    </w:p>
    <w:p w:rsidR="005C76A9" w:rsidP="00D5014E" w:rsidRDefault="005C76A9">
      <w:pPr>
        <w:pStyle w:val="JuQuot"/>
      </w:pPr>
      <w:r>
        <w:t>2.  This article shall not prejudice the trial and punishment of any person for any act or omission which, at the time when it was committed, was criminal according to the general principles of law recognised by civilised nations.”</w:t>
      </w:r>
    </w:p>
    <w:p w:rsidR="005C76A9" w:rsidP="00D5014E" w:rsidRDefault="005C76A9">
      <w:pPr>
        <w:pStyle w:val="JuHA"/>
        <w:outlineLvl w:val="0"/>
      </w:pPr>
      <w:r w:rsidRPr="007156E0">
        <w:t>A.  Admissibility</w:t>
      </w:r>
    </w:p>
    <w:p w:rsidR="00235F1F" w:rsidP="00D5014E" w:rsidRDefault="005C76A9">
      <w:pPr>
        <w:pStyle w:val="JuPara"/>
      </w:pPr>
      <w:r>
        <w:fldChar w:fldCharType="begin"/>
      </w:r>
      <w:r>
        <w:instrText xml:space="preserve"> SEQ level0 \*arabic </w:instrText>
      </w:r>
      <w:r>
        <w:fldChar w:fldCharType="separate"/>
      </w:r>
      <w:r w:rsidR="00E9537A">
        <w:rPr>
          <w:noProof/>
        </w:rPr>
        <w:t>18</w:t>
      </w:r>
      <w:r>
        <w:fldChar w:fldCharType="end"/>
      </w:r>
      <w:r>
        <w:t>.  The Government contended that the measure imposed on the applicant did not constitute a “penalty” within the meaning of Article</w:t>
      </w:r>
      <w:r w:rsidR="00AD11E4">
        <w:t> </w:t>
      </w:r>
      <w:r>
        <w:t xml:space="preserve">7 and </w:t>
      </w:r>
      <w:r w:rsidR="00540D63">
        <w:t xml:space="preserve">that </w:t>
      </w:r>
      <w:r>
        <w:t xml:space="preserve">therefore the complaint was incompatible </w:t>
      </w:r>
      <w:proofErr w:type="spellStart"/>
      <w:r>
        <w:rPr>
          <w:i/>
        </w:rPr>
        <w:t>ratione</w:t>
      </w:r>
      <w:proofErr w:type="spellEnd"/>
      <w:r>
        <w:rPr>
          <w:i/>
        </w:rPr>
        <w:t xml:space="preserve"> </w:t>
      </w:r>
      <w:proofErr w:type="spellStart"/>
      <w:r>
        <w:rPr>
          <w:i/>
        </w:rPr>
        <w:t>materiae</w:t>
      </w:r>
      <w:proofErr w:type="spellEnd"/>
      <w:r>
        <w:t xml:space="preserve"> with the provisions of the Convention.</w:t>
      </w:r>
    </w:p>
    <w:p w:rsidRPr="005C76A9" w:rsidR="005C76A9" w:rsidP="00D5014E" w:rsidRDefault="005C76A9">
      <w:pPr>
        <w:pStyle w:val="JuPara"/>
      </w:pPr>
      <w:r>
        <w:fldChar w:fldCharType="begin"/>
      </w:r>
      <w:r>
        <w:instrText xml:space="preserve"> SEQ level0 \*arabic </w:instrText>
      </w:r>
      <w:r>
        <w:fldChar w:fldCharType="separate"/>
      </w:r>
      <w:r w:rsidR="00E9537A">
        <w:rPr>
          <w:noProof/>
        </w:rPr>
        <w:t>19</w:t>
      </w:r>
      <w:r>
        <w:fldChar w:fldCharType="end"/>
      </w:r>
      <w:r>
        <w:t>.  </w:t>
      </w:r>
      <w:r w:rsidR="009C6478">
        <w:t>The applicant contested the Government</w:t>
      </w:r>
      <w:r w:rsidR="00E9537A">
        <w:t>’</w:t>
      </w:r>
      <w:r w:rsidR="009C6478">
        <w:t>s position.</w:t>
      </w:r>
    </w:p>
    <w:p w:rsidRPr="0007363F" w:rsidR="00E856CE" w:rsidP="00E856CE" w:rsidRDefault="009C6478">
      <w:pPr>
        <w:pStyle w:val="JuPara"/>
        <w:rPr>
          <w:lang w:eastAsia="en-US"/>
        </w:rPr>
      </w:pPr>
      <w:r>
        <w:fldChar w:fldCharType="begin"/>
      </w:r>
      <w:r>
        <w:instrText xml:space="preserve"> SEQ level0 \*arabic </w:instrText>
      </w:r>
      <w:r>
        <w:fldChar w:fldCharType="separate"/>
      </w:r>
      <w:r w:rsidR="00E9537A">
        <w:rPr>
          <w:noProof/>
        </w:rPr>
        <w:t>20</w:t>
      </w:r>
      <w:r>
        <w:fldChar w:fldCharType="end"/>
      </w:r>
      <w:r>
        <w:t>.  </w:t>
      </w:r>
      <w:r w:rsidR="00E856CE">
        <w:t>The Court reiterates that the concept of a “penalty”</w:t>
      </w:r>
      <w:r w:rsidRPr="0007363F" w:rsidR="00E856CE">
        <w:t xml:space="preserve"> in </w:t>
      </w:r>
      <w:r w:rsidR="00E856CE">
        <w:t>Article</w:t>
      </w:r>
      <w:r w:rsidR="00AD11E4">
        <w:t> </w:t>
      </w:r>
      <w:r w:rsidR="00E856CE">
        <w:t>7 of the Convention is</w:t>
      </w:r>
      <w:r w:rsidRPr="0007363F" w:rsidR="00E856CE">
        <w:t xml:space="preserve">, like the notions of </w:t>
      </w:r>
      <w:r w:rsidR="00E856CE">
        <w:t>“</w:t>
      </w:r>
      <w:r w:rsidRPr="0007363F" w:rsidR="00E856CE">
        <w:t>civil rights and obligations</w:t>
      </w:r>
      <w:r w:rsidR="00E856CE">
        <w:t>”</w:t>
      </w:r>
      <w:r w:rsidRPr="0007363F" w:rsidR="00E856CE">
        <w:t xml:space="preserve"> and </w:t>
      </w:r>
      <w:r w:rsidR="00E856CE">
        <w:t>“</w:t>
      </w:r>
      <w:r w:rsidRPr="0007363F" w:rsidR="00E856CE">
        <w:t>criminal charge</w:t>
      </w:r>
      <w:r w:rsidR="00E856CE">
        <w:t>” in Article </w:t>
      </w:r>
      <w:r w:rsidRPr="0007363F" w:rsidR="00E856CE">
        <w:t>6</w:t>
      </w:r>
      <w:r w:rsidR="00E856CE">
        <w:t> § 1</w:t>
      </w:r>
      <w:r w:rsidRPr="0007363F" w:rsidR="00E856CE">
        <w:t xml:space="preserve">, an autonomous Convention concept. </w:t>
      </w:r>
      <w:r w:rsidR="00E856CE">
        <w:t>T</w:t>
      </w:r>
      <w:r w:rsidRPr="0007363F" w:rsidR="00E856CE">
        <w:t>he starting-point in any assessment of the existence of a penalty is whether the measure in question is impo</w:t>
      </w:r>
      <w:r w:rsidR="00E856CE">
        <w:t>sed following conviction for a “</w:t>
      </w:r>
      <w:r w:rsidRPr="0007363F" w:rsidR="00E856CE">
        <w:t>criminal offence</w:t>
      </w:r>
      <w:r w:rsidR="00E856CE">
        <w:t>”</w:t>
      </w:r>
      <w:r w:rsidRPr="0007363F" w:rsidR="00E856CE">
        <w:t>. Other factors that may be taken into account as relevant in this connection are the nature and purpose of the measure in question; its characterisation under national law; the procedures involved in the making and implementation of the measure; and its severity</w:t>
      </w:r>
      <w:r w:rsidR="00E856CE">
        <w:t xml:space="preserve"> (see </w:t>
      </w:r>
      <w:r w:rsidRPr="0007363F" w:rsidR="00E856CE">
        <w:rPr>
          <w:i/>
          <w:lang w:eastAsia="en-US"/>
        </w:rPr>
        <w:t>Welch</w:t>
      </w:r>
      <w:r w:rsidR="00AD11E4">
        <w:rPr>
          <w:i/>
          <w:lang w:eastAsia="en-US"/>
        </w:rPr>
        <w:t> </w:t>
      </w:r>
      <w:r w:rsidRPr="0007363F" w:rsidR="00E856CE">
        <w:rPr>
          <w:i/>
          <w:lang w:eastAsia="en-US"/>
        </w:rPr>
        <w:t>v.</w:t>
      </w:r>
      <w:r w:rsidR="00AD11E4">
        <w:rPr>
          <w:i/>
          <w:lang w:eastAsia="en-US"/>
        </w:rPr>
        <w:t> </w:t>
      </w:r>
      <w:r w:rsidRPr="0007363F" w:rsidR="00E856CE">
        <w:rPr>
          <w:i/>
          <w:lang w:eastAsia="en-US"/>
        </w:rPr>
        <w:t>the</w:t>
      </w:r>
      <w:r w:rsidR="00AD11E4">
        <w:rPr>
          <w:i/>
          <w:lang w:eastAsia="en-US"/>
        </w:rPr>
        <w:t> </w:t>
      </w:r>
      <w:r w:rsidRPr="0007363F" w:rsidR="00E856CE">
        <w:rPr>
          <w:i/>
          <w:lang w:eastAsia="en-US"/>
        </w:rPr>
        <w:t>United Kingdom</w:t>
      </w:r>
      <w:r w:rsidRPr="0007363F" w:rsidR="00E856CE">
        <w:rPr>
          <w:lang w:eastAsia="en-US"/>
        </w:rPr>
        <w:t>, 9 February 1995, §</w:t>
      </w:r>
      <w:r w:rsidR="00E856CE">
        <w:rPr>
          <w:lang w:eastAsia="en-US"/>
        </w:rPr>
        <w:t>§</w:t>
      </w:r>
      <w:r w:rsidRPr="0007363F" w:rsidR="00E856CE">
        <w:rPr>
          <w:lang w:eastAsia="en-US"/>
        </w:rPr>
        <w:t xml:space="preserve"> </w:t>
      </w:r>
      <w:r w:rsidR="00E856CE">
        <w:rPr>
          <w:lang w:eastAsia="en-US"/>
        </w:rPr>
        <w:t>27-28</w:t>
      </w:r>
      <w:r w:rsidRPr="0007363F" w:rsidR="00E856CE">
        <w:rPr>
          <w:lang w:eastAsia="en-US"/>
        </w:rPr>
        <w:t>, Series</w:t>
      </w:r>
      <w:r w:rsidR="00AD11E4">
        <w:rPr>
          <w:lang w:eastAsia="en-US"/>
        </w:rPr>
        <w:t> </w:t>
      </w:r>
      <w:r w:rsidRPr="0007363F" w:rsidR="00E856CE">
        <w:rPr>
          <w:lang w:eastAsia="en-US"/>
        </w:rPr>
        <w:t>A no.</w:t>
      </w:r>
      <w:r w:rsidR="00AD11E4">
        <w:rPr>
          <w:lang w:eastAsia="en-US"/>
        </w:rPr>
        <w:t> </w:t>
      </w:r>
      <w:r w:rsidRPr="0007363F" w:rsidR="00E856CE">
        <w:rPr>
          <w:lang w:eastAsia="en-US"/>
        </w:rPr>
        <w:t>307</w:t>
      </w:r>
      <w:r w:rsidRPr="0007363F" w:rsidR="00E856CE">
        <w:rPr>
          <w:lang w:eastAsia="en-US"/>
        </w:rPr>
        <w:noBreakHyphen/>
        <w:t>A</w:t>
      </w:r>
      <w:r w:rsidR="00E856CE">
        <w:t>).</w:t>
      </w:r>
    </w:p>
    <w:p w:rsidR="00E856CE" w:rsidP="00E856CE" w:rsidRDefault="00E856CE">
      <w:pPr>
        <w:pStyle w:val="JuPara"/>
      </w:pPr>
      <w:r>
        <w:fldChar w:fldCharType="begin"/>
      </w:r>
      <w:r>
        <w:instrText xml:space="preserve"> SEQ level0 \*arabic </w:instrText>
      </w:r>
      <w:r>
        <w:fldChar w:fldCharType="separate"/>
      </w:r>
      <w:r w:rsidR="00E9537A">
        <w:rPr>
          <w:noProof/>
        </w:rPr>
        <w:t>21</w:t>
      </w:r>
      <w:r>
        <w:fldChar w:fldCharType="end"/>
      </w:r>
      <w:r>
        <w:t xml:space="preserve">.  The Court has established in the case </w:t>
      </w:r>
      <w:proofErr w:type="spellStart"/>
      <w:r w:rsidRPr="00E8653D">
        <w:rPr>
          <w:i/>
        </w:rPr>
        <w:t>Maszni</w:t>
      </w:r>
      <w:proofErr w:type="spellEnd"/>
      <w:r w:rsidRPr="00E8653D">
        <w:rPr>
          <w:i/>
        </w:rPr>
        <w:t xml:space="preserve"> v. Romania</w:t>
      </w:r>
      <w:r w:rsidR="008843E5">
        <w:t xml:space="preserve"> (no. </w:t>
      </w:r>
      <w:r w:rsidRPr="00EC2A80">
        <w:t>59892/00, §</w:t>
      </w:r>
      <w:r>
        <w:t> 66, 21 </w:t>
      </w:r>
      <w:r w:rsidRPr="00EC2A80">
        <w:t>September 2006)</w:t>
      </w:r>
      <w:r>
        <w:t xml:space="preserve"> that although the annulment of a driving licence is regarded by the national law as an administrative measure, it constitutes rather a criminal matter for the purpose of Article</w:t>
      </w:r>
      <w:r w:rsidR="00AD11E4">
        <w:t> </w:t>
      </w:r>
      <w:r>
        <w:t xml:space="preserve">6 of the Convention, in so far as its severity gives it a punitive and dissuasive character pertaining to criminal sanctions (see also </w:t>
      </w:r>
      <w:r w:rsidRPr="00EC2A80">
        <w:rPr>
          <w:i/>
        </w:rPr>
        <w:t>Welch</w:t>
      </w:r>
      <w:r w:rsidRPr="00EC2A80">
        <w:t xml:space="preserve">, </w:t>
      </w:r>
      <w:r w:rsidR="008843E5">
        <w:t xml:space="preserve">cited above, </w:t>
      </w:r>
      <w:r w:rsidRPr="00EC2A80">
        <w:t>§ 28</w:t>
      </w:r>
      <w:r w:rsidR="008843E5">
        <w:t>;</w:t>
      </w:r>
      <w:r>
        <w:t xml:space="preserve"> and </w:t>
      </w:r>
      <w:r w:rsidRPr="00A227C4">
        <w:rPr>
          <w:i/>
        </w:rPr>
        <w:t>Nilsson v.</w:t>
      </w:r>
      <w:r>
        <w:rPr>
          <w:i/>
        </w:rPr>
        <w:t> </w:t>
      </w:r>
      <w:r w:rsidRPr="00A227C4">
        <w:rPr>
          <w:i/>
        </w:rPr>
        <w:t>Sweden</w:t>
      </w:r>
      <w:r w:rsidRPr="00EC2A80">
        <w:t xml:space="preserve"> (</w:t>
      </w:r>
      <w:proofErr w:type="spellStart"/>
      <w:r w:rsidRPr="00EC2A80">
        <w:t>dec</w:t>
      </w:r>
      <w:proofErr w:type="spellEnd"/>
      <w:r w:rsidRPr="00EC2A80">
        <w:t>.)</w:t>
      </w:r>
      <w:r>
        <w:t>, no. 73661/01, 13 </w:t>
      </w:r>
      <w:r w:rsidRPr="00EC2A80">
        <w:t>December 2005</w:t>
      </w:r>
      <w:r>
        <w:t>).</w:t>
      </w:r>
    </w:p>
    <w:p w:rsidR="00E856CE" w:rsidP="00E856CE" w:rsidRDefault="00E856CE">
      <w:pPr>
        <w:pStyle w:val="JuPara"/>
      </w:pPr>
      <w:r>
        <w:t>The</w:t>
      </w:r>
      <w:r w:rsidRPr="00EC2A80">
        <w:t xml:space="preserve"> measure </w:t>
      </w:r>
      <w:r>
        <w:t xml:space="preserve">at issue in the present case </w:t>
      </w:r>
      <w:r w:rsidRPr="00EC2A80">
        <w:t xml:space="preserve">should </w:t>
      </w:r>
      <w:r>
        <w:t xml:space="preserve">thus </w:t>
      </w:r>
      <w:r w:rsidRPr="00EC2A80">
        <w:t>be seen as a criminal penalty</w:t>
      </w:r>
      <w:r w:rsidR="00DE04C3">
        <w:t xml:space="preserve"> for the purpose of Article 7</w:t>
      </w:r>
      <w:r w:rsidRPr="00EC2A80">
        <w:t>.</w:t>
      </w:r>
    </w:p>
    <w:p w:rsidR="00235F1F" w:rsidP="00D5014E" w:rsidRDefault="00E856CE">
      <w:pPr>
        <w:pStyle w:val="JuPara"/>
      </w:pPr>
      <w:r>
        <w:fldChar w:fldCharType="begin"/>
      </w:r>
      <w:r>
        <w:instrText xml:space="preserve"> SEQ level0 \*arabic </w:instrText>
      </w:r>
      <w:r>
        <w:fldChar w:fldCharType="separate"/>
      </w:r>
      <w:r w:rsidR="00E9537A">
        <w:rPr>
          <w:noProof/>
        </w:rPr>
        <w:t>22</w:t>
      </w:r>
      <w:r>
        <w:fldChar w:fldCharType="end"/>
      </w:r>
      <w:r>
        <w:t>.  It follows</w:t>
      </w:r>
      <w:r w:rsidR="009C6478">
        <w:t xml:space="preserve"> that the exception raised by the Government is inadmissible </w:t>
      </w:r>
      <w:r w:rsidR="00316367">
        <w:t>(see</w:t>
      </w:r>
      <w:r w:rsidR="0072180B">
        <w:t xml:space="preserve"> also</w:t>
      </w:r>
      <w:r w:rsidR="00316367">
        <w:t xml:space="preserve"> </w:t>
      </w:r>
      <w:r w:rsidRPr="007A54A8" w:rsidR="00316367">
        <w:rPr>
          <w:i/>
          <w:lang w:eastAsia="en-US"/>
        </w:rPr>
        <w:t>Welch v. the United Kingdom</w:t>
      </w:r>
      <w:r w:rsidRPr="007A54A8" w:rsidR="00316367">
        <w:rPr>
          <w:lang w:eastAsia="en-US"/>
        </w:rPr>
        <w:t xml:space="preserve">, 9 February 1995, § </w:t>
      </w:r>
      <w:r w:rsidR="00316367">
        <w:rPr>
          <w:lang w:eastAsia="en-US"/>
        </w:rPr>
        <w:t>28, Series </w:t>
      </w:r>
      <w:r w:rsidRPr="007A54A8" w:rsidR="00316367">
        <w:rPr>
          <w:lang w:eastAsia="en-US"/>
        </w:rPr>
        <w:t>A no. 307</w:t>
      </w:r>
      <w:r w:rsidRPr="007A54A8" w:rsidR="00316367">
        <w:rPr>
          <w:lang w:eastAsia="en-US"/>
        </w:rPr>
        <w:noBreakHyphen/>
        <w:t>A</w:t>
      </w:r>
      <w:r w:rsidR="00316367">
        <w:rPr>
          <w:lang w:eastAsia="en-US"/>
        </w:rPr>
        <w:t>)</w:t>
      </w:r>
      <w:r w:rsidR="009C6478">
        <w:t>.</w:t>
      </w:r>
    </w:p>
    <w:p w:rsidRPr="007156E0" w:rsidR="005C76A9" w:rsidP="00D5014E" w:rsidRDefault="005C76A9">
      <w:pPr>
        <w:pStyle w:val="JuPara"/>
      </w:pPr>
      <w:r>
        <w:fldChar w:fldCharType="begin"/>
      </w:r>
      <w:r>
        <w:instrText xml:space="preserve"> SEQ level0 \*arabic </w:instrText>
      </w:r>
      <w:r>
        <w:fldChar w:fldCharType="separate"/>
      </w:r>
      <w:r w:rsidR="00E9537A">
        <w:rPr>
          <w:noProof/>
        </w:rPr>
        <w:t>23</w:t>
      </w:r>
      <w:r>
        <w:fldChar w:fldCharType="end"/>
      </w:r>
      <w:r w:rsidRPr="007156E0">
        <w:t xml:space="preserve">.  The Court </w:t>
      </w:r>
      <w:r>
        <w:t xml:space="preserve">also </w:t>
      </w:r>
      <w:r w:rsidRPr="007156E0">
        <w:t xml:space="preserve">notes that this complaint is not manifestly ill-founded within the meaning of Article </w:t>
      </w:r>
      <w:r>
        <w:t>35 § 3 (a)</w:t>
      </w:r>
      <w:r w:rsidRPr="007156E0">
        <w:t xml:space="preserve"> of the Convention. It further notes that it is not inadmissible on any other grounds. It must therefore be declared admissible.</w:t>
      </w:r>
    </w:p>
    <w:p w:rsidRPr="007156E0" w:rsidR="005C76A9" w:rsidP="00D5014E" w:rsidRDefault="005C76A9">
      <w:pPr>
        <w:pStyle w:val="JuHA"/>
        <w:outlineLvl w:val="0"/>
      </w:pPr>
      <w:r w:rsidRPr="007156E0">
        <w:t>B.  Merits</w:t>
      </w:r>
    </w:p>
    <w:p w:rsidR="005C76A9" w:rsidP="00D5014E" w:rsidRDefault="005C76A9">
      <w:pPr>
        <w:pStyle w:val="JuH1"/>
      </w:pPr>
      <w:r>
        <w:t>1.  The parties</w:t>
      </w:r>
      <w:r w:rsidR="00E9537A">
        <w:t>’</w:t>
      </w:r>
      <w:r>
        <w:t xml:space="preserve"> submissions</w:t>
      </w:r>
    </w:p>
    <w:p w:rsidR="009C6478" w:rsidP="00D5014E" w:rsidRDefault="009C6478">
      <w:pPr>
        <w:pStyle w:val="JuPara"/>
      </w:pPr>
      <w:r>
        <w:fldChar w:fldCharType="begin"/>
      </w:r>
      <w:r>
        <w:instrText xml:space="preserve"> SEQ level0 \*arabic </w:instrText>
      </w:r>
      <w:r>
        <w:fldChar w:fldCharType="separate"/>
      </w:r>
      <w:r w:rsidR="00E9537A">
        <w:rPr>
          <w:noProof/>
        </w:rPr>
        <w:t>24</w:t>
      </w:r>
      <w:r>
        <w:fldChar w:fldCharType="end"/>
      </w:r>
      <w:r>
        <w:t xml:space="preserve">.  The applicant argued that the Court of Appeal </w:t>
      </w:r>
      <w:r w:rsidR="00540D63">
        <w:t xml:space="preserve">had </w:t>
      </w:r>
      <w:r>
        <w:t xml:space="preserve">breached his Convention rights as it </w:t>
      </w:r>
      <w:r w:rsidR="00540D63">
        <w:t xml:space="preserve">had </w:t>
      </w:r>
      <w:r>
        <w:t xml:space="preserve">disregarded the statute of limitations </w:t>
      </w:r>
      <w:r w:rsidR="00540D63">
        <w:t xml:space="preserve">in respect of </w:t>
      </w:r>
      <w:r>
        <w:t>the implementation of the measure taken against him.</w:t>
      </w:r>
    </w:p>
    <w:p w:rsidR="00F71A6A" w:rsidP="00D5014E" w:rsidRDefault="00966961">
      <w:pPr>
        <w:pStyle w:val="JuPara"/>
      </w:pPr>
      <w:r>
        <w:fldChar w:fldCharType="begin"/>
      </w:r>
      <w:r>
        <w:instrText xml:space="preserve"> SEQ level0 \*arabic </w:instrText>
      </w:r>
      <w:r>
        <w:fldChar w:fldCharType="separate"/>
      </w:r>
      <w:r w:rsidR="00E9537A">
        <w:rPr>
          <w:noProof/>
        </w:rPr>
        <w:t>25</w:t>
      </w:r>
      <w:r>
        <w:fldChar w:fldCharType="end"/>
      </w:r>
      <w:r w:rsidRPr="007156E0" w:rsidR="00F71A6A">
        <w:t>.  The Government contested that argument.</w:t>
      </w:r>
      <w:r w:rsidR="004B6725">
        <w:t xml:space="preserve"> </w:t>
      </w:r>
      <w:r w:rsidR="00F00135">
        <w:t>They argue</w:t>
      </w:r>
      <w:r w:rsidR="004435B9">
        <w:t>d</w:t>
      </w:r>
      <w:r w:rsidR="00F00135">
        <w:t xml:space="preserve"> that the applicant should have been able to foresee that he risked </w:t>
      </w:r>
      <w:r w:rsidR="00540D63">
        <w:t xml:space="preserve">the </w:t>
      </w:r>
      <w:r w:rsidR="00F00135">
        <w:t>annulment of his driving licence as the measure was clearly prescribed both in the old law and in the new law and there was no time</w:t>
      </w:r>
      <w:r w:rsidR="00540D63">
        <w:t>-</w:t>
      </w:r>
      <w:r w:rsidR="00F00135">
        <w:t xml:space="preserve">limit for the authorities to </w:t>
      </w:r>
      <w:r w:rsidR="00540D63">
        <w:t xml:space="preserve">apply </w:t>
      </w:r>
      <w:r w:rsidR="00F00135">
        <w:t xml:space="preserve">that measure. Therefore, they </w:t>
      </w:r>
      <w:r w:rsidR="0099142E">
        <w:t xml:space="preserve">disagreed with </w:t>
      </w:r>
      <w:r w:rsidR="00F00135">
        <w:t>the applicant</w:t>
      </w:r>
      <w:r w:rsidR="00E9537A">
        <w:t>’</w:t>
      </w:r>
      <w:r w:rsidR="00F00135">
        <w:t xml:space="preserve">s claims that a heavier penalty had been imposed on him </w:t>
      </w:r>
      <w:r w:rsidR="00540D63">
        <w:t xml:space="preserve">because of </w:t>
      </w:r>
      <w:r w:rsidR="00F00135">
        <w:t>the application of the new law.</w:t>
      </w:r>
    </w:p>
    <w:p w:rsidR="00F00135" w:rsidP="00D5014E" w:rsidRDefault="00F00135">
      <w:pPr>
        <w:pStyle w:val="JuH1"/>
      </w:pPr>
      <w:r>
        <w:t>2.  The Court</w:t>
      </w:r>
      <w:r w:rsidR="00E9537A">
        <w:t>’</w:t>
      </w:r>
      <w:r>
        <w:t>s assessment</w:t>
      </w:r>
    </w:p>
    <w:p w:rsidRPr="00BD07F8" w:rsidR="00434E3D" w:rsidP="00D5014E" w:rsidRDefault="00434E3D">
      <w:pPr>
        <w:pStyle w:val="JuPara"/>
        <w:rPr>
          <w:i/>
          <w:lang w:eastAsia="en-US"/>
        </w:rPr>
      </w:pPr>
      <w:r>
        <w:fldChar w:fldCharType="begin"/>
      </w:r>
      <w:r>
        <w:instrText xml:space="preserve"> SEQ level0 \*arabic </w:instrText>
      </w:r>
      <w:r>
        <w:fldChar w:fldCharType="separate"/>
      </w:r>
      <w:r w:rsidR="00E9537A">
        <w:rPr>
          <w:noProof/>
        </w:rPr>
        <w:t>26</w:t>
      </w:r>
      <w:r>
        <w:fldChar w:fldCharType="end"/>
      </w:r>
      <w:r>
        <w:t>.  </w:t>
      </w:r>
      <w:r w:rsidRPr="007156E0">
        <w:t xml:space="preserve">The Court </w:t>
      </w:r>
      <w:r>
        <w:t>makes reference to the well-established principles developed in its case</w:t>
      </w:r>
      <w:r w:rsidR="00540D63">
        <w:t>-</w:t>
      </w:r>
      <w:r>
        <w:t xml:space="preserve">law in the context of Article 7 of the Convention (see, </w:t>
      </w:r>
      <w:r w:rsidR="00DE04C3">
        <w:t>notably</w:t>
      </w:r>
      <w:r>
        <w:t xml:space="preserve">, </w:t>
      </w:r>
      <w:proofErr w:type="spellStart"/>
      <w:r w:rsidRPr="00BD07F8">
        <w:rPr>
          <w:i/>
          <w:lang w:eastAsia="en-US"/>
        </w:rPr>
        <w:t>Kokkinakis</w:t>
      </w:r>
      <w:proofErr w:type="spellEnd"/>
      <w:r w:rsidRPr="00BD07F8">
        <w:rPr>
          <w:i/>
          <w:lang w:eastAsia="en-US"/>
        </w:rPr>
        <w:t xml:space="preserve"> v. </w:t>
      </w:r>
      <w:smartTag w:uri="urn:schemas-microsoft-com:office:smarttags" w:element="place">
        <w:smartTag w:uri="urn:schemas-microsoft-com:office:smarttags" w:element="country-region">
          <w:r w:rsidRPr="00BD07F8">
            <w:rPr>
              <w:i/>
              <w:lang w:eastAsia="en-US"/>
            </w:rPr>
            <w:t>Greece</w:t>
          </w:r>
        </w:smartTag>
      </w:smartTag>
      <w:r w:rsidRPr="00BD07F8">
        <w:rPr>
          <w:lang w:eastAsia="en-US"/>
        </w:rPr>
        <w:t xml:space="preserve">, 25 May 1993, § </w:t>
      </w:r>
      <w:r>
        <w:rPr>
          <w:lang w:eastAsia="en-US"/>
        </w:rPr>
        <w:t>52</w:t>
      </w:r>
      <w:r w:rsidRPr="00BD07F8">
        <w:rPr>
          <w:lang w:eastAsia="en-US"/>
        </w:rPr>
        <w:t>, Series A no.</w:t>
      </w:r>
      <w:r>
        <w:rPr>
          <w:lang w:eastAsia="en-US"/>
        </w:rPr>
        <w:t> </w:t>
      </w:r>
      <w:r w:rsidRPr="00BD07F8">
        <w:rPr>
          <w:lang w:eastAsia="en-US"/>
        </w:rPr>
        <w:t>260</w:t>
      </w:r>
      <w:r w:rsidRPr="00BD07F8">
        <w:rPr>
          <w:lang w:eastAsia="en-US"/>
        </w:rPr>
        <w:noBreakHyphen/>
        <w:t>A</w:t>
      </w:r>
      <w:r>
        <w:rPr>
          <w:lang w:eastAsia="en-US"/>
        </w:rPr>
        <w:t xml:space="preserve">; </w:t>
      </w:r>
      <w:proofErr w:type="spellStart"/>
      <w:r w:rsidRPr="00BD07F8">
        <w:rPr>
          <w:i/>
          <w:lang w:eastAsia="en-US"/>
        </w:rPr>
        <w:t>Dragotoniu</w:t>
      </w:r>
      <w:proofErr w:type="spellEnd"/>
      <w:r w:rsidRPr="00BD07F8">
        <w:rPr>
          <w:i/>
          <w:lang w:eastAsia="en-US"/>
        </w:rPr>
        <w:t xml:space="preserve"> and </w:t>
      </w:r>
      <w:proofErr w:type="spellStart"/>
      <w:r w:rsidRPr="00BD07F8">
        <w:rPr>
          <w:i/>
          <w:lang w:eastAsia="en-US"/>
        </w:rPr>
        <w:t>Militaru-Pidhorni</w:t>
      </w:r>
      <w:proofErr w:type="spellEnd"/>
      <w:r w:rsidRPr="00BD07F8">
        <w:rPr>
          <w:i/>
          <w:lang w:eastAsia="en-US"/>
        </w:rPr>
        <w:t xml:space="preserve"> v. </w:t>
      </w:r>
      <w:smartTag w:uri="urn:schemas-microsoft-com:office:smarttags" w:element="country-region">
        <w:r w:rsidRPr="00BD07F8">
          <w:rPr>
            <w:i/>
            <w:lang w:eastAsia="en-US"/>
          </w:rPr>
          <w:t>Romania</w:t>
        </w:r>
      </w:smartTag>
      <w:r w:rsidRPr="00BD07F8">
        <w:rPr>
          <w:lang w:eastAsia="en-US"/>
        </w:rPr>
        <w:t>, nos. 77193/01 and 77196/01, §</w:t>
      </w:r>
      <w:r>
        <w:rPr>
          <w:lang w:eastAsia="en-US"/>
        </w:rPr>
        <w:t>§ 33-38</w:t>
      </w:r>
      <w:r w:rsidRPr="00BD07F8">
        <w:rPr>
          <w:lang w:eastAsia="en-US"/>
        </w:rPr>
        <w:t>, 24 May 2007</w:t>
      </w:r>
      <w:r>
        <w:rPr>
          <w:lang w:eastAsia="en-US"/>
        </w:rPr>
        <w:t xml:space="preserve">; </w:t>
      </w:r>
      <w:proofErr w:type="spellStart"/>
      <w:r w:rsidRPr="006504BD">
        <w:rPr>
          <w:i/>
          <w:szCs w:val="24"/>
          <w:lang w:eastAsia="en-US"/>
        </w:rPr>
        <w:t>Kafkaris</w:t>
      </w:r>
      <w:proofErr w:type="spellEnd"/>
      <w:r w:rsidRPr="006504BD">
        <w:rPr>
          <w:i/>
          <w:szCs w:val="24"/>
          <w:lang w:eastAsia="en-US"/>
        </w:rPr>
        <w:t xml:space="preserve"> v. </w:t>
      </w:r>
      <w:smartTag w:uri="urn:schemas-microsoft-com:office:smarttags" w:element="place">
        <w:smartTag w:uri="urn:schemas-microsoft-com:office:smarttags" w:element="country-region">
          <w:r w:rsidRPr="006504BD">
            <w:rPr>
              <w:i/>
              <w:szCs w:val="24"/>
              <w:lang w:eastAsia="en-US"/>
            </w:rPr>
            <w:t>Cyprus</w:t>
          </w:r>
        </w:smartTag>
      </w:smartTag>
      <w:r w:rsidRPr="006504BD">
        <w:rPr>
          <w:i/>
          <w:szCs w:val="24"/>
          <w:lang w:eastAsia="en-US"/>
        </w:rPr>
        <w:t xml:space="preserve"> </w:t>
      </w:r>
      <w:r w:rsidRPr="006504BD">
        <w:rPr>
          <w:szCs w:val="24"/>
          <w:lang w:eastAsia="en-US"/>
        </w:rPr>
        <w:t>[GC], no. 21906/04, §</w:t>
      </w:r>
      <w:r>
        <w:rPr>
          <w:szCs w:val="24"/>
          <w:lang w:eastAsia="en-US"/>
        </w:rPr>
        <w:t>§</w:t>
      </w:r>
      <w:r w:rsidRPr="006504BD">
        <w:rPr>
          <w:szCs w:val="24"/>
          <w:lang w:eastAsia="en-US"/>
        </w:rPr>
        <w:t xml:space="preserve"> </w:t>
      </w:r>
      <w:r>
        <w:rPr>
          <w:szCs w:val="24"/>
          <w:lang w:eastAsia="en-US"/>
        </w:rPr>
        <w:t>139-141</w:t>
      </w:r>
      <w:r w:rsidRPr="006504BD">
        <w:rPr>
          <w:szCs w:val="24"/>
          <w:lang w:eastAsia="en-US"/>
        </w:rPr>
        <w:t xml:space="preserve">, </w:t>
      </w:r>
      <w:r w:rsidRPr="006504BD">
        <w:rPr>
          <w:lang w:eastAsia="en-US"/>
        </w:rPr>
        <w:t>ECHR 2008</w:t>
      </w:r>
      <w:r w:rsidRPr="006504BD">
        <w:rPr>
          <w:lang w:eastAsia="en-US"/>
        </w:rPr>
        <w:noBreakHyphen/>
      </w:r>
      <w:r w:rsidR="00B17A2C">
        <w:rPr>
          <w:lang w:eastAsia="en-US"/>
        </w:rPr>
        <w:t>...</w:t>
      </w:r>
      <w:r>
        <w:t>;</w:t>
      </w:r>
      <w:r w:rsidRPr="00BD21EB">
        <w:t xml:space="preserve"> </w:t>
      </w:r>
      <w:proofErr w:type="spellStart"/>
      <w:r w:rsidRPr="00BD07F8">
        <w:rPr>
          <w:i/>
          <w:lang w:eastAsia="en-US"/>
        </w:rPr>
        <w:t>Sud</w:t>
      </w:r>
      <w:proofErr w:type="spellEnd"/>
      <w:r w:rsidRPr="00BD07F8">
        <w:rPr>
          <w:i/>
          <w:lang w:eastAsia="en-US"/>
        </w:rPr>
        <w:t xml:space="preserve"> </w:t>
      </w:r>
      <w:proofErr w:type="spellStart"/>
      <w:r w:rsidRPr="00BD07F8">
        <w:rPr>
          <w:i/>
          <w:lang w:eastAsia="en-US"/>
        </w:rPr>
        <w:t>Fondi</w:t>
      </w:r>
      <w:proofErr w:type="spellEnd"/>
      <w:r w:rsidRPr="00BD07F8">
        <w:rPr>
          <w:i/>
          <w:lang w:eastAsia="en-US"/>
        </w:rPr>
        <w:t xml:space="preserve"> </w:t>
      </w:r>
      <w:proofErr w:type="spellStart"/>
      <w:r w:rsidRPr="00BD07F8">
        <w:rPr>
          <w:i/>
          <w:lang w:eastAsia="en-US"/>
        </w:rPr>
        <w:t>S.r.l</w:t>
      </w:r>
      <w:proofErr w:type="spellEnd"/>
      <w:r w:rsidRPr="00BD07F8">
        <w:rPr>
          <w:i/>
          <w:lang w:eastAsia="en-US"/>
        </w:rPr>
        <w:t>. and Others v. Italy</w:t>
      </w:r>
      <w:r>
        <w:rPr>
          <w:lang w:eastAsia="en-US"/>
        </w:rPr>
        <w:t>, no. </w:t>
      </w:r>
      <w:r w:rsidRPr="00BD07F8">
        <w:rPr>
          <w:lang w:eastAsia="en-US"/>
        </w:rPr>
        <w:t>75909/01, §</w:t>
      </w:r>
      <w:r>
        <w:rPr>
          <w:lang w:eastAsia="en-US"/>
        </w:rPr>
        <w:t>§</w:t>
      </w:r>
      <w:r w:rsidRPr="00BD07F8">
        <w:rPr>
          <w:lang w:eastAsia="en-US"/>
        </w:rPr>
        <w:t xml:space="preserve"> </w:t>
      </w:r>
      <w:r>
        <w:rPr>
          <w:lang w:eastAsia="en-US"/>
        </w:rPr>
        <w:t>105-110</w:t>
      </w:r>
      <w:r w:rsidRPr="00BD07F8">
        <w:rPr>
          <w:lang w:eastAsia="en-US"/>
        </w:rPr>
        <w:t>, 20 January 2009</w:t>
      </w:r>
      <w:r w:rsidR="00540D63">
        <w:rPr>
          <w:lang w:eastAsia="en-US"/>
        </w:rPr>
        <w:t>;</w:t>
      </w:r>
      <w:r w:rsidRPr="00434E3D">
        <w:rPr>
          <w:lang w:eastAsia="en-US"/>
        </w:rPr>
        <w:t xml:space="preserve"> </w:t>
      </w:r>
      <w:r>
        <w:rPr>
          <w:lang w:eastAsia="en-US"/>
        </w:rPr>
        <w:t xml:space="preserve">and </w:t>
      </w:r>
      <w:proofErr w:type="spellStart"/>
      <w:r w:rsidRPr="00AB168D">
        <w:rPr>
          <w:i/>
          <w:lang w:eastAsia="en-US"/>
        </w:rPr>
        <w:t>Scoppola</w:t>
      </w:r>
      <w:proofErr w:type="spellEnd"/>
      <w:r w:rsidRPr="00AB168D">
        <w:rPr>
          <w:i/>
          <w:lang w:eastAsia="en-US"/>
        </w:rPr>
        <w:t xml:space="preserve"> v. </w:t>
      </w:r>
      <w:smartTag w:uri="urn:schemas-microsoft-com:office:smarttags" w:element="place">
        <w:smartTag w:uri="urn:schemas-microsoft-com:office:smarttags" w:element="country-region">
          <w:r w:rsidRPr="00AB168D">
            <w:rPr>
              <w:i/>
              <w:lang w:eastAsia="en-US"/>
            </w:rPr>
            <w:t>Italy</w:t>
          </w:r>
        </w:smartTag>
      </w:smartTag>
      <w:r w:rsidRPr="00AB168D">
        <w:rPr>
          <w:lang w:eastAsia="en-US"/>
        </w:rPr>
        <w:t xml:space="preserve"> </w:t>
      </w:r>
      <w:r w:rsidRPr="00AB168D">
        <w:rPr>
          <w:i/>
          <w:lang w:eastAsia="en-US"/>
        </w:rPr>
        <w:t xml:space="preserve">(no. 2) </w:t>
      </w:r>
      <w:r w:rsidRPr="00AB168D">
        <w:rPr>
          <w:lang w:eastAsia="en-US"/>
        </w:rPr>
        <w:t>[GC], no. 10249/03, §</w:t>
      </w:r>
      <w:r>
        <w:rPr>
          <w:lang w:eastAsia="en-US"/>
        </w:rPr>
        <w:t>§</w:t>
      </w:r>
      <w:r w:rsidRPr="00AB168D">
        <w:rPr>
          <w:lang w:eastAsia="en-US"/>
        </w:rPr>
        <w:t xml:space="preserve"> </w:t>
      </w:r>
      <w:r>
        <w:rPr>
          <w:lang w:eastAsia="en-US"/>
        </w:rPr>
        <w:t>92-109</w:t>
      </w:r>
      <w:r w:rsidRPr="00AB168D">
        <w:rPr>
          <w:lang w:eastAsia="en-US"/>
        </w:rPr>
        <w:t>, 17 September 2009</w:t>
      </w:r>
      <w:r>
        <w:rPr>
          <w:lang w:eastAsia="en-US"/>
        </w:rPr>
        <w:t xml:space="preserve">). </w:t>
      </w:r>
      <w:r w:rsidR="00DE04C3">
        <w:rPr>
          <w:lang w:eastAsia="en-US"/>
        </w:rPr>
        <w:t>I</w:t>
      </w:r>
      <w:r>
        <w:rPr>
          <w:lang w:eastAsia="en-US"/>
        </w:rPr>
        <w:t xml:space="preserve">t reiterates that </w:t>
      </w:r>
      <w:r w:rsidRPr="00BD21EB">
        <w:t xml:space="preserve">Article 7 of the Convention </w:t>
      </w:r>
      <w:r>
        <w:t>requires that</w:t>
      </w:r>
      <w:r w:rsidRPr="00BD07F8">
        <w:t xml:space="preserve"> an offence must be clearly defined in law</w:t>
      </w:r>
      <w:r w:rsidR="00540D63">
        <w:t>,</w:t>
      </w:r>
      <w:r>
        <w:t xml:space="preserve"> that the law must be predictable and foreseeable and both prohibit the retrospective application of </w:t>
      </w:r>
      <w:r w:rsidR="003926BF">
        <w:t xml:space="preserve">the more stringent </w:t>
      </w:r>
      <w:r>
        <w:t xml:space="preserve">criminal law to the detriment of the accused and guarantee the retrospective application of the more lenient criminal law </w:t>
      </w:r>
      <w:r w:rsidR="001358E9">
        <w:t>(</w:t>
      </w:r>
      <w:proofErr w:type="spellStart"/>
      <w:r w:rsidR="001358E9">
        <w:rPr>
          <w:i/>
        </w:rPr>
        <w:t>Scoppola</w:t>
      </w:r>
      <w:proofErr w:type="spellEnd"/>
      <w:r w:rsidR="001358E9">
        <w:rPr>
          <w:i/>
        </w:rPr>
        <w:t xml:space="preserve"> (no. 2)</w:t>
      </w:r>
      <w:r w:rsidR="001358E9">
        <w:t>, cited above, §§ 93 and 109).</w:t>
      </w:r>
    </w:p>
    <w:p w:rsidRPr="00262894" w:rsidR="00434E3D" w:rsidP="00D5014E" w:rsidRDefault="001358E9">
      <w:pPr>
        <w:pStyle w:val="JuPara"/>
        <w:rPr>
          <w:lang w:eastAsia="en-US"/>
        </w:rPr>
      </w:pPr>
      <w:r>
        <w:fldChar w:fldCharType="begin"/>
      </w:r>
      <w:r>
        <w:instrText xml:space="preserve"> SEQ level0 \*arabic </w:instrText>
      </w:r>
      <w:r>
        <w:fldChar w:fldCharType="separate"/>
      </w:r>
      <w:r w:rsidR="00E9537A">
        <w:rPr>
          <w:noProof/>
        </w:rPr>
        <w:t>27</w:t>
      </w:r>
      <w:r>
        <w:fldChar w:fldCharType="end"/>
      </w:r>
      <w:r>
        <w:t>.  In the instant case, t</w:t>
      </w:r>
      <w:r w:rsidR="00434E3D">
        <w:t xml:space="preserve">he </w:t>
      </w:r>
      <w:r>
        <w:t xml:space="preserve">Court </w:t>
      </w:r>
      <w:r w:rsidR="00434E3D">
        <w:t>notes that under the Emergency Ordinance the annulment of the driving licence was no longer left to the police</w:t>
      </w:r>
      <w:r w:rsidR="00E9537A">
        <w:t>’</w:t>
      </w:r>
      <w:r w:rsidR="00434E3D">
        <w:t xml:space="preserve">s discretion, but became automatic for cases </w:t>
      </w:r>
      <w:r w:rsidR="0099142E">
        <w:t>like</w:t>
      </w:r>
      <w:r w:rsidR="00434E3D">
        <w:t xml:space="preserve"> the applicant</w:t>
      </w:r>
      <w:r w:rsidR="00E9537A">
        <w:t>’</w:t>
      </w:r>
      <w:r w:rsidR="00434E3D">
        <w:t>s</w:t>
      </w:r>
      <w:r w:rsidR="00262894">
        <w:t xml:space="preserve"> (</w:t>
      </w:r>
      <w:r w:rsidR="00540D63">
        <w:t>contrast</w:t>
      </w:r>
      <w:r w:rsidR="00262894">
        <w:rPr>
          <w:i/>
        </w:rPr>
        <w:t xml:space="preserve"> </w:t>
      </w:r>
      <w:proofErr w:type="spellStart"/>
      <w:r w:rsidRPr="00262894" w:rsidR="00262894">
        <w:rPr>
          <w:i/>
          <w:lang w:eastAsia="en-US"/>
        </w:rPr>
        <w:t>Coëme</w:t>
      </w:r>
      <w:proofErr w:type="spellEnd"/>
      <w:r w:rsidRPr="00262894" w:rsidR="00262894">
        <w:rPr>
          <w:i/>
          <w:lang w:eastAsia="en-US"/>
        </w:rPr>
        <w:t xml:space="preserve"> and Others</w:t>
      </w:r>
      <w:r w:rsidRPr="00262894" w:rsidR="00262894">
        <w:rPr>
          <w:lang w:eastAsia="en-US"/>
        </w:rPr>
        <w:t xml:space="preserve">, </w:t>
      </w:r>
      <w:r w:rsidR="00262894">
        <w:rPr>
          <w:lang w:eastAsia="en-US"/>
        </w:rPr>
        <w:t>cited above</w:t>
      </w:r>
      <w:r w:rsidRPr="00262894" w:rsidR="00262894">
        <w:rPr>
          <w:lang w:eastAsia="en-US"/>
        </w:rPr>
        <w:t xml:space="preserve">, § </w:t>
      </w:r>
      <w:r w:rsidR="004E710E">
        <w:rPr>
          <w:lang w:eastAsia="en-US"/>
        </w:rPr>
        <w:t>149</w:t>
      </w:r>
      <w:r w:rsidR="00540D63">
        <w:rPr>
          <w:lang w:eastAsia="en-US"/>
        </w:rPr>
        <w:t>;</w:t>
      </w:r>
      <w:r w:rsidR="00262894">
        <w:rPr>
          <w:lang w:eastAsia="en-US"/>
        </w:rPr>
        <w:t xml:space="preserve"> </w:t>
      </w:r>
      <w:r w:rsidR="00262894">
        <w:rPr>
          <w:i/>
        </w:rPr>
        <w:t>mutatis mutandis</w:t>
      </w:r>
      <w:r w:rsidR="00262894">
        <w:t xml:space="preserve">, </w:t>
      </w:r>
      <w:proofErr w:type="spellStart"/>
      <w:r w:rsidRPr="00262894" w:rsidR="00262894">
        <w:rPr>
          <w:i/>
          <w:lang w:eastAsia="en-US"/>
        </w:rPr>
        <w:t>Jamil</w:t>
      </w:r>
      <w:proofErr w:type="spellEnd"/>
      <w:r w:rsidR="00AD11E4">
        <w:rPr>
          <w:i/>
          <w:lang w:eastAsia="en-US"/>
        </w:rPr>
        <w:t> </w:t>
      </w:r>
      <w:r w:rsidRPr="00262894" w:rsidR="00262894">
        <w:rPr>
          <w:i/>
          <w:lang w:eastAsia="en-US"/>
        </w:rPr>
        <w:t>v.</w:t>
      </w:r>
      <w:r w:rsidR="00540D63">
        <w:rPr>
          <w:i/>
          <w:lang w:eastAsia="en-US"/>
        </w:rPr>
        <w:t> </w:t>
      </w:r>
      <w:r w:rsidRPr="00262894" w:rsidR="00262894">
        <w:rPr>
          <w:i/>
          <w:lang w:eastAsia="en-US"/>
        </w:rPr>
        <w:t>France</w:t>
      </w:r>
      <w:r w:rsidRPr="00262894" w:rsidR="00262894">
        <w:rPr>
          <w:lang w:eastAsia="en-US"/>
        </w:rPr>
        <w:t xml:space="preserve">, 8 June 1995, § </w:t>
      </w:r>
      <w:r w:rsidR="00262894">
        <w:rPr>
          <w:lang w:eastAsia="en-US"/>
        </w:rPr>
        <w:t>32</w:t>
      </w:r>
      <w:r w:rsidRPr="00262894" w:rsidR="00262894">
        <w:rPr>
          <w:lang w:eastAsia="en-US"/>
        </w:rPr>
        <w:t>, Series A no. 317</w:t>
      </w:r>
      <w:r w:rsidRPr="00262894" w:rsidR="00262894">
        <w:rPr>
          <w:lang w:eastAsia="en-US"/>
        </w:rPr>
        <w:noBreakHyphen/>
        <w:t>B</w:t>
      </w:r>
      <w:r w:rsidR="00262894">
        <w:rPr>
          <w:lang w:eastAsia="en-US"/>
        </w:rPr>
        <w:t xml:space="preserve">; and </w:t>
      </w:r>
      <w:r w:rsidR="004435B9">
        <w:rPr>
          <w:i/>
          <w:lang w:eastAsia="en-US"/>
        </w:rPr>
        <w:t>M. v. </w:t>
      </w:r>
      <w:r w:rsidRPr="00262894" w:rsidR="00262894">
        <w:rPr>
          <w:i/>
          <w:lang w:eastAsia="en-US"/>
        </w:rPr>
        <w:t>Germany</w:t>
      </w:r>
      <w:r w:rsidRPr="00262894" w:rsidR="00262894">
        <w:rPr>
          <w:lang w:eastAsia="en-US"/>
        </w:rPr>
        <w:t xml:space="preserve">, </w:t>
      </w:r>
      <w:r w:rsidRPr="00262894" w:rsidR="00262894">
        <w:rPr>
          <w:snapToGrid w:val="0"/>
          <w:lang w:eastAsia="en-US"/>
        </w:rPr>
        <w:t>no.</w:t>
      </w:r>
      <w:r w:rsidR="0099142E">
        <w:rPr>
          <w:lang w:eastAsia="en-US"/>
        </w:rPr>
        <w:t> </w:t>
      </w:r>
      <w:r w:rsidRPr="00262894" w:rsidR="00262894">
        <w:rPr>
          <w:lang w:eastAsia="en-US"/>
        </w:rPr>
        <w:t>19359/04</w:t>
      </w:r>
      <w:r w:rsidRPr="00262894" w:rsidR="00262894">
        <w:rPr>
          <w:snapToGrid w:val="0"/>
          <w:lang w:eastAsia="en-US"/>
        </w:rPr>
        <w:t>, §</w:t>
      </w:r>
      <w:r w:rsidR="00262894">
        <w:rPr>
          <w:snapToGrid w:val="0"/>
          <w:lang w:eastAsia="en-US"/>
        </w:rPr>
        <w:t>§</w:t>
      </w:r>
      <w:r w:rsidRPr="00262894" w:rsidR="00262894">
        <w:rPr>
          <w:snapToGrid w:val="0"/>
          <w:lang w:eastAsia="en-US"/>
        </w:rPr>
        <w:t xml:space="preserve"> </w:t>
      </w:r>
      <w:r w:rsidR="00262894">
        <w:rPr>
          <w:snapToGrid w:val="0"/>
          <w:lang w:eastAsia="en-US"/>
        </w:rPr>
        <w:t>127-128</w:t>
      </w:r>
      <w:r w:rsidRPr="00262894" w:rsidR="00262894">
        <w:rPr>
          <w:snapToGrid w:val="0"/>
          <w:lang w:eastAsia="en-US"/>
        </w:rPr>
        <w:t>, 17 December 2009</w:t>
      </w:r>
      <w:r w:rsidR="00434E3D">
        <w:t>.</w:t>
      </w:r>
    </w:p>
    <w:p w:rsidR="00434E3D" w:rsidP="00D5014E" w:rsidRDefault="001358E9">
      <w:pPr>
        <w:pStyle w:val="JuPara"/>
      </w:pPr>
      <w:r>
        <w:fldChar w:fldCharType="begin"/>
      </w:r>
      <w:r>
        <w:instrText xml:space="preserve"> SEQ level0 \*arabic </w:instrText>
      </w:r>
      <w:r>
        <w:fldChar w:fldCharType="separate"/>
      </w:r>
      <w:r w:rsidR="00E9537A">
        <w:rPr>
          <w:noProof/>
        </w:rPr>
        <w:t>28</w:t>
      </w:r>
      <w:r>
        <w:fldChar w:fldCharType="end"/>
      </w:r>
      <w:r>
        <w:t>.  It follows that i</w:t>
      </w:r>
      <w:r w:rsidR="00434E3D">
        <w:t xml:space="preserve">n applying the new law the authorities deprived the applicant of the possibility not to have this measure taken against him, </w:t>
      </w:r>
      <w:r w:rsidR="00540D63">
        <w:t xml:space="preserve">a </w:t>
      </w:r>
      <w:r w:rsidR="00434E3D">
        <w:t xml:space="preserve">possibility that had been </w:t>
      </w:r>
      <w:r w:rsidR="00DE04C3">
        <w:t>opened</w:t>
      </w:r>
      <w:r w:rsidR="00434E3D">
        <w:t xml:space="preserve"> </w:t>
      </w:r>
      <w:r w:rsidR="00540D63">
        <w:t xml:space="preserve">on </w:t>
      </w:r>
      <w:r w:rsidR="00434E3D">
        <w:t xml:space="preserve">the date when he had committed the </w:t>
      </w:r>
      <w:r w:rsidR="00540D63">
        <w:t>acts in issue</w:t>
      </w:r>
      <w:r w:rsidR="00434E3D">
        <w:t>.</w:t>
      </w:r>
    </w:p>
    <w:p w:rsidR="001358E9" w:rsidP="00D5014E" w:rsidRDefault="001358E9">
      <w:pPr>
        <w:pStyle w:val="JuPara"/>
      </w:pPr>
      <w:r>
        <w:fldChar w:fldCharType="begin"/>
      </w:r>
      <w:r>
        <w:instrText xml:space="preserve"> SEQ level0 \*arabic </w:instrText>
      </w:r>
      <w:r>
        <w:fldChar w:fldCharType="separate"/>
      </w:r>
      <w:r w:rsidR="00E9537A">
        <w:rPr>
          <w:noProof/>
        </w:rPr>
        <w:t>29</w:t>
      </w:r>
      <w:r>
        <w:fldChar w:fldCharType="end"/>
      </w:r>
      <w:r>
        <w:t>.  </w:t>
      </w:r>
      <w:r w:rsidR="00434E3D">
        <w:t xml:space="preserve">Given the passage of time between the date of the </w:t>
      </w:r>
      <w:r w:rsidR="00540D63">
        <w:t xml:space="preserve">acts </w:t>
      </w:r>
      <w:r w:rsidR="00434E3D">
        <w:t xml:space="preserve">and the imposition of this penalty, as well as the lack of any action </w:t>
      </w:r>
      <w:r w:rsidR="0099142E">
        <w:t xml:space="preserve">by </w:t>
      </w:r>
      <w:r w:rsidR="00434E3D">
        <w:t xml:space="preserve">the police during this time, it is reasonable to expect that the applicant was comforted </w:t>
      </w:r>
      <w:r w:rsidR="00540D63">
        <w:t xml:space="preserve">by </w:t>
      </w:r>
      <w:r w:rsidR="00434E3D">
        <w:t>the thought that the police had decided not to annul his driving licence.</w:t>
      </w:r>
    </w:p>
    <w:p w:rsidRPr="008176BD" w:rsidR="001358E9" w:rsidP="00D5014E" w:rsidRDefault="001358E9">
      <w:pPr>
        <w:pStyle w:val="JuPara"/>
      </w:pPr>
      <w:r>
        <w:fldChar w:fldCharType="begin"/>
      </w:r>
      <w:r>
        <w:instrText xml:space="preserve"> SEQ level0 \*arabic </w:instrText>
      </w:r>
      <w:r>
        <w:fldChar w:fldCharType="separate"/>
      </w:r>
      <w:r w:rsidR="00E9537A">
        <w:rPr>
          <w:noProof/>
        </w:rPr>
        <w:t>30</w:t>
      </w:r>
      <w:r>
        <w:fldChar w:fldCharType="end"/>
      </w:r>
      <w:r>
        <w:t xml:space="preserve">.  In addition, the Court notes the lack of any mention in the new law as to the possibility of retroactive application. Therefore, the applicant could not have foreseen that the new law </w:t>
      </w:r>
      <w:r w:rsidR="00540D63">
        <w:t xml:space="preserve">might </w:t>
      </w:r>
      <w:r>
        <w:t>be applied to him</w:t>
      </w:r>
      <w:r>
        <w:rPr>
          <w:lang w:eastAsia="en-US"/>
        </w:rPr>
        <w:t>.</w:t>
      </w:r>
    </w:p>
    <w:p w:rsidR="001358E9" w:rsidP="00D5014E" w:rsidRDefault="001358E9">
      <w:pPr>
        <w:pStyle w:val="JuPara"/>
      </w:pPr>
      <w:r>
        <w:fldChar w:fldCharType="begin"/>
      </w:r>
      <w:r>
        <w:instrText xml:space="preserve"> SEQ level0 \*arabic </w:instrText>
      </w:r>
      <w:r>
        <w:fldChar w:fldCharType="separate"/>
      </w:r>
      <w:r w:rsidR="00E9537A">
        <w:rPr>
          <w:noProof/>
        </w:rPr>
        <w:t>31</w:t>
      </w:r>
      <w:r>
        <w:fldChar w:fldCharType="end"/>
      </w:r>
      <w:r>
        <w:t>.  It follows that in automatically imposing th</w:t>
      </w:r>
      <w:r w:rsidR="00DE04C3">
        <w:t>is</w:t>
      </w:r>
      <w:r>
        <w:t xml:space="preserve"> penalty, ten years after the facts, by virtue of a new law which lacked </w:t>
      </w:r>
      <w:proofErr w:type="spellStart"/>
      <w:r>
        <w:t>foreseeability</w:t>
      </w:r>
      <w:proofErr w:type="spellEnd"/>
      <w:r>
        <w:t>, the authorities (</w:t>
      </w:r>
      <w:r w:rsidR="00540D63">
        <w:t xml:space="preserve">the </w:t>
      </w:r>
      <w:r>
        <w:t>police and</w:t>
      </w:r>
      <w:r w:rsidR="00540D63">
        <w:t xml:space="preserve"> the</w:t>
      </w:r>
      <w:r>
        <w:t xml:space="preserve"> courts) </w:t>
      </w:r>
      <w:r w:rsidR="00540D63">
        <w:t xml:space="preserve">made </w:t>
      </w:r>
      <w:r>
        <w:t>the applicant</w:t>
      </w:r>
      <w:r w:rsidR="00E9537A">
        <w:t>’</w:t>
      </w:r>
      <w:r>
        <w:t xml:space="preserve">s situation </w:t>
      </w:r>
      <w:r w:rsidR="00540D63">
        <w:t xml:space="preserve">worse </w:t>
      </w:r>
      <w:r>
        <w:t>and thus breached the principle of non</w:t>
      </w:r>
      <w:r w:rsidR="00540D63">
        <w:t>-</w:t>
      </w:r>
      <w:r>
        <w:t>retrospective application of criminal law to the detriment of the accused.</w:t>
      </w:r>
    </w:p>
    <w:p w:rsidRPr="007156E0" w:rsidR="00F00135" w:rsidP="00D5014E" w:rsidRDefault="001358E9">
      <w:pPr>
        <w:pStyle w:val="JuPara"/>
      </w:pPr>
      <w:r>
        <w:t>There has accordingly been a violation of Article 7 of the Convention.</w:t>
      </w:r>
    </w:p>
    <w:p w:rsidRPr="007156E0" w:rsidR="00BC1AC7" w:rsidP="00BC1AC7" w:rsidRDefault="00BC1AC7">
      <w:pPr>
        <w:pStyle w:val="JuHIRoman"/>
      </w:pPr>
      <w:r>
        <w:t>I</w:t>
      </w:r>
      <w:r w:rsidRPr="007156E0">
        <w:t xml:space="preserve">I.  ALLEGED VIOLATION OF ARTICLE </w:t>
      </w:r>
      <w:r>
        <w:t>6</w:t>
      </w:r>
      <w:r w:rsidR="00E856CE">
        <w:t xml:space="preserve"> § 1</w:t>
      </w:r>
      <w:r w:rsidRPr="007156E0">
        <w:t xml:space="preserve"> OF THE CONVENTION</w:t>
      </w:r>
    </w:p>
    <w:p w:rsidR="00BC1AC7" w:rsidP="00BC1AC7" w:rsidRDefault="00BC1AC7">
      <w:pPr>
        <w:pStyle w:val="JuPara"/>
      </w:pPr>
      <w:r>
        <w:fldChar w:fldCharType="begin"/>
      </w:r>
      <w:r>
        <w:instrText xml:space="preserve"> SEQ level0 \*arabic </w:instrText>
      </w:r>
      <w:r>
        <w:fldChar w:fldCharType="separate"/>
      </w:r>
      <w:r w:rsidR="00E9537A">
        <w:rPr>
          <w:noProof/>
        </w:rPr>
        <w:t>32</w:t>
      </w:r>
      <w:r>
        <w:fldChar w:fldCharType="end"/>
      </w:r>
      <w:r w:rsidRPr="007156E0">
        <w:t xml:space="preserve">.  The </w:t>
      </w:r>
      <w:r w:rsidRPr="007156E0">
        <w:rPr>
          <w:noProof/>
        </w:rPr>
        <w:t>applicant</w:t>
      </w:r>
      <w:r w:rsidRPr="007156E0">
        <w:t xml:space="preserve"> complained that </w:t>
      </w:r>
      <w:r>
        <w:t>the Court of Appeal had made an erroneous interpretation of the applicable laws, in contravention of his right to a fair trial</w:t>
      </w:r>
      <w:r w:rsidRPr="007156E0">
        <w:t xml:space="preserve"> as provided</w:t>
      </w:r>
      <w:r>
        <w:t xml:space="preserve"> for</w:t>
      </w:r>
      <w:r w:rsidRPr="007156E0">
        <w:t xml:space="preserve"> in Article </w:t>
      </w:r>
      <w:r>
        <w:t>6</w:t>
      </w:r>
      <w:r w:rsidRPr="007156E0">
        <w:t xml:space="preserve"> </w:t>
      </w:r>
      <w:r w:rsidR="00E856CE">
        <w:t xml:space="preserve">§ 1 </w:t>
      </w:r>
      <w:r w:rsidRPr="007156E0">
        <w:t>of the Convention</w:t>
      </w:r>
      <w:r>
        <w:t>.</w:t>
      </w:r>
    </w:p>
    <w:p w:rsidR="00BC1AC7" w:rsidP="00BC1AC7" w:rsidRDefault="00BC1AC7">
      <w:pPr>
        <w:pStyle w:val="JuPara"/>
      </w:pPr>
      <w:r>
        <w:fldChar w:fldCharType="begin"/>
      </w:r>
      <w:r>
        <w:instrText xml:space="preserve"> SEQ level0 \*arabic </w:instrText>
      </w:r>
      <w:r>
        <w:fldChar w:fldCharType="separate"/>
      </w:r>
      <w:r w:rsidR="00E9537A">
        <w:rPr>
          <w:noProof/>
        </w:rPr>
        <w:t>33</w:t>
      </w:r>
      <w:r>
        <w:fldChar w:fldCharType="end"/>
      </w:r>
      <w:r>
        <w:t xml:space="preserve">.  Both parties submitted observations on this </w:t>
      </w:r>
      <w:r w:rsidR="00602584">
        <w:t>complaint</w:t>
      </w:r>
      <w:r>
        <w:t>.</w:t>
      </w:r>
    </w:p>
    <w:p w:rsidRPr="007156E0" w:rsidR="00BC1AC7" w:rsidP="00BC1AC7" w:rsidRDefault="00BC1AC7">
      <w:pPr>
        <w:pStyle w:val="JuPara"/>
      </w:pPr>
      <w:r>
        <w:fldChar w:fldCharType="begin"/>
      </w:r>
      <w:r>
        <w:instrText xml:space="preserve"> SEQ level0 \*arabic </w:instrText>
      </w:r>
      <w:r>
        <w:fldChar w:fldCharType="separate"/>
      </w:r>
      <w:r w:rsidR="00E9537A">
        <w:rPr>
          <w:noProof/>
        </w:rPr>
        <w:t>34</w:t>
      </w:r>
      <w:r>
        <w:fldChar w:fldCharType="end"/>
      </w:r>
      <w:r>
        <w:t>.  </w:t>
      </w:r>
      <w:r w:rsidRPr="0092448D">
        <w:t xml:space="preserve">Having regard to the finding relating to </w:t>
      </w:r>
      <w:r w:rsidRPr="00BC1AC7">
        <w:t xml:space="preserve">Article </w:t>
      </w:r>
      <w:r>
        <w:t>7</w:t>
      </w:r>
      <w:r w:rsidRPr="0092448D">
        <w:t xml:space="preserve"> </w:t>
      </w:r>
      <w:r>
        <w:t xml:space="preserve">of the Convention </w:t>
      </w:r>
      <w:r w:rsidRPr="0092448D">
        <w:t>(see paragraph </w:t>
      </w:r>
      <w:r w:rsidR="00D83643">
        <w:t>31</w:t>
      </w:r>
      <w:r w:rsidRPr="0092448D">
        <w:t xml:space="preserve"> above), the Court considers that this complaint is admissible, but that it is not necessary to examine whether, in this case, there has been a violation of Article </w:t>
      </w:r>
      <w:r>
        <w:t>6 of the Convention</w:t>
      </w:r>
      <w:r w:rsidRPr="0092448D">
        <w:t xml:space="preserve"> (see, among other authorities, </w:t>
      </w:r>
      <w:proofErr w:type="spellStart"/>
      <w:r w:rsidRPr="00BC1AC7">
        <w:rPr>
          <w:i/>
          <w:lang w:eastAsia="en-US"/>
        </w:rPr>
        <w:t>Bota</w:t>
      </w:r>
      <w:proofErr w:type="spellEnd"/>
      <w:r w:rsidRPr="00BC1AC7">
        <w:rPr>
          <w:i/>
          <w:lang w:eastAsia="en-US"/>
        </w:rPr>
        <w:t xml:space="preserve"> v. Romania</w:t>
      </w:r>
      <w:r w:rsidRPr="00BC1AC7">
        <w:rPr>
          <w:lang w:eastAsia="en-US"/>
        </w:rPr>
        <w:t>, no. 16382/03, § 59, 4 November 2008</w:t>
      </w:r>
      <w:r w:rsidRPr="0092448D">
        <w:t>)</w:t>
      </w:r>
      <w:r w:rsidR="00602584">
        <w:t>.</w:t>
      </w:r>
    </w:p>
    <w:p w:rsidRPr="007156E0" w:rsidR="00F71A6A" w:rsidP="00D5014E" w:rsidRDefault="00316367">
      <w:pPr>
        <w:pStyle w:val="JuHIRoman"/>
      </w:pPr>
      <w:r>
        <w:t>III</w:t>
      </w:r>
      <w:r w:rsidRPr="007156E0" w:rsidR="00F71A6A">
        <w:t xml:space="preserve">.  ALLEGED VIOLATION OF ARTICLE </w:t>
      </w:r>
      <w:r>
        <w:t>1 OF PROTOCOL N</w:t>
      </w:r>
      <w:r w:rsidR="00D22655">
        <w:t>o.</w:t>
      </w:r>
      <w:r>
        <w:t xml:space="preserve"> 1 T</w:t>
      </w:r>
      <w:r w:rsidRPr="007156E0" w:rsidR="0011665B">
        <w:t xml:space="preserve">O </w:t>
      </w:r>
      <w:r w:rsidRPr="007156E0" w:rsidR="00F71A6A">
        <w:t>THE CONVENTION</w:t>
      </w:r>
    </w:p>
    <w:p w:rsidR="00F71A6A" w:rsidP="00D5014E" w:rsidRDefault="00966961">
      <w:pPr>
        <w:pStyle w:val="JuPara"/>
      </w:pPr>
      <w:r>
        <w:fldChar w:fldCharType="begin"/>
      </w:r>
      <w:r>
        <w:instrText xml:space="preserve"> SEQ level0 \*arabic </w:instrText>
      </w:r>
      <w:r>
        <w:fldChar w:fldCharType="separate"/>
      </w:r>
      <w:r w:rsidR="00E9537A">
        <w:rPr>
          <w:noProof/>
        </w:rPr>
        <w:t>35</w:t>
      </w:r>
      <w:r>
        <w:fldChar w:fldCharType="end"/>
      </w:r>
      <w:r w:rsidRPr="007156E0" w:rsidR="00F71A6A">
        <w:t xml:space="preserve">.  The </w:t>
      </w:r>
      <w:r w:rsidRPr="007156E0">
        <w:rPr>
          <w:noProof/>
        </w:rPr>
        <w:t>applicant</w:t>
      </w:r>
      <w:r w:rsidRPr="007156E0" w:rsidR="00F71A6A">
        <w:t xml:space="preserve"> </w:t>
      </w:r>
      <w:r w:rsidR="00FA0BB3">
        <w:t>lastly complained that the final decision of 12 July</w:t>
      </w:r>
      <w:r w:rsidR="00AD11E4">
        <w:t> </w:t>
      </w:r>
      <w:r w:rsidR="00FA0BB3">
        <w:t>2005 had infringed his property rights guaranteed by Article</w:t>
      </w:r>
      <w:r w:rsidR="00AD11E4">
        <w:t> </w:t>
      </w:r>
      <w:r w:rsidR="00FA0BB3">
        <w:t>1 of Protocol No.</w:t>
      </w:r>
      <w:r w:rsidR="00AD11E4">
        <w:t> </w:t>
      </w:r>
      <w:r w:rsidR="00FA0BB3">
        <w:t>1 to the Convention.</w:t>
      </w:r>
    </w:p>
    <w:p w:rsidR="00FA0BB3" w:rsidP="00D5014E" w:rsidRDefault="00FA0BB3">
      <w:pPr>
        <w:pStyle w:val="JuPara"/>
      </w:pPr>
      <w:r>
        <w:fldChar w:fldCharType="begin"/>
      </w:r>
      <w:r>
        <w:instrText xml:space="preserve"> SEQ level0 \*arabic </w:instrText>
      </w:r>
      <w:r>
        <w:fldChar w:fldCharType="separate"/>
      </w:r>
      <w:r w:rsidR="00E9537A">
        <w:rPr>
          <w:noProof/>
        </w:rPr>
        <w:t>36</w:t>
      </w:r>
      <w:r>
        <w:fldChar w:fldCharType="end"/>
      </w:r>
      <w:r>
        <w:t xml:space="preserve">.  However, in the light of all the material in its possession, and in so far as the matters complained of are within its competence, the Court finds that they do not disclose any appearance of a violation of the rights </w:t>
      </w:r>
      <w:r w:rsidR="004435B9">
        <w:t>enshrined in Article 1 of the Protocol</w:t>
      </w:r>
      <w:r>
        <w:t>.</w:t>
      </w:r>
    </w:p>
    <w:p w:rsidRPr="007156E0" w:rsidR="00FA0BB3" w:rsidP="00D5014E" w:rsidRDefault="00FA0BB3">
      <w:pPr>
        <w:pStyle w:val="JuPara"/>
      </w:pPr>
      <w:r>
        <w:t xml:space="preserve">It follows that this complaint is manifestly ill-founded and must be rejected in accordance with Article 35 §§ </w:t>
      </w:r>
      <w:r w:rsidRPr="00F2602C">
        <w:t xml:space="preserve">3 </w:t>
      </w:r>
      <w:r>
        <w:t>(a) and 4 of the Convention.</w:t>
      </w:r>
    </w:p>
    <w:p w:rsidRPr="007156E0" w:rsidR="00F71A6A" w:rsidP="00D5014E" w:rsidRDefault="00FA0BB3">
      <w:pPr>
        <w:pStyle w:val="JuHIRoman"/>
      </w:pPr>
      <w:r>
        <w:t>IV</w:t>
      </w:r>
      <w:r w:rsidRPr="007156E0" w:rsidR="00F71A6A">
        <w:t>.  APPLICATION OF ARTICLE 41 OF THE CONVENTION</w:t>
      </w:r>
    </w:p>
    <w:p w:rsidRPr="007156E0" w:rsidR="00F71A6A" w:rsidP="00D5014E" w:rsidRDefault="00966961">
      <w:pPr>
        <w:pStyle w:val="JuPara"/>
        <w:keepNext/>
        <w:keepLines/>
      </w:pPr>
      <w:r>
        <w:fldChar w:fldCharType="begin"/>
      </w:r>
      <w:r>
        <w:instrText xml:space="preserve"> SEQ level0 \*arabic </w:instrText>
      </w:r>
      <w:r>
        <w:fldChar w:fldCharType="separate"/>
      </w:r>
      <w:r w:rsidR="00E9537A">
        <w:rPr>
          <w:noProof/>
        </w:rPr>
        <w:t>37</w:t>
      </w:r>
      <w:r>
        <w:fldChar w:fldCharType="end"/>
      </w:r>
      <w:r w:rsidRPr="007156E0" w:rsidR="00F71A6A">
        <w:t>.  Article 41 of the Convention provides:</w:t>
      </w:r>
    </w:p>
    <w:p w:rsidRPr="007156E0" w:rsidR="00F71A6A" w:rsidP="00D5014E" w:rsidRDefault="00F71A6A">
      <w:pPr>
        <w:pStyle w:val="JuQuot"/>
        <w:keepNext/>
        <w:keepLines/>
      </w:pPr>
      <w:r w:rsidRPr="007156E0">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7156E0" w:rsidR="00F71A6A" w:rsidP="00D5014E" w:rsidRDefault="00F71A6A">
      <w:pPr>
        <w:pStyle w:val="JuHA"/>
        <w:keepLines w:val="0"/>
        <w:outlineLvl w:val="0"/>
      </w:pPr>
      <w:r w:rsidRPr="007156E0">
        <w:t>A.  Damage</w:t>
      </w:r>
    </w:p>
    <w:p w:rsidRPr="007156E0" w:rsidR="00F71A6A" w:rsidP="00D5014E" w:rsidRDefault="00966961">
      <w:pPr>
        <w:pStyle w:val="JuPara"/>
      </w:pPr>
      <w:r>
        <w:fldChar w:fldCharType="begin"/>
      </w:r>
      <w:r>
        <w:instrText xml:space="preserve"> SEQ level0 \*arabic </w:instrText>
      </w:r>
      <w:r>
        <w:fldChar w:fldCharType="separate"/>
      </w:r>
      <w:r w:rsidR="00E9537A">
        <w:rPr>
          <w:noProof/>
        </w:rPr>
        <w:t>38</w:t>
      </w:r>
      <w:r>
        <w:fldChar w:fldCharType="end"/>
      </w:r>
      <w:r w:rsidRPr="007156E0" w:rsidR="00F71A6A">
        <w:t xml:space="preserve">.  The </w:t>
      </w:r>
      <w:r w:rsidRPr="007156E0">
        <w:rPr>
          <w:noProof/>
        </w:rPr>
        <w:t>applicant</w:t>
      </w:r>
      <w:r w:rsidRPr="007156E0" w:rsidR="00F71A6A">
        <w:t xml:space="preserve"> </w:t>
      </w:r>
      <w:r w:rsidR="00233BBE">
        <w:t xml:space="preserve">considered that he </w:t>
      </w:r>
      <w:r w:rsidR="00540D63">
        <w:t xml:space="preserve">had </w:t>
      </w:r>
      <w:r w:rsidR="00233BBE">
        <w:t>incurred both pecuniary and non</w:t>
      </w:r>
      <w:r w:rsidR="00233BBE">
        <w:noBreakHyphen/>
        <w:t xml:space="preserve">pecuniary damage and asked the Court to </w:t>
      </w:r>
      <w:r w:rsidR="00A45975">
        <w:t xml:space="preserve">decide </w:t>
      </w:r>
      <w:r w:rsidR="00233BBE">
        <w:t>the amount.</w:t>
      </w:r>
    </w:p>
    <w:p w:rsidRPr="007156E0" w:rsidR="00F71A6A" w:rsidP="00D5014E" w:rsidRDefault="00966961">
      <w:pPr>
        <w:pStyle w:val="JuPara"/>
      </w:pPr>
      <w:r>
        <w:fldChar w:fldCharType="begin"/>
      </w:r>
      <w:r>
        <w:instrText xml:space="preserve"> SEQ level0 \*arabic </w:instrText>
      </w:r>
      <w:r>
        <w:fldChar w:fldCharType="separate"/>
      </w:r>
      <w:r w:rsidR="00E9537A">
        <w:rPr>
          <w:noProof/>
        </w:rPr>
        <w:t>39</w:t>
      </w:r>
      <w:r>
        <w:fldChar w:fldCharType="end"/>
      </w:r>
      <w:r w:rsidRPr="007156E0" w:rsidR="00F71A6A">
        <w:t xml:space="preserve">.  The Government </w:t>
      </w:r>
      <w:r w:rsidR="00233BBE">
        <w:t xml:space="preserve">asked the Court not to award damages to the applicant as he </w:t>
      </w:r>
      <w:r w:rsidR="00A45975">
        <w:t xml:space="preserve">had </w:t>
      </w:r>
      <w:r w:rsidR="00233BBE">
        <w:t>failed to quantify and substantiate his claims, as required by Rule 60 of the Rules of Court.</w:t>
      </w:r>
    </w:p>
    <w:p w:rsidRPr="007156E0" w:rsidR="00F71A6A" w:rsidP="00D5014E" w:rsidRDefault="00966961">
      <w:pPr>
        <w:pStyle w:val="JuPara"/>
      </w:pPr>
      <w:r>
        <w:fldChar w:fldCharType="begin"/>
      </w:r>
      <w:r>
        <w:instrText xml:space="preserve"> SEQ level0 \*arabic </w:instrText>
      </w:r>
      <w:r>
        <w:fldChar w:fldCharType="separate"/>
      </w:r>
      <w:r w:rsidR="00E9537A">
        <w:rPr>
          <w:noProof/>
        </w:rPr>
        <w:t>40</w:t>
      </w:r>
      <w:r>
        <w:fldChar w:fldCharType="end"/>
      </w:r>
      <w:r w:rsidRPr="007156E0" w:rsidR="00F71A6A">
        <w:t xml:space="preserve">.  The Court </w:t>
      </w:r>
      <w:r w:rsidR="00DE04C3">
        <w:t xml:space="preserve">notes that the applicant did not make a quantified request for pecuniary damages and failed to substantiate such a claim. </w:t>
      </w:r>
      <w:r w:rsidR="00F86B68">
        <w:t xml:space="preserve">It therefore rejects the claim made in respect of pecuniary damage. </w:t>
      </w:r>
      <w:r w:rsidR="00A45975">
        <w:t>However</w:t>
      </w:r>
      <w:r w:rsidRPr="007156E0" w:rsidR="00F71A6A">
        <w:t xml:space="preserve">, it awards the </w:t>
      </w:r>
      <w:r w:rsidRPr="007156E0">
        <w:rPr>
          <w:noProof/>
        </w:rPr>
        <w:t>applicant</w:t>
      </w:r>
      <w:r w:rsidRPr="007156E0" w:rsidR="00F71A6A">
        <w:t xml:space="preserve"> EUR </w:t>
      </w:r>
      <w:r w:rsidR="00233BBE">
        <w:t>3,000</w:t>
      </w:r>
      <w:r w:rsidR="00AD11E4">
        <w:t xml:space="preserve"> </w:t>
      </w:r>
      <w:r w:rsidRPr="007156E0" w:rsidR="00F71A6A">
        <w:t>in respect of non</w:t>
      </w:r>
      <w:r w:rsidR="00233BBE">
        <w:noBreakHyphen/>
      </w:r>
      <w:r w:rsidRPr="007156E0" w:rsidR="00F71A6A">
        <w:t>pecuniary damage.</w:t>
      </w:r>
    </w:p>
    <w:p w:rsidRPr="007156E0" w:rsidR="00F71A6A" w:rsidP="00D5014E" w:rsidRDefault="00F71A6A">
      <w:pPr>
        <w:pStyle w:val="JuHA"/>
        <w:outlineLvl w:val="0"/>
      </w:pPr>
      <w:r w:rsidRPr="007156E0">
        <w:t>B.  Costs and expenses</w:t>
      </w:r>
    </w:p>
    <w:p w:rsidRPr="007156E0" w:rsidR="00F71A6A" w:rsidP="00D5014E" w:rsidRDefault="00966961">
      <w:pPr>
        <w:pStyle w:val="JuPara"/>
      </w:pPr>
      <w:r>
        <w:fldChar w:fldCharType="begin"/>
      </w:r>
      <w:r>
        <w:instrText xml:space="preserve"> SEQ level0 \*arabic </w:instrText>
      </w:r>
      <w:r>
        <w:fldChar w:fldCharType="separate"/>
      </w:r>
      <w:r w:rsidR="00E9537A">
        <w:rPr>
          <w:noProof/>
        </w:rPr>
        <w:t>41</w:t>
      </w:r>
      <w:r>
        <w:fldChar w:fldCharType="end"/>
      </w:r>
      <w:r w:rsidRPr="007156E0" w:rsidR="00F71A6A">
        <w:t xml:space="preserve">.  The </w:t>
      </w:r>
      <w:r w:rsidRPr="007156E0">
        <w:rPr>
          <w:noProof/>
        </w:rPr>
        <w:t>applicant</w:t>
      </w:r>
      <w:r w:rsidRPr="007156E0" w:rsidR="00F71A6A">
        <w:t xml:space="preserve"> </w:t>
      </w:r>
      <w:r w:rsidR="00233BBE">
        <w:t>did not claim any amount under this head</w:t>
      </w:r>
      <w:r w:rsidRPr="007156E0" w:rsidR="00F71A6A">
        <w:t>.</w:t>
      </w:r>
    </w:p>
    <w:p w:rsidRPr="007156E0" w:rsidR="00F71A6A" w:rsidP="00D5014E" w:rsidRDefault="00F71A6A">
      <w:pPr>
        <w:pStyle w:val="JuHA"/>
        <w:outlineLvl w:val="0"/>
      </w:pPr>
      <w:r w:rsidRPr="007156E0">
        <w:t>C.  Default interest</w:t>
      </w:r>
    </w:p>
    <w:p w:rsidRPr="007156E0" w:rsidR="00F71A6A" w:rsidP="00D5014E" w:rsidRDefault="00545215">
      <w:pPr>
        <w:pStyle w:val="JuPara"/>
      </w:pPr>
      <w:r>
        <w:fldChar w:fldCharType="begin"/>
      </w:r>
      <w:r>
        <w:instrText xml:space="preserve"> SEQ level0 \*arabic </w:instrText>
      </w:r>
      <w:r>
        <w:fldChar w:fldCharType="separate"/>
      </w:r>
      <w:r w:rsidR="00E9537A">
        <w:rPr>
          <w:noProof/>
        </w:rPr>
        <w:t>42</w:t>
      </w:r>
      <w:r>
        <w:fldChar w:fldCharType="end"/>
      </w:r>
      <w:r>
        <w:t>.  </w:t>
      </w:r>
      <w:r w:rsidRPr="007156E0" w:rsidR="00F71A6A">
        <w:t>The Court considers it appropriate that the default interest should be based on the marginal lending rate of the European Central Bank, to which should be added three percentage points.</w:t>
      </w:r>
    </w:p>
    <w:p w:rsidRPr="007156E0" w:rsidR="00F71A6A" w:rsidP="00D5014E" w:rsidRDefault="00F71A6A">
      <w:pPr>
        <w:pStyle w:val="JuHHead"/>
      </w:pPr>
      <w:r w:rsidRPr="007156E0">
        <w:t xml:space="preserve">FOR THESE REASONS, THE COURT </w:t>
      </w:r>
      <w:r w:rsidRPr="004D4F4E" w:rsidR="00966961">
        <w:rPr>
          <w:noProof/>
        </w:rPr>
        <w:t>UNANIMOUSLY</w:t>
      </w:r>
    </w:p>
    <w:p w:rsidRPr="007156E0" w:rsidR="00F71A6A" w:rsidP="00D5014E" w:rsidRDefault="007C5063">
      <w:pPr>
        <w:pStyle w:val="JuList"/>
      </w:pPr>
      <w:r>
        <w:t>1</w:t>
      </w:r>
      <w:r w:rsidRPr="007156E0" w:rsidR="009F07CC">
        <w:t>.</w:t>
      </w:r>
      <w:r w:rsidR="009F07CC">
        <w:t>  </w:t>
      </w:r>
      <w:r w:rsidRPr="007156E0" w:rsidR="00F71A6A">
        <w:rPr>
          <w:i/>
        </w:rPr>
        <w:t>Declares</w:t>
      </w:r>
      <w:r w:rsidRPr="007156E0" w:rsidR="00F71A6A">
        <w:t xml:space="preserve"> the complaint</w:t>
      </w:r>
      <w:r>
        <w:t>s</w:t>
      </w:r>
      <w:r w:rsidRPr="007156E0" w:rsidR="00F71A6A">
        <w:t xml:space="preserve"> concerning </w:t>
      </w:r>
      <w:r>
        <w:t>Articles 6</w:t>
      </w:r>
      <w:r w:rsidR="00AD11E4">
        <w:t> </w:t>
      </w:r>
      <w:r>
        <w:t>§</w:t>
      </w:r>
      <w:r w:rsidR="00AD11E4">
        <w:t> </w:t>
      </w:r>
      <w:r>
        <w:t>1 and 7 of the Convention</w:t>
      </w:r>
      <w:r w:rsidRPr="007156E0" w:rsidR="00F71A6A">
        <w:t xml:space="preserve"> admissible and the remainder of the </w:t>
      </w:r>
      <w:r w:rsidRPr="007156E0" w:rsidR="00966961">
        <w:rPr>
          <w:noProof/>
        </w:rPr>
        <w:t>application</w:t>
      </w:r>
      <w:r w:rsidRPr="007156E0" w:rsidR="0011665B">
        <w:t xml:space="preserve"> inadmissible;</w:t>
      </w:r>
    </w:p>
    <w:p w:rsidRPr="007156E0" w:rsidR="00F71A6A" w:rsidP="00D5014E" w:rsidRDefault="00F71A6A">
      <w:pPr>
        <w:pStyle w:val="JuList"/>
      </w:pPr>
    </w:p>
    <w:p w:rsidRPr="007156E0" w:rsidR="009F07CC" w:rsidP="00D5014E" w:rsidRDefault="007C5063">
      <w:pPr>
        <w:pStyle w:val="JuList"/>
      </w:pPr>
      <w:r>
        <w:t>2</w:t>
      </w:r>
      <w:r w:rsidRPr="007156E0" w:rsidR="009F07CC">
        <w:t>.</w:t>
      </w:r>
      <w:r w:rsidRPr="007156E0" w:rsidR="00F71A6A">
        <w:t>  </w:t>
      </w:r>
      <w:r w:rsidRPr="007156E0" w:rsidR="00F71A6A">
        <w:rPr>
          <w:i/>
        </w:rPr>
        <w:t>Holds</w:t>
      </w:r>
      <w:r w:rsidRPr="007156E0" w:rsidR="00F71A6A">
        <w:t xml:space="preserve"> that there h</w:t>
      </w:r>
      <w:r>
        <w:t xml:space="preserve">as been a violation of Article </w:t>
      </w:r>
      <w:r w:rsidR="00545215">
        <w:t>7</w:t>
      </w:r>
      <w:r w:rsidRPr="007156E0" w:rsidR="00F71A6A">
        <w:t xml:space="preserve"> of the Convention;</w:t>
      </w:r>
    </w:p>
    <w:p w:rsidRPr="007156E0" w:rsidR="00F71A6A" w:rsidP="00D5014E" w:rsidRDefault="00F71A6A">
      <w:pPr>
        <w:pStyle w:val="JuList"/>
      </w:pPr>
    </w:p>
    <w:p w:rsidRPr="007156E0" w:rsidR="00F71A6A" w:rsidP="00D5014E" w:rsidRDefault="007C5063">
      <w:pPr>
        <w:pStyle w:val="JuList"/>
      </w:pPr>
      <w:r>
        <w:t>3</w:t>
      </w:r>
      <w:r w:rsidRPr="007156E0" w:rsidR="00F71A6A">
        <w:t>.  </w:t>
      </w:r>
      <w:r w:rsidRPr="007156E0" w:rsidR="00F71A6A">
        <w:rPr>
          <w:i/>
        </w:rPr>
        <w:t>Holds</w:t>
      </w:r>
      <w:r w:rsidR="00966961">
        <w:rPr>
          <w:noProof/>
        </w:rPr>
        <w:t xml:space="preserve"> </w:t>
      </w:r>
      <w:r w:rsidRPr="007156E0" w:rsidR="00F71A6A">
        <w:t>that there</w:t>
      </w:r>
      <w:r w:rsidR="00545215">
        <w:t xml:space="preserve"> is no need to examine</w:t>
      </w:r>
      <w:r w:rsidRPr="007156E0" w:rsidR="00F71A6A">
        <w:t xml:space="preserve"> </w:t>
      </w:r>
      <w:r w:rsidR="008843E5">
        <w:t>t</w:t>
      </w:r>
      <w:r w:rsidR="00712D21">
        <w:t>he complaint under Article 6</w:t>
      </w:r>
      <w:r w:rsidR="00AD11E4">
        <w:t> </w:t>
      </w:r>
      <w:r w:rsidR="00E856CE">
        <w:t>§</w:t>
      </w:r>
      <w:r w:rsidR="00AD11E4">
        <w:t> </w:t>
      </w:r>
      <w:r w:rsidR="00E856CE">
        <w:t>1</w:t>
      </w:r>
      <w:r w:rsidR="00712D21">
        <w:t xml:space="preserve"> </w:t>
      </w:r>
      <w:r w:rsidRPr="007156E0" w:rsidR="00F71A6A">
        <w:t>of the Convention;</w:t>
      </w:r>
    </w:p>
    <w:p w:rsidRPr="007156E0" w:rsidR="00F71A6A" w:rsidP="00D5014E" w:rsidRDefault="00F71A6A">
      <w:pPr>
        <w:pStyle w:val="JuList"/>
      </w:pPr>
    </w:p>
    <w:p w:rsidRPr="00110F02" w:rsidR="003104E9" w:rsidP="00AD11E4" w:rsidRDefault="007C5063">
      <w:pPr>
        <w:pStyle w:val="JuList"/>
        <w:keepNext/>
        <w:keepLines/>
      </w:pPr>
      <w:r w:rsidRPr="007859D7">
        <w:t>4</w:t>
      </w:r>
      <w:r w:rsidRPr="007859D7" w:rsidR="00F71A6A">
        <w:t>.  </w:t>
      </w:r>
      <w:r w:rsidRPr="007859D7" w:rsidR="00F71A6A">
        <w:rPr>
          <w:i/>
        </w:rPr>
        <w:t>Holds</w:t>
      </w:r>
    </w:p>
    <w:p w:rsidRPr="009E2709" w:rsidR="003104E9" w:rsidP="00D5014E" w:rsidRDefault="003104E9">
      <w:pPr>
        <w:pStyle w:val="JuLista"/>
      </w:pPr>
      <w:r w:rsidRPr="009E2709">
        <w:t xml:space="preserve">(a)  that the respondent State is </w:t>
      </w:r>
      <w:r>
        <w:t xml:space="preserve">to </w:t>
      </w:r>
      <w:r w:rsidR="00901475">
        <w:t xml:space="preserve">pay </w:t>
      </w:r>
      <w:r>
        <w:t xml:space="preserve">the </w:t>
      </w:r>
      <w:r w:rsidRPr="00110F02" w:rsidR="00966961">
        <w:rPr>
          <w:noProof/>
        </w:rPr>
        <w:t>applicant</w:t>
      </w:r>
      <w:r w:rsidR="007C5063">
        <w:t>, within three months</w:t>
      </w:r>
      <w:r w:rsidRPr="007D248F" w:rsidR="00966961">
        <w:rPr>
          <w:noProof/>
        </w:rPr>
        <w:t xml:space="preserve"> </w:t>
      </w:r>
      <w:r w:rsidR="00A45975">
        <w:rPr>
          <w:noProof/>
        </w:rPr>
        <w:t>of</w:t>
      </w:r>
      <w:r w:rsidRPr="007D248F" w:rsidR="00A45975">
        <w:rPr>
          <w:noProof/>
        </w:rPr>
        <w:t xml:space="preserve"> </w:t>
      </w:r>
      <w:r w:rsidRPr="007D248F" w:rsidR="00966961">
        <w:rPr>
          <w:noProof/>
        </w:rPr>
        <w:t>the date on which the judgment becomes final in accordance with Article 44 § 2 of the Convention,</w:t>
      </w:r>
      <w:r w:rsidRPr="009E2709">
        <w:t xml:space="preserve"> </w:t>
      </w:r>
      <w:r w:rsidR="007C5063">
        <w:t xml:space="preserve">EUR 3,000 (three thousand </w:t>
      </w:r>
      <w:proofErr w:type="spellStart"/>
      <w:r w:rsidR="007C5063">
        <w:t>euros</w:t>
      </w:r>
      <w:proofErr w:type="spellEnd"/>
      <w:r w:rsidR="007C5063">
        <w:t>)</w:t>
      </w:r>
      <w:r w:rsidRPr="009E2709">
        <w:t xml:space="preserve">, to be converted into </w:t>
      </w:r>
      <w:r w:rsidR="007C5063">
        <w:t>the respondent State</w:t>
      </w:r>
      <w:r w:rsidR="00E9537A">
        <w:t>’</w:t>
      </w:r>
      <w:r w:rsidR="007C5063">
        <w:t>s national currency</w:t>
      </w:r>
      <w:r w:rsidRPr="009E2709">
        <w:t xml:space="preserve"> at the rate applicable </w:t>
      </w:r>
      <w:r w:rsidR="00A45975">
        <w:t>on</w:t>
      </w:r>
      <w:r w:rsidRPr="009E2709" w:rsidR="00A45975">
        <w:t xml:space="preserve"> </w:t>
      </w:r>
      <w:r w:rsidRPr="009E2709">
        <w:t>the date of settlement</w:t>
      </w:r>
      <w:r w:rsidR="007C5063">
        <w:t>,</w:t>
      </w:r>
      <w:r w:rsidRPr="007C5063" w:rsidR="007C5063">
        <w:t xml:space="preserve"> </w:t>
      </w:r>
      <w:r w:rsidRPr="00767890" w:rsidR="007C5063">
        <w:t>plus any tax that may be chargeable</w:t>
      </w:r>
      <w:r w:rsidRPr="009E2709">
        <w:t>, in respect of non-pecuniary damage;</w:t>
      </w:r>
    </w:p>
    <w:p w:rsidRPr="007156E0" w:rsidR="003104E9" w:rsidP="00D5014E" w:rsidRDefault="003104E9">
      <w:pPr>
        <w:pStyle w:val="JuLista"/>
      </w:pPr>
      <w:r w:rsidRPr="009E2709">
        <w:t>(</w:t>
      </w:r>
      <w:r>
        <w:t>b</w:t>
      </w:r>
      <w:r w:rsidRPr="009E2709">
        <w:t>)  that from the expiry of the above-mentioned three months until settlement simple interest shall be payable on the above amount at a rate equal to the marginal lending rate of the European Central Bank during the default period plus three percentage poin</w:t>
      </w:r>
      <w:r>
        <w:t>ts;</w:t>
      </w:r>
    </w:p>
    <w:p w:rsidRPr="007156E0" w:rsidR="00F71A6A" w:rsidP="00D5014E" w:rsidRDefault="00F71A6A">
      <w:pPr>
        <w:pStyle w:val="JuList"/>
      </w:pPr>
    </w:p>
    <w:p w:rsidRPr="007156E0" w:rsidR="00F71A6A" w:rsidP="00D5014E" w:rsidRDefault="007C5063">
      <w:pPr>
        <w:pStyle w:val="JuList"/>
      </w:pPr>
      <w:r>
        <w:t>5</w:t>
      </w:r>
      <w:r w:rsidRPr="007156E0" w:rsidR="00F71A6A">
        <w:t>.  </w:t>
      </w:r>
      <w:r w:rsidRPr="007156E0" w:rsidR="00F71A6A">
        <w:rPr>
          <w:i/>
        </w:rPr>
        <w:t>Dismisses</w:t>
      </w:r>
      <w:r w:rsidR="00966961">
        <w:rPr>
          <w:noProof/>
        </w:rPr>
        <w:t xml:space="preserve"> </w:t>
      </w:r>
      <w:r w:rsidRPr="007156E0" w:rsidR="00F71A6A">
        <w:t xml:space="preserve">the remainder of the </w:t>
      </w:r>
      <w:r w:rsidRPr="007156E0" w:rsidR="00966961">
        <w:rPr>
          <w:noProof/>
        </w:rPr>
        <w:t>applicant</w:t>
      </w:r>
      <w:r w:rsidR="00E9537A">
        <w:rPr>
          <w:noProof/>
        </w:rPr>
        <w:t>’</w:t>
      </w:r>
      <w:r w:rsidRPr="007156E0" w:rsidR="00966961">
        <w:rPr>
          <w:noProof/>
        </w:rPr>
        <w:t>s</w:t>
      </w:r>
      <w:r w:rsidRPr="007156E0" w:rsidR="00F71A6A">
        <w:t xml:space="preserve"> claim for just satisfaction.</w:t>
      </w:r>
    </w:p>
    <w:p w:rsidRPr="007156E0" w:rsidR="00325C2B" w:rsidP="00D5014E" w:rsidRDefault="00F71A6A">
      <w:pPr>
        <w:pStyle w:val="JuParaLast"/>
      </w:pPr>
      <w:r w:rsidRPr="007156E0">
        <w:t xml:space="preserve">Done in English, and notified in writing on </w:t>
      </w:r>
      <w:r w:rsidR="00AD11E4">
        <w:t>2</w:t>
      </w:r>
      <w:r w:rsidR="00755043">
        <w:t>4</w:t>
      </w:r>
      <w:r w:rsidR="00AD11E4">
        <w:t xml:space="preserve"> January</w:t>
      </w:r>
      <w:r w:rsidR="008C6E5D">
        <w:t xml:space="preserve"> 201</w:t>
      </w:r>
      <w:r w:rsidR="00AD11E4">
        <w:t>2</w:t>
      </w:r>
      <w:r w:rsidRPr="007156E0">
        <w:t>, pursuant to Rule</w:t>
      </w:r>
      <w:r w:rsidR="00BD6DC8">
        <w:t> </w:t>
      </w:r>
      <w:r w:rsidRPr="007156E0">
        <w:t>77</w:t>
      </w:r>
      <w:r w:rsidR="00BD6DC8">
        <w:t> </w:t>
      </w:r>
      <w:r w:rsidRPr="007156E0">
        <w:t>§§</w:t>
      </w:r>
      <w:r w:rsidRPr="007156E0" w:rsidR="0011665B">
        <w:t xml:space="preserve"> </w:t>
      </w:r>
      <w:r w:rsidRPr="007156E0">
        <w:t>2 and</w:t>
      </w:r>
      <w:r w:rsidRPr="007156E0" w:rsidR="0011665B">
        <w:t xml:space="preserve"> </w:t>
      </w:r>
      <w:r w:rsidRPr="007156E0">
        <w:t>3 of the Rules of Court.</w:t>
      </w:r>
    </w:p>
    <w:p w:rsidRPr="008C6E5D" w:rsidR="0079187F" w:rsidP="00D5014E" w:rsidRDefault="00325C2B">
      <w:pPr>
        <w:pStyle w:val="JuSigned"/>
        <w:keepNext/>
        <w:keepLines/>
        <w:rPr>
          <w:lang w:val="it-IT"/>
        </w:rPr>
      </w:pPr>
      <w:r w:rsidRPr="007156E0">
        <w:tab/>
      </w:r>
      <w:r w:rsidRPr="008C6E5D" w:rsidR="00966961">
        <w:rPr>
          <w:noProof/>
          <w:lang w:val="it-IT"/>
        </w:rPr>
        <w:t>Santiago Quesada</w:t>
      </w:r>
      <w:r w:rsidRPr="008C6E5D" w:rsidR="00A8381C">
        <w:rPr>
          <w:lang w:val="it-IT"/>
        </w:rPr>
        <w:tab/>
      </w:r>
      <w:r w:rsidRPr="00491F47" w:rsidR="008C6E5D">
        <w:rPr>
          <w:noProof/>
          <w:lang w:val="it-IT"/>
        </w:rPr>
        <w:t>Josep Casadevall</w:t>
      </w:r>
      <w:r w:rsidRPr="008C6E5D" w:rsidR="00A8381C">
        <w:rPr>
          <w:lang w:val="it-IT"/>
        </w:rPr>
        <w:tab/>
      </w:r>
      <w:r w:rsidRPr="008C6E5D" w:rsidR="00966961">
        <w:rPr>
          <w:iCs/>
          <w:noProof/>
          <w:lang w:val="it-IT"/>
        </w:rPr>
        <w:t>Registrar</w:t>
      </w:r>
      <w:r w:rsidRPr="008C6E5D" w:rsidR="00A8381C">
        <w:rPr>
          <w:lang w:val="it-IT"/>
        </w:rPr>
        <w:tab/>
      </w:r>
      <w:proofErr w:type="spellStart"/>
      <w:r w:rsidRPr="008C6E5D" w:rsidR="00A8381C">
        <w:rPr>
          <w:lang w:val="it-IT"/>
        </w:rPr>
        <w:t>President</w:t>
      </w:r>
      <w:proofErr w:type="spellEnd"/>
    </w:p>
    <w:sectPr w:rsidRPr="008C6E5D" w:rsidR="0079187F" w:rsidSect="00B17A2C">
      <w:headerReference w:type="even" r:id="rId10"/>
      <w:headerReference w:type="default" r:id="rId11"/>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86B" w:rsidRDefault="0079086B">
      <w:r>
        <w:separator/>
      </w:r>
    </w:p>
  </w:endnote>
  <w:endnote w:type="continuationSeparator" w:id="0">
    <w:p w:rsidR="0079086B" w:rsidRDefault="00790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86B" w:rsidRPr="00150BFA" w:rsidRDefault="0079086B" w:rsidP="00AD11E4">
    <w:pPr>
      <w:jc w:val="center"/>
      <w:rPr>
        <w:sz w:val="4"/>
        <w:szCs w:val="4"/>
      </w:rPr>
    </w:pPr>
    <w:r w:rsidRPr="00150BFA">
      <w:rPr>
        <w:sz w:val="4"/>
        <w:szCs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33pt">
          <v:imagedata r:id="rId1" o:title="DocFooter-03"/>
        </v:shape>
      </w:pict>
    </w:r>
  </w:p>
  <w:p w:rsidR="0079086B" w:rsidRDefault="007908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86B" w:rsidRDefault="0079086B">
      <w:r>
        <w:separator/>
      </w:r>
    </w:p>
  </w:footnote>
  <w:footnote w:type="continuationSeparator" w:id="0">
    <w:p w:rsidR="0079086B" w:rsidRDefault="00790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86B" w:rsidRDefault="0079086B" w:rsidP="00AD11E4">
    <w:pPr>
      <w:pStyle w:val="Ju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86B" w:rsidRPr="00C00F0F" w:rsidRDefault="0079086B">
    <w:pPr>
      <w:pStyle w:val="Header"/>
      <w:jc w:val="center"/>
      <w:rPr>
        <w:sz w:val="4"/>
        <w:szCs w:val="4"/>
      </w:rPr>
    </w:pPr>
    <w:r w:rsidRPr="00C31FDF">
      <w:rPr>
        <w:sz w:val="4"/>
        <w:szCs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64.25pt">
          <v:imagedata r:id="rId1" o:title="TranspDocHeaderBigBlack"/>
        </v:shape>
      </w:pict>
    </w:r>
  </w:p>
  <w:p w:rsidR="0079086B" w:rsidRDefault="007908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86B" w:rsidRPr="00AD05BD" w:rsidRDefault="0079086B">
    <w:pPr>
      <w:pStyle w:val="JuHeader"/>
      <w:rPr>
        <w:lang w:val="fr-FR"/>
      </w:rPr>
    </w:pPr>
    <w:r>
      <w:rPr>
        <w:rStyle w:val="PageNumber"/>
      </w:rPr>
      <w:fldChar w:fldCharType="begin"/>
    </w:r>
    <w:r w:rsidRPr="00AD05BD">
      <w:rPr>
        <w:rStyle w:val="PageNumber"/>
        <w:lang w:val="fr-FR"/>
      </w:rPr>
      <w:instrText xml:space="preserve"> PAGE </w:instrText>
    </w:r>
    <w:r>
      <w:rPr>
        <w:rStyle w:val="PageNumber"/>
      </w:rPr>
      <w:fldChar w:fldCharType="separate"/>
    </w:r>
    <w:r w:rsidR="00E9537A">
      <w:rPr>
        <w:rStyle w:val="PageNumber"/>
        <w:noProof/>
        <w:lang w:val="fr-FR"/>
      </w:rPr>
      <w:t>2</w:t>
    </w:r>
    <w:r>
      <w:rPr>
        <w:rStyle w:val="PageNumber"/>
      </w:rPr>
      <w:fldChar w:fldCharType="end"/>
    </w:r>
    <w:r w:rsidRPr="00AD05BD">
      <w:rPr>
        <w:lang w:val="fr-FR"/>
      </w:rPr>
      <w:tab/>
      <w:t>MIHAI TOMA v. ROMANIA 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86B" w:rsidRDefault="0079086B">
    <w:pPr>
      <w:pStyle w:val="JuHeader"/>
    </w:pPr>
    <w:r>
      <w:tab/>
      <w:t xml:space="preserve">MIHAI TOMA v. </w:t>
    </w:r>
    <w:smartTag w:uri="urn:schemas-microsoft-com:office:smarttags" w:element="place">
      <w:smartTag w:uri="urn:schemas-microsoft-com:office:smarttags" w:element="country-region">
        <w:r>
          <w:t>ROMANIA</w:t>
        </w:r>
      </w:smartTag>
    </w:smartTag>
    <w:r>
      <w:t xml:space="preserve"> JUDGMENT</w:t>
    </w:r>
    <w:r>
      <w:tab/>
    </w:r>
    <w:r>
      <w:rPr>
        <w:rStyle w:val="PageNumber"/>
      </w:rPr>
      <w:fldChar w:fldCharType="begin"/>
    </w:r>
    <w:r>
      <w:rPr>
        <w:rStyle w:val="PageNumber"/>
      </w:rPr>
      <w:instrText xml:space="preserve"> PAGE </w:instrText>
    </w:r>
    <w:r>
      <w:rPr>
        <w:rStyle w:val="PageNumber"/>
      </w:rPr>
      <w:fldChar w:fldCharType="separate"/>
    </w:r>
    <w:r w:rsidR="00E9537A">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EE8A85E"/>
    <w:lvl w:ilvl="0">
      <w:start w:val="1"/>
      <w:numFmt w:val="bullet"/>
      <w:lvlText w:val=""/>
      <w:lvlJc w:val="left"/>
      <w:pPr>
        <w:tabs>
          <w:tab w:val="num" w:pos="360"/>
        </w:tabs>
        <w:ind w:left="360" w:hanging="360"/>
      </w:pPr>
      <w:rPr>
        <w:rFonts w:ascii="Symbol" w:hAnsi="Symbol" w:hint="default"/>
      </w:rPr>
    </w:lvl>
  </w:abstractNum>
  <w:abstractNum w:abstractNumId="1">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
    <w:nsid w:val="7BBE6CBD"/>
    <w:multiLevelType w:val="hybridMultilevel"/>
    <w:tmpl w:val="5B122094"/>
    <w:lvl w:ilvl="0" w:tplc="4FDAD2AA">
      <w:start w:val="1"/>
      <w:numFmt w:val="decimal"/>
      <w:pStyle w:val="JuAppQuestion"/>
      <w:lvlText w:val="%1."/>
      <w:lvlJc w:val="left"/>
      <w:pPr>
        <w:tabs>
          <w:tab w:val="num" w:pos="720"/>
        </w:tabs>
        <w:ind w:left="720" w:hanging="360"/>
      </w:pPr>
      <w:rPr>
        <w:rFonts w:ascii="Cambria" w:hAnsi="Cambria"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06"/>
  <w:hyphenationZone w:val="425"/>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966961"/>
    <w:rsid w:val="00001CC5"/>
    <w:rsid w:val="00033FD2"/>
    <w:rsid w:val="0003679E"/>
    <w:rsid w:val="00036F97"/>
    <w:rsid w:val="00042867"/>
    <w:rsid w:val="00055AC1"/>
    <w:rsid w:val="00062DA2"/>
    <w:rsid w:val="000726F6"/>
    <w:rsid w:val="00076A67"/>
    <w:rsid w:val="00085837"/>
    <w:rsid w:val="00085B3A"/>
    <w:rsid w:val="00090C82"/>
    <w:rsid w:val="000B1181"/>
    <w:rsid w:val="000D6108"/>
    <w:rsid w:val="000E1449"/>
    <w:rsid w:val="000F3550"/>
    <w:rsid w:val="000F699D"/>
    <w:rsid w:val="001003E6"/>
    <w:rsid w:val="00104AD1"/>
    <w:rsid w:val="001102C2"/>
    <w:rsid w:val="00111D99"/>
    <w:rsid w:val="0011665B"/>
    <w:rsid w:val="00126213"/>
    <w:rsid w:val="001358E9"/>
    <w:rsid w:val="00151CCA"/>
    <w:rsid w:val="001616ED"/>
    <w:rsid w:val="001812B2"/>
    <w:rsid w:val="00197C29"/>
    <w:rsid w:val="001A0EBE"/>
    <w:rsid w:val="001A5043"/>
    <w:rsid w:val="001B62B1"/>
    <w:rsid w:val="001B74F7"/>
    <w:rsid w:val="001E35D6"/>
    <w:rsid w:val="001E3DDD"/>
    <w:rsid w:val="001F5586"/>
    <w:rsid w:val="00201247"/>
    <w:rsid w:val="00213AFA"/>
    <w:rsid w:val="00225BE5"/>
    <w:rsid w:val="002266CD"/>
    <w:rsid w:val="002318C2"/>
    <w:rsid w:val="00233BBE"/>
    <w:rsid w:val="00235F1F"/>
    <w:rsid w:val="00252B31"/>
    <w:rsid w:val="00253DB7"/>
    <w:rsid w:val="00262894"/>
    <w:rsid w:val="0026789F"/>
    <w:rsid w:val="002814C3"/>
    <w:rsid w:val="002850F2"/>
    <w:rsid w:val="00297942"/>
    <w:rsid w:val="002B6F9B"/>
    <w:rsid w:val="002F4BCF"/>
    <w:rsid w:val="002F6FE9"/>
    <w:rsid w:val="00304833"/>
    <w:rsid w:val="003104E9"/>
    <w:rsid w:val="0031573C"/>
    <w:rsid w:val="00316367"/>
    <w:rsid w:val="0032093A"/>
    <w:rsid w:val="0032255E"/>
    <w:rsid w:val="00325C2B"/>
    <w:rsid w:val="00332547"/>
    <w:rsid w:val="00334EB9"/>
    <w:rsid w:val="00336887"/>
    <w:rsid w:val="00337600"/>
    <w:rsid w:val="00371277"/>
    <w:rsid w:val="003926BF"/>
    <w:rsid w:val="003B50D7"/>
    <w:rsid w:val="003C1AFE"/>
    <w:rsid w:val="003E2006"/>
    <w:rsid w:val="003E319C"/>
    <w:rsid w:val="003F3BFD"/>
    <w:rsid w:val="00401C5B"/>
    <w:rsid w:val="00413EFC"/>
    <w:rsid w:val="00415867"/>
    <w:rsid w:val="00425521"/>
    <w:rsid w:val="00427A32"/>
    <w:rsid w:val="00434E3D"/>
    <w:rsid w:val="004406AA"/>
    <w:rsid w:val="004435B9"/>
    <w:rsid w:val="00452CF1"/>
    <w:rsid w:val="00457A18"/>
    <w:rsid w:val="00460FAD"/>
    <w:rsid w:val="00485A6F"/>
    <w:rsid w:val="004920B1"/>
    <w:rsid w:val="004952D6"/>
    <w:rsid w:val="004B6725"/>
    <w:rsid w:val="004E5DFC"/>
    <w:rsid w:val="004E710E"/>
    <w:rsid w:val="0050096C"/>
    <w:rsid w:val="00512F60"/>
    <w:rsid w:val="00516EBF"/>
    <w:rsid w:val="00522362"/>
    <w:rsid w:val="0052462A"/>
    <w:rsid w:val="00540D63"/>
    <w:rsid w:val="005419B6"/>
    <w:rsid w:val="00545215"/>
    <w:rsid w:val="00546F49"/>
    <w:rsid w:val="0056771C"/>
    <w:rsid w:val="005777BA"/>
    <w:rsid w:val="00577E6A"/>
    <w:rsid w:val="005B16A8"/>
    <w:rsid w:val="005B4233"/>
    <w:rsid w:val="005B7CA9"/>
    <w:rsid w:val="005C04BB"/>
    <w:rsid w:val="005C1929"/>
    <w:rsid w:val="005C1956"/>
    <w:rsid w:val="005C2C88"/>
    <w:rsid w:val="005C41CB"/>
    <w:rsid w:val="005C66A0"/>
    <w:rsid w:val="005C76A9"/>
    <w:rsid w:val="005E384F"/>
    <w:rsid w:val="005F7A10"/>
    <w:rsid w:val="00602584"/>
    <w:rsid w:val="006111FF"/>
    <w:rsid w:val="006207DB"/>
    <w:rsid w:val="006231B0"/>
    <w:rsid w:val="0062787C"/>
    <w:rsid w:val="00640B82"/>
    <w:rsid w:val="00655126"/>
    <w:rsid w:val="006639B6"/>
    <w:rsid w:val="006929E2"/>
    <w:rsid w:val="00697F14"/>
    <w:rsid w:val="006A3D9D"/>
    <w:rsid w:val="006A78B2"/>
    <w:rsid w:val="006A7C48"/>
    <w:rsid w:val="006C2B52"/>
    <w:rsid w:val="006C35C5"/>
    <w:rsid w:val="006E6D33"/>
    <w:rsid w:val="00704455"/>
    <w:rsid w:val="00712D21"/>
    <w:rsid w:val="007156E0"/>
    <w:rsid w:val="00716E7B"/>
    <w:rsid w:val="0072180B"/>
    <w:rsid w:val="00730053"/>
    <w:rsid w:val="00730433"/>
    <w:rsid w:val="007352DD"/>
    <w:rsid w:val="00750E5E"/>
    <w:rsid w:val="00755043"/>
    <w:rsid w:val="00756D5B"/>
    <w:rsid w:val="0077789B"/>
    <w:rsid w:val="0078062F"/>
    <w:rsid w:val="007827E7"/>
    <w:rsid w:val="0078484D"/>
    <w:rsid w:val="007859D7"/>
    <w:rsid w:val="0079086B"/>
    <w:rsid w:val="0079187F"/>
    <w:rsid w:val="007A1FFE"/>
    <w:rsid w:val="007A357A"/>
    <w:rsid w:val="007A6DBA"/>
    <w:rsid w:val="007A7D75"/>
    <w:rsid w:val="007C1CE3"/>
    <w:rsid w:val="007C5063"/>
    <w:rsid w:val="007D0D75"/>
    <w:rsid w:val="007F735A"/>
    <w:rsid w:val="008033A1"/>
    <w:rsid w:val="00806E5F"/>
    <w:rsid w:val="008161ED"/>
    <w:rsid w:val="008228E5"/>
    <w:rsid w:val="00836DF7"/>
    <w:rsid w:val="00846856"/>
    <w:rsid w:val="00853345"/>
    <w:rsid w:val="00864209"/>
    <w:rsid w:val="008824B9"/>
    <w:rsid w:val="0088315D"/>
    <w:rsid w:val="008843E5"/>
    <w:rsid w:val="00886BB5"/>
    <w:rsid w:val="0089710A"/>
    <w:rsid w:val="008B5BFB"/>
    <w:rsid w:val="008C6E5D"/>
    <w:rsid w:val="008C6F68"/>
    <w:rsid w:val="008E05A3"/>
    <w:rsid w:val="00901475"/>
    <w:rsid w:val="00930CD7"/>
    <w:rsid w:val="00932C7B"/>
    <w:rsid w:val="00933271"/>
    <w:rsid w:val="0094239F"/>
    <w:rsid w:val="00956501"/>
    <w:rsid w:val="00965BD4"/>
    <w:rsid w:val="00966961"/>
    <w:rsid w:val="0098535B"/>
    <w:rsid w:val="0099142E"/>
    <w:rsid w:val="00995F44"/>
    <w:rsid w:val="009B039E"/>
    <w:rsid w:val="009B15A1"/>
    <w:rsid w:val="009C6478"/>
    <w:rsid w:val="009D4B87"/>
    <w:rsid w:val="009E2B26"/>
    <w:rsid w:val="009E60EB"/>
    <w:rsid w:val="009F07CC"/>
    <w:rsid w:val="009F18CE"/>
    <w:rsid w:val="009F5625"/>
    <w:rsid w:val="00A012A5"/>
    <w:rsid w:val="00A135BE"/>
    <w:rsid w:val="00A227C4"/>
    <w:rsid w:val="00A32B81"/>
    <w:rsid w:val="00A43BB2"/>
    <w:rsid w:val="00A45975"/>
    <w:rsid w:val="00A5331A"/>
    <w:rsid w:val="00A7049C"/>
    <w:rsid w:val="00A80135"/>
    <w:rsid w:val="00A8381C"/>
    <w:rsid w:val="00AA0A20"/>
    <w:rsid w:val="00AA373E"/>
    <w:rsid w:val="00AA7AEC"/>
    <w:rsid w:val="00AA7CA2"/>
    <w:rsid w:val="00AB2166"/>
    <w:rsid w:val="00AC134B"/>
    <w:rsid w:val="00AD05BD"/>
    <w:rsid w:val="00AD11E4"/>
    <w:rsid w:val="00AD57B2"/>
    <w:rsid w:val="00AE2F4F"/>
    <w:rsid w:val="00AF2E10"/>
    <w:rsid w:val="00AF4EB9"/>
    <w:rsid w:val="00B0594B"/>
    <w:rsid w:val="00B17A2C"/>
    <w:rsid w:val="00B3608A"/>
    <w:rsid w:val="00B460AF"/>
    <w:rsid w:val="00B574E7"/>
    <w:rsid w:val="00B64488"/>
    <w:rsid w:val="00B662B2"/>
    <w:rsid w:val="00B6763B"/>
    <w:rsid w:val="00B81192"/>
    <w:rsid w:val="00B921A8"/>
    <w:rsid w:val="00B93679"/>
    <w:rsid w:val="00BA04C6"/>
    <w:rsid w:val="00BA696E"/>
    <w:rsid w:val="00BB7891"/>
    <w:rsid w:val="00BC1AC7"/>
    <w:rsid w:val="00BC7EEE"/>
    <w:rsid w:val="00BD19AE"/>
    <w:rsid w:val="00BD6DC8"/>
    <w:rsid w:val="00BE50FE"/>
    <w:rsid w:val="00BE5958"/>
    <w:rsid w:val="00C01E1C"/>
    <w:rsid w:val="00C02E48"/>
    <w:rsid w:val="00C27EF9"/>
    <w:rsid w:val="00C30671"/>
    <w:rsid w:val="00C35113"/>
    <w:rsid w:val="00C47943"/>
    <w:rsid w:val="00C524B5"/>
    <w:rsid w:val="00C54512"/>
    <w:rsid w:val="00C63E30"/>
    <w:rsid w:val="00C751FE"/>
    <w:rsid w:val="00C775E5"/>
    <w:rsid w:val="00C96EBF"/>
    <w:rsid w:val="00CD5D90"/>
    <w:rsid w:val="00CE1C9D"/>
    <w:rsid w:val="00CF166A"/>
    <w:rsid w:val="00D00569"/>
    <w:rsid w:val="00D102A7"/>
    <w:rsid w:val="00D15473"/>
    <w:rsid w:val="00D15777"/>
    <w:rsid w:val="00D22655"/>
    <w:rsid w:val="00D33169"/>
    <w:rsid w:val="00D353F4"/>
    <w:rsid w:val="00D357B5"/>
    <w:rsid w:val="00D5014E"/>
    <w:rsid w:val="00D56B5D"/>
    <w:rsid w:val="00D63793"/>
    <w:rsid w:val="00D70958"/>
    <w:rsid w:val="00D83643"/>
    <w:rsid w:val="00D90810"/>
    <w:rsid w:val="00D90C71"/>
    <w:rsid w:val="00DB5B90"/>
    <w:rsid w:val="00DB6D67"/>
    <w:rsid w:val="00DB71AD"/>
    <w:rsid w:val="00DC2093"/>
    <w:rsid w:val="00DC5C22"/>
    <w:rsid w:val="00DC6071"/>
    <w:rsid w:val="00DE04C3"/>
    <w:rsid w:val="00DE5E8F"/>
    <w:rsid w:val="00E32971"/>
    <w:rsid w:val="00E50968"/>
    <w:rsid w:val="00E526A4"/>
    <w:rsid w:val="00E81663"/>
    <w:rsid w:val="00E856CE"/>
    <w:rsid w:val="00E8653D"/>
    <w:rsid w:val="00E9155E"/>
    <w:rsid w:val="00E9537A"/>
    <w:rsid w:val="00EB41E9"/>
    <w:rsid w:val="00EB5EBC"/>
    <w:rsid w:val="00EC2A80"/>
    <w:rsid w:val="00EC2D13"/>
    <w:rsid w:val="00ED12C3"/>
    <w:rsid w:val="00ED3AC7"/>
    <w:rsid w:val="00EE1252"/>
    <w:rsid w:val="00EE47FF"/>
    <w:rsid w:val="00EE7911"/>
    <w:rsid w:val="00EF2384"/>
    <w:rsid w:val="00F00135"/>
    <w:rsid w:val="00F035F1"/>
    <w:rsid w:val="00F169CF"/>
    <w:rsid w:val="00F22E8B"/>
    <w:rsid w:val="00F33787"/>
    <w:rsid w:val="00F43FF3"/>
    <w:rsid w:val="00F50BE9"/>
    <w:rsid w:val="00F5124B"/>
    <w:rsid w:val="00F71A6A"/>
    <w:rsid w:val="00F73D18"/>
    <w:rsid w:val="00F8590B"/>
    <w:rsid w:val="00F86B68"/>
    <w:rsid w:val="00F94742"/>
    <w:rsid w:val="00F955CB"/>
    <w:rsid w:val="00FA0BB3"/>
    <w:rsid w:val="00FC1B48"/>
    <w:rsid w:val="00FD3E2F"/>
    <w:rsid w:val="00FE6E31"/>
    <w:rsid w:val="00FF04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4B9"/>
    <w:pPr>
      <w:suppressAutoHyphens/>
    </w:pPr>
    <w:rPr>
      <w:sz w:val="24"/>
      <w:lang w:val="en-GB" w:eastAsia="fr-FR"/>
    </w:rPr>
  </w:style>
  <w:style w:type="paragraph" w:styleId="Heading1">
    <w:name w:val="heading 1"/>
    <w:basedOn w:val="Normal"/>
    <w:next w:val="Normal"/>
    <w:qFormat/>
    <w:rsid w:val="008824B9"/>
    <w:pPr>
      <w:keepNext/>
      <w:spacing w:before="360" w:after="240"/>
      <w:jc w:val="center"/>
      <w:outlineLvl w:val="0"/>
    </w:pPr>
    <w:rPr>
      <w:b/>
      <w:sz w:val="28"/>
    </w:rPr>
  </w:style>
  <w:style w:type="paragraph" w:styleId="Heading2">
    <w:name w:val="heading 2"/>
    <w:basedOn w:val="Normal"/>
    <w:next w:val="Normal"/>
    <w:qFormat/>
    <w:rsid w:val="008824B9"/>
    <w:pPr>
      <w:keepNext/>
      <w:spacing w:before="240" w:after="120"/>
      <w:ind w:left="284" w:hanging="284"/>
      <w:outlineLvl w:val="1"/>
    </w:pPr>
    <w:rPr>
      <w:b/>
    </w:rPr>
  </w:style>
  <w:style w:type="paragraph" w:styleId="Heading3">
    <w:name w:val="heading 3"/>
    <w:basedOn w:val="Normal"/>
    <w:next w:val="Normal"/>
    <w:qFormat/>
    <w:rsid w:val="008824B9"/>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rsid w:val="008824B9"/>
  </w:style>
  <w:style w:type="table" w:default="1" w:styleId="TableNormal">
    <w:name w:val="Normal Table"/>
    <w:semiHidden/>
    <w:rsid w:val="009B039E"/>
    <w:tblPr>
      <w:tblInd w:w="0" w:type="dxa"/>
      <w:tblCellMar>
        <w:top w:w="0" w:type="dxa"/>
        <w:left w:w="108" w:type="dxa"/>
        <w:bottom w:w="0" w:type="dxa"/>
        <w:right w:w="108" w:type="dxa"/>
      </w:tblCellMar>
    </w:tblPr>
  </w:style>
  <w:style w:type="numbering" w:default="1" w:styleId="NoList">
    <w:name w:val="No List"/>
    <w:semiHidden/>
    <w:rsid w:val="008824B9"/>
  </w:style>
  <w:style w:type="paragraph" w:customStyle="1" w:styleId="OpiHA">
    <w:name w:val="Opi_H_A"/>
    <w:basedOn w:val="JuHIRoman"/>
    <w:next w:val="OpiPara"/>
    <w:rsid w:val="00864209"/>
    <w:pPr>
      <w:tabs>
        <w:tab w:val="clear" w:pos="357"/>
      </w:tabs>
    </w:pPr>
    <w:rPr>
      <w:b/>
    </w:rPr>
  </w:style>
  <w:style w:type="paragraph" w:customStyle="1" w:styleId="JuHIRoman">
    <w:name w:val="Ju_H_I_Roman"/>
    <w:basedOn w:val="JuHHead"/>
    <w:next w:val="JuPara"/>
    <w:rsid w:val="00864209"/>
    <w:pPr>
      <w:tabs>
        <w:tab w:val="left" w:pos="357"/>
      </w:tabs>
      <w:spacing w:before="360"/>
      <w:ind w:left="357" w:hanging="357"/>
      <w:outlineLvl w:val="1"/>
    </w:pPr>
    <w:rPr>
      <w:sz w:val="24"/>
    </w:rPr>
  </w:style>
  <w:style w:type="paragraph" w:customStyle="1" w:styleId="JuHHead">
    <w:name w:val="Ju_H_Head"/>
    <w:basedOn w:val="NormalTimesNewRoman"/>
    <w:next w:val="JuPara"/>
    <w:rsid w:val="00864209"/>
    <w:pPr>
      <w:keepNext/>
      <w:keepLines/>
      <w:spacing w:before="720" w:after="240"/>
      <w:jc w:val="both"/>
      <w:outlineLvl w:val="0"/>
    </w:pPr>
    <w:rPr>
      <w:sz w:val="28"/>
    </w:rPr>
  </w:style>
  <w:style w:type="paragraph" w:customStyle="1" w:styleId="NormalTimesNewRoman">
    <w:name w:val="Normal_TimesNewRoman"/>
    <w:rsid w:val="00864209"/>
    <w:rPr>
      <w:sz w:val="24"/>
      <w:lang w:val="en-GB" w:eastAsia="fr-FR"/>
    </w:rPr>
  </w:style>
  <w:style w:type="paragraph" w:customStyle="1" w:styleId="JuPara">
    <w:name w:val="Ju_Para"/>
    <w:aliases w:val="Left,First line:  0 cm"/>
    <w:basedOn w:val="NormalTimesNewRoman"/>
    <w:link w:val="JuParaChar"/>
    <w:rsid w:val="00864209"/>
    <w:pPr>
      <w:ind w:firstLine="284"/>
      <w:jc w:val="both"/>
    </w:pPr>
  </w:style>
  <w:style w:type="character" w:customStyle="1" w:styleId="JuParaChar">
    <w:name w:val="Ju_Para Char"/>
    <w:basedOn w:val="DefaultParagraphFont"/>
    <w:link w:val="JuPara"/>
    <w:rsid w:val="00B921A8"/>
    <w:rPr>
      <w:sz w:val="24"/>
      <w:lang w:val="en-GB" w:eastAsia="fr-FR" w:bidi="ar-SA"/>
    </w:rPr>
  </w:style>
  <w:style w:type="paragraph" w:customStyle="1" w:styleId="OpiPara">
    <w:name w:val="Opi_Para"/>
    <w:basedOn w:val="JuPara"/>
    <w:rsid w:val="00864209"/>
  </w:style>
  <w:style w:type="paragraph" w:customStyle="1" w:styleId="OpiH1">
    <w:name w:val="Opi_H_1."/>
    <w:basedOn w:val="OpiHA"/>
    <w:next w:val="OpiPara"/>
    <w:rsid w:val="00864209"/>
    <w:pPr>
      <w:spacing w:before="240" w:after="120"/>
      <w:ind w:left="635"/>
      <w:outlineLvl w:val="2"/>
    </w:pPr>
    <w:rPr>
      <w:b w:val="0"/>
      <w:i/>
    </w:rPr>
  </w:style>
  <w:style w:type="paragraph" w:customStyle="1" w:styleId="OpiHa0">
    <w:name w:val="Opi_H_a"/>
    <w:basedOn w:val="OpiH1"/>
    <w:next w:val="OpiPara"/>
    <w:rsid w:val="00864209"/>
    <w:pPr>
      <w:ind w:left="833"/>
      <w:outlineLvl w:val="3"/>
    </w:pPr>
    <w:rPr>
      <w:b/>
      <w:i w:val="0"/>
      <w:sz w:val="20"/>
    </w:rPr>
  </w:style>
  <w:style w:type="paragraph" w:customStyle="1" w:styleId="OpiHHead">
    <w:name w:val="Opi_H_Head"/>
    <w:basedOn w:val="JuHHead"/>
    <w:next w:val="OpiPara"/>
    <w:rsid w:val="00864209"/>
    <w:pPr>
      <w:spacing w:before="0"/>
      <w:jc w:val="center"/>
    </w:pPr>
  </w:style>
  <w:style w:type="paragraph" w:customStyle="1" w:styleId="OpiHi">
    <w:name w:val="Opi_H_i"/>
    <w:basedOn w:val="OpiHa0"/>
    <w:next w:val="OpiPara"/>
    <w:rsid w:val="00864209"/>
    <w:pPr>
      <w:ind w:left="1037"/>
      <w:outlineLvl w:val="4"/>
    </w:pPr>
    <w:rPr>
      <w:b w:val="0"/>
      <w:i/>
    </w:rPr>
  </w:style>
  <w:style w:type="paragraph" w:styleId="Footer">
    <w:name w:val="footer"/>
    <w:basedOn w:val="NormalTimesNewRoman"/>
    <w:rsid w:val="00864209"/>
    <w:pPr>
      <w:tabs>
        <w:tab w:val="center" w:pos="3686"/>
        <w:tab w:val="right" w:pos="7371"/>
      </w:tabs>
    </w:pPr>
    <w:rPr>
      <w:sz w:val="18"/>
    </w:rPr>
  </w:style>
  <w:style w:type="paragraph" w:customStyle="1" w:styleId="JuJudges">
    <w:name w:val="Ju_Judges"/>
    <w:basedOn w:val="NormalTimesNewRoman"/>
    <w:link w:val="JuJudgesChar"/>
    <w:rsid w:val="00864209"/>
    <w:pPr>
      <w:tabs>
        <w:tab w:val="left" w:pos="567"/>
        <w:tab w:val="left" w:pos="1134"/>
      </w:tabs>
    </w:pPr>
  </w:style>
  <w:style w:type="character" w:customStyle="1" w:styleId="JuJudgesChar">
    <w:name w:val="Ju_Judges Char"/>
    <w:basedOn w:val="DefaultParagraphFont"/>
    <w:link w:val="JuJudges"/>
    <w:locked/>
    <w:rsid w:val="00D15473"/>
    <w:rPr>
      <w:sz w:val="24"/>
      <w:lang w:val="en-GB" w:eastAsia="fr-FR" w:bidi="ar-SA"/>
    </w:rPr>
  </w:style>
  <w:style w:type="paragraph" w:customStyle="1" w:styleId="JuHA">
    <w:name w:val="Ju_H_A"/>
    <w:basedOn w:val="JuHIRoman"/>
    <w:next w:val="JuPara"/>
    <w:rsid w:val="00864209"/>
    <w:pPr>
      <w:tabs>
        <w:tab w:val="clear" w:pos="357"/>
        <w:tab w:val="left" w:pos="584"/>
      </w:tabs>
      <w:ind w:left="584" w:hanging="352"/>
      <w:outlineLvl w:val="2"/>
    </w:pPr>
    <w:rPr>
      <w:b/>
    </w:rPr>
  </w:style>
  <w:style w:type="paragraph" w:customStyle="1" w:styleId="JuQuot">
    <w:name w:val="Ju_Quot"/>
    <w:basedOn w:val="JuPara"/>
    <w:rsid w:val="00864209"/>
    <w:pPr>
      <w:spacing w:before="120" w:after="120"/>
      <w:ind w:left="425" w:firstLine="142"/>
    </w:pPr>
    <w:rPr>
      <w:sz w:val="20"/>
    </w:rPr>
  </w:style>
  <w:style w:type="paragraph" w:customStyle="1" w:styleId="JuSigned">
    <w:name w:val="Ju_Signed"/>
    <w:basedOn w:val="NormalTimesNewRoman"/>
    <w:next w:val="JuParaLast"/>
    <w:link w:val="JuSignedChar"/>
    <w:rsid w:val="00864209"/>
    <w:pPr>
      <w:tabs>
        <w:tab w:val="center" w:pos="851"/>
        <w:tab w:val="center" w:pos="6407"/>
      </w:tabs>
      <w:spacing w:before="720"/>
    </w:pPr>
  </w:style>
  <w:style w:type="paragraph" w:customStyle="1" w:styleId="JuParaLast">
    <w:name w:val="Ju_Para_Last"/>
    <w:basedOn w:val="JuPara"/>
    <w:next w:val="JuPara"/>
    <w:rsid w:val="00864209"/>
    <w:pPr>
      <w:keepNext/>
      <w:keepLines/>
      <w:spacing w:before="240"/>
    </w:pPr>
  </w:style>
  <w:style w:type="character" w:customStyle="1" w:styleId="JuSignedChar">
    <w:name w:val="Ju_Signed Char"/>
    <w:basedOn w:val="DefaultParagraphFont"/>
    <w:link w:val="JuSigned"/>
    <w:rsid w:val="000726F6"/>
    <w:rPr>
      <w:sz w:val="24"/>
      <w:lang w:val="en-GB" w:eastAsia="fr-FR" w:bidi="ar-SA"/>
    </w:rPr>
  </w:style>
  <w:style w:type="paragraph" w:customStyle="1" w:styleId="JuCase">
    <w:name w:val="Ju_Case"/>
    <w:basedOn w:val="JuPara"/>
    <w:next w:val="JuPara"/>
    <w:link w:val="JuCaseChar"/>
    <w:rsid w:val="00864209"/>
    <w:rPr>
      <w:b/>
    </w:rPr>
  </w:style>
  <w:style w:type="character" w:customStyle="1" w:styleId="JuCaseChar">
    <w:name w:val="Ju_Case Char"/>
    <w:basedOn w:val="JuParaChar"/>
    <w:link w:val="JuCase"/>
    <w:rsid w:val="00B921A8"/>
    <w:rPr>
      <w:b/>
      <w:sz w:val="24"/>
      <w:lang w:val="en-GB" w:eastAsia="fr-FR" w:bidi="ar-SA"/>
    </w:rPr>
  </w:style>
  <w:style w:type="paragraph" w:customStyle="1" w:styleId="JuList">
    <w:name w:val="Ju_List"/>
    <w:basedOn w:val="JuPara"/>
    <w:link w:val="JuListChar"/>
    <w:rsid w:val="00864209"/>
    <w:pPr>
      <w:ind w:left="340" w:hanging="340"/>
    </w:pPr>
  </w:style>
  <w:style w:type="character" w:customStyle="1" w:styleId="JuListChar">
    <w:name w:val="Ju_List Char"/>
    <w:basedOn w:val="DefaultParagraphFont"/>
    <w:link w:val="JuList"/>
    <w:rsid w:val="00930CD7"/>
    <w:rPr>
      <w:sz w:val="24"/>
      <w:lang w:val="en-GB" w:eastAsia="fr-FR" w:bidi="ar-SA"/>
    </w:rPr>
  </w:style>
  <w:style w:type="paragraph" w:customStyle="1" w:styleId="JuHArticle">
    <w:name w:val="Ju_H_Article"/>
    <w:basedOn w:val="JuHa0"/>
    <w:next w:val="JuQuot"/>
    <w:rsid w:val="00864209"/>
    <w:pPr>
      <w:ind w:left="0" w:firstLine="0"/>
      <w:jc w:val="center"/>
    </w:pPr>
  </w:style>
  <w:style w:type="paragraph" w:customStyle="1" w:styleId="JuHa0">
    <w:name w:val="Ju_H_a"/>
    <w:basedOn w:val="JuH1"/>
    <w:next w:val="JuPara"/>
    <w:rsid w:val="00864209"/>
    <w:pPr>
      <w:tabs>
        <w:tab w:val="clear" w:pos="731"/>
        <w:tab w:val="left" w:pos="975"/>
      </w:tabs>
      <w:ind w:left="975" w:hanging="340"/>
      <w:outlineLvl w:val="4"/>
    </w:pPr>
    <w:rPr>
      <w:b/>
      <w:i w:val="0"/>
      <w:sz w:val="20"/>
    </w:rPr>
  </w:style>
  <w:style w:type="paragraph" w:customStyle="1" w:styleId="JuH1">
    <w:name w:val="Ju_H_1."/>
    <w:basedOn w:val="JuHA"/>
    <w:next w:val="JuPara"/>
    <w:rsid w:val="00864209"/>
    <w:pPr>
      <w:tabs>
        <w:tab w:val="clear" w:pos="584"/>
        <w:tab w:val="left" w:pos="731"/>
      </w:tabs>
      <w:spacing w:before="240" w:after="120"/>
      <w:ind w:left="732" w:hanging="301"/>
      <w:outlineLvl w:val="3"/>
    </w:pPr>
    <w:rPr>
      <w:b w:val="0"/>
      <w:i/>
    </w:rPr>
  </w:style>
  <w:style w:type="paragraph" w:customStyle="1" w:styleId="JuQuotList">
    <w:name w:val="Ju_Quot_List"/>
    <w:basedOn w:val="JuQuot"/>
    <w:pPr>
      <w:tabs>
        <w:tab w:val="left" w:pos="1021"/>
      </w:tabs>
      <w:ind w:left="567" w:firstLine="0"/>
    </w:pPr>
  </w:style>
  <w:style w:type="paragraph" w:customStyle="1" w:styleId="JuCourt">
    <w:name w:val="Ju_Court"/>
    <w:basedOn w:val="JuJudges"/>
    <w:rsid w:val="00864209"/>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864209"/>
  </w:style>
  <w:style w:type="paragraph" w:customStyle="1" w:styleId="OpiTranslation">
    <w:name w:val="Opi_Translation"/>
    <w:basedOn w:val="OpiHHead"/>
    <w:next w:val="OpiPara"/>
    <w:rsid w:val="00864209"/>
    <w:rPr>
      <w:i/>
      <w:sz w:val="24"/>
    </w:rPr>
  </w:style>
  <w:style w:type="paragraph" w:styleId="FootnoteText">
    <w:name w:val="footnote text"/>
    <w:basedOn w:val="Normal"/>
    <w:semiHidden/>
    <w:rsid w:val="00864209"/>
    <w:pPr>
      <w:jc w:val="both"/>
    </w:pPr>
    <w:rPr>
      <w:sz w:val="20"/>
    </w:rPr>
  </w:style>
  <w:style w:type="character" w:styleId="FootnoteReference">
    <w:name w:val="footnote reference"/>
    <w:basedOn w:val="DefaultParagraphFont"/>
    <w:semiHidden/>
    <w:rsid w:val="00864209"/>
    <w:rPr>
      <w:vertAlign w:val="superscript"/>
    </w:rPr>
  </w:style>
  <w:style w:type="paragraph" w:customStyle="1" w:styleId="JuHi">
    <w:name w:val="Ju_H_i"/>
    <w:basedOn w:val="JuHa0"/>
    <w:next w:val="JuPara"/>
    <w:rsid w:val="00864209"/>
    <w:pPr>
      <w:tabs>
        <w:tab w:val="clear" w:pos="975"/>
        <w:tab w:val="left" w:pos="1191"/>
      </w:tabs>
      <w:ind w:left="1190" w:hanging="357"/>
      <w:outlineLvl w:val="5"/>
    </w:pPr>
    <w:rPr>
      <w:b w:val="0"/>
      <w:i/>
    </w:rPr>
  </w:style>
  <w:style w:type="paragraph" w:styleId="Header">
    <w:name w:val="header"/>
    <w:basedOn w:val="NormalTimesNewRoman"/>
    <w:rsid w:val="00864209"/>
    <w:pPr>
      <w:tabs>
        <w:tab w:val="center" w:pos="3686"/>
        <w:tab w:val="right" w:pos="7371"/>
      </w:tabs>
    </w:pPr>
    <w:rPr>
      <w:sz w:val="18"/>
    </w:rPr>
  </w:style>
  <w:style w:type="character" w:styleId="PageNumber">
    <w:name w:val="page number"/>
    <w:basedOn w:val="DefaultParagraphFont"/>
    <w:rsid w:val="00864209"/>
    <w:rPr>
      <w:sz w:val="18"/>
    </w:rPr>
  </w:style>
  <w:style w:type="paragraph" w:customStyle="1" w:styleId="JuH">
    <w:name w:val="Ju_H_–"/>
    <w:basedOn w:val="JuHalpha"/>
    <w:next w:val="JuPara"/>
    <w:rsid w:val="00864209"/>
    <w:pPr>
      <w:tabs>
        <w:tab w:val="clear" w:pos="1372"/>
      </w:tabs>
      <w:ind w:left="1236" w:firstLine="0"/>
    </w:pPr>
    <w:rPr>
      <w:i/>
      <w:lang w:val="fr-FR"/>
    </w:rPr>
  </w:style>
  <w:style w:type="paragraph" w:customStyle="1" w:styleId="JuHalpha">
    <w:name w:val="Ju_H_alpha"/>
    <w:basedOn w:val="JuHi"/>
    <w:next w:val="JuPara"/>
    <w:rsid w:val="00864209"/>
    <w:pPr>
      <w:tabs>
        <w:tab w:val="clear" w:pos="1191"/>
        <w:tab w:val="left" w:pos="1372"/>
      </w:tabs>
      <w:ind w:left="1373" w:hanging="335"/>
    </w:pPr>
    <w:rPr>
      <w:i w:val="0"/>
    </w:rPr>
  </w:style>
  <w:style w:type="paragraph" w:customStyle="1" w:styleId="JuLista">
    <w:name w:val="Ju_List_a"/>
    <w:basedOn w:val="JuList"/>
    <w:rsid w:val="00864209"/>
    <w:pPr>
      <w:ind w:left="346" w:firstLine="0"/>
    </w:pPr>
  </w:style>
  <w:style w:type="paragraph" w:customStyle="1" w:styleId="JuListi">
    <w:name w:val="Ju_List_i"/>
    <w:basedOn w:val="JuLista"/>
    <w:rsid w:val="00864209"/>
    <w:pPr>
      <w:ind w:left="794"/>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JuInitialled">
    <w:name w:val="Ju_Initialled"/>
    <w:basedOn w:val="JuSigned"/>
    <w:rsid w:val="00864209"/>
    <w:pPr>
      <w:tabs>
        <w:tab w:val="clear" w:pos="851"/>
      </w:tabs>
      <w:jc w:val="right"/>
    </w:pPr>
  </w:style>
  <w:style w:type="paragraph" w:customStyle="1" w:styleId="JuHeader">
    <w:name w:val="Ju_Header"/>
    <w:basedOn w:val="Header"/>
    <w:rsid w:val="00864209"/>
  </w:style>
  <w:style w:type="paragraph" w:customStyle="1" w:styleId="DecHTitle">
    <w:name w:val="Dec_H_Title"/>
    <w:basedOn w:val="NormalTimesNewRoman"/>
    <w:rsid w:val="00864209"/>
    <w:pPr>
      <w:spacing w:after="240"/>
      <w:jc w:val="center"/>
      <w:outlineLvl w:val="0"/>
    </w:pPr>
    <w:rPr>
      <w:sz w:val="28"/>
    </w:rPr>
  </w:style>
  <w:style w:type="paragraph" w:customStyle="1" w:styleId="DecHCase">
    <w:name w:val="Dec_H_Case"/>
    <w:basedOn w:val="DecHTitle"/>
    <w:next w:val="JuPara"/>
    <w:rsid w:val="00864209"/>
    <w:rPr>
      <w:sz w:val="24"/>
    </w:rPr>
  </w:style>
  <w:style w:type="paragraph" w:customStyle="1" w:styleId="DecList">
    <w:name w:val="Dec_List"/>
    <w:basedOn w:val="NormalTimesNewRoman"/>
    <w:rsid w:val="00864209"/>
    <w:pPr>
      <w:spacing w:before="240"/>
      <w:ind w:left="284"/>
      <w:jc w:val="both"/>
    </w:pPr>
  </w:style>
  <w:style w:type="paragraph" w:customStyle="1" w:styleId="JuParaSub">
    <w:name w:val="Ju_Para_Sub"/>
    <w:basedOn w:val="JuPara"/>
    <w:rsid w:val="00864209"/>
    <w:pPr>
      <w:ind w:left="284"/>
    </w:pPr>
    <w:rPr>
      <w:szCs w:val="24"/>
    </w:rPr>
  </w:style>
  <w:style w:type="paragraph" w:customStyle="1" w:styleId="JuQuotSub">
    <w:name w:val="Ju_Quot_Sub"/>
    <w:basedOn w:val="JuQuot"/>
    <w:rsid w:val="00864209"/>
    <w:pPr>
      <w:ind w:left="567"/>
    </w:pPr>
  </w:style>
  <w:style w:type="paragraph" w:styleId="BalloonText">
    <w:name w:val="Balloon Text"/>
    <w:basedOn w:val="Normal"/>
    <w:semiHidden/>
    <w:rsid w:val="00457A18"/>
    <w:rPr>
      <w:rFonts w:ascii="Tahoma" w:hAnsi="Tahoma" w:cs="Tahoma"/>
      <w:sz w:val="16"/>
      <w:szCs w:val="16"/>
    </w:rPr>
  </w:style>
  <w:style w:type="paragraph" w:styleId="CommentSubject">
    <w:name w:val="annotation subject"/>
    <w:basedOn w:val="CommentText"/>
    <w:next w:val="CommentText"/>
    <w:semiHidden/>
    <w:rsid w:val="00D353F4"/>
    <w:rPr>
      <w:b/>
      <w:bCs/>
    </w:rPr>
  </w:style>
  <w:style w:type="character" w:styleId="EndnoteReference">
    <w:name w:val="endnote reference"/>
    <w:basedOn w:val="DefaultParagraphFont"/>
    <w:semiHidden/>
    <w:rsid w:val="00864209"/>
    <w:rPr>
      <w:vertAlign w:val="superscript"/>
    </w:rPr>
  </w:style>
  <w:style w:type="paragraph" w:styleId="EndnoteText">
    <w:name w:val="endnote text"/>
    <w:basedOn w:val="Normal"/>
    <w:semiHidden/>
    <w:rsid w:val="00864209"/>
    <w:rPr>
      <w:sz w:val="20"/>
    </w:rPr>
  </w:style>
  <w:style w:type="character" w:styleId="FollowedHyperlink">
    <w:name w:val="FollowedHyperlink"/>
    <w:basedOn w:val="DefaultParagraphFont"/>
    <w:rsid w:val="00864209"/>
    <w:rPr>
      <w:color w:val="800080"/>
      <w:u w:val="single"/>
    </w:rPr>
  </w:style>
  <w:style w:type="paragraph" w:customStyle="1" w:styleId="SuCoverTitle1">
    <w:name w:val="Su_Cover_Title1"/>
    <w:basedOn w:val="NormalTimesNewRoman"/>
    <w:next w:val="SuCoverTitle2"/>
    <w:rsid w:val="00864209"/>
    <w:pPr>
      <w:spacing w:before="2500"/>
      <w:jc w:val="center"/>
    </w:pPr>
    <w:rPr>
      <w:sz w:val="22"/>
    </w:rPr>
  </w:style>
  <w:style w:type="paragraph" w:customStyle="1" w:styleId="SuCoverTitle2">
    <w:name w:val="Su_Cover_Title2"/>
    <w:basedOn w:val="SuCoverTitle1"/>
    <w:next w:val="Normal"/>
    <w:rsid w:val="00864209"/>
    <w:pPr>
      <w:spacing w:before="240"/>
    </w:pPr>
    <w:rPr>
      <w:sz w:val="18"/>
    </w:rPr>
  </w:style>
  <w:style w:type="paragraph" w:customStyle="1" w:styleId="SuPara">
    <w:name w:val="Su_Para"/>
    <w:basedOn w:val="SuKeywords"/>
    <w:rsid w:val="00864209"/>
    <w:pPr>
      <w:spacing w:before="0" w:after="0"/>
    </w:pPr>
    <w:rPr>
      <w:i w:val="0"/>
    </w:rPr>
  </w:style>
  <w:style w:type="paragraph" w:customStyle="1" w:styleId="SuKeywords">
    <w:name w:val="Su_Keywords"/>
    <w:basedOn w:val="SuHHead"/>
    <w:rsid w:val="00864209"/>
    <w:pPr>
      <w:spacing w:before="120"/>
    </w:pPr>
    <w:rPr>
      <w:b w:val="0"/>
      <w:i/>
    </w:rPr>
  </w:style>
  <w:style w:type="paragraph" w:customStyle="1" w:styleId="SuHHead">
    <w:name w:val="Su_H_Head"/>
    <w:basedOn w:val="SuSubject"/>
    <w:rsid w:val="00864209"/>
    <w:pPr>
      <w:spacing w:after="120"/>
    </w:pPr>
  </w:style>
  <w:style w:type="paragraph" w:customStyle="1" w:styleId="SuSubject">
    <w:name w:val="Su_Subject"/>
    <w:basedOn w:val="SuSummary"/>
    <w:rsid w:val="00864209"/>
    <w:pPr>
      <w:spacing w:before="360"/>
      <w:jc w:val="both"/>
    </w:pPr>
    <w:rPr>
      <w:b/>
      <w:sz w:val="22"/>
    </w:rPr>
  </w:style>
  <w:style w:type="paragraph" w:customStyle="1" w:styleId="SuSummary">
    <w:name w:val="Su_Summary"/>
    <w:basedOn w:val="NormalTimesNewRoman"/>
    <w:next w:val="SuSubject"/>
    <w:rsid w:val="00864209"/>
    <w:pPr>
      <w:spacing w:after="240"/>
      <w:jc w:val="center"/>
    </w:pPr>
  </w:style>
  <w:style w:type="paragraph" w:customStyle="1" w:styleId="OpiParaSub">
    <w:name w:val="Opi_Para_Sub"/>
    <w:basedOn w:val="JuParaSub"/>
    <w:rsid w:val="00864209"/>
  </w:style>
  <w:style w:type="paragraph" w:customStyle="1" w:styleId="OpiQuotSub">
    <w:name w:val="Opi_Quot_Sub"/>
    <w:basedOn w:val="JuQuotSub"/>
    <w:rsid w:val="00864209"/>
  </w:style>
  <w:style w:type="character" w:styleId="Hyperlink">
    <w:name w:val="Hyperlink"/>
    <w:basedOn w:val="DefaultParagraphFont"/>
    <w:rsid w:val="00864209"/>
    <w:rPr>
      <w:color w:val="0000FF"/>
      <w:u w:val="single"/>
    </w:rPr>
  </w:style>
  <w:style w:type="character" w:styleId="Strong">
    <w:name w:val="Strong"/>
    <w:basedOn w:val="DefaultParagraphFont"/>
    <w:qFormat/>
    <w:rsid w:val="00AA7CA2"/>
    <w:rPr>
      <w:b/>
      <w:bCs/>
    </w:rPr>
  </w:style>
  <w:style w:type="paragraph" w:styleId="DocumentMap">
    <w:name w:val="Document Map"/>
    <w:basedOn w:val="Normal"/>
    <w:semiHidden/>
    <w:rsid w:val="008824B9"/>
    <w:pPr>
      <w:shd w:val="clear" w:color="auto" w:fill="000080"/>
    </w:pPr>
    <w:rPr>
      <w:rFonts w:ascii="Tahoma" w:hAnsi="Tahoma" w:cs="Tahoma"/>
      <w:sz w:val="20"/>
    </w:rPr>
  </w:style>
  <w:style w:type="character" w:customStyle="1" w:styleId="JuNames">
    <w:name w:val="Ju_Names"/>
    <w:basedOn w:val="DefaultParagraphFont"/>
    <w:rsid w:val="00864209"/>
    <w:rPr>
      <w:smallCaps/>
    </w:rPr>
  </w:style>
  <w:style w:type="paragraph" w:customStyle="1" w:styleId="NormalJustified">
    <w:name w:val="Normal_Justified"/>
    <w:basedOn w:val="Normal"/>
    <w:rsid w:val="008824B9"/>
    <w:pPr>
      <w:jc w:val="both"/>
    </w:pPr>
  </w:style>
  <w:style w:type="paragraph" w:customStyle="1" w:styleId="JuAppQuestion">
    <w:name w:val="Ju_App_Question"/>
    <w:basedOn w:val="ListBullet"/>
    <w:rsid w:val="00864209"/>
    <w:pPr>
      <w:numPr>
        <w:numId w:val="4"/>
      </w:numPr>
      <w:suppressAutoHyphens w:val="0"/>
    </w:pPr>
    <w:rPr>
      <w:b/>
      <w:color w:val="333333"/>
    </w:rPr>
  </w:style>
  <w:style w:type="paragraph" w:styleId="ListBullet">
    <w:name w:val="List Bullet"/>
    <w:basedOn w:val="Normal"/>
    <w:rsid w:val="008824B9"/>
    <w:pPr>
      <w:numPr>
        <w:numId w:val="2"/>
      </w:numPr>
    </w:pPr>
  </w:style>
  <w:style w:type="character" w:customStyle="1" w:styleId="JuParaCar">
    <w:name w:val="Ju_Para Car"/>
    <w:basedOn w:val="DefaultParagraphFont"/>
    <w:rsid w:val="008C6E5D"/>
    <w:rPr>
      <w:sz w:val="24"/>
      <w:lang w:val="en-GB" w:eastAsia="fr-FR" w:bidi="ar-SA"/>
    </w:rPr>
  </w:style>
  <w:style w:type="paragraph" w:customStyle="1" w:styleId="ju-005fpara-0020char">
    <w:name w:val="ju-005fpara-0020char"/>
    <w:basedOn w:val="Normal"/>
    <w:rsid w:val="004952D6"/>
    <w:pPr>
      <w:suppressAutoHyphens w:val="0"/>
      <w:spacing w:before="100" w:beforeAutospacing="1" w:after="100" w:afterAutospacing="1"/>
    </w:pPr>
    <w:rPr>
      <w:szCs w:val="24"/>
      <w:lang w:eastAsia="en-GB"/>
    </w:rPr>
  </w:style>
  <w:style w:type="character" w:customStyle="1" w:styleId="ju-005fpara-0020char--char">
    <w:name w:val="ju-005fpara-0020char--char"/>
    <w:basedOn w:val="DefaultParagraphFont"/>
    <w:rsid w:val="004952D6"/>
  </w:style>
  <w:style w:type="character" w:customStyle="1" w:styleId="ju-005fpara--char">
    <w:name w:val="ju-005fpara--char"/>
    <w:basedOn w:val="DefaultParagraphFont"/>
    <w:rsid w:val="00822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851601">
      <w:bodyDiv w:val="1"/>
      <w:marLeft w:val="0"/>
      <w:marRight w:val="0"/>
      <w:marTop w:val="0"/>
      <w:marBottom w:val="0"/>
      <w:divBdr>
        <w:top w:val="none" w:sz="0" w:space="0" w:color="auto"/>
        <w:left w:val="none" w:sz="0" w:space="0" w:color="auto"/>
        <w:bottom w:val="none" w:sz="0" w:space="0" w:color="auto"/>
        <w:right w:val="none" w:sz="0" w:space="0" w:color="auto"/>
      </w:divBdr>
    </w:div>
    <w:div w:id="442461599">
      <w:bodyDiv w:val="1"/>
      <w:marLeft w:val="0"/>
      <w:marRight w:val="0"/>
      <w:marTop w:val="0"/>
      <w:marBottom w:val="0"/>
      <w:divBdr>
        <w:top w:val="none" w:sz="0" w:space="0" w:color="auto"/>
        <w:left w:val="none" w:sz="0" w:space="0" w:color="auto"/>
        <w:bottom w:val="none" w:sz="0" w:space="0" w:color="auto"/>
        <w:right w:val="none" w:sz="0" w:space="0" w:color="auto"/>
      </w:divBdr>
    </w:div>
    <w:div w:id="1385373628">
      <w:bodyDiv w:val="1"/>
      <w:marLeft w:val="0"/>
      <w:marRight w:val="0"/>
      <w:marTop w:val="0"/>
      <w:marBottom w:val="0"/>
      <w:divBdr>
        <w:top w:val="none" w:sz="0" w:space="0" w:color="auto"/>
        <w:left w:val="none" w:sz="0" w:space="0" w:color="auto"/>
        <w:bottom w:val="none" w:sz="0" w:space="0" w:color="auto"/>
        <w:right w:val="none" w:sz="0" w:space="0" w:color="auto"/>
      </w:divBdr>
    </w:div>
    <w:div w:id="166273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FB76AF-859D-414B-9E6C-E813436038A0}"/>
</file>

<file path=customXml/itemProps2.xml><?xml version="1.0" encoding="utf-8"?>
<ds:datastoreItem xmlns:ds="http://schemas.openxmlformats.org/officeDocument/2006/customXml" ds:itemID="{0CABE7A0-926B-4415-9741-F31E2995C82D}"/>
</file>

<file path=customXml/itemProps3.xml><?xml version="1.0" encoding="utf-8"?>
<ds:datastoreItem xmlns:ds="http://schemas.openxmlformats.org/officeDocument/2006/customXml" ds:itemID="{8502F270-F1F1-42F0-A023-FC5D88F91B63}"/>
</file>

<file path=docProps/app.xml><?xml version="1.0" encoding="utf-8"?>
<Properties xmlns="http://schemas.openxmlformats.org/officeDocument/2006/extended-properties" xmlns:vt="http://schemas.openxmlformats.org/officeDocument/2006/docPropsVTypes">
  <Template>Normal.dotm</Template>
  <TotalTime>7</TotalTime>
  <Pages>1</Pages>
  <Words>2615</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keywords/>
  <dc:description/>
  <cp:lastModifiedBy/>
  <cp:revision>8</cp:revision>
  <cp:lastPrinted>2012-01-05T14:39:00Z</cp:lastPrinted>
  <dcterms:created xsi:type="dcterms:W3CDTF">2015-03-18T19:12:00Z</dcterms:created>
  <dcterms:modified xsi:type="dcterms:W3CDTF">2015-03-18T19:12:00Z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