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5.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B849DC" w:rsidR="00F71A6A" w:rsidP="00B849DC" w:rsidRDefault="00F71A6A">
      <w:pPr>
        <w:jc w:val="center"/>
        <w:rPr>
          <w:lang w:val="en-GB"/>
        </w:rPr>
      </w:pPr>
      <w:bookmarkStart w:name="_GoBack" w:id="0"/>
      <w:bookmarkEnd w:id="0"/>
    </w:p>
    <w:p w:rsidRPr="00B849DC" w:rsidR="004167CE" w:rsidP="00B849DC" w:rsidRDefault="004167CE">
      <w:pPr>
        <w:jc w:val="center"/>
        <w:rPr>
          <w:lang w:val="en-GB"/>
        </w:rPr>
      </w:pPr>
    </w:p>
    <w:p w:rsidRPr="00B849DC" w:rsidR="004167CE" w:rsidP="00B849DC" w:rsidRDefault="004167CE">
      <w:pPr>
        <w:jc w:val="center"/>
        <w:rPr>
          <w:lang w:val="en-GB"/>
        </w:rPr>
      </w:pPr>
    </w:p>
    <w:p w:rsidRPr="00B849DC" w:rsidR="00F71A6A" w:rsidP="00B849DC" w:rsidRDefault="00EC1FEF">
      <w:pPr>
        <w:jc w:val="center"/>
        <w:rPr>
          <w:lang w:val="en-GB"/>
        </w:rPr>
      </w:pPr>
      <w:r w:rsidRPr="00B849DC">
        <w:rPr>
          <w:lang w:val="en-GB"/>
        </w:rPr>
        <w:t>FIRST SECTION</w:t>
      </w:r>
    </w:p>
    <w:p w:rsidRPr="00B849DC" w:rsidR="00F71A6A" w:rsidP="00B849DC" w:rsidRDefault="00F71A6A">
      <w:pPr>
        <w:jc w:val="center"/>
        <w:rPr>
          <w:lang w:val="en-GB"/>
        </w:rPr>
      </w:pPr>
    </w:p>
    <w:p w:rsidRPr="00B849DC" w:rsidR="004167CE" w:rsidP="00B849DC" w:rsidRDefault="004167CE">
      <w:pPr>
        <w:jc w:val="center"/>
        <w:rPr>
          <w:lang w:val="en-GB"/>
        </w:rPr>
      </w:pPr>
    </w:p>
    <w:p w:rsidRPr="00B849DC" w:rsidR="004167CE" w:rsidP="00B849DC" w:rsidRDefault="004167CE">
      <w:pPr>
        <w:jc w:val="center"/>
        <w:rPr>
          <w:lang w:val="en-GB"/>
        </w:rPr>
      </w:pPr>
    </w:p>
    <w:p w:rsidRPr="00B849DC" w:rsidR="004167CE" w:rsidP="00B849DC" w:rsidRDefault="004167CE">
      <w:pPr>
        <w:jc w:val="center"/>
        <w:rPr>
          <w:lang w:val="uk-UA"/>
        </w:rPr>
      </w:pPr>
    </w:p>
    <w:p w:rsidRPr="00B849DC" w:rsidR="00CA087B" w:rsidP="00B849DC" w:rsidRDefault="00CA087B">
      <w:pPr>
        <w:jc w:val="center"/>
        <w:rPr>
          <w:lang w:val="uk-UA"/>
        </w:rPr>
      </w:pPr>
    </w:p>
    <w:p w:rsidRPr="00B849DC" w:rsidR="004167CE" w:rsidP="00B849DC" w:rsidRDefault="004167CE">
      <w:pPr>
        <w:jc w:val="center"/>
        <w:rPr>
          <w:lang w:val="en-GB"/>
        </w:rPr>
      </w:pPr>
    </w:p>
    <w:p w:rsidRPr="00B849DC" w:rsidR="004167CE" w:rsidP="00B849DC" w:rsidRDefault="004167CE">
      <w:pPr>
        <w:jc w:val="center"/>
        <w:rPr>
          <w:lang w:val="en-GB"/>
        </w:rPr>
      </w:pPr>
    </w:p>
    <w:p w:rsidRPr="00B849DC" w:rsidR="00F71A6A" w:rsidP="00B849DC" w:rsidRDefault="00F71A6A">
      <w:pPr>
        <w:jc w:val="center"/>
        <w:rPr>
          <w:b/>
          <w:lang w:val="en-GB"/>
        </w:rPr>
      </w:pPr>
      <w:bookmarkStart w:name="To" w:id="1"/>
      <w:r w:rsidRPr="00B849DC">
        <w:rPr>
          <w:b/>
          <w:lang w:val="en-GB"/>
        </w:rPr>
        <w:t xml:space="preserve">CASE OF </w:t>
      </w:r>
      <w:bookmarkEnd w:id="1"/>
      <w:r w:rsidRPr="00B849DC" w:rsidR="00EC1FEF">
        <w:rPr>
          <w:b/>
          <w:lang w:val="en-GB"/>
        </w:rPr>
        <w:t>LISEYTSEVA</w:t>
      </w:r>
      <w:r w:rsidRPr="00B849DC" w:rsidR="0076377E">
        <w:rPr>
          <w:b/>
          <w:lang w:val="en-GB"/>
        </w:rPr>
        <w:t xml:space="preserve"> AND</w:t>
      </w:r>
      <w:r w:rsidRPr="00B849DC" w:rsidR="008E50B5">
        <w:rPr>
          <w:b/>
          <w:lang w:val="en-GB"/>
        </w:rPr>
        <w:t xml:space="preserve"> MASLOV</w:t>
      </w:r>
      <w:r w:rsidRPr="00B849DC" w:rsidR="00EC1FEF">
        <w:rPr>
          <w:b/>
          <w:lang w:val="en-GB"/>
        </w:rPr>
        <w:t xml:space="preserve"> v. RUSSIA</w:t>
      </w:r>
    </w:p>
    <w:p w:rsidRPr="00B849DC" w:rsidR="00F71A6A" w:rsidP="00B849DC" w:rsidRDefault="00F71A6A">
      <w:pPr>
        <w:jc w:val="center"/>
        <w:rPr>
          <w:lang w:val="en-GB"/>
        </w:rPr>
      </w:pPr>
    </w:p>
    <w:p w:rsidRPr="00B849DC" w:rsidR="00F71A6A" w:rsidP="00B849DC" w:rsidRDefault="00F71A6A">
      <w:pPr>
        <w:jc w:val="center"/>
        <w:rPr>
          <w:i/>
          <w:lang w:val="en-GB"/>
        </w:rPr>
      </w:pPr>
      <w:r w:rsidRPr="00B849DC">
        <w:rPr>
          <w:i/>
          <w:lang w:val="en-GB"/>
        </w:rPr>
        <w:t>(</w:t>
      </w:r>
      <w:r w:rsidRPr="00B849DC" w:rsidR="00EC1FEF">
        <w:rPr>
          <w:i/>
          <w:noProof/>
          <w:lang w:val="en-GB"/>
        </w:rPr>
        <w:t>Application</w:t>
      </w:r>
      <w:r w:rsidRPr="00B849DC" w:rsidR="008E50B5">
        <w:rPr>
          <w:i/>
          <w:noProof/>
          <w:lang w:val="en-GB"/>
        </w:rPr>
        <w:t>s</w:t>
      </w:r>
      <w:r w:rsidRPr="00B849DC" w:rsidR="00EC1FEF">
        <w:rPr>
          <w:i/>
          <w:noProof/>
          <w:lang w:val="en-GB"/>
        </w:rPr>
        <w:t xml:space="preserve"> no</w:t>
      </w:r>
      <w:r w:rsidRPr="00B849DC" w:rsidR="008E50B5">
        <w:rPr>
          <w:i/>
          <w:noProof/>
          <w:lang w:val="en-GB"/>
        </w:rPr>
        <w:t>s. </w:t>
      </w:r>
      <w:r w:rsidRPr="00B849DC" w:rsidR="00EC1FEF">
        <w:rPr>
          <w:i/>
          <w:noProof/>
          <w:lang w:val="en-GB"/>
        </w:rPr>
        <w:t>39483/05</w:t>
      </w:r>
      <w:r w:rsidRPr="00B849DC" w:rsidR="008E50B5">
        <w:rPr>
          <w:i/>
          <w:noProof/>
          <w:lang w:val="en-GB"/>
        </w:rPr>
        <w:t xml:space="preserve"> and 40527/10</w:t>
      </w:r>
      <w:r w:rsidRPr="00B849DC">
        <w:rPr>
          <w:i/>
          <w:lang w:val="en-GB"/>
        </w:rPr>
        <w:t>)</w:t>
      </w:r>
    </w:p>
    <w:p w:rsidRPr="00B849DC" w:rsidR="00F71A6A" w:rsidP="00B849DC" w:rsidRDefault="00F71A6A">
      <w:pPr>
        <w:jc w:val="center"/>
        <w:rPr>
          <w:lang w:val="en-GB"/>
        </w:rPr>
      </w:pPr>
    </w:p>
    <w:p w:rsidRPr="00B849DC" w:rsidR="00F71A6A" w:rsidP="00B849DC" w:rsidRDefault="00F71A6A">
      <w:pPr>
        <w:jc w:val="center"/>
        <w:rPr>
          <w:lang w:val="en-GB"/>
        </w:rPr>
      </w:pPr>
    </w:p>
    <w:p w:rsidRPr="00B849DC" w:rsidR="00F71A6A" w:rsidP="00B849DC" w:rsidRDefault="00F71A6A">
      <w:pPr>
        <w:jc w:val="center"/>
        <w:rPr>
          <w:lang w:val="en-GB"/>
        </w:rPr>
      </w:pPr>
    </w:p>
    <w:p w:rsidRPr="00B849DC" w:rsidR="00782E70" w:rsidP="00B849DC" w:rsidRDefault="00782E70">
      <w:pPr>
        <w:jc w:val="center"/>
        <w:rPr>
          <w:lang w:val="en-GB"/>
        </w:rPr>
      </w:pPr>
    </w:p>
    <w:p w:rsidRPr="00B849DC" w:rsidR="00782E70" w:rsidP="00B849DC" w:rsidRDefault="00782E70">
      <w:pPr>
        <w:jc w:val="center"/>
        <w:rPr>
          <w:lang w:val="en-GB"/>
        </w:rPr>
      </w:pPr>
    </w:p>
    <w:p w:rsidRPr="00B849DC" w:rsidR="00782E70" w:rsidP="00B849DC" w:rsidRDefault="00782E70">
      <w:pPr>
        <w:jc w:val="center"/>
        <w:rPr>
          <w:lang w:val="en-GB"/>
        </w:rPr>
      </w:pPr>
    </w:p>
    <w:p w:rsidRPr="00B849DC" w:rsidR="00782E70" w:rsidP="00B849DC" w:rsidRDefault="00782E70">
      <w:pPr>
        <w:jc w:val="center"/>
        <w:rPr>
          <w:lang w:val="en-GB"/>
        </w:rPr>
      </w:pPr>
    </w:p>
    <w:p w:rsidRPr="00B849DC" w:rsidR="00782E70" w:rsidP="00B849DC" w:rsidRDefault="00782E70">
      <w:pPr>
        <w:jc w:val="center"/>
        <w:rPr>
          <w:lang w:val="en-GB"/>
        </w:rPr>
      </w:pPr>
    </w:p>
    <w:p w:rsidRPr="00B849DC" w:rsidR="00F71A6A" w:rsidP="00B849DC" w:rsidRDefault="00F71A6A">
      <w:pPr>
        <w:jc w:val="center"/>
        <w:rPr>
          <w:lang w:val="en-GB"/>
        </w:rPr>
      </w:pPr>
    </w:p>
    <w:p w:rsidRPr="00B849DC" w:rsidR="00D73611" w:rsidP="00B849DC" w:rsidRDefault="00782E70">
      <w:pPr>
        <w:jc w:val="center"/>
        <w:rPr>
          <w:szCs w:val="24"/>
          <w:lang w:val="en-GB"/>
        </w:rPr>
      </w:pPr>
      <w:r w:rsidRPr="00B849DC">
        <w:rPr>
          <w:lang w:val="en-GB"/>
        </w:rPr>
        <w:t>JUDGMENT</w:t>
      </w:r>
    </w:p>
    <w:p w:rsidRPr="00B849DC" w:rsidR="004167CE" w:rsidP="00B849DC" w:rsidRDefault="004167CE">
      <w:pPr>
        <w:pStyle w:val="JuCase"/>
        <w:ind w:firstLine="0"/>
        <w:jc w:val="center"/>
        <w:rPr>
          <w:b w:val="0"/>
          <w:lang w:val="en-GB"/>
        </w:rPr>
      </w:pPr>
    </w:p>
    <w:p w:rsidRPr="00B849DC" w:rsidR="009719CE" w:rsidP="00B849DC" w:rsidRDefault="009719CE">
      <w:pPr>
        <w:pStyle w:val="ECHRPara"/>
        <w:rPr>
          <w:lang w:val="en-GB" w:eastAsia="en-US"/>
        </w:rPr>
      </w:pPr>
    </w:p>
    <w:p w:rsidRPr="00B849DC" w:rsidR="004167CE" w:rsidP="00B849DC" w:rsidRDefault="004167CE">
      <w:pPr>
        <w:pStyle w:val="JuCase"/>
        <w:ind w:firstLine="0"/>
        <w:jc w:val="center"/>
        <w:rPr>
          <w:b w:val="0"/>
          <w:lang w:val="en-GB"/>
        </w:rPr>
      </w:pPr>
      <w:r w:rsidRPr="00B849DC">
        <w:rPr>
          <w:b w:val="0"/>
          <w:lang w:val="en-GB"/>
        </w:rPr>
        <w:t>STRASBOURG</w:t>
      </w:r>
    </w:p>
    <w:p w:rsidRPr="00B849DC" w:rsidR="004167CE" w:rsidP="00B849DC" w:rsidRDefault="004167CE">
      <w:pPr>
        <w:pStyle w:val="JuCase"/>
        <w:ind w:firstLine="0"/>
        <w:jc w:val="center"/>
        <w:rPr>
          <w:b w:val="0"/>
          <w:lang w:val="en-GB"/>
        </w:rPr>
      </w:pPr>
    </w:p>
    <w:p w:rsidRPr="00B849DC" w:rsidR="004167CE" w:rsidP="00B849DC" w:rsidRDefault="00782E70">
      <w:pPr>
        <w:pStyle w:val="JuCase"/>
        <w:ind w:firstLine="0"/>
        <w:jc w:val="center"/>
        <w:rPr>
          <w:b w:val="0"/>
          <w:lang w:val="en-GB"/>
        </w:rPr>
      </w:pPr>
      <w:r w:rsidRPr="00B849DC">
        <w:rPr>
          <w:b w:val="0"/>
          <w:lang w:val="en-GB"/>
        </w:rPr>
        <w:t>9 October 2014</w:t>
      </w:r>
    </w:p>
    <w:p w:rsidRPr="00B849DC" w:rsidR="004167CE" w:rsidP="00B849DC" w:rsidRDefault="004167CE">
      <w:pPr>
        <w:pStyle w:val="JuCase"/>
        <w:ind w:firstLine="0"/>
        <w:jc w:val="center"/>
        <w:rPr>
          <w:b w:val="0"/>
          <w:lang w:val="en-GB"/>
        </w:rPr>
      </w:pPr>
    </w:p>
    <w:p w:rsidRPr="00B849DC" w:rsidR="009719CE" w:rsidP="00B849DC" w:rsidRDefault="009719CE">
      <w:pPr>
        <w:pStyle w:val="ECHRPara"/>
        <w:rPr>
          <w:lang w:val="en-GB" w:eastAsia="en-US"/>
        </w:rPr>
      </w:pPr>
    </w:p>
    <w:p w:rsidRPr="00B849DC" w:rsidR="008441C7" w:rsidP="00B849DC" w:rsidRDefault="008441C7">
      <w:pPr>
        <w:pStyle w:val="jucase0"/>
        <w:ind w:firstLine="0"/>
        <w:jc w:val="center"/>
        <w:rPr>
          <w:color w:val="FF0000"/>
          <w:sz w:val="28"/>
          <w:szCs w:val="28"/>
          <w:u w:val="single"/>
        </w:rPr>
      </w:pPr>
      <w:r w:rsidRPr="00B849DC">
        <w:rPr>
          <w:color w:val="FF0000"/>
          <w:sz w:val="28"/>
          <w:szCs w:val="28"/>
          <w:u w:val="single"/>
        </w:rPr>
        <w:t>FINAL</w:t>
      </w:r>
    </w:p>
    <w:p w:rsidRPr="00B849DC" w:rsidR="008441C7" w:rsidP="00B849DC" w:rsidRDefault="008441C7">
      <w:pPr>
        <w:pStyle w:val="jupara"/>
        <w:ind w:firstLine="0"/>
        <w:jc w:val="center"/>
        <w:rPr>
          <w:color w:val="FF0000"/>
          <w:sz w:val="28"/>
          <w:szCs w:val="28"/>
        </w:rPr>
      </w:pPr>
    </w:p>
    <w:p w:rsidRPr="00B849DC" w:rsidR="008441C7" w:rsidP="00B849DC" w:rsidRDefault="008441C7">
      <w:pPr>
        <w:pStyle w:val="jupara"/>
        <w:ind w:firstLine="0"/>
        <w:jc w:val="center"/>
        <w:rPr>
          <w:color w:val="FF0000"/>
          <w:sz w:val="28"/>
          <w:szCs w:val="28"/>
        </w:rPr>
      </w:pPr>
      <w:r w:rsidRPr="00B849DC">
        <w:rPr>
          <w:color w:val="FF0000"/>
          <w:sz w:val="28"/>
          <w:szCs w:val="28"/>
        </w:rPr>
        <w:t>09/01/2015</w:t>
      </w:r>
    </w:p>
    <w:p w:rsidRPr="00B849DC" w:rsidR="008441C7" w:rsidP="00B849DC" w:rsidRDefault="008441C7">
      <w:pPr>
        <w:pStyle w:val="jupara"/>
        <w:ind w:firstLine="0"/>
        <w:jc w:val="center"/>
      </w:pPr>
    </w:p>
    <w:p w:rsidRPr="00B849DC" w:rsidR="008441C7" w:rsidP="00B849DC" w:rsidRDefault="008441C7">
      <w:pPr>
        <w:jc w:val="center"/>
        <w:rPr>
          <w:i/>
          <w:iCs/>
          <w:sz w:val="22"/>
        </w:rPr>
      </w:pPr>
      <w:r w:rsidRPr="00B849DC">
        <w:rPr>
          <w:i/>
          <w:iCs/>
          <w:sz w:val="22"/>
        </w:rPr>
        <w:t>This judgment has become final under Article 44 § 2 of the Convention. It may be subject to editorial revision.</w:t>
      </w:r>
    </w:p>
    <w:p w:rsidRPr="00B849DC" w:rsidR="00CA087B" w:rsidP="00B849DC" w:rsidRDefault="00CA087B">
      <w:pPr>
        <w:pStyle w:val="ECHRPara"/>
        <w:rPr>
          <w:lang w:val="uk-UA" w:eastAsia="en-US"/>
        </w:rPr>
      </w:pPr>
    </w:p>
    <w:p w:rsidRPr="00B849DC" w:rsidR="00CA087B" w:rsidP="00B849DC" w:rsidRDefault="00CA087B">
      <w:pPr>
        <w:pStyle w:val="ECHRPara"/>
        <w:rPr>
          <w:lang w:val="uk-UA" w:eastAsia="en-US"/>
        </w:rPr>
        <w:sectPr w:rsidRPr="00B849DC" w:rsidR="00CA087B" w:rsidSect="004167CE">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6" w:h="16838" w:code="9"/>
          <w:pgMar w:top="2274" w:right="2274" w:bottom="2274" w:left="2274" w:header="1701" w:footer="720" w:gutter="0"/>
          <w:pgNumType w:start="1"/>
          <w:cols w:space="720"/>
          <w:titlePg/>
          <w:docGrid w:linePitch="326"/>
        </w:sectPr>
      </w:pPr>
    </w:p>
    <w:p w:rsidRPr="00B849DC" w:rsidR="00B030BE" w:rsidP="00B849DC" w:rsidRDefault="00F71A6A">
      <w:pPr>
        <w:pStyle w:val="JuCase"/>
        <w:rPr>
          <w:b w:val="0"/>
          <w:bCs/>
          <w:lang w:val="en-GB"/>
        </w:rPr>
      </w:pPr>
      <w:r w:rsidRPr="00B849DC">
        <w:rPr>
          <w:lang w:val="en-GB"/>
        </w:rPr>
        <w:t>In the case of</w:t>
      </w:r>
      <w:r w:rsidRPr="00B849DC" w:rsidR="00B030BE">
        <w:rPr>
          <w:lang w:val="en-GB"/>
        </w:rPr>
        <w:t xml:space="preserve"> </w:t>
      </w:r>
      <w:r w:rsidRPr="00B849DC" w:rsidR="00EC1FEF">
        <w:rPr>
          <w:lang w:val="en-GB"/>
        </w:rPr>
        <w:t>Liseytseva</w:t>
      </w:r>
      <w:r w:rsidRPr="00B849DC" w:rsidR="00001D19">
        <w:rPr>
          <w:lang w:val="en-GB"/>
        </w:rPr>
        <w:t xml:space="preserve"> and Maslov</w:t>
      </w:r>
      <w:r w:rsidRPr="00B849DC" w:rsidR="00EC1FEF">
        <w:rPr>
          <w:lang w:val="en-GB"/>
        </w:rPr>
        <w:t xml:space="preserve"> v. Russia</w:t>
      </w:r>
      <w:r w:rsidRPr="00B849DC" w:rsidR="00B030BE">
        <w:rPr>
          <w:lang w:val="en-GB"/>
        </w:rPr>
        <w:t>,</w:t>
      </w:r>
    </w:p>
    <w:p w:rsidRPr="00B849DC" w:rsidR="00730433" w:rsidP="00B849DC" w:rsidRDefault="00F71A6A">
      <w:pPr>
        <w:pStyle w:val="JuCase"/>
        <w:rPr>
          <w:b w:val="0"/>
          <w:bCs/>
          <w:szCs w:val="24"/>
          <w:lang w:val="en-GB"/>
        </w:rPr>
      </w:pPr>
      <w:r w:rsidRPr="00B849DC">
        <w:rPr>
          <w:b w:val="0"/>
          <w:bCs/>
          <w:szCs w:val="24"/>
          <w:lang w:val="en-GB"/>
        </w:rPr>
        <w:t>The European Court of Human Rights (</w:t>
      </w:r>
      <w:r w:rsidRPr="00B849DC" w:rsidR="00EC1FEF">
        <w:rPr>
          <w:b w:val="0"/>
          <w:bCs/>
          <w:szCs w:val="24"/>
          <w:lang w:val="en-GB"/>
        </w:rPr>
        <w:t>First Section</w:t>
      </w:r>
      <w:r w:rsidRPr="00B849DC">
        <w:rPr>
          <w:b w:val="0"/>
          <w:bCs/>
          <w:szCs w:val="24"/>
          <w:lang w:val="en-GB"/>
        </w:rPr>
        <w:t xml:space="preserve">), sitting as a </w:t>
      </w:r>
      <w:r w:rsidRPr="00B849DC" w:rsidR="00EC1FEF">
        <w:rPr>
          <w:b w:val="0"/>
          <w:bCs/>
          <w:noProof/>
          <w:szCs w:val="24"/>
          <w:lang w:val="en-GB"/>
        </w:rPr>
        <w:t>Chamber</w:t>
      </w:r>
      <w:r w:rsidRPr="00B849DC" w:rsidR="00730433">
        <w:rPr>
          <w:b w:val="0"/>
          <w:bCs/>
          <w:szCs w:val="24"/>
          <w:lang w:val="en-GB"/>
        </w:rPr>
        <w:t xml:space="preserve"> composed of:</w:t>
      </w:r>
    </w:p>
    <w:p w:rsidRPr="00B849DC" w:rsidR="00F71A6A" w:rsidP="00B849DC" w:rsidRDefault="00782E70">
      <w:pPr>
        <w:pStyle w:val="ECHRDecisionBody"/>
        <w:rPr>
          <w:lang w:val="en-US"/>
        </w:rPr>
      </w:pPr>
      <w:r w:rsidRPr="00B849DC">
        <w:rPr>
          <w:lang w:val="en-US"/>
        </w:rPr>
        <w:tab/>
        <w:t>Isabelle Berro-Lefèvre,</w:t>
      </w:r>
      <w:r w:rsidRPr="00B849DC">
        <w:rPr>
          <w:i/>
          <w:lang w:val="en-US"/>
        </w:rPr>
        <w:t xml:space="preserve"> President,</w:t>
      </w:r>
      <w:r w:rsidRPr="00B849DC">
        <w:rPr>
          <w:i/>
          <w:lang w:val="en-US"/>
        </w:rPr>
        <w:br/>
      </w:r>
      <w:r w:rsidRPr="00B849DC">
        <w:rPr>
          <w:lang w:val="en-US"/>
        </w:rPr>
        <w:tab/>
        <w:t>Khanlar Hajiyev,</w:t>
      </w:r>
      <w:r w:rsidRPr="00B849DC">
        <w:rPr>
          <w:i/>
          <w:lang w:val="en-US"/>
        </w:rPr>
        <w:br/>
      </w:r>
      <w:r w:rsidRPr="00B849DC">
        <w:rPr>
          <w:lang w:val="en-US"/>
        </w:rPr>
        <w:tab/>
        <w:t>Mirjana Lazarova Trajkovska,</w:t>
      </w:r>
      <w:r w:rsidRPr="00B849DC">
        <w:rPr>
          <w:i/>
          <w:lang w:val="en-US"/>
        </w:rPr>
        <w:br/>
      </w:r>
      <w:r w:rsidRPr="00B849DC">
        <w:rPr>
          <w:lang w:val="en-US"/>
        </w:rPr>
        <w:tab/>
        <w:t>Julia Laffranque,</w:t>
      </w:r>
      <w:r w:rsidRPr="00B849DC">
        <w:rPr>
          <w:i/>
          <w:lang w:val="en-US"/>
        </w:rPr>
        <w:br/>
      </w:r>
      <w:r w:rsidRPr="00B849DC">
        <w:rPr>
          <w:lang w:val="en-US"/>
        </w:rPr>
        <w:tab/>
        <w:t>Erik Møse,</w:t>
      </w:r>
      <w:r w:rsidRPr="00B849DC">
        <w:rPr>
          <w:i/>
          <w:lang w:val="en-US"/>
        </w:rPr>
        <w:br/>
      </w:r>
      <w:r w:rsidRPr="00B849DC">
        <w:rPr>
          <w:lang w:val="en-US"/>
        </w:rPr>
        <w:tab/>
        <w:t>Ksenija Turković,</w:t>
      </w:r>
      <w:r w:rsidRPr="00B849DC">
        <w:rPr>
          <w:i/>
          <w:lang w:val="en-US"/>
        </w:rPr>
        <w:br/>
      </w:r>
      <w:r w:rsidRPr="00B849DC">
        <w:rPr>
          <w:lang w:val="en-US"/>
        </w:rPr>
        <w:tab/>
        <w:t>Dmitry Dedov,</w:t>
      </w:r>
      <w:r w:rsidRPr="00B849DC">
        <w:rPr>
          <w:i/>
          <w:lang w:val="en-US"/>
        </w:rPr>
        <w:t xml:space="preserve"> judges,</w:t>
      </w:r>
      <w:r w:rsidRPr="00B849DC" w:rsidR="00337600">
        <w:rPr>
          <w:szCs w:val="24"/>
          <w:lang w:val="en-US"/>
        </w:rPr>
        <w:br/>
      </w:r>
      <w:r w:rsidRPr="00B849DC" w:rsidR="00F71A6A">
        <w:rPr>
          <w:lang w:val="en-US"/>
        </w:rPr>
        <w:t>and</w:t>
      </w:r>
      <w:r w:rsidRPr="00B849DC" w:rsidR="000726F6">
        <w:rPr>
          <w:lang w:val="en-US"/>
        </w:rPr>
        <w:t xml:space="preserve"> </w:t>
      </w:r>
      <w:r w:rsidRPr="00B849DC" w:rsidR="00EC1FEF">
        <w:rPr>
          <w:noProof/>
          <w:lang w:val="en-US"/>
        </w:rPr>
        <w:t>Søren Nielsen</w:t>
      </w:r>
      <w:r w:rsidRPr="00B849DC" w:rsidR="009D4B87">
        <w:rPr>
          <w:rStyle w:val="JuJudgesChar"/>
          <w:lang w:val="en-US"/>
        </w:rPr>
        <w:t xml:space="preserve">, </w:t>
      </w:r>
      <w:r w:rsidRPr="00B849DC" w:rsidR="00EC1FEF">
        <w:rPr>
          <w:i/>
          <w:noProof/>
          <w:lang w:val="en-US"/>
        </w:rPr>
        <w:t xml:space="preserve">Section </w:t>
      </w:r>
      <w:r w:rsidRPr="00B849DC" w:rsidR="00EC1FEF">
        <w:rPr>
          <w:i/>
          <w:iCs/>
          <w:noProof/>
          <w:lang w:val="en-US"/>
        </w:rPr>
        <w:t>Registrar</w:t>
      </w:r>
      <w:r w:rsidRPr="00B849DC" w:rsidR="00F71A6A">
        <w:rPr>
          <w:i/>
          <w:lang w:val="en-US"/>
        </w:rPr>
        <w:t>,</w:t>
      </w:r>
    </w:p>
    <w:p w:rsidRPr="00B849DC" w:rsidR="00F71A6A" w:rsidP="00B849DC" w:rsidRDefault="00F71A6A">
      <w:pPr>
        <w:pStyle w:val="ECHRPara"/>
        <w:rPr>
          <w:lang w:val="en-GB"/>
        </w:rPr>
      </w:pPr>
      <w:r w:rsidRPr="00B849DC">
        <w:rPr>
          <w:lang w:val="en-GB"/>
        </w:rPr>
        <w:t xml:space="preserve">Having deliberated in private on </w:t>
      </w:r>
      <w:r w:rsidRPr="00B849DC" w:rsidR="00782E70">
        <w:rPr>
          <w:lang w:val="en-GB"/>
        </w:rPr>
        <w:t>16 September 2014</w:t>
      </w:r>
      <w:r w:rsidRPr="00B849DC">
        <w:rPr>
          <w:lang w:val="en-GB"/>
        </w:rPr>
        <w:t>,</w:t>
      </w:r>
    </w:p>
    <w:p w:rsidRPr="00B849DC" w:rsidR="00F71A6A" w:rsidP="00B849DC" w:rsidRDefault="00F71A6A">
      <w:pPr>
        <w:pStyle w:val="ECHRPara"/>
        <w:rPr>
          <w:lang w:val="en-GB"/>
        </w:rPr>
      </w:pPr>
      <w:r w:rsidRPr="00B849DC">
        <w:rPr>
          <w:lang w:val="en-GB"/>
        </w:rPr>
        <w:t>Delivers the following judgment, which was adopted on that date:</w:t>
      </w:r>
    </w:p>
    <w:p w:rsidRPr="00B849DC" w:rsidR="00F71A6A" w:rsidP="00B849DC" w:rsidRDefault="00F71A6A">
      <w:pPr>
        <w:pStyle w:val="ECHRTitle1"/>
        <w:rPr>
          <w:lang w:val="en-GB"/>
        </w:rPr>
      </w:pPr>
      <w:r w:rsidRPr="00B849DC">
        <w:rPr>
          <w:lang w:val="en-GB"/>
        </w:rPr>
        <w:t>PROCEDURE</w:t>
      </w:r>
    </w:p>
    <w:p w:rsidRPr="00B849DC" w:rsidR="00355197" w:rsidP="00B849DC" w:rsidRDefault="00355197">
      <w:pPr>
        <w:pStyle w:val="ECHRPara"/>
        <w:rPr>
          <w:lang w:val="en-US"/>
        </w:rPr>
      </w:pPr>
      <w:r w:rsidRPr="00B849DC">
        <w:rPr>
          <w:lang w:val="en-US"/>
        </w:rPr>
        <w:fldChar w:fldCharType="begin"/>
      </w:r>
      <w:r w:rsidRPr="00B849DC">
        <w:rPr>
          <w:lang w:val="en-US"/>
        </w:rPr>
        <w:instrText xml:space="preserve"> SEQ level0 \*arabic </w:instrText>
      </w:r>
      <w:r w:rsidRPr="00B849DC">
        <w:rPr>
          <w:lang w:val="en-US"/>
        </w:rPr>
        <w:fldChar w:fldCharType="separate"/>
      </w:r>
      <w:r w:rsidRPr="00B849DC" w:rsidR="00B849DC">
        <w:rPr>
          <w:noProof/>
          <w:lang w:val="en-US"/>
        </w:rPr>
        <w:t>1</w:t>
      </w:r>
      <w:r w:rsidRPr="00B849DC">
        <w:rPr>
          <w:lang w:val="en-US"/>
        </w:rPr>
        <w:fldChar w:fldCharType="end"/>
      </w:r>
      <w:r w:rsidRPr="00B849DC">
        <w:rPr>
          <w:lang w:val="en-US"/>
        </w:rPr>
        <w:t>.  The case originated in two applications (nos. 39783/05 and 40527/10) against the Russian Federation lodged with the Court under Article 34 of the Convention for the Protection of Human Rights and Fundamental Freedoms (“the Convention”) by two Russian nationals, Ms Irya Yakovlevna Liseytseva (“the first applicant”) and Mr Sergey Mikhaylovich Maslov (“the second applicant”), on 8 September 2005 and 28 May 2010 respectively.</w:t>
      </w:r>
    </w:p>
    <w:p w:rsidRPr="00B849DC" w:rsidR="00355197" w:rsidP="00B849DC" w:rsidRDefault="00355197">
      <w:pPr>
        <w:pStyle w:val="ECHRPara"/>
        <w:rPr>
          <w:lang w:val="en-US"/>
        </w:rPr>
      </w:pPr>
      <w:r w:rsidRPr="00B849DC">
        <w:rPr>
          <w:lang w:val="en-US"/>
        </w:rPr>
        <w:fldChar w:fldCharType="begin"/>
      </w:r>
      <w:r w:rsidRPr="00B849DC">
        <w:rPr>
          <w:lang w:val="en-US"/>
        </w:rPr>
        <w:instrText xml:space="preserve"> SEQ level0 \*arabic </w:instrText>
      </w:r>
      <w:r w:rsidRPr="00B849DC">
        <w:rPr>
          <w:lang w:val="en-US"/>
        </w:rPr>
        <w:fldChar w:fldCharType="separate"/>
      </w:r>
      <w:r w:rsidRPr="00B849DC" w:rsidR="00B849DC">
        <w:rPr>
          <w:noProof/>
          <w:lang w:val="en-US"/>
        </w:rPr>
        <w:t>2</w:t>
      </w:r>
      <w:r w:rsidRPr="00B849DC">
        <w:rPr>
          <w:lang w:val="en-US"/>
        </w:rPr>
        <w:fldChar w:fldCharType="end"/>
      </w:r>
      <w:r w:rsidRPr="00B849DC">
        <w:rPr>
          <w:lang w:val="en-US"/>
        </w:rPr>
        <w:t>.  The first applicant was not represented by a lawyer before the Court. The second applicant was represented by Ms T.S. Tarasova, a lawyer practi</w:t>
      </w:r>
      <w:r w:rsidRPr="00B849DC" w:rsidR="0046092D">
        <w:rPr>
          <w:lang w:val="en-US"/>
        </w:rPr>
        <w:t>s</w:t>
      </w:r>
      <w:r w:rsidRPr="00B849DC">
        <w:rPr>
          <w:lang w:val="en-US"/>
        </w:rPr>
        <w:t xml:space="preserve">ing in Arkhangelsk. The Russian Government (“the Government”) </w:t>
      </w:r>
      <w:proofErr w:type="gramStart"/>
      <w:r w:rsidRPr="00B849DC">
        <w:rPr>
          <w:lang w:val="en-US"/>
        </w:rPr>
        <w:t>were</w:t>
      </w:r>
      <w:proofErr w:type="gramEnd"/>
      <w:r w:rsidRPr="00B849DC">
        <w:rPr>
          <w:lang w:val="en-US"/>
        </w:rPr>
        <w:t xml:space="preserve"> represented by Mr G. Matyushkin, the Representative of the Russian Federation at the European Court of Human Rights.</w:t>
      </w:r>
    </w:p>
    <w:p w:rsidRPr="00B849DC" w:rsidR="00355197" w:rsidP="00B849DC" w:rsidRDefault="00355197">
      <w:pPr>
        <w:pStyle w:val="ECHRPara"/>
        <w:rPr>
          <w:lang w:val="en-US"/>
        </w:rPr>
      </w:pPr>
      <w:r w:rsidRPr="00B849DC">
        <w:rPr>
          <w:lang w:val="en-US"/>
        </w:rPr>
        <w:fldChar w:fldCharType="begin"/>
      </w:r>
      <w:r w:rsidRPr="00B849DC">
        <w:rPr>
          <w:lang w:val="en-US"/>
        </w:rPr>
        <w:instrText xml:space="preserve"> SEQ level0 \*arabic </w:instrText>
      </w:r>
      <w:r w:rsidRPr="00B849DC">
        <w:rPr>
          <w:lang w:val="en-US"/>
        </w:rPr>
        <w:fldChar w:fldCharType="separate"/>
      </w:r>
      <w:r w:rsidRPr="00B849DC" w:rsidR="00B849DC">
        <w:rPr>
          <w:noProof/>
          <w:lang w:val="en-US"/>
        </w:rPr>
        <w:t>3</w:t>
      </w:r>
      <w:r w:rsidRPr="00B849DC">
        <w:rPr>
          <w:lang w:val="en-US"/>
        </w:rPr>
        <w:fldChar w:fldCharType="end"/>
      </w:r>
      <w:r w:rsidRPr="00B849DC">
        <w:rPr>
          <w:lang w:val="en-US"/>
        </w:rPr>
        <w:t xml:space="preserve">.  On various dates the President of the First Section decided to give notice of the applications to the Government. It was also decided to examine the merits of the applications at the same time as </w:t>
      </w:r>
      <w:r w:rsidRPr="00B849DC" w:rsidR="002309B4">
        <w:rPr>
          <w:lang w:val="en-US"/>
        </w:rPr>
        <w:t xml:space="preserve">their </w:t>
      </w:r>
      <w:r w:rsidRPr="00B849DC">
        <w:rPr>
          <w:lang w:val="en-US"/>
        </w:rPr>
        <w:t>admissibility (</w:t>
      </w:r>
      <w:r w:rsidRPr="00B849DC" w:rsidR="00811532">
        <w:rPr>
          <w:lang w:val="en-US"/>
        </w:rPr>
        <w:t xml:space="preserve">former </w:t>
      </w:r>
      <w:r w:rsidRPr="00B849DC">
        <w:rPr>
          <w:lang w:val="en-US"/>
        </w:rPr>
        <w:t>Article 29 § 3).</w:t>
      </w:r>
    </w:p>
    <w:p w:rsidRPr="00B849DC" w:rsidR="00355197" w:rsidP="00B849DC" w:rsidRDefault="00355197">
      <w:pPr>
        <w:pStyle w:val="ECHRPara"/>
        <w:rPr>
          <w:lang w:val="en-US"/>
        </w:rPr>
      </w:pPr>
      <w:r w:rsidRPr="00B849DC">
        <w:rPr>
          <w:lang w:val="en-US"/>
        </w:rPr>
        <w:fldChar w:fldCharType="begin"/>
      </w:r>
      <w:r w:rsidRPr="00B849DC">
        <w:rPr>
          <w:lang w:val="en-US"/>
        </w:rPr>
        <w:instrText xml:space="preserve"> SEQ level0 \*arabic </w:instrText>
      </w:r>
      <w:r w:rsidRPr="00B849DC">
        <w:rPr>
          <w:lang w:val="en-US"/>
        </w:rPr>
        <w:fldChar w:fldCharType="separate"/>
      </w:r>
      <w:r w:rsidRPr="00B849DC" w:rsidR="00B849DC">
        <w:rPr>
          <w:noProof/>
          <w:lang w:val="en-US"/>
        </w:rPr>
        <w:t>4</w:t>
      </w:r>
      <w:r w:rsidRPr="00B849DC">
        <w:rPr>
          <w:lang w:val="en-US"/>
        </w:rPr>
        <w:fldChar w:fldCharType="end"/>
      </w:r>
      <w:r w:rsidRPr="00B849DC">
        <w:rPr>
          <w:lang w:val="en-US"/>
        </w:rPr>
        <w:t>.  The Government objected to the joint examination of the admissibility and merits of application no. 39483/05, but the Court rejected this objection.</w:t>
      </w:r>
    </w:p>
    <w:p w:rsidRPr="00B849DC" w:rsidR="00F71A6A" w:rsidP="00B849DC" w:rsidRDefault="00F71A6A">
      <w:pPr>
        <w:pStyle w:val="ECHRTitle1"/>
        <w:rPr>
          <w:lang w:val="en-GB"/>
        </w:rPr>
      </w:pPr>
      <w:r w:rsidRPr="00B849DC">
        <w:rPr>
          <w:lang w:val="en-GB"/>
        </w:rPr>
        <w:t>THE FACTS</w:t>
      </w:r>
    </w:p>
    <w:p w:rsidRPr="00B849DC" w:rsidR="00D353F4" w:rsidP="00B849DC" w:rsidRDefault="007352DD">
      <w:pPr>
        <w:pStyle w:val="ECHRHeading1"/>
        <w:rPr>
          <w:lang w:val="en-GB"/>
        </w:rPr>
      </w:pPr>
      <w:r w:rsidRPr="00B849DC">
        <w:rPr>
          <w:lang w:val="en-GB"/>
        </w:rPr>
        <w:t xml:space="preserve">I.  THE CIRCUMSTANCES OF THE </w:t>
      </w:r>
      <w:r w:rsidRPr="00B849DC" w:rsidR="00D353F4">
        <w:rPr>
          <w:lang w:val="en-GB"/>
        </w:rPr>
        <w:t>CASE</w:t>
      </w:r>
      <w:r w:rsidRPr="00B849DC" w:rsidR="00DA6479">
        <w:rPr>
          <w:lang w:val="en-GB"/>
        </w:rPr>
        <w:t>S</w:t>
      </w:r>
    </w:p>
    <w:p w:rsidRPr="00B849DC" w:rsidR="00CA087B" w:rsidP="00B849DC" w:rsidRDefault="00BD09D1">
      <w:pPr>
        <w:pStyle w:val="ECHRPara"/>
        <w:rPr>
          <w:lang w:val="en-US"/>
        </w:rPr>
      </w:pPr>
      <w:r w:rsidRPr="00B849DC">
        <w:rPr>
          <w:lang w:val="en-US"/>
        </w:rPr>
        <w:fldChar w:fldCharType="begin"/>
      </w:r>
      <w:r w:rsidRPr="00B849DC">
        <w:rPr>
          <w:lang w:val="en-US"/>
        </w:rPr>
        <w:instrText xml:space="preserve"> SEQ level0 \*arabic </w:instrText>
      </w:r>
      <w:r w:rsidRPr="00B849DC">
        <w:rPr>
          <w:lang w:val="en-US"/>
        </w:rPr>
        <w:fldChar w:fldCharType="separate"/>
      </w:r>
      <w:r w:rsidRPr="00B849DC" w:rsidR="00B849DC">
        <w:rPr>
          <w:noProof/>
          <w:lang w:val="en-US"/>
        </w:rPr>
        <w:t>5</w:t>
      </w:r>
      <w:r w:rsidRPr="00B849DC">
        <w:rPr>
          <w:lang w:val="en-US"/>
        </w:rPr>
        <w:fldChar w:fldCharType="end"/>
      </w:r>
      <w:r w:rsidRPr="00B849DC">
        <w:rPr>
          <w:lang w:val="en-US"/>
        </w:rPr>
        <w:t xml:space="preserve">.  The </w:t>
      </w:r>
      <w:r w:rsidRPr="00B849DC" w:rsidR="00513341">
        <w:rPr>
          <w:lang w:val="en-US"/>
        </w:rPr>
        <w:t>first applicant was born in 1953 and lives in Pet</w:t>
      </w:r>
      <w:r w:rsidRPr="00B849DC" w:rsidR="000F322C">
        <w:rPr>
          <w:lang w:val="en-US"/>
        </w:rPr>
        <w:t xml:space="preserve">rozavodsk, </w:t>
      </w:r>
      <w:r w:rsidRPr="00B849DC" w:rsidR="002309B4">
        <w:rPr>
          <w:lang w:val="en-US"/>
        </w:rPr>
        <w:t xml:space="preserve">in </w:t>
      </w:r>
      <w:r w:rsidRPr="00B849DC" w:rsidR="000F322C">
        <w:rPr>
          <w:lang w:val="en-US"/>
        </w:rPr>
        <w:t>the Republic of Karel</w:t>
      </w:r>
      <w:r w:rsidRPr="00B849DC" w:rsidR="00513341">
        <w:rPr>
          <w:lang w:val="en-US"/>
        </w:rPr>
        <w:t>iya. The second applicant was born in 1956 and lives in Mezen,</w:t>
      </w:r>
      <w:r w:rsidRPr="00B849DC" w:rsidR="002309B4">
        <w:rPr>
          <w:lang w:val="en-US"/>
        </w:rPr>
        <w:t xml:space="preserve"> in</w:t>
      </w:r>
      <w:r w:rsidRPr="00B849DC" w:rsidR="00513341">
        <w:rPr>
          <w:lang w:val="en-US"/>
        </w:rPr>
        <w:t xml:space="preserve"> the Arkhangelsk Region.</w:t>
      </w:r>
    </w:p>
    <w:p w:rsidRPr="00B849DC" w:rsidR="00DA6479" w:rsidP="00B849DC" w:rsidRDefault="00DA6479">
      <w:pPr>
        <w:pStyle w:val="ECHRHeading2"/>
        <w:rPr>
          <w:lang w:val="en-US"/>
        </w:rPr>
      </w:pPr>
      <w:r w:rsidRPr="00B849DC">
        <w:rPr>
          <w:lang w:val="en-US"/>
        </w:rPr>
        <w:t>A.  Application by Ms Liseytseva (no. 39783/05)</w:t>
      </w:r>
    </w:p>
    <w:p w:rsidRPr="00B849DC" w:rsidR="00BF10B1" w:rsidP="00B849DC" w:rsidRDefault="00BF4B48">
      <w:pPr>
        <w:pStyle w:val="ECHRPara"/>
        <w:rPr>
          <w:lang w:val="en-US"/>
        </w:rPr>
      </w:pPr>
      <w:r w:rsidRPr="00B849DC">
        <w:rPr>
          <w:lang w:val="en-US"/>
        </w:rPr>
        <w:fldChar w:fldCharType="begin"/>
      </w:r>
      <w:r w:rsidRPr="00B849DC">
        <w:rPr>
          <w:lang w:val="en-US"/>
        </w:rPr>
        <w:instrText xml:space="preserve"> SEQ level0 \*arabic </w:instrText>
      </w:r>
      <w:r w:rsidRPr="00B849DC">
        <w:rPr>
          <w:lang w:val="en-US"/>
        </w:rPr>
        <w:fldChar w:fldCharType="separate"/>
      </w:r>
      <w:r w:rsidRPr="00B849DC" w:rsidR="00B849DC">
        <w:rPr>
          <w:noProof/>
          <w:lang w:val="en-US"/>
        </w:rPr>
        <w:t>6</w:t>
      </w:r>
      <w:r w:rsidRPr="00B849DC">
        <w:rPr>
          <w:lang w:val="en-US"/>
        </w:rPr>
        <w:fldChar w:fldCharType="end"/>
      </w:r>
      <w:r w:rsidRPr="00B849DC">
        <w:rPr>
          <w:lang w:val="en-US"/>
        </w:rPr>
        <w:t>.  </w:t>
      </w:r>
      <w:r w:rsidRPr="00B849DC" w:rsidR="00BD09D1">
        <w:rPr>
          <w:lang w:val="en-US"/>
        </w:rPr>
        <w:t>The</w:t>
      </w:r>
      <w:r w:rsidRPr="00B849DC" w:rsidR="00BF10B1">
        <w:rPr>
          <w:lang w:val="en-US"/>
        </w:rPr>
        <w:t xml:space="preserve"> </w:t>
      </w:r>
      <w:r w:rsidRPr="00B849DC" w:rsidR="009714F8">
        <w:rPr>
          <w:lang w:val="en-US"/>
        </w:rPr>
        <w:t xml:space="preserve">first </w:t>
      </w:r>
      <w:r w:rsidRPr="00B849DC" w:rsidR="00BF10B1">
        <w:rPr>
          <w:lang w:val="en-US"/>
        </w:rPr>
        <w:t>applicant</w:t>
      </w:r>
      <w:r w:rsidRPr="00B849DC" w:rsidR="003C158B">
        <w:rPr>
          <w:lang w:val="en-US"/>
        </w:rPr>
        <w:t xml:space="preserve"> </w:t>
      </w:r>
      <w:r w:rsidRPr="00B849DC" w:rsidR="00BF10B1">
        <w:rPr>
          <w:lang w:val="en-US"/>
        </w:rPr>
        <w:t xml:space="preserve">was an employee of the </w:t>
      </w:r>
      <w:r w:rsidRPr="00B849DC" w:rsidR="00BF10B1">
        <w:rPr>
          <w:rFonts w:asciiTheme="majorHAnsi" w:hAnsiTheme="majorHAnsi" w:eastAsiaTheme="majorEastAsia" w:cstheme="majorBidi"/>
          <w:bCs/>
          <w:lang w:val="en-US"/>
        </w:rPr>
        <w:t>municipal unitary enterprise “Avtokolonna 1126”</w:t>
      </w:r>
      <w:r w:rsidRPr="00B849DC" w:rsidR="00511F82">
        <w:rPr>
          <w:rFonts w:asciiTheme="majorHAnsi" w:hAnsiTheme="majorHAnsi" w:eastAsiaTheme="majorEastAsia" w:cstheme="majorBidi"/>
          <w:bCs/>
          <w:lang w:val="en-US"/>
        </w:rPr>
        <w:t xml:space="preserve"> (Auto Transport Column 1126)</w:t>
      </w:r>
      <w:r w:rsidRPr="00B849DC" w:rsidR="00BF10B1">
        <w:rPr>
          <w:rFonts w:asciiTheme="majorHAnsi" w:hAnsiTheme="majorHAnsi" w:eastAsiaTheme="majorEastAsia" w:cstheme="majorBidi"/>
          <w:bCs/>
          <w:lang w:val="en-US"/>
        </w:rPr>
        <w:t xml:space="preserve"> </w:t>
      </w:r>
      <w:r w:rsidRPr="00B849DC" w:rsidR="00D64418">
        <w:rPr>
          <w:rFonts w:asciiTheme="majorHAnsi" w:hAnsiTheme="majorHAnsi" w:eastAsiaTheme="majorEastAsia" w:cstheme="majorBidi"/>
          <w:bCs/>
          <w:lang w:val="en-US"/>
        </w:rPr>
        <w:t xml:space="preserve">in </w:t>
      </w:r>
      <w:r w:rsidRPr="00B849DC" w:rsidR="00BF10B1">
        <w:rPr>
          <w:rFonts w:asciiTheme="majorHAnsi" w:hAnsiTheme="majorHAnsi" w:eastAsiaTheme="majorEastAsia" w:cstheme="majorBidi"/>
          <w:bCs/>
          <w:lang w:val="en-US"/>
        </w:rPr>
        <w:t>Petrozavodsk</w:t>
      </w:r>
      <w:r w:rsidRPr="00B849DC" w:rsidR="009714F8">
        <w:rPr>
          <w:rFonts w:asciiTheme="majorHAnsi" w:hAnsiTheme="majorHAnsi" w:eastAsiaTheme="majorEastAsia" w:cstheme="majorBidi"/>
          <w:bCs/>
          <w:lang w:val="en-US"/>
        </w:rPr>
        <w:t>, the Republic of Kareliya</w:t>
      </w:r>
      <w:r w:rsidRPr="00B849DC" w:rsidR="00BF10B1">
        <w:rPr>
          <w:rFonts w:asciiTheme="majorHAnsi" w:hAnsiTheme="majorHAnsi" w:eastAsiaTheme="majorEastAsia" w:cstheme="majorBidi"/>
          <w:bCs/>
          <w:lang w:val="en-US"/>
        </w:rPr>
        <w:t>.</w:t>
      </w:r>
    </w:p>
    <w:p w:rsidRPr="00B849DC" w:rsidR="00143250" w:rsidP="00B849DC" w:rsidRDefault="00DA6479">
      <w:pPr>
        <w:pStyle w:val="ECHRHeading3"/>
        <w:rPr>
          <w:lang w:val="en-US"/>
        </w:rPr>
      </w:pPr>
      <w:r w:rsidRPr="00B849DC">
        <w:rPr>
          <w:lang w:val="en-US"/>
        </w:rPr>
        <w:t>1</w:t>
      </w:r>
      <w:r w:rsidRPr="00B849DC" w:rsidR="00143250">
        <w:rPr>
          <w:lang w:val="en-US"/>
        </w:rPr>
        <w:t xml:space="preserve">.  Available information on the debtor </w:t>
      </w:r>
      <w:r w:rsidRPr="00B849DC" w:rsidR="009C00FC">
        <w:rPr>
          <w:lang w:val="en-US"/>
        </w:rPr>
        <w:t>company</w:t>
      </w:r>
    </w:p>
    <w:p w:rsidRPr="00B849DC" w:rsidR="00B54AFB" w:rsidP="00B849DC" w:rsidRDefault="00143250">
      <w:pPr>
        <w:pStyle w:val="ECHRPara"/>
        <w:rPr>
          <w:lang w:val="en-US"/>
        </w:rPr>
      </w:pPr>
      <w:r w:rsidRPr="00B849DC">
        <w:fldChar w:fldCharType="begin"/>
      </w:r>
      <w:r w:rsidRPr="00B849DC">
        <w:rPr>
          <w:lang w:val="en-US"/>
        </w:rPr>
        <w:instrText xml:space="preserve"> SEQ level0 \*arabic </w:instrText>
      </w:r>
      <w:r w:rsidRPr="00B849DC">
        <w:fldChar w:fldCharType="separate"/>
      </w:r>
      <w:r w:rsidRPr="00B849DC" w:rsidR="00B849DC">
        <w:rPr>
          <w:noProof/>
          <w:lang w:val="en-US"/>
        </w:rPr>
        <w:t>7</w:t>
      </w:r>
      <w:r w:rsidRPr="00B849DC">
        <w:fldChar w:fldCharType="end"/>
      </w:r>
      <w:r w:rsidRPr="00B849DC">
        <w:rPr>
          <w:lang w:val="en-US"/>
        </w:rPr>
        <w:t>.  </w:t>
      </w:r>
      <w:r w:rsidRPr="00B849DC" w:rsidR="00B54AFB">
        <w:rPr>
          <w:lang w:val="en-US"/>
        </w:rPr>
        <w:t>“</w:t>
      </w:r>
      <w:r w:rsidRPr="00B849DC" w:rsidR="00BF10B1">
        <w:rPr>
          <w:lang w:val="en-US"/>
        </w:rPr>
        <w:t>Avtokolonna </w:t>
      </w:r>
      <w:r w:rsidRPr="00B849DC" w:rsidR="00B54AFB">
        <w:rPr>
          <w:lang w:val="en-US"/>
        </w:rPr>
        <w:t xml:space="preserve">1126” was set up by </w:t>
      </w:r>
      <w:r w:rsidRPr="00B849DC" w:rsidR="00800CD6">
        <w:rPr>
          <w:lang w:val="en-US"/>
        </w:rPr>
        <w:t xml:space="preserve">a </w:t>
      </w:r>
      <w:r w:rsidRPr="00B849DC" w:rsidR="00B54AFB">
        <w:rPr>
          <w:lang w:val="en-US"/>
        </w:rPr>
        <w:t xml:space="preserve">decision of the administration of the Town of Petrozavodsk (“the town administration”). It provided public transport services in the town on </w:t>
      </w:r>
      <w:r w:rsidRPr="00B849DC" w:rsidR="00D64418">
        <w:rPr>
          <w:lang w:val="en-US"/>
        </w:rPr>
        <w:t xml:space="preserve">a </w:t>
      </w:r>
      <w:r w:rsidRPr="00B849DC" w:rsidR="00B54AFB">
        <w:rPr>
          <w:lang w:val="en-US"/>
        </w:rPr>
        <w:t xml:space="preserve">commercial basis. The </w:t>
      </w:r>
      <w:r w:rsidRPr="00B849DC" w:rsidR="009C00FC">
        <w:rPr>
          <w:lang w:val="en-US"/>
        </w:rPr>
        <w:t xml:space="preserve">company </w:t>
      </w:r>
      <w:r w:rsidRPr="00B849DC" w:rsidR="00B54AFB">
        <w:rPr>
          <w:lang w:val="en-US"/>
        </w:rPr>
        <w:t xml:space="preserve">had </w:t>
      </w:r>
      <w:r w:rsidRPr="00B849DC" w:rsidR="00800CD6">
        <w:rPr>
          <w:lang w:val="en-US"/>
        </w:rPr>
        <w:t>“</w:t>
      </w:r>
      <w:r w:rsidRPr="00B849DC" w:rsidR="00B54AFB">
        <w:rPr>
          <w:lang w:val="en-US"/>
        </w:rPr>
        <w:t>the right of economic control</w:t>
      </w:r>
      <w:r w:rsidRPr="00B849DC" w:rsidR="00800CD6">
        <w:rPr>
          <w:lang w:val="en-US"/>
        </w:rPr>
        <w:t>”</w:t>
      </w:r>
      <w:r w:rsidRPr="00B849DC" w:rsidR="00B54AFB">
        <w:rPr>
          <w:lang w:val="en-US"/>
        </w:rPr>
        <w:t xml:space="preserve"> </w:t>
      </w:r>
      <w:r w:rsidRPr="00B849DC" w:rsidR="00971369">
        <w:rPr>
          <w:i/>
          <w:lang w:val="en-US"/>
        </w:rPr>
        <w:t>(</w:t>
      </w:r>
      <w:r w:rsidRPr="00B849DC" w:rsidR="00971369">
        <w:rPr>
          <w:i/>
          <w:lang w:val="ru-RU"/>
        </w:rPr>
        <w:t>право</w:t>
      </w:r>
      <w:r w:rsidRPr="00B849DC" w:rsidR="00971369">
        <w:rPr>
          <w:i/>
          <w:lang w:val="en-US"/>
        </w:rPr>
        <w:t xml:space="preserve"> </w:t>
      </w:r>
      <w:r w:rsidRPr="00B849DC" w:rsidR="00971369">
        <w:rPr>
          <w:i/>
          <w:lang w:val="ru-RU"/>
        </w:rPr>
        <w:t>хозяйственного</w:t>
      </w:r>
      <w:r w:rsidRPr="00B849DC" w:rsidR="00971369">
        <w:rPr>
          <w:i/>
          <w:lang w:val="en-US"/>
        </w:rPr>
        <w:t xml:space="preserve"> </w:t>
      </w:r>
      <w:r w:rsidRPr="00B849DC" w:rsidR="00971369">
        <w:rPr>
          <w:i/>
          <w:lang w:val="ru-RU"/>
        </w:rPr>
        <w:t>ведения</w:t>
      </w:r>
      <w:r w:rsidRPr="00B849DC" w:rsidR="00971369">
        <w:rPr>
          <w:lang w:val="en-US"/>
        </w:rPr>
        <w:t>) over the assets</w:t>
      </w:r>
      <w:r w:rsidRPr="00B849DC" w:rsidR="00B75AE3">
        <w:rPr>
          <w:lang w:val="en-US"/>
        </w:rPr>
        <w:t xml:space="preserve"> </w:t>
      </w:r>
      <w:r w:rsidRPr="00B849DC" w:rsidR="00B54AFB">
        <w:rPr>
          <w:lang w:val="en-US"/>
        </w:rPr>
        <w:t xml:space="preserve">allocated to it </w:t>
      </w:r>
      <w:r w:rsidRPr="00B849DC" w:rsidR="00511F82">
        <w:rPr>
          <w:lang w:val="en-US"/>
        </w:rPr>
        <w:t>by the town</w:t>
      </w:r>
      <w:r w:rsidRPr="00B849DC" w:rsidR="003B56E3">
        <w:rPr>
          <w:lang w:val="en-US"/>
        </w:rPr>
        <w:t xml:space="preserve"> administration</w:t>
      </w:r>
      <w:r w:rsidRPr="00B849DC" w:rsidR="00511F82">
        <w:rPr>
          <w:lang w:val="en-US"/>
        </w:rPr>
        <w:t xml:space="preserve"> </w:t>
      </w:r>
      <w:r w:rsidRPr="00B849DC" w:rsidR="003C52E7">
        <w:rPr>
          <w:lang w:val="en-US"/>
        </w:rPr>
        <w:t>in order to carry out</w:t>
      </w:r>
      <w:r w:rsidRPr="00B849DC" w:rsidR="00B54AFB">
        <w:rPr>
          <w:lang w:val="en-US"/>
        </w:rPr>
        <w:t xml:space="preserve"> its </w:t>
      </w:r>
      <w:r w:rsidRPr="00B849DC" w:rsidR="00511F82">
        <w:rPr>
          <w:lang w:val="en-US"/>
        </w:rPr>
        <w:t xml:space="preserve">statutory </w:t>
      </w:r>
      <w:r w:rsidRPr="00B849DC" w:rsidR="00B54AFB">
        <w:rPr>
          <w:lang w:val="en-US"/>
        </w:rPr>
        <w:t>activities</w:t>
      </w:r>
      <w:r w:rsidRPr="00B849DC" w:rsidR="008D6F8B">
        <w:rPr>
          <w:lang w:val="en-US"/>
        </w:rPr>
        <w:t xml:space="preserve">. </w:t>
      </w:r>
      <w:r w:rsidRPr="00B849DC" w:rsidR="00971369">
        <w:rPr>
          <w:lang w:val="en-GB"/>
        </w:rPr>
        <w:t xml:space="preserve">Legal provisions on the status of municipal unitary enterprises </w:t>
      </w:r>
      <w:r w:rsidRPr="00B849DC" w:rsidR="004835C1">
        <w:rPr>
          <w:lang w:val="en-GB"/>
        </w:rPr>
        <w:t xml:space="preserve">and the right of economic control </w:t>
      </w:r>
      <w:r w:rsidRPr="00B849DC" w:rsidR="00971369">
        <w:rPr>
          <w:lang w:val="en-GB"/>
        </w:rPr>
        <w:t>are summarised in</w:t>
      </w:r>
      <w:r w:rsidRPr="00B849DC" w:rsidR="006C2293">
        <w:rPr>
          <w:lang w:val="en-US"/>
        </w:rPr>
        <w:t xml:space="preserve"> paragraphs 55</w:t>
      </w:r>
      <w:r w:rsidRPr="00B849DC" w:rsidR="006C2293">
        <w:rPr>
          <w:lang w:val="en-US"/>
        </w:rPr>
        <w:noBreakHyphen/>
      </w:r>
      <w:r w:rsidRPr="00B849DC" w:rsidR="00971369">
        <w:rPr>
          <w:lang w:val="en-US"/>
        </w:rPr>
        <w:t>75 below.</w:t>
      </w:r>
    </w:p>
    <w:p w:rsidRPr="00B849DC" w:rsidR="00513341" w:rsidP="00B849DC" w:rsidRDefault="00B54AFB">
      <w:pPr>
        <w:pStyle w:val="ECHRPara"/>
        <w:rPr>
          <w:lang w:val="en-US"/>
        </w:rPr>
      </w:pPr>
      <w:r w:rsidRPr="00B849DC">
        <w:fldChar w:fldCharType="begin"/>
      </w:r>
      <w:r w:rsidRPr="00B849DC">
        <w:rPr>
          <w:lang w:val="en-US"/>
        </w:rPr>
        <w:instrText xml:space="preserve"> SEQ level0 \*arabic </w:instrText>
      </w:r>
      <w:r w:rsidRPr="00B849DC">
        <w:fldChar w:fldCharType="separate"/>
      </w:r>
      <w:r w:rsidRPr="00B849DC" w:rsidR="00B849DC">
        <w:rPr>
          <w:noProof/>
          <w:lang w:val="en-US"/>
        </w:rPr>
        <w:t>8</w:t>
      </w:r>
      <w:r w:rsidRPr="00B849DC">
        <w:fldChar w:fldCharType="end"/>
      </w:r>
      <w:r w:rsidRPr="00B849DC">
        <w:rPr>
          <w:lang w:val="en-US"/>
        </w:rPr>
        <w:t>.  </w:t>
      </w:r>
      <w:r w:rsidRPr="00B849DC" w:rsidR="00E41072">
        <w:rPr>
          <w:lang w:val="en-US"/>
        </w:rPr>
        <w:t xml:space="preserve">At the </w:t>
      </w:r>
      <w:r w:rsidRPr="00B849DC" w:rsidR="00513341">
        <w:rPr>
          <w:lang w:val="en-US"/>
        </w:rPr>
        <w:t xml:space="preserve">request of the </w:t>
      </w:r>
      <w:r w:rsidRPr="00B849DC" w:rsidR="009C00FC">
        <w:rPr>
          <w:lang w:val="en-US"/>
        </w:rPr>
        <w:t>company</w:t>
      </w:r>
      <w:r w:rsidRPr="00B849DC" w:rsidR="00513341">
        <w:rPr>
          <w:lang w:val="en-US"/>
        </w:rPr>
        <w:t xml:space="preserve">, on 29 December 2001 the town administration withdrew unspecified assets of </w:t>
      </w:r>
      <w:r w:rsidRPr="00B849DC" w:rsidR="00E41072">
        <w:rPr>
          <w:lang w:val="en-US"/>
        </w:rPr>
        <w:t xml:space="preserve">an </w:t>
      </w:r>
      <w:r w:rsidRPr="00B849DC" w:rsidR="00513341">
        <w:rPr>
          <w:lang w:val="en-US"/>
        </w:rPr>
        <w:t xml:space="preserve">aggregate value </w:t>
      </w:r>
      <w:r w:rsidRPr="00B849DC" w:rsidR="00E41072">
        <w:rPr>
          <w:lang w:val="en-US"/>
        </w:rPr>
        <w:t>in excess of</w:t>
      </w:r>
      <w:r w:rsidRPr="00B849DC" w:rsidR="006C2293">
        <w:rPr>
          <w:lang w:val="en-US"/>
        </w:rPr>
        <w:t xml:space="preserve"> </w:t>
      </w:r>
      <w:r w:rsidRPr="00B849DC" w:rsidR="00513341">
        <w:rPr>
          <w:lang w:val="en-US"/>
        </w:rPr>
        <w:t xml:space="preserve">25,000,000 </w:t>
      </w:r>
      <w:r w:rsidRPr="00B849DC" w:rsidR="00E41072">
        <w:rPr>
          <w:lang w:val="en-US"/>
        </w:rPr>
        <w:t xml:space="preserve">Russian roubles (RUB) </w:t>
      </w:r>
      <w:r w:rsidRPr="00B849DC" w:rsidR="00513341">
        <w:rPr>
          <w:lang w:val="en-US"/>
        </w:rPr>
        <w:t xml:space="preserve">from the </w:t>
      </w:r>
      <w:r w:rsidRPr="00B849DC" w:rsidR="009C00FC">
        <w:rPr>
          <w:lang w:val="en-US"/>
        </w:rPr>
        <w:t>company</w:t>
      </w:r>
      <w:r w:rsidRPr="00B849DC" w:rsidR="00B849DC">
        <w:rPr>
          <w:lang w:val="en-US"/>
        </w:rPr>
        <w:t>’</w:t>
      </w:r>
      <w:r w:rsidRPr="00B849DC" w:rsidR="009C00FC">
        <w:rPr>
          <w:lang w:val="en-US"/>
        </w:rPr>
        <w:t xml:space="preserve">s </w:t>
      </w:r>
      <w:r w:rsidRPr="00B849DC" w:rsidR="00513341">
        <w:rPr>
          <w:lang w:val="en-US"/>
        </w:rPr>
        <w:t xml:space="preserve">economic control and immediately allocated them to the same </w:t>
      </w:r>
      <w:r w:rsidRPr="00B849DC" w:rsidR="009C00FC">
        <w:rPr>
          <w:lang w:val="en-US"/>
        </w:rPr>
        <w:t xml:space="preserve">company </w:t>
      </w:r>
      <w:r w:rsidRPr="00B849DC" w:rsidR="00513341">
        <w:rPr>
          <w:lang w:val="en-US"/>
        </w:rPr>
        <w:t>for temporary use free of charge under a loan agreement.</w:t>
      </w:r>
    </w:p>
    <w:p w:rsidRPr="00B849DC" w:rsidR="00B54AFB" w:rsidP="00B849DC" w:rsidRDefault="00513341">
      <w:pPr>
        <w:pStyle w:val="ECHRPara"/>
        <w:rPr>
          <w:lang w:val="en-US"/>
        </w:rPr>
      </w:pPr>
      <w:r w:rsidRPr="00B849DC">
        <w:fldChar w:fldCharType="begin"/>
      </w:r>
      <w:r w:rsidRPr="00B849DC">
        <w:rPr>
          <w:lang w:val="en-US"/>
        </w:rPr>
        <w:instrText xml:space="preserve"> SEQ level0 \*arabic </w:instrText>
      </w:r>
      <w:r w:rsidRPr="00B849DC">
        <w:fldChar w:fldCharType="separate"/>
      </w:r>
      <w:r w:rsidRPr="00B849DC" w:rsidR="00B849DC">
        <w:rPr>
          <w:noProof/>
          <w:lang w:val="en-US"/>
        </w:rPr>
        <w:t>9</w:t>
      </w:r>
      <w:r w:rsidRPr="00B849DC">
        <w:fldChar w:fldCharType="end"/>
      </w:r>
      <w:r w:rsidRPr="00B849DC">
        <w:rPr>
          <w:lang w:val="en-US"/>
        </w:rPr>
        <w:t>.  </w:t>
      </w:r>
      <w:r w:rsidRPr="00B849DC" w:rsidR="00B54AFB">
        <w:rPr>
          <w:lang w:val="en-US"/>
        </w:rPr>
        <w:t xml:space="preserve">Under several agreements between the </w:t>
      </w:r>
      <w:r w:rsidRPr="00B849DC" w:rsidR="009C00FC">
        <w:rPr>
          <w:lang w:val="en-US"/>
        </w:rPr>
        <w:t xml:space="preserve">company </w:t>
      </w:r>
      <w:r w:rsidRPr="00B849DC" w:rsidR="00B54AFB">
        <w:rPr>
          <w:lang w:val="en-US"/>
        </w:rPr>
        <w:t xml:space="preserve">and the </w:t>
      </w:r>
      <w:r w:rsidRPr="00B849DC" w:rsidR="003B56E3">
        <w:rPr>
          <w:lang w:val="en-US"/>
        </w:rPr>
        <w:t xml:space="preserve">town </w:t>
      </w:r>
      <w:r w:rsidRPr="00B849DC" w:rsidR="00B54AFB">
        <w:rPr>
          <w:lang w:val="en-US"/>
        </w:rPr>
        <w:t xml:space="preserve">administration, including </w:t>
      </w:r>
      <w:r w:rsidRPr="00B849DC" w:rsidR="00E41072">
        <w:rPr>
          <w:lang w:val="en-US"/>
        </w:rPr>
        <w:t>one dated</w:t>
      </w:r>
      <w:r w:rsidRPr="00B849DC" w:rsidR="00B54AFB">
        <w:rPr>
          <w:lang w:val="en-US"/>
        </w:rPr>
        <w:t xml:space="preserve"> 21 January 2002, the </w:t>
      </w:r>
      <w:r w:rsidRPr="00B849DC" w:rsidR="009C00FC">
        <w:rPr>
          <w:lang w:val="en-US"/>
        </w:rPr>
        <w:t xml:space="preserve">company </w:t>
      </w:r>
      <w:r w:rsidRPr="00B849DC">
        <w:rPr>
          <w:lang w:val="en-US"/>
        </w:rPr>
        <w:t>undertook</w:t>
      </w:r>
      <w:r w:rsidRPr="00B849DC" w:rsidR="00B54AFB">
        <w:rPr>
          <w:lang w:val="en-US"/>
        </w:rPr>
        <w:t xml:space="preserve"> to provide transport services to certain </w:t>
      </w:r>
      <w:r w:rsidRPr="00B849DC" w:rsidR="00800CD6">
        <w:rPr>
          <w:lang w:val="en-US"/>
        </w:rPr>
        <w:t xml:space="preserve">sections </w:t>
      </w:r>
      <w:r w:rsidRPr="00B849DC" w:rsidR="00B54AFB">
        <w:rPr>
          <w:lang w:val="en-US"/>
        </w:rPr>
        <w:t xml:space="preserve">of </w:t>
      </w:r>
      <w:r w:rsidRPr="00B849DC" w:rsidR="00E41072">
        <w:rPr>
          <w:lang w:val="en-US"/>
        </w:rPr>
        <w:t xml:space="preserve">the </w:t>
      </w:r>
      <w:r w:rsidRPr="00B849DC" w:rsidR="00B54AFB">
        <w:rPr>
          <w:lang w:val="en-US"/>
        </w:rPr>
        <w:t xml:space="preserve">population free of charge, and the </w:t>
      </w:r>
      <w:r w:rsidRPr="00B849DC" w:rsidR="003B56E3">
        <w:rPr>
          <w:lang w:val="en-US"/>
        </w:rPr>
        <w:t xml:space="preserve">town </w:t>
      </w:r>
      <w:r w:rsidRPr="00B849DC" w:rsidR="00B54AFB">
        <w:rPr>
          <w:lang w:val="en-US"/>
        </w:rPr>
        <w:t xml:space="preserve">administration </w:t>
      </w:r>
      <w:r w:rsidRPr="00B849DC" w:rsidR="00511F82">
        <w:rPr>
          <w:lang w:val="en-US"/>
        </w:rPr>
        <w:t xml:space="preserve">was </w:t>
      </w:r>
      <w:r w:rsidRPr="00B849DC" w:rsidR="00B54AFB">
        <w:rPr>
          <w:lang w:val="en-US"/>
        </w:rPr>
        <w:t xml:space="preserve">to reimburse </w:t>
      </w:r>
      <w:r w:rsidRPr="00B849DC" w:rsidR="009C00FC">
        <w:rPr>
          <w:lang w:val="en-US"/>
        </w:rPr>
        <w:t>it</w:t>
      </w:r>
      <w:r w:rsidRPr="00B849DC" w:rsidR="00E41072">
        <w:rPr>
          <w:lang w:val="en-US"/>
        </w:rPr>
        <w:t xml:space="preserve"> for </w:t>
      </w:r>
      <w:r w:rsidRPr="00B849DC" w:rsidR="00B54AFB">
        <w:rPr>
          <w:lang w:val="en-US"/>
        </w:rPr>
        <w:t>the expenses</w:t>
      </w:r>
      <w:r w:rsidRPr="00B849DC" w:rsidR="00E41072">
        <w:rPr>
          <w:lang w:val="en-US"/>
        </w:rPr>
        <w:t xml:space="preserve"> incurred</w:t>
      </w:r>
      <w:r w:rsidRPr="00B849DC" w:rsidR="00B54AFB">
        <w:rPr>
          <w:lang w:val="en-US"/>
        </w:rPr>
        <w:t xml:space="preserve"> </w:t>
      </w:r>
      <w:r w:rsidRPr="00B849DC" w:rsidR="00E41072">
        <w:rPr>
          <w:lang w:val="en-US"/>
        </w:rPr>
        <w:t>out of the budget</w:t>
      </w:r>
      <w:r w:rsidRPr="00B849DC" w:rsidR="00B54AFB">
        <w:rPr>
          <w:lang w:val="en-US"/>
        </w:rPr>
        <w:t xml:space="preserve"> allocated for that purpose by the Ministry of Finance of the Republic of Kareliya or the federal budget. </w:t>
      </w:r>
      <w:r w:rsidRPr="00B849DC">
        <w:rPr>
          <w:lang w:val="en-US"/>
        </w:rPr>
        <w:t xml:space="preserve">According to </w:t>
      </w:r>
      <w:r w:rsidRPr="00B849DC" w:rsidR="00E41072">
        <w:rPr>
          <w:lang w:val="en-US"/>
        </w:rPr>
        <w:t xml:space="preserve">a </w:t>
      </w:r>
      <w:r w:rsidRPr="00B849DC">
        <w:rPr>
          <w:lang w:val="en-US"/>
        </w:rPr>
        <w:t xml:space="preserve">letter </w:t>
      </w:r>
      <w:r w:rsidRPr="00B849DC" w:rsidR="00E41072">
        <w:rPr>
          <w:lang w:val="en-US"/>
        </w:rPr>
        <w:t xml:space="preserve">from </w:t>
      </w:r>
      <w:r w:rsidRPr="00B849DC">
        <w:rPr>
          <w:lang w:val="en-US"/>
        </w:rPr>
        <w:t xml:space="preserve">the Committee of Housing and Communal Services of Petrozavodsk </w:t>
      </w:r>
      <w:r w:rsidRPr="00B849DC" w:rsidR="00E41072">
        <w:rPr>
          <w:lang w:val="en-US"/>
        </w:rPr>
        <w:t xml:space="preserve">dated </w:t>
      </w:r>
      <w:r w:rsidRPr="00B849DC">
        <w:rPr>
          <w:lang w:val="en-US"/>
        </w:rPr>
        <w:t>19 March 2003, at</w:t>
      </w:r>
      <w:r w:rsidRPr="00B849DC" w:rsidR="003B1722">
        <w:rPr>
          <w:lang w:val="en-US"/>
        </w:rPr>
        <w:t xml:space="preserve"> some point the</w:t>
      </w:r>
      <w:r w:rsidRPr="00B849DC" w:rsidR="00B54AFB">
        <w:rPr>
          <w:lang w:val="en-US"/>
        </w:rPr>
        <w:t xml:space="preserve"> respective budgets accumulated a considerable debt towards the </w:t>
      </w:r>
      <w:r w:rsidRPr="00B849DC" w:rsidR="009C00FC">
        <w:rPr>
          <w:lang w:val="en-US"/>
        </w:rPr>
        <w:t>company</w:t>
      </w:r>
      <w:r w:rsidRPr="00B849DC" w:rsidR="003B1722">
        <w:rPr>
          <w:lang w:val="en-US"/>
        </w:rPr>
        <w:t xml:space="preserve"> </w:t>
      </w:r>
      <w:r w:rsidRPr="00B849DC" w:rsidR="00E41072">
        <w:rPr>
          <w:lang w:val="en-US"/>
        </w:rPr>
        <w:t xml:space="preserve">owing </w:t>
      </w:r>
      <w:r w:rsidRPr="00B849DC" w:rsidR="003B1722">
        <w:rPr>
          <w:lang w:val="en-US"/>
        </w:rPr>
        <w:t xml:space="preserve">to </w:t>
      </w:r>
      <w:r w:rsidRPr="00B849DC" w:rsidR="00E41072">
        <w:rPr>
          <w:lang w:val="en-US"/>
        </w:rPr>
        <w:t xml:space="preserve">a </w:t>
      </w:r>
      <w:r w:rsidRPr="00B849DC" w:rsidR="003B1722">
        <w:rPr>
          <w:lang w:val="en-US"/>
        </w:rPr>
        <w:t>shortage of funds</w:t>
      </w:r>
      <w:r w:rsidRPr="00B849DC" w:rsidR="00B54AFB">
        <w:rPr>
          <w:lang w:val="en-US"/>
        </w:rPr>
        <w:t>.</w:t>
      </w:r>
      <w:r w:rsidRPr="00B849DC" w:rsidR="00B43367">
        <w:rPr>
          <w:lang w:val="en-US"/>
        </w:rPr>
        <w:t xml:space="preserve"> </w:t>
      </w:r>
      <w:r w:rsidRPr="00B849DC" w:rsidR="00013AAE">
        <w:rPr>
          <w:lang w:val="en-US"/>
        </w:rPr>
        <w:t>Consequently</w:t>
      </w:r>
      <w:r w:rsidRPr="00B849DC">
        <w:rPr>
          <w:lang w:val="en-US"/>
        </w:rPr>
        <w:t xml:space="preserve">, the </w:t>
      </w:r>
      <w:r w:rsidRPr="00B849DC" w:rsidR="00170B9E">
        <w:rPr>
          <w:lang w:val="en-US"/>
        </w:rPr>
        <w:t>company</w:t>
      </w:r>
      <w:r w:rsidRPr="00B849DC" w:rsidR="009C00FC">
        <w:rPr>
          <w:lang w:val="en-US"/>
        </w:rPr>
        <w:t xml:space="preserve"> </w:t>
      </w:r>
      <w:r w:rsidRPr="00B849DC" w:rsidR="00013AAE">
        <w:rPr>
          <w:lang w:val="en-US"/>
        </w:rPr>
        <w:t xml:space="preserve">was </w:t>
      </w:r>
      <w:r w:rsidRPr="00B849DC">
        <w:rPr>
          <w:lang w:val="en-US"/>
        </w:rPr>
        <w:t xml:space="preserve">unable to pay </w:t>
      </w:r>
      <w:r w:rsidRPr="00B849DC" w:rsidR="00013AAE">
        <w:rPr>
          <w:lang w:val="en-US"/>
        </w:rPr>
        <w:t>its</w:t>
      </w:r>
      <w:r w:rsidRPr="00B849DC">
        <w:rPr>
          <w:lang w:val="en-US"/>
        </w:rPr>
        <w:t xml:space="preserve"> employees in due time. The </w:t>
      </w:r>
      <w:r w:rsidRPr="00B849DC" w:rsidR="003B56E3">
        <w:rPr>
          <w:lang w:val="en-US"/>
        </w:rPr>
        <w:t xml:space="preserve">town </w:t>
      </w:r>
      <w:r w:rsidRPr="00B849DC">
        <w:rPr>
          <w:lang w:val="en-US"/>
        </w:rPr>
        <w:t xml:space="preserve">administration requested the legislative body of the </w:t>
      </w:r>
      <w:r w:rsidRPr="00B849DC" w:rsidR="00017542">
        <w:rPr>
          <w:lang w:val="en-US"/>
        </w:rPr>
        <w:t>Republic</w:t>
      </w:r>
      <w:r w:rsidRPr="00B849DC">
        <w:rPr>
          <w:lang w:val="en-US"/>
        </w:rPr>
        <w:t xml:space="preserve"> of Kareliya to </w:t>
      </w:r>
      <w:r w:rsidRPr="00B849DC" w:rsidR="00511F82">
        <w:rPr>
          <w:lang w:val="en-US"/>
        </w:rPr>
        <w:t xml:space="preserve">consider </w:t>
      </w:r>
      <w:r w:rsidRPr="00B849DC" w:rsidR="00013AAE">
        <w:rPr>
          <w:lang w:val="en-US"/>
        </w:rPr>
        <w:t xml:space="preserve">the </w:t>
      </w:r>
      <w:r w:rsidRPr="00B849DC" w:rsidR="00511F82">
        <w:rPr>
          <w:lang w:val="en-US"/>
        </w:rPr>
        <w:t xml:space="preserve">allocation of additional funds to cover the </w:t>
      </w:r>
      <w:r w:rsidRPr="00B849DC" w:rsidR="009C00FC">
        <w:rPr>
          <w:lang w:val="en-US"/>
        </w:rPr>
        <w:t>company</w:t>
      </w:r>
      <w:r w:rsidRPr="00B849DC" w:rsidR="00B849DC">
        <w:rPr>
          <w:lang w:val="en-US"/>
        </w:rPr>
        <w:t>’</w:t>
      </w:r>
      <w:r w:rsidRPr="00B849DC" w:rsidR="009C00FC">
        <w:rPr>
          <w:lang w:val="en-US"/>
        </w:rPr>
        <w:t xml:space="preserve">s </w:t>
      </w:r>
      <w:r w:rsidRPr="00B849DC" w:rsidR="00782E70">
        <w:rPr>
          <w:lang w:val="en-US"/>
        </w:rPr>
        <w:t>debt in 2004, but to no avail.</w:t>
      </w:r>
    </w:p>
    <w:p w:rsidRPr="00B849DC" w:rsidR="00B54AFB" w:rsidP="00B849DC" w:rsidRDefault="00513341">
      <w:pPr>
        <w:pStyle w:val="ECHRPara"/>
        <w:rPr>
          <w:lang w:val="en-US"/>
        </w:rPr>
      </w:pPr>
      <w:r w:rsidRPr="00B849DC">
        <w:fldChar w:fldCharType="begin"/>
      </w:r>
      <w:r w:rsidRPr="00B849DC">
        <w:rPr>
          <w:lang w:val="en-US"/>
        </w:rPr>
        <w:instrText xml:space="preserve"> SEQ level0 \*arabic </w:instrText>
      </w:r>
      <w:r w:rsidRPr="00B849DC">
        <w:fldChar w:fldCharType="separate"/>
      </w:r>
      <w:r w:rsidRPr="00B849DC" w:rsidR="00B849DC">
        <w:rPr>
          <w:noProof/>
          <w:lang w:val="en-US"/>
        </w:rPr>
        <w:t>10</w:t>
      </w:r>
      <w:r w:rsidRPr="00B849DC">
        <w:fldChar w:fldCharType="end"/>
      </w:r>
      <w:r w:rsidRPr="00B849DC">
        <w:rPr>
          <w:lang w:val="en-US"/>
        </w:rPr>
        <w:t>.  </w:t>
      </w:r>
      <w:r w:rsidRPr="00B849DC" w:rsidR="00AB296D">
        <w:rPr>
          <w:lang w:val="en-US"/>
        </w:rPr>
        <w:t xml:space="preserve">On an unspecified date the administration </w:t>
      </w:r>
      <w:r w:rsidRPr="00B849DC" w:rsidR="008D6F8B">
        <w:rPr>
          <w:lang w:val="en-US"/>
        </w:rPr>
        <w:t xml:space="preserve">ordered </w:t>
      </w:r>
      <w:r w:rsidRPr="00B849DC" w:rsidR="00017542">
        <w:rPr>
          <w:lang w:val="en-US"/>
        </w:rPr>
        <w:t xml:space="preserve">the </w:t>
      </w:r>
      <w:r w:rsidRPr="00B849DC" w:rsidR="00170B9E">
        <w:rPr>
          <w:lang w:val="en-US"/>
        </w:rPr>
        <w:t xml:space="preserve">restructuring </w:t>
      </w:r>
      <w:r w:rsidRPr="00B849DC" w:rsidR="008D6F8B">
        <w:rPr>
          <w:lang w:val="en-US"/>
        </w:rPr>
        <w:t xml:space="preserve">of the </w:t>
      </w:r>
      <w:r w:rsidRPr="00B849DC" w:rsidR="009C00FC">
        <w:rPr>
          <w:lang w:val="en-US"/>
        </w:rPr>
        <w:t xml:space="preserve">company </w:t>
      </w:r>
      <w:r w:rsidRPr="00B849DC" w:rsidR="00AB296D">
        <w:rPr>
          <w:lang w:val="en-US"/>
        </w:rPr>
        <w:t xml:space="preserve">in the form of </w:t>
      </w:r>
      <w:r w:rsidRPr="00B849DC" w:rsidR="003354A5">
        <w:rPr>
          <w:lang w:val="en-US"/>
        </w:rPr>
        <w:t xml:space="preserve">a </w:t>
      </w:r>
      <w:r w:rsidRPr="00B849DC" w:rsidR="00AB296D">
        <w:rPr>
          <w:lang w:val="en-US"/>
        </w:rPr>
        <w:t>sp</w:t>
      </w:r>
      <w:r w:rsidRPr="00B849DC" w:rsidR="003354A5">
        <w:rPr>
          <w:lang w:val="en-US"/>
        </w:rPr>
        <w:t>in</w:t>
      </w:r>
      <w:r w:rsidRPr="00B849DC" w:rsidR="00AB296D">
        <w:rPr>
          <w:lang w:val="en-US"/>
        </w:rPr>
        <w:t>-off</w:t>
      </w:r>
      <w:r w:rsidRPr="00B849DC" w:rsidR="008D6F8B">
        <w:rPr>
          <w:lang w:val="en-US"/>
        </w:rPr>
        <w:t xml:space="preserve"> and transferred the</w:t>
      </w:r>
      <w:r w:rsidRPr="00B849DC" w:rsidR="00AB296D">
        <w:rPr>
          <w:lang w:val="en-US"/>
        </w:rPr>
        <w:t xml:space="preserve"> </w:t>
      </w:r>
      <w:r w:rsidRPr="00B849DC" w:rsidR="00B43367">
        <w:rPr>
          <w:lang w:val="en-US"/>
        </w:rPr>
        <w:t xml:space="preserve">assets </w:t>
      </w:r>
      <w:r w:rsidRPr="00B849DC" w:rsidR="00017542">
        <w:rPr>
          <w:lang w:val="en-US"/>
        </w:rPr>
        <w:t xml:space="preserve">mentioned in paragraph 8 above </w:t>
      </w:r>
      <w:r w:rsidRPr="00B849DC" w:rsidR="008D6F8B">
        <w:rPr>
          <w:lang w:val="en-US"/>
        </w:rPr>
        <w:t>to the newly</w:t>
      </w:r>
      <w:r w:rsidRPr="00B849DC" w:rsidR="00105275">
        <w:rPr>
          <w:lang w:val="en-US"/>
        </w:rPr>
        <w:t xml:space="preserve"> </w:t>
      </w:r>
      <w:r w:rsidRPr="00B849DC" w:rsidR="008D6F8B">
        <w:rPr>
          <w:lang w:val="en-US"/>
        </w:rPr>
        <w:t>created municipal unitary enterprise “Avtokolo</w:t>
      </w:r>
      <w:r w:rsidRPr="00B849DC" w:rsidR="00511F82">
        <w:rPr>
          <w:lang w:val="en-US"/>
        </w:rPr>
        <w:t>nna </w:t>
      </w:r>
      <w:r w:rsidRPr="00B849DC" w:rsidR="008D6F8B">
        <w:rPr>
          <w:lang w:val="en-US"/>
        </w:rPr>
        <w:t>1126 Plus”.</w:t>
      </w:r>
      <w:r w:rsidRPr="00B849DC" w:rsidR="00684EF9">
        <w:rPr>
          <w:lang w:val="en-US"/>
        </w:rPr>
        <w:t xml:space="preserve"> The debt accumulated in respect of the unpaid salaries was not transferred</w:t>
      </w:r>
      <w:r w:rsidRPr="00B849DC" w:rsidR="003A1FBF">
        <w:rPr>
          <w:lang w:val="en-US"/>
        </w:rPr>
        <w:t xml:space="preserve"> and remained with the applicant</w:t>
      </w:r>
      <w:r w:rsidRPr="00B849DC" w:rsidR="00B849DC">
        <w:rPr>
          <w:lang w:val="en-US"/>
        </w:rPr>
        <w:t>’</w:t>
      </w:r>
      <w:r w:rsidRPr="00B849DC" w:rsidR="003A1FBF">
        <w:rPr>
          <w:lang w:val="en-US"/>
        </w:rPr>
        <w:t>s employer</w:t>
      </w:r>
      <w:r w:rsidRPr="00B849DC" w:rsidR="00684EF9">
        <w:rPr>
          <w:lang w:val="en-US"/>
        </w:rPr>
        <w:t>.</w:t>
      </w:r>
    </w:p>
    <w:p w:rsidRPr="00B849DC" w:rsidR="00E8058A" w:rsidP="00B849DC" w:rsidRDefault="00E8058A">
      <w:pPr>
        <w:pStyle w:val="ECHRHeading3"/>
        <w:rPr>
          <w:lang w:val="en-US"/>
        </w:rPr>
      </w:pPr>
      <w:r w:rsidRPr="00B849DC">
        <w:rPr>
          <w:lang w:val="en-US"/>
        </w:rPr>
        <w:t xml:space="preserve">2.  Decision on the debtor </w:t>
      </w:r>
      <w:r w:rsidRPr="00B849DC" w:rsidR="009C00FC">
        <w:rPr>
          <w:lang w:val="en-US"/>
        </w:rPr>
        <w:t>company</w:t>
      </w:r>
      <w:r w:rsidRPr="00B849DC" w:rsidR="00B849DC">
        <w:rPr>
          <w:lang w:val="en-US"/>
        </w:rPr>
        <w:t>’</w:t>
      </w:r>
      <w:r w:rsidRPr="00B849DC" w:rsidR="009C00FC">
        <w:rPr>
          <w:lang w:val="en-US"/>
        </w:rPr>
        <w:t xml:space="preserve">s </w:t>
      </w:r>
      <w:r w:rsidRPr="00B849DC">
        <w:rPr>
          <w:lang w:val="en-US"/>
        </w:rPr>
        <w:t>insolvency</w:t>
      </w:r>
    </w:p>
    <w:p w:rsidRPr="00B849DC" w:rsidR="00CA087B" w:rsidP="00B849DC" w:rsidRDefault="001A4E1F">
      <w:pPr>
        <w:pStyle w:val="ECHRPara"/>
        <w:rPr>
          <w:rFonts w:asciiTheme="majorHAnsi" w:hAnsiTheme="majorHAnsi" w:eastAsiaTheme="majorEastAsia" w:cstheme="majorBidi"/>
          <w:bCs/>
          <w:lang w:val="en-US"/>
        </w:rPr>
      </w:pPr>
      <w:r w:rsidRPr="00B849DC">
        <w:rPr>
          <w:rFonts w:asciiTheme="majorHAnsi" w:hAnsiTheme="majorHAnsi" w:eastAsiaTheme="majorEastAsia" w:cstheme="majorBidi"/>
          <w:bCs/>
        </w:rPr>
        <w:fldChar w:fldCharType="begin"/>
      </w:r>
      <w:r w:rsidRPr="00B849DC">
        <w:rPr>
          <w:rFonts w:asciiTheme="majorHAnsi" w:hAnsiTheme="majorHAnsi" w:eastAsiaTheme="majorEastAsia" w:cstheme="majorBidi"/>
          <w:bCs/>
          <w:lang w:val="en-US"/>
        </w:rPr>
        <w:instrText xml:space="preserve"> SEQ level0 \*arabic </w:instrText>
      </w:r>
      <w:r w:rsidRPr="00B849DC">
        <w:rPr>
          <w:rFonts w:asciiTheme="majorHAnsi" w:hAnsiTheme="majorHAnsi" w:eastAsiaTheme="majorEastAsia" w:cstheme="majorBidi"/>
          <w:bCs/>
        </w:rPr>
        <w:fldChar w:fldCharType="separate"/>
      </w:r>
      <w:r w:rsidRPr="00B849DC" w:rsidR="00B849DC">
        <w:rPr>
          <w:rFonts w:asciiTheme="majorHAnsi" w:hAnsiTheme="majorHAnsi" w:eastAsiaTheme="majorEastAsia" w:cstheme="majorBidi"/>
          <w:bCs/>
          <w:noProof/>
          <w:lang w:val="en-US"/>
        </w:rPr>
        <w:t>11</w:t>
      </w:r>
      <w:r w:rsidRPr="00B849DC">
        <w:rPr>
          <w:rFonts w:asciiTheme="majorHAnsi" w:hAnsiTheme="majorHAnsi" w:eastAsiaTheme="majorEastAsia" w:cstheme="majorBidi"/>
          <w:bCs/>
        </w:rPr>
        <w:fldChar w:fldCharType="end"/>
      </w:r>
      <w:r w:rsidRPr="00B849DC">
        <w:rPr>
          <w:rFonts w:asciiTheme="majorHAnsi" w:hAnsiTheme="majorHAnsi" w:eastAsiaTheme="majorEastAsia" w:cstheme="majorBidi"/>
          <w:bCs/>
          <w:lang w:val="en-US"/>
        </w:rPr>
        <w:t>.  </w:t>
      </w:r>
      <w:r w:rsidRPr="00B849DC" w:rsidR="00E8058A">
        <w:rPr>
          <w:rFonts w:asciiTheme="majorHAnsi" w:hAnsiTheme="majorHAnsi" w:eastAsiaTheme="majorEastAsia" w:cstheme="majorBidi"/>
          <w:bCs/>
          <w:lang w:val="en-US"/>
        </w:rPr>
        <w:t xml:space="preserve">On 6 July 2003 the Commercial Court of the Republic of Kareliya declared the </w:t>
      </w:r>
      <w:r w:rsidRPr="00B849DC" w:rsidR="00E8058A">
        <w:rPr>
          <w:lang w:val="en-US"/>
        </w:rPr>
        <w:t>respondent</w:t>
      </w:r>
      <w:r w:rsidRPr="00B849DC" w:rsidR="00E8058A">
        <w:rPr>
          <w:rFonts w:asciiTheme="majorHAnsi" w:hAnsiTheme="majorHAnsi" w:eastAsiaTheme="majorEastAsia" w:cstheme="majorBidi"/>
          <w:bCs/>
          <w:lang w:val="en-US"/>
        </w:rPr>
        <w:t xml:space="preserve"> </w:t>
      </w:r>
      <w:r w:rsidRPr="00B849DC" w:rsidR="009C00FC">
        <w:rPr>
          <w:rFonts w:asciiTheme="majorHAnsi" w:hAnsiTheme="majorHAnsi" w:eastAsiaTheme="majorEastAsia" w:cstheme="majorBidi"/>
          <w:bCs/>
          <w:lang w:val="en-US"/>
        </w:rPr>
        <w:t xml:space="preserve">company </w:t>
      </w:r>
      <w:r w:rsidRPr="00B849DC" w:rsidR="00E8058A">
        <w:rPr>
          <w:rFonts w:asciiTheme="majorHAnsi" w:hAnsiTheme="majorHAnsi" w:eastAsiaTheme="majorEastAsia" w:cstheme="majorBidi"/>
          <w:bCs/>
          <w:lang w:val="en-US"/>
        </w:rPr>
        <w:t xml:space="preserve">insolvent, and </w:t>
      </w:r>
      <w:r w:rsidRPr="00B849DC" w:rsidR="003354A5">
        <w:rPr>
          <w:rFonts w:asciiTheme="majorHAnsi" w:hAnsiTheme="majorHAnsi" w:eastAsiaTheme="majorEastAsia" w:cstheme="majorBidi"/>
          <w:bCs/>
          <w:lang w:val="en-US"/>
        </w:rPr>
        <w:t xml:space="preserve">a </w:t>
      </w:r>
      <w:r w:rsidRPr="00B849DC" w:rsidR="00E8058A">
        <w:rPr>
          <w:rFonts w:asciiTheme="majorHAnsi" w:hAnsiTheme="majorHAnsi" w:eastAsiaTheme="majorEastAsia" w:cstheme="majorBidi"/>
          <w:bCs/>
          <w:lang w:val="en-US"/>
        </w:rPr>
        <w:t>liquidation procedure commenced.</w:t>
      </w:r>
    </w:p>
    <w:p w:rsidRPr="00B849DC" w:rsidR="008E38F7" w:rsidP="00B849DC" w:rsidRDefault="00E8058A">
      <w:pPr>
        <w:pStyle w:val="ECHRHeading3"/>
        <w:rPr>
          <w:lang w:val="en-US"/>
        </w:rPr>
      </w:pPr>
      <w:r w:rsidRPr="00B849DC">
        <w:rPr>
          <w:lang w:val="en-US"/>
        </w:rPr>
        <w:t>3</w:t>
      </w:r>
      <w:r w:rsidRPr="00B849DC" w:rsidR="008E38F7">
        <w:rPr>
          <w:lang w:val="en-US"/>
        </w:rPr>
        <w:t>.  Final judgments in the applicant</w:t>
      </w:r>
      <w:r w:rsidRPr="00B849DC" w:rsidR="00B849DC">
        <w:rPr>
          <w:lang w:val="en-US"/>
        </w:rPr>
        <w:t>’</w:t>
      </w:r>
      <w:r w:rsidRPr="00B849DC" w:rsidR="008E38F7">
        <w:rPr>
          <w:lang w:val="en-US"/>
        </w:rPr>
        <w:t>s favour</w:t>
      </w:r>
    </w:p>
    <w:p w:rsidRPr="00B849DC" w:rsidR="00CA087B" w:rsidP="00B849DC" w:rsidRDefault="008E38F7">
      <w:pPr>
        <w:pStyle w:val="ECHRPara"/>
        <w:rPr>
          <w:rFonts w:asciiTheme="majorHAnsi" w:hAnsiTheme="majorHAnsi" w:eastAsiaTheme="majorEastAsia" w:cstheme="majorBidi"/>
          <w:bCs/>
          <w:lang w:val="en-US"/>
        </w:rPr>
      </w:pPr>
      <w:r w:rsidRPr="00B849DC">
        <w:rPr>
          <w:rFonts w:asciiTheme="majorHAnsi" w:hAnsiTheme="majorHAnsi" w:eastAsiaTheme="majorEastAsia" w:cstheme="majorBidi"/>
          <w:bCs/>
        </w:rPr>
        <w:fldChar w:fldCharType="begin"/>
      </w:r>
      <w:r w:rsidRPr="00B849DC">
        <w:rPr>
          <w:rFonts w:asciiTheme="majorHAnsi" w:hAnsiTheme="majorHAnsi" w:eastAsiaTheme="majorEastAsia" w:cstheme="majorBidi"/>
          <w:bCs/>
          <w:lang w:val="en-US"/>
        </w:rPr>
        <w:instrText xml:space="preserve"> SEQ level0 \*arabic </w:instrText>
      </w:r>
      <w:r w:rsidRPr="00B849DC">
        <w:rPr>
          <w:rFonts w:asciiTheme="majorHAnsi" w:hAnsiTheme="majorHAnsi" w:eastAsiaTheme="majorEastAsia" w:cstheme="majorBidi"/>
          <w:bCs/>
        </w:rPr>
        <w:fldChar w:fldCharType="separate"/>
      </w:r>
      <w:r w:rsidRPr="00B849DC" w:rsidR="00B849DC">
        <w:rPr>
          <w:rFonts w:asciiTheme="majorHAnsi" w:hAnsiTheme="majorHAnsi" w:eastAsiaTheme="majorEastAsia" w:cstheme="majorBidi"/>
          <w:bCs/>
          <w:noProof/>
          <w:lang w:val="en-US"/>
        </w:rPr>
        <w:t>12</w:t>
      </w:r>
      <w:r w:rsidRPr="00B849DC">
        <w:rPr>
          <w:rFonts w:asciiTheme="majorHAnsi" w:hAnsiTheme="majorHAnsi" w:eastAsiaTheme="majorEastAsia" w:cstheme="majorBidi"/>
          <w:bCs/>
        </w:rPr>
        <w:fldChar w:fldCharType="end"/>
      </w:r>
      <w:r w:rsidRPr="00B849DC">
        <w:rPr>
          <w:rFonts w:asciiTheme="majorHAnsi" w:hAnsiTheme="majorHAnsi" w:eastAsiaTheme="majorEastAsia" w:cstheme="majorBidi"/>
          <w:bCs/>
          <w:lang w:val="en-US"/>
        </w:rPr>
        <w:t>.  </w:t>
      </w:r>
      <w:r w:rsidRPr="00B849DC" w:rsidR="002D568B">
        <w:rPr>
          <w:rFonts w:asciiTheme="majorHAnsi" w:hAnsiTheme="majorHAnsi" w:eastAsiaTheme="majorEastAsia" w:cstheme="majorBidi"/>
          <w:bCs/>
          <w:lang w:val="en-US"/>
        </w:rPr>
        <w:t>The</w:t>
      </w:r>
      <w:r w:rsidRPr="00B849DC" w:rsidR="00BF10B1">
        <w:rPr>
          <w:rFonts w:asciiTheme="majorHAnsi" w:hAnsiTheme="majorHAnsi" w:eastAsiaTheme="majorEastAsia" w:cstheme="majorBidi"/>
          <w:bCs/>
          <w:lang w:val="en-US"/>
        </w:rPr>
        <w:t xml:space="preserve"> applicant sued her employer </w:t>
      </w:r>
      <w:r w:rsidRPr="00B849DC">
        <w:rPr>
          <w:rFonts w:asciiTheme="majorHAnsi" w:hAnsiTheme="majorHAnsi" w:eastAsiaTheme="majorEastAsia" w:cstheme="majorBidi"/>
          <w:bCs/>
          <w:lang w:val="en-US"/>
        </w:rPr>
        <w:t>for salary arrears.</w:t>
      </w:r>
    </w:p>
    <w:p w:rsidRPr="00B849DC" w:rsidR="008E38F7" w:rsidP="00B849DC" w:rsidRDefault="00EE3917">
      <w:pPr>
        <w:pStyle w:val="ECHRPara"/>
        <w:rPr>
          <w:rFonts w:asciiTheme="majorHAnsi" w:hAnsiTheme="majorHAnsi" w:eastAsiaTheme="majorEastAsia" w:cstheme="majorBidi"/>
          <w:bCs/>
          <w:lang w:val="en-US"/>
        </w:rPr>
      </w:pPr>
      <w:r w:rsidRPr="00B849DC">
        <w:rPr>
          <w:rFonts w:asciiTheme="majorHAnsi" w:hAnsiTheme="majorHAnsi" w:eastAsiaTheme="majorEastAsia" w:cstheme="majorBidi"/>
          <w:bCs/>
        </w:rPr>
        <w:fldChar w:fldCharType="begin"/>
      </w:r>
      <w:r w:rsidRPr="00B849DC">
        <w:rPr>
          <w:rFonts w:asciiTheme="majorHAnsi" w:hAnsiTheme="majorHAnsi" w:eastAsiaTheme="majorEastAsia" w:cstheme="majorBidi"/>
          <w:bCs/>
          <w:lang w:val="en-US"/>
        </w:rPr>
        <w:instrText xml:space="preserve"> SEQ level0 \*arabic </w:instrText>
      </w:r>
      <w:r w:rsidRPr="00B849DC">
        <w:rPr>
          <w:rFonts w:asciiTheme="majorHAnsi" w:hAnsiTheme="majorHAnsi" w:eastAsiaTheme="majorEastAsia" w:cstheme="majorBidi"/>
          <w:bCs/>
        </w:rPr>
        <w:fldChar w:fldCharType="separate"/>
      </w:r>
      <w:r w:rsidRPr="00B849DC" w:rsidR="00B849DC">
        <w:rPr>
          <w:rFonts w:asciiTheme="majorHAnsi" w:hAnsiTheme="majorHAnsi" w:eastAsiaTheme="majorEastAsia" w:cstheme="majorBidi"/>
          <w:bCs/>
          <w:noProof/>
          <w:lang w:val="en-US"/>
        </w:rPr>
        <w:t>13</w:t>
      </w:r>
      <w:r w:rsidRPr="00B849DC">
        <w:rPr>
          <w:rFonts w:asciiTheme="majorHAnsi" w:hAnsiTheme="majorHAnsi" w:eastAsiaTheme="majorEastAsia" w:cstheme="majorBidi"/>
          <w:bCs/>
        </w:rPr>
        <w:fldChar w:fldCharType="end"/>
      </w:r>
      <w:r w:rsidRPr="00B849DC">
        <w:rPr>
          <w:rFonts w:asciiTheme="majorHAnsi" w:hAnsiTheme="majorHAnsi" w:eastAsiaTheme="majorEastAsia" w:cstheme="majorBidi"/>
          <w:bCs/>
          <w:lang w:val="en-US"/>
        </w:rPr>
        <w:t>.  </w:t>
      </w:r>
      <w:r w:rsidRPr="00B849DC" w:rsidR="008E38F7">
        <w:rPr>
          <w:rFonts w:asciiTheme="majorHAnsi" w:hAnsiTheme="majorHAnsi" w:eastAsiaTheme="majorEastAsia" w:cstheme="majorBidi"/>
          <w:bCs/>
          <w:lang w:val="en-US"/>
        </w:rPr>
        <w:t>On 20</w:t>
      </w:r>
      <w:r w:rsidRPr="00B849DC" w:rsidR="009719CE">
        <w:rPr>
          <w:rFonts w:asciiTheme="majorHAnsi" w:hAnsiTheme="majorHAnsi" w:eastAsiaTheme="majorEastAsia" w:cstheme="majorBidi"/>
          <w:bCs/>
          <w:lang w:val="en-US"/>
        </w:rPr>
        <w:t xml:space="preserve"> </w:t>
      </w:r>
      <w:r w:rsidRPr="00B849DC" w:rsidR="008E38F7">
        <w:rPr>
          <w:rFonts w:asciiTheme="majorHAnsi" w:hAnsiTheme="majorHAnsi" w:eastAsiaTheme="majorEastAsia" w:cstheme="majorBidi"/>
          <w:bCs/>
          <w:lang w:val="en-US"/>
        </w:rPr>
        <w:t xml:space="preserve">June 2003 the Petrozavodsk Town Court awarded her </w:t>
      </w:r>
      <w:r w:rsidRPr="00B849DC" w:rsidR="006C2293">
        <w:rPr>
          <w:rFonts w:asciiTheme="majorHAnsi" w:hAnsiTheme="majorHAnsi" w:eastAsiaTheme="majorEastAsia" w:cstheme="majorBidi"/>
          <w:bCs/>
          <w:lang w:val="en-US"/>
        </w:rPr>
        <w:t>RUB </w:t>
      </w:r>
      <w:r w:rsidRPr="00B849DC" w:rsidR="008E38F7">
        <w:rPr>
          <w:rFonts w:asciiTheme="majorHAnsi" w:hAnsiTheme="majorHAnsi" w:eastAsiaTheme="majorEastAsia" w:cstheme="majorBidi"/>
          <w:bCs/>
          <w:lang w:val="en-US"/>
        </w:rPr>
        <w:t>5</w:t>
      </w:r>
      <w:r w:rsidRPr="00B849DC">
        <w:rPr>
          <w:rFonts w:asciiTheme="majorHAnsi" w:hAnsiTheme="majorHAnsi" w:eastAsiaTheme="majorEastAsia" w:cstheme="majorBidi"/>
          <w:bCs/>
          <w:lang w:val="en-US"/>
        </w:rPr>
        <w:t>,</w:t>
      </w:r>
      <w:r w:rsidRPr="00B849DC" w:rsidR="008E38F7">
        <w:rPr>
          <w:rFonts w:asciiTheme="majorHAnsi" w:hAnsiTheme="majorHAnsi" w:eastAsiaTheme="majorEastAsia" w:cstheme="majorBidi"/>
          <w:bCs/>
          <w:lang w:val="en-US"/>
        </w:rPr>
        <w:t>421.89</w:t>
      </w:r>
      <w:r w:rsidRPr="00B849DC" w:rsidR="006C2293">
        <w:rPr>
          <w:rFonts w:asciiTheme="majorHAnsi" w:hAnsiTheme="majorHAnsi" w:eastAsiaTheme="majorEastAsia" w:cstheme="majorBidi"/>
          <w:bCs/>
          <w:lang w:val="en-US"/>
        </w:rPr>
        <w:t xml:space="preserve"> </w:t>
      </w:r>
      <w:r w:rsidRPr="00B849DC" w:rsidR="008E38F7">
        <w:rPr>
          <w:rFonts w:asciiTheme="majorHAnsi" w:hAnsiTheme="majorHAnsi" w:eastAsiaTheme="majorEastAsia" w:cstheme="majorBidi"/>
          <w:bCs/>
          <w:lang w:val="en-US"/>
        </w:rPr>
        <w:t xml:space="preserve">in </w:t>
      </w:r>
      <w:r w:rsidRPr="00B849DC" w:rsidR="003354A5">
        <w:rPr>
          <w:rFonts w:asciiTheme="majorHAnsi" w:hAnsiTheme="majorHAnsi" w:eastAsiaTheme="majorEastAsia" w:cstheme="majorBidi"/>
          <w:bCs/>
          <w:lang w:val="en-US"/>
        </w:rPr>
        <w:t xml:space="preserve">salary </w:t>
      </w:r>
      <w:r w:rsidRPr="00B849DC" w:rsidR="008E38F7">
        <w:rPr>
          <w:lang w:val="en-US"/>
        </w:rPr>
        <w:t>arrears</w:t>
      </w:r>
      <w:r w:rsidRPr="00B849DC" w:rsidR="008E38F7">
        <w:rPr>
          <w:rFonts w:asciiTheme="majorHAnsi" w:hAnsiTheme="majorHAnsi" w:eastAsiaTheme="majorEastAsia" w:cstheme="majorBidi"/>
          <w:bCs/>
          <w:lang w:val="en-US"/>
        </w:rPr>
        <w:t xml:space="preserve">, compensation </w:t>
      </w:r>
      <w:r w:rsidRPr="00B849DC" w:rsidR="003354A5">
        <w:rPr>
          <w:rFonts w:asciiTheme="majorHAnsi" w:hAnsiTheme="majorHAnsi" w:eastAsiaTheme="majorEastAsia" w:cstheme="majorBidi"/>
          <w:bCs/>
          <w:lang w:val="en-US"/>
        </w:rPr>
        <w:t xml:space="preserve">for </w:t>
      </w:r>
      <w:r w:rsidRPr="00B849DC" w:rsidR="008E38F7">
        <w:rPr>
          <w:rFonts w:asciiTheme="majorHAnsi" w:hAnsiTheme="majorHAnsi" w:eastAsiaTheme="majorEastAsia" w:cstheme="majorBidi"/>
          <w:bCs/>
          <w:lang w:val="en-US"/>
        </w:rPr>
        <w:t>non-pecuniary damage and court expenses.</w:t>
      </w:r>
      <w:r w:rsidRPr="00B849DC">
        <w:rPr>
          <w:rFonts w:asciiTheme="majorHAnsi" w:hAnsiTheme="majorHAnsi" w:eastAsiaTheme="majorEastAsia" w:cstheme="majorBidi"/>
          <w:bCs/>
          <w:lang w:val="en-US"/>
        </w:rPr>
        <w:t xml:space="preserve"> The judgment was not appealed against and became final ten days later.</w:t>
      </w:r>
      <w:r w:rsidRPr="00B849DC" w:rsidR="00880802">
        <w:rPr>
          <w:rFonts w:asciiTheme="majorHAnsi" w:hAnsiTheme="majorHAnsi" w:eastAsiaTheme="majorEastAsia" w:cstheme="majorBidi"/>
          <w:bCs/>
          <w:lang w:val="en-US"/>
        </w:rPr>
        <w:t xml:space="preserve"> On 4 July 2003 the bailiffs</w:t>
      </w:r>
      <w:r w:rsidRPr="00B849DC" w:rsidR="00B849DC">
        <w:rPr>
          <w:rFonts w:asciiTheme="majorHAnsi" w:hAnsiTheme="majorHAnsi" w:eastAsiaTheme="majorEastAsia" w:cstheme="majorBidi"/>
          <w:bCs/>
          <w:lang w:val="en-US"/>
        </w:rPr>
        <w:t>’</w:t>
      </w:r>
      <w:r w:rsidRPr="00B849DC" w:rsidR="00880802">
        <w:rPr>
          <w:rFonts w:asciiTheme="majorHAnsi" w:hAnsiTheme="majorHAnsi" w:eastAsiaTheme="majorEastAsia" w:cstheme="majorBidi"/>
          <w:bCs/>
          <w:lang w:val="en-US"/>
        </w:rPr>
        <w:t xml:space="preserve"> service received the writ of execution</w:t>
      </w:r>
      <w:r w:rsidRPr="00B849DC" w:rsidR="00594ACF">
        <w:rPr>
          <w:rFonts w:asciiTheme="majorHAnsi" w:hAnsiTheme="majorHAnsi" w:eastAsiaTheme="majorEastAsia" w:cstheme="majorBidi"/>
          <w:bCs/>
          <w:lang w:val="en-US"/>
        </w:rPr>
        <w:t xml:space="preserve"> in respect of the award</w:t>
      </w:r>
      <w:r w:rsidRPr="00B849DC" w:rsidR="00880802">
        <w:rPr>
          <w:rFonts w:asciiTheme="majorHAnsi" w:hAnsiTheme="majorHAnsi" w:eastAsiaTheme="majorEastAsia" w:cstheme="majorBidi"/>
          <w:bCs/>
          <w:lang w:val="en-US"/>
        </w:rPr>
        <w:t>.</w:t>
      </w:r>
    </w:p>
    <w:p w:rsidRPr="00B849DC" w:rsidR="008E38F7" w:rsidP="00B849DC" w:rsidRDefault="008E38F7">
      <w:pPr>
        <w:pStyle w:val="ECHRPara"/>
        <w:rPr>
          <w:rFonts w:asciiTheme="majorHAnsi" w:hAnsiTheme="majorHAnsi" w:eastAsiaTheme="majorEastAsia" w:cstheme="majorBidi"/>
          <w:bCs/>
          <w:lang w:val="en-US"/>
        </w:rPr>
      </w:pPr>
      <w:r w:rsidRPr="00B849DC">
        <w:rPr>
          <w:rFonts w:asciiTheme="majorHAnsi" w:hAnsiTheme="majorHAnsi" w:eastAsiaTheme="majorEastAsia" w:cstheme="majorBidi"/>
          <w:bCs/>
        </w:rPr>
        <w:fldChar w:fldCharType="begin"/>
      </w:r>
      <w:r w:rsidRPr="00B849DC">
        <w:rPr>
          <w:rFonts w:asciiTheme="majorHAnsi" w:hAnsiTheme="majorHAnsi" w:eastAsiaTheme="majorEastAsia" w:cstheme="majorBidi"/>
          <w:bCs/>
          <w:lang w:val="en-US"/>
        </w:rPr>
        <w:instrText xml:space="preserve"> SEQ level0 \*arabic </w:instrText>
      </w:r>
      <w:r w:rsidRPr="00B849DC">
        <w:rPr>
          <w:rFonts w:asciiTheme="majorHAnsi" w:hAnsiTheme="majorHAnsi" w:eastAsiaTheme="majorEastAsia" w:cstheme="majorBidi"/>
          <w:bCs/>
        </w:rPr>
        <w:fldChar w:fldCharType="separate"/>
      </w:r>
      <w:r w:rsidRPr="00B849DC" w:rsidR="00B849DC">
        <w:rPr>
          <w:rFonts w:asciiTheme="majorHAnsi" w:hAnsiTheme="majorHAnsi" w:eastAsiaTheme="majorEastAsia" w:cstheme="majorBidi"/>
          <w:bCs/>
          <w:noProof/>
          <w:lang w:val="en-US"/>
        </w:rPr>
        <w:t>14</w:t>
      </w:r>
      <w:r w:rsidRPr="00B849DC">
        <w:rPr>
          <w:rFonts w:asciiTheme="majorHAnsi" w:hAnsiTheme="majorHAnsi" w:eastAsiaTheme="majorEastAsia" w:cstheme="majorBidi"/>
          <w:bCs/>
        </w:rPr>
        <w:fldChar w:fldCharType="end"/>
      </w:r>
      <w:r w:rsidRPr="00B849DC" w:rsidR="009719CE">
        <w:rPr>
          <w:rFonts w:asciiTheme="majorHAnsi" w:hAnsiTheme="majorHAnsi" w:eastAsiaTheme="majorEastAsia" w:cstheme="majorBidi"/>
          <w:bCs/>
          <w:lang w:val="en-US"/>
        </w:rPr>
        <w:t xml:space="preserve">.  On 22 </w:t>
      </w:r>
      <w:r w:rsidRPr="00B849DC">
        <w:rPr>
          <w:rFonts w:asciiTheme="majorHAnsi" w:hAnsiTheme="majorHAnsi" w:eastAsiaTheme="majorEastAsia" w:cstheme="majorBidi"/>
          <w:bCs/>
          <w:lang w:val="en-US"/>
        </w:rPr>
        <w:t xml:space="preserve">June 2003 the </w:t>
      </w:r>
      <w:r w:rsidRPr="00B849DC">
        <w:rPr>
          <w:lang w:val="en-US"/>
        </w:rPr>
        <w:t>applicant</w:t>
      </w:r>
      <w:r w:rsidRPr="00B849DC">
        <w:rPr>
          <w:rFonts w:asciiTheme="majorHAnsi" w:hAnsiTheme="majorHAnsi" w:eastAsiaTheme="majorEastAsia" w:cstheme="majorBidi"/>
          <w:bCs/>
          <w:lang w:val="en-US"/>
        </w:rPr>
        <w:t xml:space="preserve"> was dismissed from the </w:t>
      </w:r>
      <w:r w:rsidRPr="00B849DC" w:rsidR="009C00FC">
        <w:rPr>
          <w:rFonts w:asciiTheme="majorHAnsi" w:hAnsiTheme="majorHAnsi" w:eastAsiaTheme="majorEastAsia" w:cstheme="majorBidi"/>
          <w:bCs/>
          <w:lang w:val="en-US"/>
        </w:rPr>
        <w:t xml:space="preserve">company </w:t>
      </w:r>
      <w:r w:rsidRPr="00B849DC" w:rsidR="00C2449A">
        <w:rPr>
          <w:rFonts w:asciiTheme="majorHAnsi" w:hAnsiTheme="majorHAnsi" w:eastAsiaTheme="majorEastAsia" w:cstheme="majorBidi"/>
          <w:bCs/>
          <w:lang w:val="en-US"/>
        </w:rPr>
        <w:t>in view of its</w:t>
      </w:r>
      <w:r w:rsidRPr="00B849DC">
        <w:rPr>
          <w:rFonts w:asciiTheme="majorHAnsi" w:hAnsiTheme="majorHAnsi" w:eastAsiaTheme="majorEastAsia" w:cstheme="majorBidi"/>
          <w:bCs/>
          <w:lang w:val="en-US"/>
        </w:rPr>
        <w:t xml:space="preserve"> </w:t>
      </w:r>
      <w:r w:rsidRPr="00B849DC" w:rsidR="001A4E1F">
        <w:rPr>
          <w:rFonts w:asciiTheme="majorHAnsi" w:hAnsiTheme="majorHAnsi" w:eastAsiaTheme="majorEastAsia" w:cstheme="majorBidi"/>
          <w:bCs/>
          <w:lang w:val="en-US"/>
        </w:rPr>
        <w:t xml:space="preserve">upcoming </w:t>
      </w:r>
      <w:r w:rsidRPr="00B849DC">
        <w:rPr>
          <w:rFonts w:asciiTheme="majorHAnsi" w:hAnsiTheme="majorHAnsi" w:eastAsiaTheme="majorEastAsia" w:cstheme="majorBidi"/>
          <w:bCs/>
          <w:lang w:val="en-US"/>
        </w:rPr>
        <w:t>liquidation</w:t>
      </w:r>
      <w:r w:rsidRPr="00B849DC" w:rsidR="00CC3916">
        <w:rPr>
          <w:rFonts w:asciiTheme="majorHAnsi" w:hAnsiTheme="majorHAnsi" w:eastAsiaTheme="majorEastAsia" w:cstheme="majorBidi"/>
          <w:bCs/>
          <w:lang w:val="en-US"/>
        </w:rPr>
        <w:t xml:space="preserve"> (see paragraph</w:t>
      </w:r>
      <w:r w:rsidRPr="00B849DC" w:rsidR="009719CE">
        <w:rPr>
          <w:rFonts w:asciiTheme="majorHAnsi" w:hAnsiTheme="majorHAnsi" w:eastAsiaTheme="majorEastAsia" w:cstheme="majorBidi"/>
          <w:bCs/>
          <w:lang w:val="en-US"/>
        </w:rPr>
        <w:t xml:space="preserve"> </w:t>
      </w:r>
      <w:r w:rsidRPr="00B849DC" w:rsidR="00CC3916">
        <w:rPr>
          <w:rFonts w:asciiTheme="majorHAnsi" w:hAnsiTheme="majorHAnsi" w:eastAsiaTheme="majorEastAsia" w:cstheme="majorBidi"/>
          <w:bCs/>
          <w:lang w:val="en-US"/>
        </w:rPr>
        <w:t>10</w:t>
      </w:r>
      <w:r w:rsidRPr="00B849DC" w:rsidR="001A4E1F">
        <w:rPr>
          <w:rFonts w:asciiTheme="majorHAnsi" w:hAnsiTheme="majorHAnsi" w:eastAsiaTheme="majorEastAsia" w:cstheme="majorBidi"/>
          <w:bCs/>
          <w:lang w:val="en-US"/>
        </w:rPr>
        <w:t xml:space="preserve"> above)</w:t>
      </w:r>
      <w:r w:rsidRPr="00B849DC">
        <w:rPr>
          <w:rFonts w:asciiTheme="majorHAnsi" w:hAnsiTheme="majorHAnsi" w:eastAsiaTheme="majorEastAsia" w:cstheme="majorBidi"/>
          <w:bCs/>
          <w:lang w:val="en-US"/>
        </w:rPr>
        <w:t>.</w:t>
      </w:r>
    </w:p>
    <w:p w:rsidRPr="00B849DC" w:rsidR="008E38F7" w:rsidP="00B849DC" w:rsidRDefault="008E38F7">
      <w:pPr>
        <w:pStyle w:val="ECHRPara"/>
        <w:rPr>
          <w:rFonts w:asciiTheme="majorHAnsi" w:hAnsiTheme="majorHAnsi" w:eastAsiaTheme="majorEastAsia" w:cstheme="majorBidi"/>
          <w:bCs/>
          <w:lang w:val="en-US"/>
        </w:rPr>
      </w:pPr>
      <w:r w:rsidRPr="00B849DC">
        <w:rPr>
          <w:rFonts w:asciiTheme="majorHAnsi" w:hAnsiTheme="majorHAnsi" w:eastAsiaTheme="majorEastAsia" w:cstheme="majorBidi"/>
          <w:bCs/>
        </w:rPr>
        <w:fldChar w:fldCharType="begin"/>
      </w:r>
      <w:r w:rsidRPr="00B849DC">
        <w:rPr>
          <w:rFonts w:asciiTheme="majorHAnsi" w:hAnsiTheme="majorHAnsi" w:eastAsiaTheme="majorEastAsia" w:cstheme="majorBidi"/>
          <w:bCs/>
          <w:lang w:val="en-US"/>
        </w:rPr>
        <w:instrText xml:space="preserve"> SEQ level0 \*arabic </w:instrText>
      </w:r>
      <w:r w:rsidRPr="00B849DC">
        <w:rPr>
          <w:rFonts w:asciiTheme="majorHAnsi" w:hAnsiTheme="majorHAnsi" w:eastAsiaTheme="majorEastAsia" w:cstheme="majorBidi"/>
          <w:bCs/>
        </w:rPr>
        <w:fldChar w:fldCharType="separate"/>
      </w:r>
      <w:r w:rsidRPr="00B849DC" w:rsidR="00B849DC">
        <w:rPr>
          <w:rFonts w:asciiTheme="majorHAnsi" w:hAnsiTheme="majorHAnsi" w:eastAsiaTheme="majorEastAsia" w:cstheme="majorBidi"/>
          <w:bCs/>
          <w:noProof/>
          <w:lang w:val="en-US"/>
        </w:rPr>
        <w:t>15</w:t>
      </w:r>
      <w:r w:rsidRPr="00B849DC">
        <w:rPr>
          <w:rFonts w:asciiTheme="majorHAnsi" w:hAnsiTheme="majorHAnsi" w:eastAsiaTheme="majorEastAsia" w:cstheme="majorBidi"/>
          <w:bCs/>
        </w:rPr>
        <w:fldChar w:fldCharType="end"/>
      </w:r>
      <w:r w:rsidRPr="00B849DC">
        <w:rPr>
          <w:rFonts w:asciiTheme="majorHAnsi" w:hAnsiTheme="majorHAnsi" w:eastAsiaTheme="majorEastAsia" w:cstheme="majorBidi"/>
          <w:bCs/>
          <w:lang w:val="en-US"/>
        </w:rPr>
        <w:t>.  </w:t>
      </w:r>
      <w:r w:rsidRPr="00B849DC" w:rsidR="00594ACF">
        <w:rPr>
          <w:rFonts w:asciiTheme="majorHAnsi" w:hAnsiTheme="majorHAnsi" w:eastAsiaTheme="majorEastAsia" w:cstheme="majorBidi"/>
          <w:bCs/>
          <w:lang w:val="en-US"/>
        </w:rPr>
        <w:t xml:space="preserve">By </w:t>
      </w:r>
      <w:r w:rsidRPr="00B849DC" w:rsidR="009E0926">
        <w:rPr>
          <w:rFonts w:asciiTheme="majorHAnsi" w:hAnsiTheme="majorHAnsi" w:eastAsiaTheme="majorEastAsia" w:cstheme="majorBidi"/>
          <w:bCs/>
          <w:lang w:val="en-US"/>
        </w:rPr>
        <w:t xml:space="preserve">a </w:t>
      </w:r>
      <w:r w:rsidRPr="00B849DC" w:rsidR="00594ACF">
        <w:rPr>
          <w:rFonts w:asciiTheme="majorHAnsi" w:hAnsiTheme="majorHAnsi" w:eastAsiaTheme="majorEastAsia" w:cstheme="majorBidi"/>
          <w:bCs/>
          <w:lang w:val="en-US"/>
        </w:rPr>
        <w:t xml:space="preserve">final judgment of </w:t>
      </w:r>
      <w:r w:rsidRPr="00B849DC">
        <w:rPr>
          <w:rFonts w:asciiTheme="majorHAnsi" w:hAnsiTheme="majorHAnsi" w:eastAsiaTheme="majorEastAsia" w:cstheme="majorBidi"/>
          <w:bCs/>
          <w:lang w:val="en-US"/>
        </w:rPr>
        <w:t>25</w:t>
      </w:r>
      <w:r w:rsidRPr="00B849DC" w:rsidR="009719CE">
        <w:rPr>
          <w:rFonts w:asciiTheme="majorHAnsi" w:hAnsiTheme="majorHAnsi" w:eastAsiaTheme="majorEastAsia" w:cstheme="majorBidi"/>
          <w:bCs/>
          <w:lang w:val="en-US"/>
        </w:rPr>
        <w:t xml:space="preserve"> </w:t>
      </w:r>
      <w:r w:rsidRPr="00B849DC">
        <w:rPr>
          <w:rFonts w:asciiTheme="majorHAnsi" w:hAnsiTheme="majorHAnsi" w:eastAsiaTheme="majorEastAsia" w:cstheme="majorBidi"/>
          <w:bCs/>
          <w:lang w:val="en-US"/>
        </w:rPr>
        <w:t xml:space="preserve">November 2003 the Petrozavodsk Town Court granted her new action and ordered the respondent company to pay her RUB 19,445.53 in salary arrears for a different period of time, severance </w:t>
      </w:r>
      <w:r w:rsidRPr="00B849DC" w:rsidR="009E0926">
        <w:rPr>
          <w:rFonts w:asciiTheme="majorHAnsi" w:hAnsiTheme="majorHAnsi" w:eastAsiaTheme="majorEastAsia" w:cstheme="majorBidi"/>
          <w:bCs/>
          <w:lang w:val="en-US"/>
        </w:rPr>
        <w:t xml:space="preserve">pay </w:t>
      </w:r>
      <w:r w:rsidRPr="00B849DC">
        <w:rPr>
          <w:rFonts w:asciiTheme="majorHAnsi" w:hAnsiTheme="majorHAnsi" w:eastAsiaTheme="majorEastAsia" w:cstheme="majorBidi"/>
          <w:bCs/>
          <w:lang w:val="en-US"/>
        </w:rPr>
        <w:t xml:space="preserve">and compensation </w:t>
      </w:r>
      <w:r w:rsidRPr="00B849DC" w:rsidR="009E0926">
        <w:rPr>
          <w:rFonts w:asciiTheme="majorHAnsi" w:hAnsiTheme="majorHAnsi" w:eastAsiaTheme="majorEastAsia" w:cstheme="majorBidi"/>
          <w:bCs/>
          <w:lang w:val="en-US"/>
        </w:rPr>
        <w:t xml:space="preserve">for </w:t>
      </w:r>
      <w:r w:rsidRPr="00B849DC">
        <w:rPr>
          <w:rFonts w:asciiTheme="majorHAnsi" w:hAnsiTheme="majorHAnsi" w:eastAsiaTheme="majorEastAsia" w:cstheme="majorBidi"/>
          <w:bCs/>
          <w:lang w:val="en-US"/>
        </w:rPr>
        <w:t>non-pecuniary damage.</w:t>
      </w:r>
      <w:r w:rsidRPr="00B849DC" w:rsidR="00880802">
        <w:rPr>
          <w:rFonts w:asciiTheme="majorHAnsi" w:hAnsiTheme="majorHAnsi" w:eastAsiaTheme="majorEastAsia" w:cstheme="majorBidi"/>
          <w:bCs/>
          <w:lang w:val="en-US"/>
        </w:rPr>
        <w:t xml:space="preserve"> The applicant obtained a writ of execution in respect of the award.</w:t>
      </w:r>
    </w:p>
    <w:p w:rsidRPr="00B849DC" w:rsidR="008E38F7" w:rsidP="00B849DC" w:rsidRDefault="00594ACF">
      <w:pPr>
        <w:pStyle w:val="ECHRPara"/>
        <w:rPr>
          <w:rFonts w:asciiTheme="majorHAnsi" w:hAnsiTheme="majorHAnsi" w:eastAsiaTheme="majorEastAsia" w:cstheme="majorBidi"/>
          <w:bCs/>
          <w:lang w:val="en-US"/>
        </w:rPr>
      </w:pPr>
      <w:r w:rsidRPr="00B849DC">
        <w:rPr>
          <w:rFonts w:asciiTheme="majorHAnsi" w:hAnsiTheme="majorHAnsi" w:eastAsiaTheme="majorEastAsia" w:cstheme="majorBidi"/>
          <w:bCs/>
        </w:rPr>
        <w:fldChar w:fldCharType="begin"/>
      </w:r>
      <w:r w:rsidRPr="00B849DC">
        <w:rPr>
          <w:rFonts w:asciiTheme="majorHAnsi" w:hAnsiTheme="majorHAnsi" w:eastAsiaTheme="majorEastAsia" w:cstheme="majorBidi"/>
          <w:bCs/>
          <w:lang w:val="en-US"/>
        </w:rPr>
        <w:instrText xml:space="preserve"> SEQ level0 \*arabic </w:instrText>
      </w:r>
      <w:r w:rsidRPr="00B849DC">
        <w:rPr>
          <w:rFonts w:asciiTheme="majorHAnsi" w:hAnsiTheme="majorHAnsi" w:eastAsiaTheme="majorEastAsia" w:cstheme="majorBidi"/>
          <w:bCs/>
        </w:rPr>
        <w:fldChar w:fldCharType="separate"/>
      </w:r>
      <w:r w:rsidRPr="00B849DC" w:rsidR="00B849DC">
        <w:rPr>
          <w:rFonts w:asciiTheme="majorHAnsi" w:hAnsiTheme="majorHAnsi" w:eastAsiaTheme="majorEastAsia" w:cstheme="majorBidi"/>
          <w:bCs/>
          <w:noProof/>
          <w:lang w:val="en-US"/>
        </w:rPr>
        <w:t>16</w:t>
      </w:r>
      <w:r w:rsidRPr="00B849DC">
        <w:rPr>
          <w:rFonts w:asciiTheme="majorHAnsi" w:hAnsiTheme="majorHAnsi" w:eastAsiaTheme="majorEastAsia" w:cstheme="majorBidi"/>
          <w:bCs/>
        </w:rPr>
        <w:fldChar w:fldCharType="end"/>
      </w:r>
      <w:r w:rsidRPr="00B849DC">
        <w:rPr>
          <w:rFonts w:asciiTheme="majorHAnsi" w:hAnsiTheme="majorHAnsi" w:eastAsiaTheme="majorEastAsia" w:cstheme="majorBidi"/>
          <w:bCs/>
          <w:lang w:val="en-US"/>
        </w:rPr>
        <w:t xml:space="preserve">.  By </w:t>
      </w:r>
      <w:r w:rsidRPr="00B849DC" w:rsidR="009E0926">
        <w:rPr>
          <w:rFonts w:asciiTheme="majorHAnsi" w:hAnsiTheme="majorHAnsi" w:eastAsiaTheme="majorEastAsia" w:cstheme="majorBidi"/>
          <w:bCs/>
          <w:lang w:val="en-US"/>
        </w:rPr>
        <w:t>a</w:t>
      </w:r>
      <w:r w:rsidRPr="00B849DC">
        <w:rPr>
          <w:rFonts w:asciiTheme="majorHAnsi" w:hAnsiTheme="majorHAnsi" w:eastAsiaTheme="majorEastAsia" w:cstheme="majorBidi"/>
          <w:bCs/>
          <w:lang w:val="en-US"/>
        </w:rPr>
        <w:t xml:space="preserve"> final judgment of </w:t>
      </w:r>
      <w:r w:rsidRPr="00B849DC" w:rsidR="008E38F7">
        <w:rPr>
          <w:rFonts w:asciiTheme="majorHAnsi" w:hAnsiTheme="majorHAnsi" w:eastAsiaTheme="majorEastAsia" w:cstheme="majorBidi"/>
          <w:bCs/>
          <w:lang w:val="en-US"/>
        </w:rPr>
        <w:t>16</w:t>
      </w:r>
      <w:r w:rsidRPr="00B849DC" w:rsidR="009719CE">
        <w:rPr>
          <w:rFonts w:asciiTheme="majorHAnsi" w:hAnsiTheme="majorHAnsi" w:eastAsiaTheme="majorEastAsia" w:cstheme="majorBidi"/>
          <w:bCs/>
          <w:lang w:val="en-US"/>
        </w:rPr>
        <w:t xml:space="preserve"> </w:t>
      </w:r>
      <w:r w:rsidRPr="00B849DC" w:rsidR="008E38F7">
        <w:rPr>
          <w:rFonts w:asciiTheme="majorHAnsi" w:hAnsiTheme="majorHAnsi" w:eastAsiaTheme="majorEastAsia" w:cstheme="majorBidi"/>
          <w:bCs/>
          <w:lang w:val="en-US"/>
        </w:rPr>
        <w:t>April 2004 the same court</w:t>
      </w:r>
      <w:r w:rsidRPr="00B849DC" w:rsidR="009E0926">
        <w:rPr>
          <w:rFonts w:asciiTheme="majorHAnsi" w:hAnsiTheme="majorHAnsi" w:eastAsiaTheme="majorEastAsia" w:cstheme="majorBidi"/>
          <w:bCs/>
          <w:lang w:val="en-US"/>
        </w:rPr>
        <w:t>,</w:t>
      </w:r>
      <w:r w:rsidRPr="00B849DC" w:rsidR="008E38F7">
        <w:rPr>
          <w:rFonts w:asciiTheme="majorHAnsi" w:hAnsiTheme="majorHAnsi" w:eastAsiaTheme="majorEastAsia" w:cstheme="majorBidi"/>
          <w:bCs/>
          <w:lang w:val="en-US"/>
        </w:rPr>
        <w:t xml:space="preserve"> in separate proceedings</w:t>
      </w:r>
      <w:r w:rsidRPr="00B849DC" w:rsidR="009E0926">
        <w:rPr>
          <w:rFonts w:asciiTheme="majorHAnsi" w:hAnsiTheme="majorHAnsi" w:eastAsiaTheme="majorEastAsia" w:cstheme="majorBidi"/>
          <w:bCs/>
          <w:lang w:val="en-US"/>
        </w:rPr>
        <w:t>,</w:t>
      </w:r>
      <w:r w:rsidRPr="00B849DC" w:rsidR="008E38F7">
        <w:rPr>
          <w:rFonts w:asciiTheme="majorHAnsi" w:hAnsiTheme="majorHAnsi" w:eastAsiaTheme="majorEastAsia" w:cstheme="majorBidi"/>
          <w:bCs/>
          <w:lang w:val="en-US"/>
        </w:rPr>
        <w:t xml:space="preserve"> awarded the applicant RUB 4904.95 in compensation </w:t>
      </w:r>
      <w:r w:rsidRPr="00B849DC" w:rsidR="002D6855">
        <w:rPr>
          <w:rFonts w:asciiTheme="majorHAnsi" w:hAnsiTheme="majorHAnsi" w:eastAsiaTheme="majorEastAsia" w:cstheme="majorBidi"/>
          <w:bCs/>
          <w:lang w:val="en-US"/>
        </w:rPr>
        <w:t xml:space="preserve">for loss of salary, based on </w:t>
      </w:r>
      <w:r w:rsidRPr="00B849DC" w:rsidR="008E38F7">
        <w:rPr>
          <w:rFonts w:asciiTheme="majorHAnsi" w:hAnsiTheme="majorHAnsi" w:eastAsiaTheme="majorEastAsia" w:cstheme="majorBidi"/>
          <w:bCs/>
          <w:lang w:val="en-US"/>
        </w:rPr>
        <w:t xml:space="preserve">the average </w:t>
      </w:r>
      <w:r w:rsidRPr="00B849DC">
        <w:rPr>
          <w:rFonts w:asciiTheme="majorHAnsi" w:hAnsiTheme="majorHAnsi" w:eastAsiaTheme="majorEastAsia" w:cstheme="majorBidi"/>
          <w:bCs/>
          <w:lang w:val="en-US"/>
        </w:rPr>
        <w:t>wage</w:t>
      </w:r>
      <w:r w:rsidRPr="00B849DC" w:rsidR="008E38F7">
        <w:rPr>
          <w:rFonts w:asciiTheme="majorHAnsi" w:hAnsiTheme="majorHAnsi" w:eastAsiaTheme="majorEastAsia" w:cstheme="majorBidi"/>
          <w:bCs/>
          <w:lang w:val="en-US"/>
        </w:rPr>
        <w:t xml:space="preserve">, </w:t>
      </w:r>
      <w:r w:rsidRPr="00B849DC" w:rsidR="00354E2B">
        <w:rPr>
          <w:rFonts w:asciiTheme="majorHAnsi" w:hAnsiTheme="majorHAnsi" w:eastAsiaTheme="majorEastAsia" w:cstheme="majorBidi"/>
          <w:bCs/>
          <w:lang w:val="en-US"/>
        </w:rPr>
        <w:t xml:space="preserve">and </w:t>
      </w:r>
      <w:r w:rsidRPr="00B849DC" w:rsidR="006C2293">
        <w:rPr>
          <w:rFonts w:asciiTheme="majorHAnsi" w:hAnsiTheme="majorHAnsi" w:eastAsiaTheme="majorEastAsia" w:cstheme="majorBidi"/>
          <w:bCs/>
          <w:lang w:val="en-US"/>
        </w:rPr>
        <w:t>compensation for non</w:t>
      </w:r>
      <w:r w:rsidRPr="00B849DC" w:rsidR="006C2293">
        <w:rPr>
          <w:rFonts w:asciiTheme="majorHAnsi" w:hAnsiTheme="majorHAnsi" w:eastAsiaTheme="majorEastAsia" w:cstheme="majorBidi"/>
          <w:bCs/>
          <w:lang w:val="en-US"/>
        </w:rPr>
        <w:noBreakHyphen/>
      </w:r>
      <w:r w:rsidRPr="00B849DC" w:rsidR="008E38F7">
        <w:rPr>
          <w:lang w:val="en-US"/>
        </w:rPr>
        <w:t>enforcement</w:t>
      </w:r>
      <w:r w:rsidRPr="00B849DC" w:rsidR="008E38F7">
        <w:rPr>
          <w:rFonts w:asciiTheme="majorHAnsi" w:hAnsiTheme="majorHAnsi" w:eastAsiaTheme="majorEastAsia" w:cstheme="majorBidi"/>
          <w:bCs/>
          <w:lang w:val="en-US"/>
        </w:rPr>
        <w:t xml:space="preserve"> of the above</w:t>
      </w:r>
      <w:r w:rsidRPr="00B849DC" w:rsidR="009E0926">
        <w:rPr>
          <w:rFonts w:asciiTheme="majorHAnsi" w:hAnsiTheme="majorHAnsi" w:eastAsiaTheme="majorEastAsia" w:cstheme="majorBidi"/>
          <w:bCs/>
          <w:lang w:val="en-US"/>
        </w:rPr>
        <w:t>-mentioned</w:t>
      </w:r>
      <w:r w:rsidRPr="00B849DC" w:rsidR="008E38F7">
        <w:rPr>
          <w:rFonts w:asciiTheme="majorHAnsi" w:hAnsiTheme="majorHAnsi" w:eastAsiaTheme="majorEastAsia" w:cstheme="majorBidi"/>
          <w:bCs/>
          <w:lang w:val="en-US"/>
        </w:rPr>
        <w:t xml:space="preserve"> two judgmen</w:t>
      </w:r>
      <w:r w:rsidRPr="00B849DC">
        <w:rPr>
          <w:rFonts w:asciiTheme="majorHAnsi" w:hAnsiTheme="majorHAnsi" w:eastAsiaTheme="majorEastAsia" w:cstheme="majorBidi"/>
          <w:bCs/>
          <w:lang w:val="en-US"/>
        </w:rPr>
        <w:t xml:space="preserve">ts as well as </w:t>
      </w:r>
      <w:r w:rsidRPr="00B849DC" w:rsidR="006C2293">
        <w:rPr>
          <w:rFonts w:asciiTheme="majorHAnsi" w:hAnsiTheme="majorHAnsi" w:eastAsiaTheme="majorEastAsia" w:cstheme="majorBidi"/>
          <w:bCs/>
          <w:lang w:val="en-US"/>
        </w:rPr>
        <w:t>non</w:t>
      </w:r>
      <w:r w:rsidRPr="00B849DC" w:rsidR="006C2293">
        <w:rPr>
          <w:rFonts w:asciiTheme="majorHAnsi" w:hAnsiTheme="majorHAnsi" w:eastAsiaTheme="majorEastAsia" w:cstheme="majorBidi"/>
          <w:bCs/>
          <w:lang w:val="en-US"/>
        </w:rPr>
        <w:noBreakHyphen/>
      </w:r>
      <w:r w:rsidRPr="00B849DC" w:rsidR="008E38F7">
        <w:rPr>
          <w:rFonts w:asciiTheme="majorHAnsi" w:hAnsiTheme="majorHAnsi" w:eastAsiaTheme="majorEastAsia" w:cstheme="majorBidi"/>
          <w:bCs/>
          <w:lang w:val="en-US"/>
        </w:rPr>
        <w:t>pecuniary damage.</w:t>
      </w:r>
      <w:r w:rsidRPr="00B849DC" w:rsidR="009719CE">
        <w:rPr>
          <w:rFonts w:asciiTheme="majorHAnsi" w:hAnsiTheme="majorHAnsi" w:eastAsiaTheme="majorEastAsia" w:cstheme="majorBidi"/>
          <w:bCs/>
          <w:lang w:val="en-US"/>
        </w:rPr>
        <w:t xml:space="preserve"> On 17 </w:t>
      </w:r>
      <w:r w:rsidRPr="00B849DC" w:rsidR="00880802">
        <w:rPr>
          <w:rFonts w:asciiTheme="majorHAnsi" w:hAnsiTheme="majorHAnsi" w:eastAsiaTheme="majorEastAsia" w:cstheme="majorBidi"/>
          <w:bCs/>
          <w:lang w:val="en-US"/>
        </w:rPr>
        <w:t>May 2005 the writ of execution was forwarded to the bailiffs</w:t>
      </w:r>
      <w:r w:rsidRPr="00B849DC" w:rsidR="00B849DC">
        <w:rPr>
          <w:rFonts w:asciiTheme="majorHAnsi" w:hAnsiTheme="majorHAnsi" w:eastAsiaTheme="majorEastAsia" w:cstheme="majorBidi"/>
          <w:bCs/>
          <w:lang w:val="en-US"/>
        </w:rPr>
        <w:t>’</w:t>
      </w:r>
      <w:r w:rsidRPr="00B849DC" w:rsidR="00880802">
        <w:rPr>
          <w:rFonts w:asciiTheme="majorHAnsi" w:hAnsiTheme="majorHAnsi" w:eastAsiaTheme="majorEastAsia" w:cstheme="majorBidi"/>
          <w:bCs/>
          <w:lang w:val="en-US"/>
        </w:rPr>
        <w:t xml:space="preserve"> service</w:t>
      </w:r>
      <w:r w:rsidRPr="00B849DC" w:rsidR="001A4E1F">
        <w:rPr>
          <w:rFonts w:asciiTheme="majorHAnsi" w:hAnsiTheme="majorHAnsi" w:eastAsiaTheme="majorEastAsia" w:cstheme="majorBidi"/>
          <w:bCs/>
          <w:lang w:val="en-US"/>
        </w:rPr>
        <w:t>.</w:t>
      </w:r>
    </w:p>
    <w:p w:rsidRPr="00B849DC" w:rsidR="00143250" w:rsidP="00B849DC" w:rsidRDefault="00E8058A">
      <w:pPr>
        <w:pStyle w:val="ECHRHeading3"/>
        <w:rPr>
          <w:lang w:val="en-US"/>
        </w:rPr>
      </w:pPr>
      <w:r w:rsidRPr="00B849DC">
        <w:rPr>
          <w:lang w:val="en-US"/>
        </w:rPr>
        <w:t>4</w:t>
      </w:r>
      <w:r w:rsidRPr="00B849DC" w:rsidR="00143250">
        <w:rPr>
          <w:lang w:val="en-US"/>
        </w:rPr>
        <w:t xml:space="preserve">.  Insolvency proceedings in respect of the debtor </w:t>
      </w:r>
      <w:r w:rsidRPr="00B849DC" w:rsidR="009C00FC">
        <w:rPr>
          <w:lang w:val="en-US"/>
        </w:rPr>
        <w:t>company</w:t>
      </w:r>
    </w:p>
    <w:p w:rsidRPr="00B849DC" w:rsidR="001A4E1F" w:rsidP="00B849DC" w:rsidRDefault="006A3B14">
      <w:pPr>
        <w:pStyle w:val="ECHRPara"/>
        <w:rPr>
          <w:bCs/>
          <w:i/>
          <w:lang w:val="en-US"/>
        </w:rPr>
      </w:pPr>
      <w:r w:rsidRPr="00B849DC">
        <w:fldChar w:fldCharType="begin"/>
      </w:r>
      <w:r w:rsidRPr="00B849DC">
        <w:rPr>
          <w:lang w:val="en-US"/>
        </w:rPr>
        <w:instrText xml:space="preserve"> SEQ level0 \*arabic </w:instrText>
      </w:r>
      <w:r w:rsidRPr="00B849DC">
        <w:fldChar w:fldCharType="separate"/>
      </w:r>
      <w:r w:rsidRPr="00B849DC" w:rsidR="00B849DC">
        <w:rPr>
          <w:noProof/>
          <w:lang w:val="en-US"/>
        </w:rPr>
        <w:t>17</w:t>
      </w:r>
      <w:r w:rsidRPr="00B849DC">
        <w:fldChar w:fldCharType="end"/>
      </w:r>
      <w:r w:rsidRPr="00B849DC">
        <w:rPr>
          <w:lang w:val="en-US"/>
        </w:rPr>
        <w:t>.  </w:t>
      </w:r>
      <w:r w:rsidRPr="00B849DC" w:rsidR="001A4E1F">
        <w:rPr>
          <w:bCs/>
          <w:lang w:val="en-US"/>
        </w:rPr>
        <w:t>At some point the bailiffs discontinued the enforcement proceedings in respect of at least two judgments (22</w:t>
      </w:r>
      <w:r w:rsidRPr="00B849DC" w:rsidR="009719CE">
        <w:rPr>
          <w:bCs/>
          <w:lang w:val="en-US"/>
        </w:rPr>
        <w:t xml:space="preserve"> June 2003 and 16 </w:t>
      </w:r>
      <w:r w:rsidRPr="00B849DC" w:rsidR="001A4E1F">
        <w:rPr>
          <w:bCs/>
          <w:lang w:val="en-US"/>
        </w:rPr>
        <w:t>April 2004) and forwarded the writs to the liquidator.</w:t>
      </w:r>
    </w:p>
    <w:p w:rsidRPr="00B849DC" w:rsidR="00CA087B" w:rsidP="00B849DC" w:rsidRDefault="001A4E1F">
      <w:pPr>
        <w:pStyle w:val="ECHRPara"/>
        <w:rPr>
          <w:lang w:val="en-US"/>
        </w:rPr>
      </w:pPr>
      <w:r w:rsidRPr="00B849DC">
        <w:fldChar w:fldCharType="begin"/>
      </w:r>
      <w:r w:rsidRPr="00B849DC">
        <w:rPr>
          <w:lang w:val="en-US"/>
        </w:rPr>
        <w:instrText xml:space="preserve"> SEQ level0 \*arabic </w:instrText>
      </w:r>
      <w:r w:rsidRPr="00B849DC">
        <w:fldChar w:fldCharType="separate"/>
      </w:r>
      <w:r w:rsidRPr="00B849DC" w:rsidR="00B849DC">
        <w:rPr>
          <w:noProof/>
          <w:lang w:val="en-US"/>
        </w:rPr>
        <w:t>18</w:t>
      </w:r>
      <w:r w:rsidRPr="00B849DC">
        <w:fldChar w:fldCharType="end"/>
      </w:r>
      <w:r w:rsidRPr="00B849DC">
        <w:rPr>
          <w:lang w:val="en-US"/>
        </w:rPr>
        <w:t>.  </w:t>
      </w:r>
      <w:r w:rsidRPr="00B849DC" w:rsidR="006A3B14">
        <w:rPr>
          <w:lang w:val="en-US"/>
        </w:rPr>
        <w:t xml:space="preserve">By separate judgments of 21 and 24 June 2004 and 12 and 13 August 2004 the Commercial Court of the Republic of Kareliya ordered the Federal Treasury and the Republican Treasury to reimburse the </w:t>
      </w:r>
      <w:r w:rsidRPr="00B849DC" w:rsidR="009C00FC">
        <w:rPr>
          <w:lang w:val="en-US"/>
        </w:rPr>
        <w:t xml:space="preserve">company </w:t>
      </w:r>
      <w:r w:rsidRPr="00B849DC" w:rsidR="006A3B14">
        <w:rPr>
          <w:lang w:val="en-US"/>
        </w:rPr>
        <w:t xml:space="preserve">the cost of the transport services </w:t>
      </w:r>
      <w:r w:rsidRPr="00B849DC" w:rsidR="009C00FC">
        <w:rPr>
          <w:lang w:val="en-US"/>
        </w:rPr>
        <w:t xml:space="preserve">it had </w:t>
      </w:r>
      <w:r w:rsidRPr="00B849DC" w:rsidR="006A3B14">
        <w:rPr>
          <w:lang w:val="en-US"/>
        </w:rPr>
        <w:t>provided free of charge under the respective agreements (see paragraph </w:t>
      </w:r>
      <w:r w:rsidRPr="00B849DC" w:rsidR="00CC3916">
        <w:rPr>
          <w:lang w:val="en-US"/>
        </w:rPr>
        <w:t>9</w:t>
      </w:r>
      <w:r w:rsidRPr="00B849DC" w:rsidR="006A3B14">
        <w:rPr>
          <w:lang w:val="en-US"/>
        </w:rPr>
        <w:t xml:space="preserve"> above) and rejected a similar claim against the town administration.</w:t>
      </w:r>
    </w:p>
    <w:p w:rsidRPr="00B849DC" w:rsidR="00CA087B" w:rsidP="00B849DC" w:rsidRDefault="00A77088">
      <w:pPr>
        <w:pStyle w:val="ECHRPara"/>
        <w:rPr>
          <w:lang w:val="en-US"/>
        </w:rPr>
      </w:pPr>
      <w:r w:rsidRPr="00B849DC">
        <w:fldChar w:fldCharType="begin"/>
      </w:r>
      <w:r w:rsidRPr="00B849DC">
        <w:rPr>
          <w:lang w:val="en-US"/>
        </w:rPr>
        <w:instrText xml:space="preserve"> SEQ level0 \*arabic </w:instrText>
      </w:r>
      <w:r w:rsidRPr="00B849DC">
        <w:fldChar w:fldCharType="separate"/>
      </w:r>
      <w:r w:rsidRPr="00B849DC" w:rsidR="00B849DC">
        <w:rPr>
          <w:noProof/>
          <w:lang w:val="en-US"/>
        </w:rPr>
        <w:t>19</w:t>
      </w:r>
      <w:r w:rsidRPr="00B849DC">
        <w:fldChar w:fldCharType="end"/>
      </w:r>
      <w:r w:rsidRPr="00B849DC">
        <w:rPr>
          <w:lang w:val="en-US"/>
        </w:rPr>
        <w:t>.  At some point the liquidator received the writ of execution in respect of the judgment of 25</w:t>
      </w:r>
      <w:r w:rsidRPr="00B849DC" w:rsidR="009719CE">
        <w:rPr>
          <w:lang w:val="en-US"/>
        </w:rPr>
        <w:t xml:space="preserve"> </w:t>
      </w:r>
      <w:r w:rsidRPr="00B849DC">
        <w:rPr>
          <w:lang w:val="en-US"/>
        </w:rPr>
        <w:t>November 2003.</w:t>
      </w:r>
    </w:p>
    <w:p w:rsidRPr="00B849DC" w:rsidR="006C15DB" w:rsidP="00B849DC" w:rsidRDefault="00143250">
      <w:pPr>
        <w:pStyle w:val="ECHRPara"/>
        <w:rPr>
          <w:lang w:val="en-US"/>
        </w:rPr>
      </w:pPr>
      <w:r w:rsidRPr="00B849DC">
        <w:fldChar w:fldCharType="begin"/>
      </w:r>
      <w:r w:rsidRPr="00B849DC">
        <w:rPr>
          <w:lang w:val="en-US"/>
        </w:rPr>
        <w:instrText xml:space="preserve"> SEQ level0 \*arabic </w:instrText>
      </w:r>
      <w:r w:rsidRPr="00B849DC">
        <w:fldChar w:fldCharType="separate"/>
      </w:r>
      <w:r w:rsidRPr="00B849DC" w:rsidR="00B849DC">
        <w:rPr>
          <w:noProof/>
          <w:lang w:val="en-US"/>
        </w:rPr>
        <w:t>20</w:t>
      </w:r>
      <w:r w:rsidRPr="00B849DC">
        <w:fldChar w:fldCharType="end"/>
      </w:r>
      <w:r w:rsidRPr="00B849DC">
        <w:rPr>
          <w:lang w:val="en-US"/>
        </w:rPr>
        <w:t>.  </w:t>
      </w:r>
      <w:r w:rsidRPr="00B849DC" w:rsidR="00A77088">
        <w:rPr>
          <w:lang w:val="en-US"/>
        </w:rPr>
        <w:t>According to the liquidator</w:t>
      </w:r>
      <w:r w:rsidRPr="00B849DC" w:rsidR="00B849DC">
        <w:rPr>
          <w:lang w:val="en-US"/>
        </w:rPr>
        <w:t>’</w:t>
      </w:r>
      <w:r w:rsidRPr="00B849DC" w:rsidR="00A77088">
        <w:rPr>
          <w:lang w:val="en-US"/>
        </w:rPr>
        <w:t xml:space="preserve">s notes on the respective writs of execution, at some point the applicant received RUB 4,358.98 of the amount awarded on 20 June 2003, RUB 8,782.78 of the </w:t>
      </w:r>
      <w:r w:rsidRPr="00B849DC" w:rsidR="009E0926">
        <w:rPr>
          <w:lang w:val="en-US"/>
        </w:rPr>
        <w:t>amount awarded by</w:t>
      </w:r>
      <w:r w:rsidRPr="00B849DC" w:rsidR="00A77088">
        <w:rPr>
          <w:lang w:val="en-US"/>
        </w:rPr>
        <w:t xml:space="preserve"> the judgment of 25</w:t>
      </w:r>
      <w:r w:rsidRPr="00B849DC" w:rsidR="009719CE">
        <w:rPr>
          <w:lang w:val="en-US"/>
        </w:rPr>
        <w:t xml:space="preserve"> </w:t>
      </w:r>
      <w:r w:rsidRPr="00B849DC" w:rsidR="00A77088">
        <w:rPr>
          <w:lang w:val="en-US"/>
        </w:rPr>
        <w:t>November 2003 and RUB 4,604.95 of the award made on 16</w:t>
      </w:r>
      <w:r w:rsidRPr="00B849DC" w:rsidR="009719CE">
        <w:rPr>
          <w:lang w:val="en-US"/>
        </w:rPr>
        <w:t xml:space="preserve"> </w:t>
      </w:r>
      <w:r w:rsidRPr="00B849DC" w:rsidR="00A77088">
        <w:rPr>
          <w:lang w:val="en-US"/>
        </w:rPr>
        <w:t>April 2004.</w:t>
      </w:r>
      <w:r w:rsidRPr="00B849DC">
        <w:rPr>
          <w:lang w:val="en-US"/>
        </w:rPr>
        <w:t xml:space="preserve"> The remain</w:t>
      </w:r>
      <w:r w:rsidRPr="00B849DC" w:rsidR="00A77088">
        <w:rPr>
          <w:lang w:val="en-US"/>
        </w:rPr>
        <w:t>der of</w:t>
      </w:r>
      <w:r w:rsidRPr="00B849DC">
        <w:rPr>
          <w:lang w:val="en-US"/>
        </w:rPr>
        <w:t xml:space="preserve"> the </w:t>
      </w:r>
      <w:r w:rsidRPr="00B849DC" w:rsidR="00685937">
        <w:rPr>
          <w:lang w:val="en-US"/>
        </w:rPr>
        <w:t>judgment debts</w:t>
      </w:r>
      <w:r w:rsidRPr="00B849DC">
        <w:rPr>
          <w:lang w:val="en-US"/>
        </w:rPr>
        <w:t xml:space="preserve"> has </w:t>
      </w:r>
      <w:r w:rsidRPr="00B849DC" w:rsidR="006C15DB">
        <w:rPr>
          <w:lang w:val="en-US"/>
        </w:rPr>
        <w:t xml:space="preserve">not been </w:t>
      </w:r>
      <w:r w:rsidRPr="00B849DC" w:rsidR="00685937">
        <w:rPr>
          <w:lang w:val="en-US"/>
        </w:rPr>
        <w:t>paid to the applicant</w:t>
      </w:r>
      <w:r w:rsidRPr="00B849DC" w:rsidR="006C15DB">
        <w:rPr>
          <w:lang w:val="en-US"/>
        </w:rPr>
        <w:t>.</w:t>
      </w:r>
    </w:p>
    <w:p w:rsidRPr="00B849DC" w:rsidR="00CA087B" w:rsidP="00B849DC" w:rsidRDefault="006C15DB">
      <w:pPr>
        <w:pStyle w:val="ECHRPara"/>
        <w:rPr>
          <w:lang w:val="en-US"/>
        </w:rPr>
      </w:pPr>
      <w:r w:rsidRPr="00B849DC">
        <w:fldChar w:fldCharType="begin"/>
      </w:r>
      <w:r w:rsidRPr="00B849DC">
        <w:rPr>
          <w:lang w:val="en-US"/>
        </w:rPr>
        <w:instrText xml:space="preserve"> SEQ level0 \*arabic </w:instrText>
      </w:r>
      <w:r w:rsidRPr="00B849DC">
        <w:fldChar w:fldCharType="separate"/>
      </w:r>
      <w:r w:rsidRPr="00B849DC" w:rsidR="00B849DC">
        <w:rPr>
          <w:noProof/>
          <w:lang w:val="en-US"/>
        </w:rPr>
        <w:t>21</w:t>
      </w:r>
      <w:r w:rsidRPr="00B849DC">
        <w:fldChar w:fldCharType="end"/>
      </w:r>
      <w:r w:rsidRPr="00B849DC" w:rsidR="009719CE">
        <w:rPr>
          <w:lang w:val="en-US"/>
        </w:rPr>
        <w:t xml:space="preserve">.  On 4 </w:t>
      </w:r>
      <w:r w:rsidRPr="00B849DC">
        <w:rPr>
          <w:lang w:val="en-US"/>
        </w:rPr>
        <w:t>October 2006 the Commercial Court of the Republic of Kareliya discontinued the insolvency proceedings and or</w:t>
      </w:r>
      <w:r w:rsidRPr="00B849DC" w:rsidR="00666B37">
        <w:rPr>
          <w:lang w:val="en-US"/>
        </w:rPr>
        <w:t xml:space="preserve">dered the respondent </w:t>
      </w:r>
      <w:r w:rsidRPr="00B849DC" w:rsidR="009C00FC">
        <w:rPr>
          <w:lang w:val="en-US"/>
        </w:rPr>
        <w:t>company</w:t>
      </w:r>
      <w:r w:rsidRPr="00B849DC" w:rsidR="00B849DC">
        <w:rPr>
          <w:lang w:val="en-US"/>
        </w:rPr>
        <w:t>’</w:t>
      </w:r>
      <w:r w:rsidRPr="00B849DC" w:rsidR="009C00FC">
        <w:rPr>
          <w:lang w:val="en-US"/>
        </w:rPr>
        <w:t xml:space="preserve">s </w:t>
      </w:r>
      <w:r w:rsidRPr="00B849DC">
        <w:rPr>
          <w:lang w:val="en-US"/>
        </w:rPr>
        <w:t xml:space="preserve">liquidation. </w:t>
      </w:r>
      <w:r w:rsidRPr="00B849DC" w:rsidR="00666B37">
        <w:rPr>
          <w:lang w:val="en-US"/>
        </w:rPr>
        <w:tab/>
        <w:t>The creditors</w:t>
      </w:r>
      <w:r w:rsidRPr="00B849DC" w:rsidR="00B849DC">
        <w:rPr>
          <w:lang w:val="en-US"/>
        </w:rPr>
        <w:t>’</w:t>
      </w:r>
      <w:r w:rsidRPr="00B849DC" w:rsidR="00666B37">
        <w:rPr>
          <w:lang w:val="en-US"/>
        </w:rPr>
        <w:t xml:space="preserve"> claims</w:t>
      </w:r>
      <w:r w:rsidRPr="00B849DC" w:rsidR="009E0926">
        <w:rPr>
          <w:lang w:val="en-US"/>
        </w:rPr>
        <w:t>,</w:t>
      </w:r>
      <w:r w:rsidRPr="00B849DC" w:rsidR="00666B37">
        <w:rPr>
          <w:lang w:val="en-US"/>
        </w:rPr>
        <w:t xml:space="preserve"> which had not been satisfied during the </w:t>
      </w:r>
      <w:r w:rsidRPr="00B849DC" w:rsidR="00643853">
        <w:rPr>
          <w:lang w:val="en-US"/>
        </w:rPr>
        <w:t xml:space="preserve">liquidation </w:t>
      </w:r>
      <w:r w:rsidRPr="00B849DC" w:rsidR="00666B37">
        <w:rPr>
          <w:lang w:val="en-US"/>
        </w:rPr>
        <w:t xml:space="preserve">procedure, including the </w:t>
      </w:r>
      <w:r w:rsidRPr="00B849DC" w:rsidR="00643853">
        <w:rPr>
          <w:lang w:val="en-US"/>
        </w:rPr>
        <w:t xml:space="preserve">remainder of the </w:t>
      </w:r>
      <w:r w:rsidRPr="00B849DC" w:rsidR="00666B37">
        <w:rPr>
          <w:lang w:val="en-US"/>
        </w:rPr>
        <w:t>applicant</w:t>
      </w:r>
      <w:r w:rsidRPr="00B849DC" w:rsidR="00B849DC">
        <w:rPr>
          <w:lang w:val="en-US"/>
        </w:rPr>
        <w:t>’</w:t>
      </w:r>
      <w:r w:rsidRPr="00B849DC" w:rsidR="00666B37">
        <w:rPr>
          <w:lang w:val="en-US"/>
        </w:rPr>
        <w:t>s claims</w:t>
      </w:r>
      <w:r w:rsidRPr="00B849DC" w:rsidR="00685937">
        <w:rPr>
          <w:lang w:val="en-US"/>
        </w:rPr>
        <w:t>,</w:t>
      </w:r>
      <w:r w:rsidRPr="00B849DC" w:rsidR="003B1722">
        <w:rPr>
          <w:lang w:val="en-US"/>
        </w:rPr>
        <w:t xml:space="preserve"> </w:t>
      </w:r>
      <w:r w:rsidRPr="00B849DC" w:rsidR="000B0CD4">
        <w:rPr>
          <w:lang w:val="en-US"/>
        </w:rPr>
        <w:t>were</w:t>
      </w:r>
      <w:r w:rsidRPr="00B849DC" w:rsidR="00666B37">
        <w:rPr>
          <w:lang w:val="en-US"/>
        </w:rPr>
        <w:t xml:space="preserve"> considered as settled.</w:t>
      </w:r>
      <w:r w:rsidRPr="00B849DC" w:rsidR="009719CE">
        <w:rPr>
          <w:lang w:val="en-US"/>
        </w:rPr>
        <w:t xml:space="preserve"> On 15 </w:t>
      </w:r>
      <w:r w:rsidRPr="00B849DC" w:rsidR="00666B37">
        <w:rPr>
          <w:lang w:val="en-US"/>
        </w:rPr>
        <w:t>October 2006 the liquidation was recorded in the Register of Legal Entities, and the company ceased to exist.</w:t>
      </w:r>
    </w:p>
    <w:p w:rsidRPr="00B849DC" w:rsidR="00143250" w:rsidP="00B849DC" w:rsidRDefault="00E8058A">
      <w:pPr>
        <w:pStyle w:val="ECHRHeading3"/>
        <w:rPr>
          <w:lang w:val="en-US"/>
        </w:rPr>
      </w:pPr>
      <w:r w:rsidRPr="00B849DC">
        <w:rPr>
          <w:lang w:val="en-US"/>
        </w:rPr>
        <w:t>5</w:t>
      </w:r>
      <w:r w:rsidRPr="00B849DC" w:rsidR="00143250">
        <w:rPr>
          <w:lang w:val="en-US"/>
        </w:rPr>
        <w:t>.  Proceedings for subsidiary liability</w:t>
      </w:r>
      <w:r w:rsidRPr="00B849DC" w:rsidR="006A3B14">
        <w:rPr>
          <w:lang w:val="en-US"/>
        </w:rPr>
        <w:t xml:space="preserve"> brought by the applicant</w:t>
      </w:r>
    </w:p>
    <w:p w:rsidRPr="00B849DC" w:rsidR="00CA087B" w:rsidP="00B849DC" w:rsidRDefault="00143250">
      <w:pPr>
        <w:pStyle w:val="ECHRPara"/>
        <w:rPr>
          <w:lang w:val="en-US"/>
        </w:rPr>
      </w:pPr>
      <w:r w:rsidRPr="00B849DC">
        <w:fldChar w:fldCharType="begin"/>
      </w:r>
      <w:r w:rsidRPr="00B849DC">
        <w:rPr>
          <w:lang w:val="en-US"/>
        </w:rPr>
        <w:instrText xml:space="preserve"> SEQ level0 \*arabic </w:instrText>
      </w:r>
      <w:r w:rsidRPr="00B849DC">
        <w:fldChar w:fldCharType="separate"/>
      </w:r>
      <w:r w:rsidRPr="00B849DC" w:rsidR="00B849DC">
        <w:rPr>
          <w:noProof/>
          <w:lang w:val="en-US"/>
        </w:rPr>
        <w:t>22</w:t>
      </w:r>
      <w:r w:rsidRPr="00B849DC">
        <w:fldChar w:fldCharType="end"/>
      </w:r>
      <w:r w:rsidRPr="00B849DC">
        <w:rPr>
          <w:lang w:val="en-US"/>
        </w:rPr>
        <w:t>.  </w:t>
      </w:r>
      <w:r w:rsidRPr="00B849DC" w:rsidR="008D6F8B">
        <w:rPr>
          <w:lang w:val="en-US"/>
        </w:rPr>
        <w:t>In 2005 the</w:t>
      </w:r>
      <w:r w:rsidRPr="00B849DC">
        <w:rPr>
          <w:lang w:val="en-US"/>
        </w:rPr>
        <w:t xml:space="preserve"> applicant lodged an action against the </w:t>
      </w:r>
      <w:r w:rsidRPr="00B849DC" w:rsidR="008D6F8B">
        <w:rPr>
          <w:lang w:val="en-US"/>
        </w:rPr>
        <w:t>town administration</w:t>
      </w:r>
      <w:r w:rsidRPr="00B849DC" w:rsidR="005E1CDF">
        <w:rPr>
          <w:lang w:val="en-US"/>
        </w:rPr>
        <w:t>,</w:t>
      </w:r>
      <w:r w:rsidRPr="00B849DC">
        <w:rPr>
          <w:lang w:val="en-US"/>
        </w:rPr>
        <w:t xml:space="preserve"> </w:t>
      </w:r>
      <w:r w:rsidRPr="00B849DC" w:rsidR="008D6F8B">
        <w:rPr>
          <w:lang w:val="en-US"/>
        </w:rPr>
        <w:t>claiming</w:t>
      </w:r>
      <w:r w:rsidRPr="00B849DC" w:rsidR="005E1CDF">
        <w:rPr>
          <w:lang w:val="en-US"/>
        </w:rPr>
        <w:t xml:space="preserve"> that</w:t>
      </w:r>
      <w:r w:rsidRPr="00B849DC" w:rsidR="008D6F8B">
        <w:rPr>
          <w:lang w:val="en-US"/>
        </w:rPr>
        <w:t xml:space="preserve"> </w:t>
      </w:r>
      <w:r w:rsidRPr="00B849DC" w:rsidR="009B3855">
        <w:rPr>
          <w:lang w:val="en-US"/>
        </w:rPr>
        <w:t xml:space="preserve">it </w:t>
      </w:r>
      <w:r w:rsidRPr="00B849DC" w:rsidR="005E1CDF">
        <w:rPr>
          <w:lang w:val="en-US"/>
        </w:rPr>
        <w:t xml:space="preserve">was </w:t>
      </w:r>
      <w:r w:rsidRPr="00B849DC" w:rsidR="008D6F8B">
        <w:rPr>
          <w:lang w:val="en-US"/>
        </w:rPr>
        <w:t xml:space="preserve">liable to repay her the </w:t>
      </w:r>
      <w:r w:rsidRPr="00B849DC" w:rsidR="005E1CDF">
        <w:rPr>
          <w:lang w:val="en-US"/>
        </w:rPr>
        <w:t xml:space="preserve">remaining </w:t>
      </w:r>
      <w:r w:rsidRPr="00B849DC" w:rsidR="008D6F8B">
        <w:rPr>
          <w:lang w:val="en-US"/>
        </w:rPr>
        <w:t>judgment debt</w:t>
      </w:r>
      <w:r w:rsidRPr="00B849DC" w:rsidR="005E1CDF">
        <w:rPr>
          <w:lang w:val="en-US"/>
        </w:rPr>
        <w:t xml:space="preserve"> plus</w:t>
      </w:r>
      <w:r w:rsidRPr="00B849DC" w:rsidR="008D6F8B">
        <w:rPr>
          <w:lang w:val="en-US"/>
        </w:rPr>
        <w:t xml:space="preserve"> compensation for the delayed enforcement </w:t>
      </w:r>
      <w:r w:rsidRPr="00B849DC" w:rsidR="005E1CDF">
        <w:rPr>
          <w:lang w:val="en-US"/>
        </w:rPr>
        <w:t xml:space="preserve">of the court orders </w:t>
      </w:r>
      <w:r w:rsidRPr="00B849DC" w:rsidR="008D6F8B">
        <w:rPr>
          <w:lang w:val="en-US"/>
        </w:rPr>
        <w:t xml:space="preserve">and non-pecuniary damage. She argued that the insolvency of the debtor </w:t>
      </w:r>
      <w:r w:rsidRPr="00B849DC" w:rsidR="0010288D">
        <w:rPr>
          <w:lang w:val="en-US"/>
        </w:rPr>
        <w:t xml:space="preserve">company </w:t>
      </w:r>
      <w:r w:rsidRPr="00B849DC" w:rsidR="008D6F8B">
        <w:rPr>
          <w:lang w:val="en-US"/>
        </w:rPr>
        <w:t>had been caused by the actions of the town administration. First, it had failed to reimburse</w:t>
      </w:r>
      <w:r w:rsidRPr="00B849DC" w:rsidR="005E1CDF">
        <w:rPr>
          <w:lang w:val="en-US"/>
        </w:rPr>
        <w:t xml:space="preserve"> the</w:t>
      </w:r>
      <w:r w:rsidRPr="00B849DC" w:rsidR="008D6F8B">
        <w:rPr>
          <w:lang w:val="en-US"/>
        </w:rPr>
        <w:t xml:space="preserve"> expenses </w:t>
      </w:r>
      <w:r w:rsidRPr="00B849DC" w:rsidR="005E1CDF">
        <w:rPr>
          <w:lang w:val="en-US"/>
        </w:rPr>
        <w:t xml:space="preserve">the </w:t>
      </w:r>
      <w:r w:rsidRPr="00B849DC" w:rsidR="0010288D">
        <w:rPr>
          <w:lang w:val="en-US"/>
        </w:rPr>
        <w:t xml:space="preserve">company </w:t>
      </w:r>
      <w:r w:rsidRPr="00B849DC" w:rsidR="005E1CDF">
        <w:rPr>
          <w:lang w:val="en-US"/>
        </w:rPr>
        <w:t xml:space="preserve">had incurred </w:t>
      </w:r>
      <w:r w:rsidRPr="00B849DC" w:rsidR="008D6F8B">
        <w:rPr>
          <w:lang w:val="en-US"/>
        </w:rPr>
        <w:t>for providing transport</w:t>
      </w:r>
      <w:r w:rsidRPr="00B849DC" w:rsidR="005E1CDF">
        <w:rPr>
          <w:lang w:val="en-US"/>
        </w:rPr>
        <w:t xml:space="preserve"> </w:t>
      </w:r>
      <w:r w:rsidRPr="00B849DC" w:rsidR="008D6F8B">
        <w:rPr>
          <w:lang w:val="en-US"/>
        </w:rPr>
        <w:t>services, as stipulated by the respective agreements (see paragraph </w:t>
      </w:r>
      <w:r w:rsidRPr="00B849DC" w:rsidR="00CC3916">
        <w:rPr>
          <w:lang w:val="en-US"/>
        </w:rPr>
        <w:t>9</w:t>
      </w:r>
      <w:r w:rsidRPr="00B849DC" w:rsidR="008D6F8B">
        <w:rPr>
          <w:lang w:val="en-US"/>
        </w:rPr>
        <w:t xml:space="preserve"> above). Second, the </w:t>
      </w:r>
      <w:r w:rsidRPr="00B849DC" w:rsidR="0010288D">
        <w:rPr>
          <w:lang w:val="en-US"/>
        </w:rPr>
        <w:t>company</w:t>
      </w:r>
      <w:r w:rsidRPr="00B849DC" w:rsidR="00B849DC">
        <w:rPr>
          <w:lang w:val="en-US"/>
        </w:rPr>
        <w:t>’</w:t>
      </w:r>
      <w:r w:rsidRPr="00B849DC" w:rsidR="0010288D">
        <w:rPr>
          <w:lang w:val="en-US"/>
        </w:rPr>
        <w:t xml:space="preserve">s </w:t>
      </w:r>
      <w:r w:rsidRPr="00B849DC" w:rsidR="008D6F8B">
        <w:rPr>
          <w:lang w:val="en-US"/>
        </w:rPr>
        <w:t>inability to meet the creditors</w:t>
      </w:r>
      <w:r w:rsidRPr="00B849DC" w:rsidR="00B849DC">
        <w:rPr>
          <w:lang w:val="en-US"/>
        </w:rPr>
        <w:t>’</w:t>
      </w:r>
      <w:r w:rsidRPr="00B849DC" w:rsidR="008D6F8B">
        <w:rPr>
          <w:lang w:val="en-US"/>
        </w:rPr>
        <w:t xml:space="preserve"> claims had been caused by the transfer of the assets to a different </w:t>
      </w:r>
      <w:r w:rsidRPr="00B849DC" w:rsidR="0010288D">
        <w:rPr>
          <w:lang w:val="en-US"/>
        </w:rPr>
        <w:t xml:space="preserve">company </w:t>
      </w:r>
      <w:r w:rsidRPr="00B849DC" w:rsidR="009D2C52">
        <w:rPr>
          <w:lang w:val="en-US"/>
        </w:rPr>
        <w:t xml:space="preserve">carrying out </w:t>
      </w:r>
      <w:r w:rsidRPr="00B849DC" w:rsidR="008D6F8B">
        <w:rPr>
          <w:lang w:val="en-US"/>
        </w:rPr>
        <w:t xml:space="preserve">the same functions. As a result, the debtor </w:t>
      </w:r>
      <w:r w:rsidRPr="00B849DC" w:rsidR="0010288D">
        <w:rPr>
          <w:lang w:val="en-US"/>
        </w:rPr>
        <w:t xml:space="preserve">company </w:t>
      </w:r>
      <w:r w:rsidRPr="00B849DC" w:rsidR="008D6F8B">
        <w:rPr>
          <w:lang w:val="en-US"/>
        </w:rPr>
        <w:t xml:space="preserve">had become unable to </w:t>
      </w:r>
      <w:r w:rsidRPr="00B849DC" w:rsidR="005E1CDF">
        <w:rPr>
          <w:lang w:val="en-US"/>
        </w:rPr>
        <w:t xml:space="preserve">continue to </w:t>
      </w:r>
      <w:r w:rsidRPr="00B849DC" w:rsidR="009D2C52">
        <w:rPr>
          <w:lang w:val="en-US"/>
        </w:rPr>
        <w:t xml:space="preserve">carry out </w:t>
      </w:r>
      <w:r w:rsidRPr="00B849DC" w:rsidR="008D6F8B">
        <w:rPr>
          <w:lang w:val="en-US"/>
        </w:rPr>
        <w:t xml:space="preserve">its activities as defined </w:t>
      </w:r>
      <w:r w:rsidRPr="00B849DC" w:rsidR="00170B9E">
        <w:rPr>
          <w:lang w:val="en-US"/>
        </w:rPr>
        <w:t xml:space="preserve">in its </w:t>
      </w:r>
      <w:r w:rsidRPr="00B849DC" w:rsidR="003B56E3">
        <w:rPr>
          <w:lang w:val="en-US"/>
        </w:rPr>
        <w:t>a</w:t>
      </w:r>
      <w:r w:rsidRPr="00B849DC" w:rsidR="00170B9E">
        <w:rPr>
          <w:lang w:val="en-US"/>
        </w:rPr>
        <w:t xml:space="preserve">rticles of </w:t>
      </w:r>
      <w:r w:rsidRPr="00B849DC" w:rsidR="003B56E3">
        <w:rPr>
          <w:lang w:val="en-US"/>
        </w:rPr>
        <w:t>a</w:t>
      </w:r>
      <w:r w:rsidRPr="00B849DC" w:rsidR="00170B9E">
        <w:rPr>
          <w:lang w:val="en-US"/>
        </w:rPr>
        <w:t>ssociation</w:t>
      </w:r>
      <w:r w:rsidRPr="00B849DC" w:rsidR="008D6F8B">
        <w:rPr>
          <w:lang w:val="en-US"/>
        </w:rPr>
        <w:t>.</w:t>
      </w:r>
    </w:p>
    <w:p w:rsidRPr="00B849DC" w:rsidR="00CA087B" w:rsidP="00B849DC" w:rsidRDefault="00143250">
      <w:pPr>
        <w:pStyle w:val="ECHRPara"/>
        <w:rPr>
          <w:lang w:val="en-US"/>
        </w:rPr>
      </w:pPr>
      <w:r w:rsidRPr="00B849DC">
        <w:fldChar w:fldCharType="begin"/>
      </w:r>
      <w:r w:rsidRPr="00B849DC">
        <w:rPr>
          <w:lang w:val="en-US"/>
        </w:rPr>
        <w:instrText xml:space="preserve"> SEQ level0 \*arabic </w:instrText>
      </w:r>
      <w:r w:rsidRPr="00B849DC">
        <w:fldChar w:fldCharType="separate"/>
      </w:r>
      <w:r w:rsidRPr="00B849DC" w:rsidR="00B849DC">
        <w:rPr>
          <w:noProof/>
          <w:lang w:val="en-US"/>
        </w:rPr>
        <w:t>23</w:t>
      </w:r>
      <w:r w:rsidRPr="00B849DC">
        <w:fldChar w:fldCharType="end"/>
      </w:r>
      <w:r w:rsidRPr="00B849DC" w:rsidR="009719CE">
        <w:rPr>
          <w:lang w:val="en-US"/>
        </w:rPr>
        <w:t xml:space="preserve">.  On 21 </w:t>
      </w:r>
      <w:r w:rsidRPr="00B849DC">
        <w:rPr>
          <w:lang w:val="en-US"/>
        </w:rPr>
        <w:t xml:space="preserve">January 2005 the Petrozavodsk Town Court dismissed the action. The </w:t>
      </w:r>
      <w:r w:rsidRPr="00B849DC" w:rsidR="008D6F8B">
        <w:rPr>
          <w:lang w:val="en-US"/>
        </w:rPr>
        <w:t>court</w:t>
      </w:r>
      <w:r w:rsidRPr="00B849DC">
        <w:rPr>
          <w:lang w:val="en-US"/>
        </w:rPr>
        <w:t xml:space="preserve"> </w:t>
      </w:r>
      <w:r w:rsidRPr="00B849DC" w:rsidR="008D6F8B">
        <w:rPr>
          <w:lang w:val="en-US"/>
        </w:rPr>
        <w:t>established</w:t>
      </w:r>
      <w:r w:rsidRPr="00B849DC">
        <w:rPr>
          <w:lang w:val="en-US"/>
        </w:rPr>
        <w:t xml:space="preserve"> that the </w:t>
      </w:r>
      <w:r w:rsidRPr="00B849DC" w:rsidR="006A3B14">
        <w:rPr>
          <w:lang w:val="en-US"/>
        </w:rPr>
        <w:t>federal and republican authorities</w:t>
      </w:r>
      <w:r w:rsidRPr="00B849DC">
        <w:rPr>
          <w:lang w:val="en-US"/>
        </w:rPr>
        <w:t xml:space="preserve"> owed the </w:t>
      </w:r>
      <w:r w:rsidRPr="00B849DC" w:rsidR="009D2C52">
        <w:rPr>
          <w:lang w:val="en-US"/>
        </w:rPr>
        <w:t>applicant</w:t>
      </w:r>
      <w:r w:rsidRPr="00B849DC" w:rsidR="00B849DC">
        <w:rPr>
          <w:lang w:val="en-US"/>
        </w:rPr>
        <w:t>’</w:t>
      </w:r>
      <w:r w:rsidRPr="00B849DC" w:rsidR="009D2C52">
        <w:rPr>
          <w:lang w:val="en-US"/>
        </w:rPr>
        <w:t xml:space="preserve">s </w:t>
      </w:r>
      <w:r w:rsidRPr="00B849DC" w:rsidR="008D6F8B">
        <w:rPr>
          <w:lang w:val="en-US"/>
        </w:rPr>
        <w:t>former employer RUB </w:t>
      </w:r>
      <w:r w:rsidRPr="00B849DC">
        <w:rPr>
          <w:lang w:val="en-US"/>
        </w:rPr>
        <w:t>1,883,370 for services provided at a reduced price</w:t>
      </w:r>
      <w:r w:rsidRPr="00B849DC" w:rsidR="008D6F8B">
        <w:rPr>
          <w:lang w:val="en-US"/>
        </w:rPr>
        <w:t xml:space="preserve">. However, </w:t>
      </w:r>
      <w:r w:rsidRPr="00B849DC" w:rsidR="006A3B14">
        <w:rPr>
          <w:lang w:val="en-US"/>
        </w:rPr>
        <w:t>with reference to the Commercial Court</w:t>
      </w:r>
      <w:r w:rsidRPr="00B849DC" w:rsidR="00B849DC">
        <w:rPr>
          <w:lang w:val="en-US"/>
        </w:rPr>
        <w:t>’</w:t>
      </w:r>
      <w:r w:rsidRPr="00B849DC" w:rsidR="009D2C52">
        <w:rPr>
          <w:lang w:val="en-US"/>
        </w:rPr>
        <w:t>s</w:t>
      </w:r>
      <w:r w:rsidRPr="00B849DC" w:rsidR="006A3B14">
        <w:rPr>
          <w:lang w:val="en-US"/>
        </w:rPr>
        <w:t xml:space="preserve"> findings (see paragraph </w:t>
      </w:r>
      <w:r w:rsidRPr="00B849DC" w:rsidR="00CC3916">
        <w:rPr>
          <w:lang w:val="en-US"/>
        </w:rPr>
        <w:t>18</w:t>
      </w:r>
      <w:r w:rsidRPr="00B849DC" w:rsidR="006A3B14">
        <w:rPr>
          <w:lang w:val="en-US"/>
        </w:rPr>
        <w:t xml:space="preserve"> above) the court </w:t>
      </w:r>
      <w:r w:rsidRPr="00B849DC" w:rsidR="00CC3916">
        <w:rPr>
          <w:lang w:val="en-US"/>
        </w:rPr>
        <w:t>concluded</w:t>
      </w:r>
      <w:r w:rsidRPr="00B849DC" w:rsidR="006A3B14">
        <w:rPr>
          <w:lang w:val="en-US"/>
        </w:rPr>
        <w:t xml:space="preserve"> that </w:t>
      </w:r>
      <w:r w:rsidRPr="00B849DC" w:rsidR="009D2C52">
        <w:rPr>
          <w:lang w:val="en-US"/>
        </w:rPr>
        <w:t xml:space="preserve">the </w:t>
      </w:r>
      <w:r w:rsidRPr="00B849DC" w:rsidR="006A3B14">
        <w:rPr>
          <w:lang w:val="en-US"/>
        </w:rPr>
        <w:t>debt had been accumulated as a result of the federal and republican authorities</w:t>
      </w:r>
      <w:r w:rsidRPr="00B849DC" w:rsidR="00B849DC">
        <w:rPr>
          <w:lang w:val="en-US"/>
        </w:rPr>
        <w:t>’</w:t>
      </w:r>
      <w:r w:rsidRPr="00B849DC" w:rsidR="006A3B14">
        <w:rPr>
          <w:lang w:val="en-US"/>
        </w:rPr>
        <w:t xml:space="preserve"> inaction and therefore it could not be attributed to the town administration. As regards the transfer of the assets, the court found as follows:</w:t>
      </w:r>
    </w:p>
    <w:p w:rsidRPr="00B849DC" w:rsidR="00CA087B" w:rsidP="00B849DC" w:rsidRDefault="006A3B14">
      <w:pPr>
        <w:pStyle w:val="ECHRParaQuote"/>
        <w:rPr>
          <w:lang w:val="en-US"/>
        </w:rPr>
      </w:pPr>
      <w:r w:rsidRPr="00B849DC">
        <w:rPr>
          <w:lang w:val="en-US"/>
        </w:rPr>
        <w:t>“</w:t>
      </w:r>
      <w:r w:rsidRPr="00B849DC" w:rsidR="009D2C52">
        <w:rPr>
          <w:lang w:val="en-US"/>
        </w:rPr>
        <w:t>The r</w:t>
      </w:r>
      <w:r w:rsidRPr="00B849DC">
        <w:rPr>
          <w:lang w:val="en-US"/>
        </w:rPr>
        <w:t>e</w:t>
      </w:r>
      <w:r w:rsidRPr="00B849DC" w:rsidR="00170B9E">
        <w:rPr>
          <w:lang w:val="en-US"/>
        </w:rPr>
        <w:t>structuring</w:t>
      </w:r>
      <w:r w:rsidRPr="00B849DC">
        <w:rPr>
          <w:lang w:val="en-US"/>
        </w:rPr>
        <w:t xml:space="preserve"> </w:t>
      </w:r>
      <w:r w:rsidRPr="00B849DC" w:rsidR="00A636AC">
        <w:rPr>
          <w:lang w:val="en-US"/>
        </w:rPr>
        <w:t>(«</w:t>
      </w:r>
      <w:r w:rsidRPr="00B849DC" w:rsidR="00A636AC">
        <w:rPr>
          <w:lang w:val="ru-RU"/>
        </w:rPr>
        <w:t>реорганизация</w:t>
      </w:r>
      <w:r w:rsidRPr="00B849DC" w:rsidR="00A636AC">
        <w:rPr>
          <w:lang w:val="en-US"/>
        </w:rPr>
        <w:t xml:space="preserve">») </w:t>
      </w:r>
      <w:r w:rsidRPr="00B849DC">
        <w:rPr>
          <w:lang w:val="en-US"/>
        </w:rPr>
        <w:t xml:space="preserve">of the municipal unitary enterprise </w:t>
      </w:r>
      <w:r w:rsidRPr="00B849DC" w:rsidR="00B849DC">
        <w:rPr>
          <w:lang w:val="en-US"/>
        </w:rPr>
        <w:t>‘</w:t>
      </w:r>
      <w:r w:rsidRPr="00B849DC">
        <w:rPr>
          <w:lang w:val="en-US"/>
        </w:rPr>
        <w:t>Avtokolonna</w:t>
      </w:r>
      <w:r w:rsidRPr="00B849DC" w:rsidR="003E086E">
        <w:rPr>
          <w:lang w:val="en-US"/>
        </w:rPr>
        <w:t> </w:t>
      </w:r>
      <w:r w:rsidRPr="00B849DC">
        <w:rPr>
          <w:lang w:val="en-US"/>
        </w:rPr>
        <w:t>1126</w:t>
      </w:r>
      <w:r w:rsidRPr="00B849DC" w:rsidR="00B849DC">
        <w:rPr>
          <w:lang w:val="en-US"/>
        </w:rPr>
        <w:t>’</w:t>
      </w:r>
      <w:r w:rsidRPr="00B849DC">
        <w:rPr>
          <w:lang w:val="en-US"/>
        </w:rPr>
        <w:t xml:space="preserve"> in the form of </w:t>
      </w:r>
      <w:r w:rsidRPr="00B849DC" w:rsidR="00170B9E">
        <w:rPr>
          <w:lang w:val="en-US"/>
        </w:rPr>
        <w:t xml:space="preserve">a </w:t>
      </w:r>
      <w:r w:rsidRPr="00B849DC" w:rsidR="009D2C52">
        <w:rPr>
          <w:lang w:val="en-US"/>
        </w:rPr>
        <w:t>spin</w:t>
      </w:r>
      <w:r w:rsidRPr="00B849DC">
        <w:rPr>
          <w:lang w:val="en-US"/>
        </w:rPr>
        <w:t>-off and the creation of a separate unitary enterprise</w:t>
      </w:r>
      <w:r w:rsidRPr="00B849DC" w:rsidR="009D2C52">
        <w:rPr>
          <w:lang w:val="en-US"/>
        </w:rPr>
        <w:t>,</w:t>
      </w:r>
      <w:r w:rsidRPr="00B849DC">
        <w:rPr>
          <w:lang w:val="en-US"/>
        </w:rPr>
        <w:t xml:space="preserve"> </w:t>
      </w:r>
      <w:r w:rsidRPr="00B849DC" w:rsidR="00B849DC">
        <w:rPr>
          <w:lang w:val="en-US"/>
        </w:rPr>
        <w:t>‘</w:t>
      </w:r>
      <w:r w:rsidRPr="00B849DC">
        <w:rPr>
          <w:lang w:val="en-US"/>
        </w:rPr>
        <w:t>Avtokolonna</w:t>
      </w:r>
      <w:r w:rsidRPr="00B849DC" w:rsidR="003E086E">
        <w:rPr>
          <w:lang w:val="en-US"/>
        </w:rPr>
        <w:t> </w:t>
      </w:r>
      <w:r w:rsidRPr="00B849DC">
        <w:rPr>
          <w:lang w:val="en-US"/>
        </w:rPr>
        <w:t>1126 Plus</w:t>
      </w:r>
      <w:r w:rsidRPr="00B849DC" w:rsidR="00B849DC">
        <w:rPr>
          <w:lang w:val="en-US"/>
        </w:rPr>
        <w:t>’</w:t>
      </w:r>
      <w:r w:rsidRPr="00B849DC" w:rsidR="009D2C52">
        <w:rPr>
          <w:lang w:val="en-US"/>
        </w:rPr>
        <w:t>,</w:t>
      </w:r>
      <w:r w:rsidRPr="00B849DC">
        <w:rPr>
          <w:lang w:val="en-US"/>
        </w:rPr>
        <w:t xml:space="preserve"> was </w:t>
      </w:r>
      <w:r w:rsidRPr="00B849DC" w:rsidR="009D2C52">
        <w:rPr>
          <w:lang w:val="en-US"/>
        </w:rPr>
        <w:t xml:space="preserve">within </w:t>
      </w:r>
      <w:r w:rsidRPr="00B849DC">
        <w:rPr>
          <w:lang w:val="en-US"/>
        </w:rPr>
        <w:t>the</w:t>
      </w:r>
      <w:r w:rsidRPr="00B849DC" w:rsidR="00AB296D">
        <w:rPr>
          <w:lang w:val="en-US"/>
        </w:rPr>
        <w:t xml:space="preserve"> </w:t>
      </w:r>
      <w:r w:rsidRPr="00B849DC">
        <w:rPr>
          <w:lang w:val="en-US"/>
        </w:rPr>
        <w:t>property owner</w:t>
      </w:r>
      <w:r w:rsidRPr="00B849DC" w:rsidR="00B849DC">
        <w:rPr>
          <w:lang w:val="en-US"/>
        </w:rPr>
        <w:t>’</w:t>
      </w:r>
      <w:r w:rsidRPr="00B849DC" w:rsidR="009D2C52">
        <w:rPr>
          <w:lang w:val="en-US"/>
        </w:rPr>
        <w:t>s rights</w:t>
      </w:r>
      <w:r w:rsidRPr="00B849DC">
        <w:rPr>
          <w:lang w:val="en-US"/>
        </w:rPr>
        <w:t xml:space="preserve">. </w:t>
      </w:r>
      <w:r w:rsidRPr="00B849DC" w:rsidR="00C82E98">
        <w:rPr>
          <w:lang w:val="en-US"/>
        </w:rPr>
        <w:t>[</w:t>
      </w:r>
      <w:r w:rsidRPr="00B849DC">
        <w:rPr>
          <w:lang w:val="en-US"/>
        </w:rPr>
        <w:t>The applicant</w:t>
      </w:r>
      <w:r w:rsidRPr="00B849DC" w:rsidR="00C82E98">
        <w:rPr>
          <w:lang w:val="en-US"/>
        </w:rPr>
        <w:t>]</w:t>
      </w:r>
      <w:r w:rsidRPr="00B849DC">
        <w:rPr>
          <w:lang w:val="en-US"/>
        </w:rPr>
        <w:t xml:space="preserve"> failed to</w:t>
      </w:r>
      <w:r w:rsidRPr="00B849DC" w:rsidR="00BF10B1">
        <w:rPr>
          <w:lang w:val="en-US"/>
        </w:rPr>
        <w:t xml:space="preserve"> </w:t>
      </w:r>
      <w:r w:rsidRPr="00B849DC">
        <w:rPr>
          <w:lang w:val="en-US"/>
        </w:rPr>
        <w:t xml:space="preserve">prove the existence of a causal </w:t>
      </w:r>
      <w:r w:rsidRPr="00B849DC" w:rsidR="00C82E98">
        <w:rPr>
          <w:lang w:val="en-US"/>
        </w:rPr>
        <w:t xml:space="preserve">link between the </w:t>
      </w:r>
      <w:r w:rsidRPr="00B849DC" w:rsidR="009B3855">
        <w:rPr>
          <w:lang w:val="en-US"/>
        </w:rPr>
        <w:t>re</w:t>
      </w:r>
      <w:r w:rsidRPr="00B849DC" w:rsidR="00170B9E">
        <w:rPr>
          <w:lang w:val="en-US"/>
        </w:rPr>
        <w:t>structuring</w:t>
      </w:r>
      <w:r w:rsidRPr="00B849DC" w:rsidR="009B3855">
        <w:rPr>
          <w:lang w:val="en-US"/>
        </w:rPr>
        <w:t xml:space="preserve"> </w:t>
      </w:r>
      <w:r w:rsidRPr="00B849DC" w:rsidR="00DD3C54">
        <w:rPr>
          <w:lang w:val="en-US"/>
        </w:rPr>
        <w:t>...</w:t>
      </w:r>
      <w:r w:rsidRPr="00B849DC">
        <w:rPr>
          <w:lang w:val="en-US"/>
        </w:rPr>
        <w:t xml:space="preserve"> and the enterprise</w:t>
      </w:r>
      <w:r w:rsidRPr="00B849DC" w:rsidR="00B849DC">
        <w:rPr>
          <w:lang w:val="en-US"/>
        </w:rPr>
        <w:t>’</w:t>
      </w:r>
      <w:r w:rsidRPr="00B849DC">
        <w:rPr>
          <w:lang w:val="en-US"/>
        </w:rPr>
        <w:t>s insolvency”.</w:t>
      </w:r>
    </w:p>
    <w:p w:rsidRPr="00B849DC" w:rsidR="00CA087B" w:rsidP="00B849DC" w:rsidRDefault="006A3B14">
      <w:pPr>
        <w:pStyle w:val="ECHRPara"/>
        <w:rPr>
          <w:lang w:val="en-US"/>
        </w:rPr>
      </w:pPr>
      <w:r w:rsidRPr="00B849DC">
        <w:fldChar w:fldCharType="begin"/>
      </w:r>
      <w:r w:rsidRPr="00B849DC">
        <w:rPr>
          <w:lang w:val="en-US"/>
        </w:rPr>
        <w:instrText xml:space="preserve"> SEQ level0 \*arabic </w:instrText>
      </w:r>
      <w:r w:rsidRPr="00B849DC">
        <w:fldChar w:fldCharType="separate"/>
      </w:r>
      <w:r w:rsidRPr="00B849DC" w:rsidR="00B849DC">
        <w:rPr>
          <w:noProof/>
          <w:lang w:val="en-US"/>
        </w:rPr>
        <w:t>24</w:t>
      </w:r>
      <w:r w:rsidRPr="00B849DC">
        <w:fldChar w:fldCharType="end"/>
      </w:r>
      <w:r w:rsidRPr="00B849DC">
        <w:rPr>
          <w:lang w:val="en-US"/>
        </w:rPr>
        <w:t>.  The court further observed that, in any event, the applicant</w:t>
      </w:r>
      <w:r w:rsidRPr="00B849DC" w:rsidR="00B849DC">
        <w:rPr>
          <w:lang w:val="en-US"/>
        </w:rPr>
        <w:t>’</w:t>
      </w:r>
      <w:r w:rsidRPr="00B849DC">
        <w:rPr>
          <w:lang w:val="en-US"/>
        </w:rPr>
        <w:t>s claim was premature</w:t>
      </w:r>
      <w:r w:rsidRPr="00B849DC" w:rsidR="00105275">
        <w:rPr>
          <w:lang w:val="en-US"/>
        </w:rPr>
        <w:t>,</w:t>
      </w:r>
      <w:r w:rsidRPr="00B849DC">
        <w:rPr>
          <w:lang w:val="en-US"/>
        </w:rPr>
        <w:t xml:space="preserve"> since the insolvency proceedings had been underway at the material time. </w:t>
      </w:r>
      <w:r w:rsidRPr="00B849DC" w:rsidR="00143250">
        <w:rPr>
          <w:lang w:val="en-US"/>
        </w:rPr>
        <w:t xml:space="preserve">On 22 March 2005 the Supreme Court of the Kareliya Republic upheld the judgment </w:t>
      </w:r>
      <w:r w:rsidRPr="00B849DC" w:rsidR="008D6F8B">
        <w:rPr>
          <w:lang w:val="en-US"/>
        </w:rPr>
        <w:t>on appeal</w:t>
      </w:r>
      <w:r w:rsidRPr="00B849DC" w:rsidR="00143250">
        <w:rPr>
          <w:lang w:val="en-US"/>
        </w:rPr>
        <w:t>.</w:t>
      </w:r>
    </w:p>
    <w:p w:rsidRPr="00B849DC" w:rsidR="00143250" w:rsidP="00B849DC" w:rsidRDefault="00930988">
      <w:pPr>
        <w:pStyle w:val="ECHRPara"/>
        <w:rPr>
          <w:lang w:val="en-US"/>
        </w:rPr>
      </w:pPr>
      <w:r w:rsidRPr="00B849DC">
        <w:rPr>
          <w:lang w:val="en-US"/>
        </w:rPr>
        <w:fldChar w:fldCharType="begin"/>
      </w:r>
      <w:r w:rsidRPr="00B849DC">
        <w:rPr>
          <w:lang w:val="en-US"/>
        </w:rPr>
        <w:instrText xml:space="preserve"> SEQ level0 \*arabic </w:instrText>
      </w:r>
      <w:r w:rsidRPr="00B849DC">
        <w:rPr>
          <w:lang w:val="en-US"/>
        </w:rPr>
        <w:fldChar w:fldCharType="separate"/>
      </w:r>
      <w:r w:rsidRPr="00B849DC" w:rsidR="00B849DC">
        <w:rPr>
          <w:noProof/>
          <w:lang w:val="en-US"/>
        </w:rPr>
        <w:t>25</w:t>
      </w:r>
      <w:r w:rsidRPr="00B849DC">
        <w:rPr>
          <w:lang w:val="en-US"/>
        </w:rPr>
        <w:fldChar w:fldCharType="end"/>
      </w:r>
      <w:r w:rsidRPr="00B849DC">
        <w:rPr>
          <w:lang w:val="en-US"/>
        </w:rPr>
        <w:t>.  </w:t>
      </w:r>
      <w:r w:rsidRPr="00B849DC" w:rsidR="005D2145">
        <w:rPr>
          <w:lang w:val="en-US"/>
        </w:rPr>
        <w:t xml:space="preserve">Once the debtor enterprise was liquidated, the applicant </w:t>
      </w:r>
      <w:r w:rsidRPr="00B849DC" w:rsidR="00424A32">
        <w:rPr>
          <w:lang w:val="en-US"/>
        </w:rPr>
        <w:t xml:space="preserve">lodged </w:t>
      </w:r>
      <w:r w:rsidRPr="00B849DC" w:rsidR="005D2145">
        <w:rPr>
          <w:lang w:val="en-US"/>
        </w:rPr>
        <w:t>a similar claim with the Justice of the Peace of the 10</w:t>
      </w:r>
      <w:r w:rsidRPr="00B849DC" w:rsidR="009D2C52">
        <w:rPr>
          <w:lang w:val="en-US"/>
        </w:rPr>
        <w:t>th</w:t>
      </w:r>
      <w:r w:rsidRPr="00B849DC" w:rsidR="005D2145">
        <w:rPr>
          <w:lang w:val="en-US"/>
        </w:rPr>
        <w:t xml:space="preserve"> Court Circuit of Petrozavodsk. In addition to her earlier submissions (see paragraph </w:t>
      </w:r>
      <w:r w:rsidRPr="00B849DC" w:rsidR="00CC3916">
        <w:rPr>
          <w:lang w:val="en-US"/>
        </w:rPr>
        <w:t>22</w:t>
      </w:r>
      <w:r w:rsidRPr="00B849DC" w:rsidR="005D2145">
        <w:rPr>
          <w:lang w:val="en-US"/>
        </w:rPr>
        <w:t xml:space="preserve"> above) she reiterated that the debtor </w:t>
      </w:r>
      <w:r w:rsidRPr="00B849DC" w:rsidR="0010288D">
        <w:rPr>
          <w:lang w:val="en-US"/>
        </w:rPr>
        <w:t xml:space="preserve">company </w:t>
      </w:r>
      <w:r w:rsidRPr="00B849DC" w:rsidR="005D2145">
        <w:rPr>
          <w:lang w:val="en-US"/>
        </w:rPr>
        <w:t xml:space="preserve">had reported to the owner and the latter had been fully aware of its financial </w:t>
      </w:r>
      <w:r w:rsidRPr="00B849DC" w:rsidR="00696899">
        <w:rPr>
          <w:lang w:val="en-US"/>
        </w:rPr>
        <w:t>difficulties. H</w:t>
      </w:r>
      <w:r w:rsidRPr="00B849DC" w:rsidR="005D2145">
        <w:rPr>
          <w:lang w:val="en-US"/>
        </w:rPr>
        <w:t>owever, no measures had been taken to remedy the situation.</w:t>
      </w:r>
    </w:p>
    <w:p w:rsidRPr="00B849DC" w:rsidR="00CA087B" w:rsidP="00B849DC" w:rsidRDefault="00930988">
      <w:pPr>
        <w:pStyle w:val="ECHRPara"/>
        <w:rPr>
          <w:lang w:val="en-US"/>
        </w:rPr>
      </w:pPr>
      <w:r w:rsidRPr="00B849DC">
        <w:rPr>
          <w:lang w:val="en-US"/>
        </w:rPr>
        <w:fldChar w:fldCharType="begin"/>
      </w:r>
      <w:r w:rsidRPr="00B849DC">
        <w:rPr>
          <w:lang w:val="en-US"/>
        </w:rPr>
        <w:instrText xml:space="preserve"> SEQ level0 \*arabic </w:instrText>
      </w:r>
      <w:r w:rsidRPr="00B849DC">
        <w:rPr>
          <w:lang w:val="en-US"/>
        </w:rPr>
        <w:fldChar w:fldCharType="separate"/>
      </w:r>
      <w:r w:rsidRPr="00B849DC" w:rsidR="00B849DC">
        <w:rPr>
          <w:noProof/>
          <w:lang w:val="en-US"/>
        </w:rPr>
        <w:t>26</w:t>
      </w:r>
      <w:r w:rsidRPr="00B849DC">
        <w:rPr>
          <w:lang w:val="en-US"/>
        </w:rPr>
        <w:fldChar w:fldCharType="end"/>
      </w:r>
      <w:r w:rsidRPr="00B849DC">
        <w:rPr>
          <w:lang w:val="en-US"/>
        </w:rPr>
        <w:t>.  </w:t>
      </w:r>
      <w:r w:rsidRPr="00B849DC" w:rsidR="005F2A1A">
        <w:rPr>
          <w:lang w:val="en-US"/>
        </w:rPr>
        <w:t>On 21 </w:t>
      </w:r>
      <w:r w:rsidRPr="00B849DC" w:rsidR="005D2145">
        <w:rPr>
          <w:lang w:val="en-US"/>
        </w:rPr>
        <w:t>May 2007 the Justice of the Peace rejected her claims, largely referring to the findings of the Petrozavodsk Town Court of 21 January 2005 (see paragraph </w:t>
      </w:r>
      <w:r w:rsidRPr="00B849DC" w:rsidR="00CC3916">
        <w:rPr>
          <w:lang w:val="en-US"/>
        </w:rPr>
        <w:t>23</w:t>
      </w:r>
      <w:r w:rsidRPr="00B849DC" w:rsidR="005D2145">
        <w:rPr>
          <w:lang w:val="en-US"/>
        </w:rPr>
        <w:t xml:space="preserve"> above). She found that even though the </w:t>
      </w:r>
      <w:r w:rsidRPr="00B849DC" w:rsidR="00AB296D">
        <w:rPr>
          <w:lang w:val="en-US"/>
        </w:rPr>
        <w:t xml:space="preserve">liquidation proceedings had been </w:t>
      </w:r>
      <w:r w:rsidRPr="00B849DC" w:rsidR="00852437">
        <w:rPr>
          <w:lang w:val="en-US"/>
        </w:rPr>
        <w:t>terminated</w:t>
      </w:r>
      <w:r w:rsidRPr="00B849DC" w:rsidR="00AB296D">
        <w:rPr>
          <w:lang w:val="en-US"/>
        </w:rPr>
        <w:t xml:space="preserve">, the applicant had failed to adduce any additional evidence to demonstrate that the owner had caused the </w:t>
      </w:r>
      <w:r w:rsidRPr="00B849DC" w:rsidR="0010288D">
        <w:rPr>
          <w:lang w:val="en-US"/>
        </w:rPr>
        <w:t>company</w:t>
      </w:r>
      <w:r w:rsidRPr="00B849DC" w:rsidR="00B849DC">
        <w:rPr>
          <w:lang w:val="en-US"/>
        </w:rPr>
        <w:t>’</w:t>
      </w:r>
      <w:r w:rsidRPr="00B849DC" w:rsidR="0010288D">
        <w:rPr>
          <w:lang w:val="en-US"/>
        </w:rPr>
        <w:t xml:space="preserve">s </w:t>
      </w:r>
      <w:r w:rsidRPr="00B849DC" w:rsidR="00AB296D">
        <w:rPr>
          <w:lang w:val="en-US"/>
        </w:rPr>
        <w:t>insolvency.</w:t>
      </w:r>
      <w:r w:rsidRPr="00B849DC" w:rsidR="007F02B9">
        <w:rPr>
          <w:lang w:val="en-US"/>
        </w:rPr>
        <w:t xml:space="preserve"> The</w:t>
      </w:r>
      <w:r w:rsidRPr="00B849DC" w:rsidR="00AB296D">
        <w:rPr>
          <w:lang w:val="en-US"/>
        </w:rPr>
        <w:t xml:space="preserve"> Justice of the Peace noted that the </w:t>
      </w:r>
      <w:r w:rsidRPr="00B849DC" w:rsidR="0010288D">
        <w:rPr>
          <w:lang w:val="en-US"/>
        </w:rPr>
        <w:t xml:space="preserve">company </w:t>
      </w:r>
      <w:r w:rsidRPr="00B849DC" w:rsidR="00AB296D">
        <w:rPr>
          <w:lang w:val="en-US"/>
        </w:rPr>
        <w:t>had been a separate legal entity liable for its debts with all its assets, and therefore rejected the applicant</w:t>
      </w:r>
      <w:r w:rsidRPr="00B849DC" w:rsidR="00B849DC">
        <w:rPr>
          <w:lang w:val="en-US"/>
        </w:rPr>
        <w:t>’</w:t>
      </w:r>
      <w:r w:rsidRPr="00B849DC" w:rsidR="00AB296D">
        <w:rPr>
          <w:lang w:val="en-US"/>
        </w:rPr>
        <w:t xml:space="preserve">s argument about the </w:t>
      </w:r>
      <w:r w:rsidRPr="00B849DC" w:rsidR="003B56E3">
        <w:rPr>
          <w:lang w:val="en-US"/>
        </w:rPr>
        <w:t xml:space="preserve">town </w:t>
      </w:r>
      <w:r w:rsidRPr="00B849DC" w:rsidR="00AB296D">
        <w:rPr>
          <w:lang w:val="en-US"/>
        </w:rPr>
        <w:t>administration</w:t>
      </w:r>
      <w:r w:rsidRPr="00B849DC" w:rsidR="00B849DC">
        <w:rPr>
          <w:lang w:val="en-US"/>
        </w:rPr>
        <w:t>’</w:t>
      </w:r>
      <w:r w:rsidRPr="00B849DC" w:rsidR="00AB296D">
        <w:rPr>
          <w:lang w:val="en-US"/>
        </w:rPr>
        <w:t>s inaction as irrelevant.</w:t>
      </w:r>
    </w:p>
    <w:p w:rsidRPr="00B849DC" w:rsidR="00CA087B" w:rsidP="00B849DC" w:rsidRDefault="00AB296D">
      <w:pPr>
        <w:pStyle w:val="ECHRPara"/>
        <w:rPr>
          <w:lang w:val="en-US"/>
        </w:rPr>
      </w:pPr>
      <w:r w:rsidRPr="00B849DC">
        <w:rPr>
          <w:lang w:val="en-US"/>
        </w:rPr>
        <w:fldChar w:fldCharType="begin"/>
      </w:r>
      <w:r w:rsidRPr="00B849DC">
        <w:rPr>
          <w:lang w:val="en-US"/>
        </w:rPr>
        <w:instrText xml:space="preserve"> SEQ level0 \*arabic </w:instrText>
      </w:r>
      <w:r w:rsidRPr="00B849DC">
        <w:rPr>
          <w:lang w:val="en-US"/>
        </w:rPr>
        <w:fldChar w:fldCharType="separate"/>
      </w:r>
      <w:r w:rsidRPr="00B849DC" w:rsidR="00B849DC">
        <w:rPr>
          <w:noProof/>
          <w:lang w:val="en-US"/>
        </w:rPr>
        <w:t>27</w:t>
      </w:r>
      <w:r w:rsidRPr="00B849DC">
        <w:rPr>
          <w:lang w:val="en-US"/>
        </w:rPr>
        <w:fldChar w:fldCharType="end"/>
      </w:r>
      <w:r w:rsidRPr="00B849DC">
        <w:rPr>
          <w:lang w:val="en-US"/>
        </w:rPr>
        <w:t xml:space="preserve">.  On </w:t>
      </w:r>
      <w:r w:rsidRPr="00B849DC" w:rsidR="00731C8D">
        <w:rPr>
          <w:lang w:val="en-US"/>
        </w:rPr>
        <w:t>12 </w:t>
      </w:r>
      <w:r w:rsidRPr="00B849DC">
        <w:rPr>
          <w:lang w:val="en-US"/>
        </w:rPr>
        <w:t>September 2007 the Petrozavodsk Town Court endorsed those findings</w:t>
      </w:r>
      <w:r w:rsidRPr="00B849DC" w:rsidR="000B32BB">
        <w:rPr>
          <w:lang w:val="en-US"/>
        </w:rPr>
        <w:t xml:space="preserve"> as regards </w:t>
      </w:r>
      <w:r w:rsidRPr="00B849DC" w:rsidR="006C6E0D">
        <w:rPr>
          <w:lang w:val="en-US"/>
        </w:rPr>
        <w:t xml:space="preserve">both </w:t>
      </w:r>
      <w:r w:rsidRPr="00B849DC" w:rsidR="000B32BB">
        <w:rPr>
          <w:lang w:val="en-US"/>
        </w:rPr>
        <w:t>the failure</w:t>
      </w:r>
      <w:r w:rsidRPr="00B849DC" w:rsidR="00852437">
        <w:rPr>
          <w:lang w:val="en-US"/>
        </w:rPr>
        <w:t xml:space="preserve"> of </w:t>
      </w:r>
      <w:r w:rsidRPr="00B849DC" w:rsidR="0010288D">
        <w:rPr>
          <w:lang w:val="en-US"/>
        </w:rPr>
        <w:t>the authorities</w:t>
      </w:r>
      <w:r w:rsidRPr="00B849DC" w:rsidR="000B32BB">
        <w:rPr>
          <w:lang w:val="en-US"/>
        </w:rPr>
        <w:t xml:space="preserve"> to compensate the cost of the transport</w:t>
      </w:r>
      <w:r w:rsidRPr="00B849DC" w:rsidR="00852437">
        <w:rPr>
          <w:lang w:val="en-US"/>
        </w:rPr>
        <w:t xml:space="preserve"> </w:t>
      </w:r>
      <w:r w:rsidRPr="00B849DC" w:rsidR="000B32BB">
        <w:rPr>
          <w:lang w:val="en-US"/>
        </w:rPr>
        <w:t xml:space="preserve">services and the </w:t>
      </w:r>
      <w:r w:rsidRPr="00B849DC" w:rsidR="00852437">
        <w:rPr>
          <w:lang w:val="en-US"/>
        </w:rPr>
        <w:t>re</w:t>
      </w:r>
      <w:r w:rsidRPr="00B849DC" w:rsidR="00473F2D">
        <w:rPr>
          <w:lang w:val="en-US"/>
        </w:rPr>
        <w:t>structuring</w:t>
      </w:r>
      <w:r w:rsidRPr="00B849DC" w:rsidR="00852437">
        <w:rPr>
          <w:lang w:val="en-US"/>
        </w:rPr>
        <w:t xml:space="preserve"> </w:t>
      </w:r>
      <w:r w:rsidRPr="00B849DC" w:rsidR="000B32BB">
        <w:rPr>
          <w:lang w:val="en-US"/>
        </w:rPr>
        <w:t xml:space="preserve">of the </w:t>
      </w:r>
      <w:r w:rsidRPr="00B849DC" w:rsidR="00424A32">
        <w:rPr>
          <w:lang w:val="en-US"/>
        </w:rPr>
        <w:t>company</w:t>
      </w:r>
      <w:r w:rsidRPr="00B849DC" w:rsidR="000B32BB">
        <w:rPr>
          <w:lang w:val="en-US"/>
        </w:rPr>
        <w:t xml:space="preserve">. The court noted, in addition, that the withdrawal of the assets </w:t>
      </w:r>
      <w:r w:rsidRPr="00B849DC" w:rsidR="00DC73D2">
        <w:rPr>
          <w:lang w:val="en-US"/>
        </w:rPr>
        <w:t xml:space="preserve">on 29 December 2001 </w:t>
      </w:r>
      <w:r w:rsidRPr="00B849DC" w:rsidR="000B32BB">
        <w:rPr>
          <w:lang w:val="en-US"/>
        </w:rPr>
        <w:t xml:space="preserve">had taken place pursuant </w:t>
      </w:r>
      <w:r w:rsidRPr="00B849DC" w:rsidR="006C6E0D">
        <w:rPr>
          <w:lang w:val="en-US"/>
        </w:rPr>
        <w:t xml:space="preserve">to </w:t>
      </w:r>
      <w:r w:rsidRPr="00B849DC" w:rsidR="000B32BB">
        <w:rPr>
          <w:lang w:val="en-US"/>
        </w:rPr>
        <w:t xml:space="preserve">the </w:t>
      </w:r>
      <w:r w:rsidRPr="00B849DC" w:rsidR="006C6E0D">
        <w:rPr>
          <w:lang w:val="en-US"/>
        </w:rPr>
        <w:t>company</w:t>
      </w:r>
      <w:r w:rsidRPr="00B849DC" w:rsidR="00B849DC">
        <w:rPr>
          <w:lang w:val="en-US"/>
        </w:rPr>
        <w:t>’</w:t>
      </w:r>
      <w:r w:rsidRPr="00B849DC" w:rsidR="006C6E0D">
        <w:rPr>
          <w:lang w:val="en-US"/>
        </w:rPr>
        <w:t xml:space="preserve">s </w:t>
      </w:r>
      <w:r w:rsidRPr="00B849DC" w:rsidR="000B32BB">
        <w:rPr>
          <w:lang w:val="en-US"/>
        </w:rPr>
        <w:t>own request and</w:t>
      </w:r>
      <w:r w:rsidRPr="00B849DC" w:rsidR="00FF390C">
        <w:rPr>
          <w:lang w:val="en-US"/>
        </w:rPr>
        <w:t xml:space="preserve"> that</w:t>
      </w:r>
      <w:r w:rsidRPr="00B849DC" w:rsidR="00DC73D2">
        <w:rPr>
          <w:lang w:val="en-US"/>
        </w:rPr>
        <w:t>,</w:t>
      </w:r>
      <w:r w:rsidRPr="00B849DC" w:rsidR="000B32BB">
        <w:rPr>
          <w:lang w:val="en-US"/>
        </w:rPr>
        <w:t xml:space="preserve"> </w:t>
      </w:r>
      <w:r w:rsidRPr="00B849DC" w:rsidR="00DC73D2">
        <w:rPr>
          <w:lang w:val="en-US"/>
        </w:rPr>
        <w:t>moreover,</w:t>
      </w:r>
      <w:r w:rsidRPr="00B849DC" w:rsidR="000B32BB">
        <w:rPr>
          <w:lang w:val="en-US"/>
        </w:rPr>
        <w:t xml:space="preserve"> those assets had been returned to it for free temporary use, which had permitted </w:t>
      </w:r>
      <w:r w:rsidRPr="00B849DC" w:rsidR="00424A32">
        <w:rPr>
          <w:lang w:val="en-US"/>
        </w:rPr>
        <w:t>it</w:t>
      </w:r>
      <w:r w:rsidRPr="00B849DC" w:rsidR="000B32BB">
        <w:rPr>
          <w:lang w:val="en-US"/>
        </w:rPr>
        <w:t xml:space="preserve"> to continue its activities. </w:t>
      </w:r>
      <w:r w:rsidRPr="00B849DC" w:rsidR="00C574BF">
        <w:rPr>
          <w:lang w:val="en-US"/>
        </w:rPr>
        <w:t xml:space="preserve">The court further </w:t>
      </w:r>
      <w:r w:rsidRPr="00B849DC" w:rsidR="00852437">
        <w:rPr>
          <w:lang w:val="en-US"/>
        </w:rPr>
        <w:t xml:space="preserve">found </w:t>
      </w:r>
      <w:r w:rsidRPr="00B849DC" w:rsidR="00C574BF">
        <w:rPr>
          <w:lang w:val="en-US"/>
        </w:rPr>
        <w:t>the applicant</w:t>
      </w:r>
      <w:r w:rsidRPr="00B849DC" w:rsidR="00B849DC">
        <w:rPr>
          <w:lang w:val="en-US"/>
        </w:rPr>
        <w:t>’</w:t>
      </w:r>
      <w:r w:rsidRPr="00B849DC" w:rsidR="00C574BF">
        <w:rPr>
          <w:lang w:val="en-US"/>
        </w:rPr>
        <w:t>s arguments about the authorities</w:t>
      </w:r>
      <w:r w:rsidRPr="00B849DC" w:rsidR="00B849DC">
        <w:rPr>
          <w:lang w:val="en-US"/>
        </w:rPr>
        <w:t>’</w:t>
      </w:r>
      <w:r w:rsidRPr="00B849DC" w:rsidR="00C574BF">
        <w:rPr>
          <w:lang w:val="en-US"/>
        </w:rPr>
        <w:t xml:space="preserve"> inaction ill-founded and emphasised that the applicant had failed to submit evidence in support of her claims.</w:t>
      </w:r>
    </w:p>
    <w:p w:rsidRPr="00B849DC" w:rsidR="00DA6479" w:rsidP="00B849DC" w:rsidRDefault="00DA6479">
      <w:pPr>
        <w:pStyle w:val="ECHRHeading2"/>
        <w:rPr>
          <w:lang w:val="en-US"/>
        </w:rPr>
      </w:pPr>
      <w:r w:rsidRPr="00B849DC">
        <w:rPr>
          <w:lang w:val="en-US"/>
        </w:rPr>
        <w:t>B.  Application by M</w:t>
      </w:r>
      <w:r w:rsidRPr="00B849DC" w:rsidR="0003246B">
        <w:rPr>
          <w:lang w:val="en-US"/>
        </w:rPr>
        <w:t xml:space="preserve">r Maslov </w:t>
      </w:r>
      <w:r w:rsidRPr="00B849DC">
        <w:rPr>
          <w:lang w:val="en-US"/>
        </w:rPr>
        <w:t>(no. </w:t>
      </w:r>
      <w:r w:rsidRPr="00B849DC" w:rsidR="0003246B">
        <w:rPr>
          <w:lang w:val="en-US"/>
        </w:rPr>
        <w:t>40527/10</w:t>
      </w:r>
      <w:r w:rsidRPr="00B849DC">
        <w:rPr>
          <w:lang w:val="en-US"/>
        </w:rPr>
        <w:t>)</w:t>
      </w:r>
    </w:p>
    <w:p w:rsidRPr="00B849DC" w:rsidR="0003246B" w:rsidP="00B849DC" w:rsidRDefault="003D527B">
      <w:pPr>
        <w:pStyle w:val="ECHRPara"/>
        <w:rPr>
          <w:lang w:val="en-US"/>
        </w:rPr>
      </w:pPr>
      <w:r w:rsidRPr="00B849DC">
        <w:rPr>
          <w:lang w:val="en-US"/>
        </w:rPr>
        <w:fldChar w:fldCharType="begin"/>
      </w:r>
      <w:r w:rsidRPr="00B849DC">
        <w:rPr>
          <w:lang w:val="en-US"/>
        </w:rPr>
        <w:instrText xml:space="preserve"> SEQ level0 \*arabic </w:instrText>
      </w:r>
      <w:r w:rsidRPr="00B849DC">
        <w:rPr>
          <w:lang w:val="en-US"/>
        </w:rPr>
        <w:fldChar w:fldCharType="separate"/>
      </w:r>
      <w:r w:rsidRPr="00B849DC" w:rsidR="00B849DC">
        <w:rPr>
          <w:noProof/>
          <w:lang w:val="en-US"/>
        </w:rPr>
        <w:t>28</w:t>
      </w:r>
      <w:r w:rsidRPr="00B849DC">
        <w:rPr>
          <w:lang w:val="en-US"/>
        </w:rPr>
        <w:fldChar w:fldCharType="end"/>
      </w:r>
      <w:r w:rsidRPr="00B849DC">
        <w:rPr>
          <w:lang w:val="en-US"/>
        </w:rPr>
        <w:t>.  The applicant was an employee of the municipal unitary enterprise “Zhilishchno-Kommunalnoye Khozyaystvo of Mezen” (“Housing and Communal Service of the Town of Mezen”</w:t>
      </w:r>
      <w:r w:rsidRPr="00B849DC" w:rsidR="009C00FC">
        <w:rPr>
          <w:lang w:val="en-US"/>
        </w:rPr>
        <w:t>, hereafter “the company”</w:t>
      </w:r>
      <w:r w:rsidRPr="00B849DC">
        <w:rPr>
          <w:lang w:val="en-US"/>
        </w:rPr>
        <w:t xml:space="preserve">) </w:t>
      </w:r>
      <w:r w:rsidRPr="00B849DC" w:rsidR="006C6E0D">
        <w:rPr>
          <w:lang w:val="en-US"/>
        </w:rPr>
        <w:t xml:space="preserve">in </w:t>
      </w:r>
      <w:r w:rsidRPr="00B849DC">
        <w:rPr>
          <w:lang w:val="en-US"/>
        </w:rPr>
        <w:t>the Arkhangelsk Region.</w:t>
      </w:r>
    </w:p>
    <w:p w:rsidRPr="00B849DC" w:rsidR="003D527B" w:rsidP="00B849DC" w:rsidRDefault="003D527B">
      <w:pPr>
        <w:pStyle w:val="ECHRHeading3"/>
        <w:rPr>
          <w:lang w:val="en-US"/>
        </w:rPr>
      </w:pPr>
      <w:r w:rsidRPr="00B849DC">
        <w:rPr>
          <w:lang w:val="en-US"/>
        </w:rPr>
        <w:t xml:space="preserve">1.  Available information on the debtor </w:t>
      </w:r>
      <w:r w:rsidRPr="00B849DC" w:rsidR="009C00FC">
        <w:rPr>
          <w:lang w:val="en-US"/>
        </w:rPr>
        <w:t>company</w:t>
      </w:r>
      <w:r w:rsidRPr="00B849DC" w:rsidR="00C06AA9">
        <w:rPr>
          <w:lang w:val="en-US"/>
        </w:rPr>
        <w:t xml:space="preserve"> and the beginning of the liquidation procedure</w:t>
      </w:r>
    </w:p>
    <w:p w:rsidRPr="00B849DC" w:rsidR="00AE7B9E" w:rsidP="00B849DC" w:rsidRDefault="00AE7B9E">
      <w:pPr>
        <w:pStyle w:val="ECHRHeading4"/>
        <w:rPr>
          <w:lang w:val="en-US"/>
        </w:rPr>
      </w:pPr>
      <w:r w:rsidRPr="00B849DC">
        <w:rPr>
          <w:lang w:val="en-US"/>
        </w:rPr>
        <w:t>(a)  The company</w:t>
      </w:r>
      <w:r w:rsidRPr="00B849DC" w:rsidR="00B849DC">
        <w:rPr>
          <w:lang w:val="en-US"/>
        </w:rPr>
        <w:t>’</w:t>
      </w:r>
      <w:r w:rsidRPr="00B849DC">
        <w:rPr>
          <w:lang w:val="en-US"/>
        </w:rPr>
        <w:t xml:space="preserve">s </w:t>
      </w:r>
      <w:r w:rsidRPr="00B849DC" w:rsidR="003B56E3">
        <w:rPr>
          <w:lang w:val="en-US"/>
        </w:rPr>
        <w:t>a</w:t>
      </w:r>
      <w:r w:rsidRPr="00B849DC" w:rsidR="00424A32">
        <w:rPr>
          <w:lang w:val="en-US"/>
        </w:rPr>
        <w:t xml:space="preserve">rticles of </w:t>
      </w:r>
      <w:r w:rsidRPr="00B849DC" w:rsidR="003B56E3">
        <w:rPr>
          <w:lang w:val="en-US"/>
        </w:rPr>
        <w:t>a</w:t>
      </w:r>
      <w:r w:rsidRPr="00B849DC" w:rsidR="00424A32">
        <w:rPr>
          <w:lang w:val="en-US"/>
        </w:rPr>
        <w:t xml:space="preserve">ssociation </w:t>
      </w:r>
      <w:r w:rsidRPr="00B849DC">
        <w:rPr>
          <w:lang w:val="en-US"/>
        </w:rPr>
        <w:t>and activities</w:t>
      </w:r>
    </w:p>
    <w:p w:rsidRPr="00B849DC" w:rsidR="006C6E0D" w:rsidP="00B849DC" w:rsidRDefault="003D527B">
      <w:pPr>
        <w:pStyle w:val="ECHRPara"/>
        <w:rPr>
          <w:lang w:val="en-US"/>
        </w:rPr>
      </w:pPr>
      <w:r w:rsidRPr="00B849DC">
        <w:rPr>
          <w:lang w:val="en-US"/>
        </w:rPr>
        <w:fldChar w:fldCharType="begin"/>
      </w:r>
      <w:r w:rsidRPr="00B849DC">
        <w:rPr>
          <w:lang w:val="en-US"/>
        </w:rPr>
        <w:instrText xml:space="preserve"> SEQ level0 \*arabic </w:instrText>
      </w:r>
      <w:r w:rsidRPr="00B849DC">
        <w:rPr>
          <w:lang w:val="en-US"/>
        </w:rPr>
        <w:fldChar w:fldCharType="separate"/>
      </w:r>
      <w:r w:rsidRPr="00B849DC" w:rsidR="00B849DC">
        <w:rPr>
          <w:noProof/>
          <w:lang w:val="en-US"/>
        </w:rPr>
        <w:t>29</w:t>
      </w:r>
      <w:r w:rsidRPr="00B849DC">
        <w:rPr>
          <w:lang w:val="en-US"/>
        </w:rPr>
        <w:fldChar w:fldCharType="end"/>
      </w:r>
      <w:r w:rsidRPr="00B849DC">
        <w:rPr>
          <w:lang w:val="en-US"/>
        </w:rPr>
        <w:t>.  </w:t>
      </w:r>
      <w:r w:rsidRPr="00B849DC" w:rsidR="009C00FC">
        <w:rPr>
          <w:lang w:val="en-US"/>
        </w:rPr>
        <w:t xml:space="preserve">The </w:t>
      </w:r>
      <w:r w:rsidRPr="00B849DC" w:rsidR="006C6E0D">
        <w:rPr>
          <w:lang w:val="en-US"/>
        </w:rPr>
        <w:t>company</w:t>
      </w:r>
      <w:r w:rsidRPr="00B849DC">
        <w:rPr>
          <w:lang w:val="en-US"/>
        </w:rPr>
        <w:t xml:space="preserve"> was set up by decision of the administration of the </w:t>
      </w:r>
      <w:r w:rsidRPr="00B849DC" w:rsidR="001F0708">
        <w:rPr>
          <w:lang w:val="en-US"/>
        </w:rPr>
        <w:t>Mezen District</w:t>
      </w:r>
      <w:r w:rsidRPr="00B849DC">
        <w:rPr>
          <w:lang w:val="en-US"/>
        </w:rPr>
        <w:t xml:space="preserve">. </w:t>
      </w:r>
      <w:r w:rsidRPr="00B849DC" w:rsidR="009C00FC">
        <w:rPr>
          <w:lang w:val="en-US"/>
        </w:rPr>
        <w:t>It</w:t>
      </w:r>
      <w:r w:rsidRPr="00B849DC">
        <w:rPr>
          <w:lang w:val="en-US"/>
        </w:rPr>
        <w:t xml:space="preserve"> had the right of economic control over the assets allocated to it </w:t>
      </w:r>
      <w:r w:rsidRPr="00B849DC" w:rsidR="003152A0">
        <w:rPr>
          <w:lang w:val="en-US"/>
        </w:rPr>
        <w:t xml:space="preserve">by the district </w:t>
      </w:r>
      <w:r w:rsidRPr="00B849DC" w:rsidR="00424A32">
        <w:rPr>
          <w:lang w:val="en-US"/>
        </w:rPr>
        <w:t>in order to meet</w:t>
      </w:r>
      <w:r w:rsidRPr="00B849DC">
        <w:rPr>
          <w:lang w:val="en-US"/>
        </w:rPr>
        <w:t xml:space="preserve"> its </w:t>
      </w:r>
      <w:r w:rsidRPr="00B849DC" w:rsidR="003152A0">
        <w:rPr>
          <w:lang w:val="en-US"/>
        </w:rPr>
        <w:t>statutory objectives</w:t>
      </w:r>
      <w:r w:rsidRPr="00B849DC">
        <w:rPr>
          <w:lang w:val="en-US"/>
        </w:rPr>
        <w:t xml:space="preserve">. In accordance </w:t>
      </w:r>
      <w:r w:rsidRPr="00B849DC" w:rsidR="003C52E7">
        <w:rPr>
          <w:lang w:val="en-US"/>
        </w:rPr>
        <w:t xml:space="preserve">with </w:t>
      </w:r>
      <w:r w:rsidRPr="00B849DC" w:rsidR="006C6E0D">
        <w:rPr>
          <w:lang w:val="en-US"/>
        </w:rPr>
        <w:t>the company</w:t>
      </w:r>
      <w:r w:rsidRPr="00B849DC" w:rsidR="00B849DC">
        <w:rPr>
          <w:lang w:val="en-US"/>
        </w:rPr>
        <w:t>’</w:t>
      </w:r>
      <w:r w:rsidRPr="00B849DC" w:rsidR="006C6E0D">
        <w:rPr>
          <w:lang w:val="en-US"/>
        </w:rPr>
        <w:t xml:space="preserve">s </w:t>
      </w:r>
      <w:r w:rsidRPr="00B849DC" w:rsidR="003B56E3">
        <w:rPr>
          <w:lang w:val="en-US"/>
        </w:rPr>
        <w:t>a</w:t>
      </w:r>
      <w:r w:rsidRPr="00B849DC" w:rsidR="003C52E7">
        <w:rPr>
          <w:lang w:val="en-US"/>
        </w:rPr>
        <w:t xml:space="preserve">rticles of </w:t>
      </w:r>
      <w:r w:rsidRPr="00B849DC" w:rsidR="003B56E3">
        <w:rPr>
          <w:lang w:val="en-US"/>
        </w:rPr>
        <w:t>a</w:t>
      </w:r>
      <w:r w:rsidRPr="00B849DC" w:rsidR="003C52E7">
        <w:rPr>
          <w:lang w:val="en-US"/>
        </w:rPr>
        <w:t>ssociation</w:t>
      </w:r>
      <w:r w:rsidRPr="00B849DC">
        <w:rPr>
          <w:lang w:val="en-US"/>
        </w:rPr>
        <w:t xml:space="preserve">, </w:t>
      </w:r>
      <w:r w:rsidRPr="00B849DC" w:rsidR="006C6E0D">
        <w:rPr>
          <w:lang w:val="en-US"/>
        </w:rPr>
        <w:t>it</w:t>
      </w:r>
      <w:r w:rsidRPr="00B849DC" w:rsidR="00193D44">
        <w:rPr>
          <w:lang w:val="en-US"/>
        </w:rPr>
        <w:t xml:space="preserve"> was a commercial </w:t>
      </w:r>
      <w:r w:rsidRPr="00B849DC" w:rsidR="003C52E7">
        <w:rPr>
          <w:lang w:val="en-US"/>
        </w:rPr>
        <w:t xml:space="preserve">organisation </w:t>
      </w:r>
      <w:r w:rsidRPr="00B849DC" w:rsidR="00193D44">
        <w:rPr>
          <w:lang w:val="en-US"/>
        </w:rPr>
        <w:t>performing the following activities</w:t>
      </w:r>
      <w:r w:rsidRPr="00B849DC" w:rsidR="006C6E0D">
        <w:rPr>
          <w:lang w:val="en-US"/>
        </w:rPr>
        <w:t>, among others</w:t>
      </w:r>
      <w:r w:rsidRPr="00B849DC" w:rsidR="00193D44">
        <w:rPr>
          <w:lang w:val="en-US"/>
        </w:rPr>
        <w:t xml:space="preserve">: renovation and </w:t>
      </w:r>
      <w:r w:rsidRPr="00B849DC" w:rsidR="00985F7E">
        <w:rPr>
          <w:lang w:val="en-US"/>
        </w:rPr>
        <w:t xml:space="preserve">maintenance of the </w:t>
      </w:r>
      <w:r w:rsidRPr="00B849DC" w:rsidR="0094228B">
        <w:rPr>
          <w:lang w:val="en-US"/>
        </w:rPr>
        <w:t xml:space="preserve">municipal </w:t>
      </w:r>
      <w:r w:rsidRPr="00B849DC" w:rsidR="00985F7E">
        <w:rPr>
          <w:lang w:val="en-US"/>
        </w:rPr>
        <w:t>housing</w:t>
      </w:r>
      <w:r w:rsidRPr="00B849DC" w:rsidR="00800CD6">
        <w:rPr>
          <w:lang w:val="en-US"/>
        </w:rPr>
        <w:t xml:space="preserve"> stock</w:t>
      </w:r>
      <w:r w:rsidRPr="00B849DC" w:rsidR="00985F7E">
        <w:rPr>
          <w:lang w:val="en-US"/>
        </w:rPr>
        <w:t>;</w:t>
      </w:r>
      <w:r w:rsidRPr="00B849DC" w:rsidR="00193D44">
        <w:rPr>
          <w:lang w:val="en-US"/>
        </w:rPr>
        <w:t xml:space="preserve"> </w:t>
      </w:r>
      <w:r w:rsidRPr="00B849DC" w:rsidR="00985F7E">
        <w:rPr>
          <w:lang w:val="en-US"/>
        </w:rPr>
        <w:t>heating and water supply</w:t>
      </w:r>
      <w:r w:rsidRPr="00B849DC" w:rsidR="006C6E0D">
        <w:rPr>
          <w:lang w:val="en-US"/>
        </w:rPr>
        <w:t>;</w:t>
      </w:r>
      <w:r w:rsidRPr="00B849DC" w:rsidR="00985F7E">
        <w:rPr>
          <w:lang w:val="en-US"/>
        </w:rPr>
        <w:t xml:space="preserve"> maintenance of the sewage systems in Mezen; </w:t>
      </w:r>
      <w:r w:rsidRPr="00B849DC" w:rsidR="006C6E0D">
        <w:rPr>
          <w:lang w:val="en-US"/>
        </w:rPr>
        <w:t xml:space="preserve">cartage and </w:t>
      </w:r>
      <w:r w:rsidRPr="00B849DC" w:rsidR="003C52E7">
        <w:rPr>
          <w:lang w:val="en-US"/>
        </w:rPr>
        <w:t xml:space="preserve">passenger </w:t>
      </w:r>
      <w:r w:rsidRPr="00B849DC" w:rsidR="006C6E0D">
        <w:rPr>
          <w:lang w:val="en-US"/>
        </w:rPr>
        <w:t>transport</w:t>
      </w:r>
      <w:r w:rsidRPr="00B849DC" w:rsidR="00193D44">
        <w:rPr>
          <w:lang w:val="en-US"/>
        </w:rPr>
        <w:t>; funeral services;</w:t>
      </w:r>
      <w:r w:rsidRPr="00B849DC" w:rsidR="00985F7E">
        <w:rPr>
          <w:lang w:val="en-US"/>
        </w:rPr>
        <w:t xml:space="preserve"> maintenance of municipal boiler plants, artesian wells and </w:t>
      </w:r>
      <w:r w:rsidRPr="00B849DC" w:rsidR="006C6E0D">
        <w:rPr>
          <w:lang w:val="en-US"/>
        </w:rPr>
        <w:t xml:space="preserve">related </w:t>
      </w:r>
      <w:r w:rsidRPr="00B849DC" w:rsidR="00985F7E">
        <w:rPr>
          <w:lang w:val="en-US"/>
        </w:rPr>
        <w:t xml:space="preserve">infrastructure, as well as heating supply systems; </w:t>
      </w:r>
      <w:r w:rsidRPr="00B849DC" w:rsidR="00193D44">
        <w:rPr>
          <w:lang w:val="en-US"/>
        </w:rPr>
        <w:t>production of fast</w:t>
      </w:r>
      <w:r w:rsidRPr="00B849DC" w:rsidR="006C6E0D">
        <w:rPr>
          <w:lang w:val="en-US"/>
        </w:rPr>
        <w:t>-</w:t>
      </w:r>
      <w:r w:rsidRPr="00B849DC" w:rsidR="00193D44">
        <w:rPr>
          <w:lang w:val="en-US"/>
        </w:rPr>
        <w:t xml:space="preserve">moving consumer goods; </w:t>
      </w:r>
      <w:r w:rsidRPr="00B849DC" w:rsidR="003C52E7">
        <w:rPr>
          <w:lang w:val="en-US"/>
        </w:rPr>
        <w:t xml:space="preserve">and </w:t>
      </w:r>
      <w:r w:rsidRPr="00B849DC" w:rsidR="00193D44">
        <w:rPr>
          <w:lang w:val="en-US"/>
        </w:rPr>
        <w:t>disposal of dry waste and household waste,</w:t>
      </w:r>
    </w:p>
    <w:p w:rsidRPr="00B849DC" w:rsidR="003477CF" w:rsidP="00B849DC" w:rsidRDefault="003477CF">
      <w:pPr>
        <w:pStyle w:val="ECHRPara"/>
        <w:rPr>
          <w:lang w:val="en-US"/>
        </w:rPr>
      </w:pPr>
      <w:r w:rsidRPr="00B849DC">
        <w:rPr>
          <w:lang w:val="en-US"/>
        </w:rPr>
        <w:fldChar w:fldCharType="begin"/>
      </w:r>
      <w:r w:rsidRPr="00B849DC">
        <w:rPr>
          <w:lang w:val="en-US"/>
        </w:rPr>
        <w:instrText xml:space="preserve"> SEQ level0 \*arabic </w:instrText>
      </w:r>
      <w:r w:rsidRPr="00B849DC">
        <w:rPr>
          <w:lang w:val="en-US"/>
        </w:rPr>
        <w:fldChar w:fldCharType="separate"/>
      </w:r>
      <w:r w:rsidRPr="00B849DC" w:rsidR="00B849DC">
        <w:rPr>
          <w:noProof/>
          <w:lang w:val="en-US"/>
        </w:rPr>
        <w:t>30</w:t>
      </w:r>
      <w:r w:rsidRPr="00B849DC">
        <w:rPr>
          <w:lang w:val="en-US"/>
        </w:rPr>
        <w:fldChar w:fldCharType="end"/>
      </w:r>
      <w:r w:rsidRPr="00B849DC">
        <w:rPr>
          <w:lang w:val="en-US"/>
        </w:rPr>
        <w:t>.  </w:t>
      </w:r>
      <w:r w:rsidRPr="00B849DC" w:rsidR="00BF10B1">
        <w:rPr>
          <w:lang w:val="en-US"/>
        </w:rPr>
        <w:t>According to</w:t>
      </w:r>
      <w:r w:rsidRPr="00B849DC" w:rsidR="003152A0">
        <w:rPr>
          <w:lang w:val="en-US"/>
        </w:rPr>
        <w:t xml:space="preserve"> </w:t>
      </w:r>
      <w:r w:rsidRPr="00B849DC" w:rsidR="00170B9E">
        <w:rPr>
          <w:lang w:val="en-US"/>
        </w:rPr>
        <w:t xml:space="preserve">its </w:t>
      </w:r>
      <w:r w:rsidRPr="00B849DC" w:rsidR="003B56E3">
        <w:rPr>
          <w:lang w:val="en-US"/>
        </w:rPr>
        <w:t>a</w:t>
      </w:r>
      <w:r w:rsidRPr="00B849DC" w:rsidR="00170B9E">
        <w:rPr>
          <w:lang w:val="en-US"/>
        </w:rPr>
        <w:t>rticles</w:t>
      </w:r>
      <w:r w:rsidRPr="00B849DC" w:rsidR="00BF10B1">
        <w:rPr>
          <w:lang w:val="en-US"/>
        </w:rPr>
        <w:t xml:space="preserve">, the assets of the company consisted of the profit </w:t>
      </w:r>
      <w:r w:rsidRPr="00B849DC" w:rsidR="00343205">
        <w:rPr>
          <w:lang w:val="en-US"/>
        </w:rPr>
        <w:t>generated by</w:t>
      </w:r>
      <w:r w:rsidRPr="00B849DC" w:rsidR="00BF10B1">
        <w:rPr>
          <w:lang w:val="en-US"/>
        </w:rPr>
        <w:t xml:space="preserve"> its activities, capital investments, </w:t>
      </w:r>
      <w:r w:rsidRPr="00B849DC" w:rsidR="00343205">
        <w:rPr>
          <w:lang w:val="en-US"/>
        </w:rPr>
        <w:t xml:space="preserve">and </w:t>
      </w:r>
      <w:r w:rsidRPr="00B849DC" w:rsidR="00BF10B1">
        <w:rPr>
          <w:lang w:val="en-US"/>
        </w:rPr>
        <w:t>grants from the federal, regional and local budgets and other sources.</w:t>
      </w:r>
      <w:r w:rsidRPr="00B849DC" w:rsidR="005C6D93">
        <w:rPr>
          <w:lang w:val="en-GB"/>
        </w:rPr>
        <w:t xml:space="preserve"> The company</w:t>
      </w:r>
      <w:r w:rsidRPr="00B849DC" w:rsidR="00B849DC">
        <w:rPr>
          <w:lang w:val="en-GB"/>
        </w:rPr>
        <w:t>’</w:t>
      </w:r>
      <w:r w:rsidRPr="00B849DC" w:rsidR="005C6D93">
        <w:rPr>
          <w:lang w:val="en-GB"/>
        </w:rPr>
        <w:t xml:space="preserve">s financial resources were </w:t>
      </w:r>
      <w:r w:rsidRPr="00B849DC" w:rsidR="00343205">
        <w:rPr>
          <w:lang w:val="en-GB"/>
        </w:rPr>
        <w:t>made up of</w:t>
      </w:r>
      <w:r w:rsidRPr="00B849DC" w:rsidR="005C6D93">
        <w:rPr>
          <w:lang w:val="en-GB"/>
        </w:rPr>
        <w:t xml:space="preserve"> profit</w:t>
      </w:r>
      <w:r w:rsidRPr="00B849DC" w:rsidR="00343205">
        <w:rPr>
          <w:lang w:val="en-GB"/>
        </w:rPr>
        <w:t>s</w:t>
      </w:r>
      <w:r w:rsidRPr="00B849DC" w:rsidR="005C6D93">
        <w:rPr>
          <w:lang w:val="en-GB"/>
        </w:rPr>
        <w:t xml:space="preserve">, amortisation charges, </w:t>
      </w:r>
      <w:r w:rsidRPr="00B849DC" w:rsidR="0094228B">
        <w:rPr>
          <w:lang w:val="en-GB"/>
        </w:rPr>
        <w:t xml:space="preserve">loans </w:t>
      </w:r>
      <w:r w:rsidRPr="00B849DC" w:rsidR="005C6D93">
        <w:rPr>
          <w:lang w:val="en-GB"/>
        </w:rPr>
        <w:t xml:space="preserve">and other revenues, as well as “grants from the local budget </w:t>
      </w:r>
      <w:r w:rsidRPr="00B849DC" w:rsidR="0094228B">
        <w:rPr>
          <w:lang w:val="en-GB"/>
        </w:rPr>
        <w:t>to cover any</w:t>
      </w:r>
      <w:r w:rsidRPr="00B849DC" w:rsidR="005C6D93">
        <w:rPr>
          <w:lang w:val="en-GB"/>
        </w:rPr>
        <w:t xml:space="preserve"> loss</w:t>
      </w:r>
      <w:r w:rsidRPr="00B849DC" w:rsidR="0094228B">
        <w:rPr>
          <w:lang w:val="en-GB"/>
        </w:rPr>
        <w:t>es incurred through the provision of</w:t>
      </w:r>
      <w:r w:rsidRPr="00B849DC" w:rsidR="005C6D93">
        <w:rPr>
          <w:lang w:val="en-GB"/>
        </w:rPr>
        <w:t xml:space="preserve"> housing and communal services”.</w:t>
      </w:r>
    </w:p>
    <w:p w:rsidRPr="00B849DC" w:rsidR="00F45128" w:rsidP="00B849DC" w:rsidRDefault="00F45128">
      <w:pPr>
        <w:pStyle w:val="ECHRPara"/>
        <w:rPr>
          <w:lang w:val="en-GB"/>
        </w:rPr>
      </w:pPr>
      <w:r w:rsidRPr="00B849DC">
        <w:rPr>
          <w:lang w:val="ru-RU"/>
        </w:rPr>
        <w:fldChar w:fldCharType="begin"/>
      </w:r>
      <w:r w:rsidRPr="00B849DC">
        <w:rPr>
          <w:lang w:val="en-US"/>
        </w:rPr>
        <w:instrText xml:space="preserve"> SEQ level0 \*arabic </w:instrText>
      </w:r>
      <w:r w:rsidRPr="00B849DC">
        <w:rPr>
          <w:lang w:val="ru-RU"/>
        </w:rPr>
        <w:fldChar w:fldCharType="separate"/>
      </w:r>
      <w:r w:rsidRPr="00B849DC" w:rsidR="00B849DC">
        <w:rPr>
          <w:noProof/>
          <w:lang w:val="en-US"/>
        </w:rPr>
        <w:t>31</w:t>
      </w:r>
      <w:r w:rsidRPr="00B849DC">
        <w:rPr>
          <w:lang w:val="ru-RU"/>
        </w:rPr>
        <w:fldChar w:fldCharType="end"/>
      </w:r>
      <w:r w:rsidRPr="00B849DC">
        <w:rPr>
          <w:lang w:val="en-US"/>
        </w:rPr>
        <w:t>. </w:t>
      </w:r>
      <w:r w:rsidRPr="00B849DC" w:rsidR="00243354">
        <w:rPr>
          <w:lang w:val="en-US"/>
        </w:rPr>
        <w:t> </w:t>
      </w:r>
      <w:r w:rsidRPr="00B849DC">
        <w:rPr>
          <w:lang w:val="en-GB"/>
        </w:rPr>
        <w:t xml:space="preserve">The </w:t>
      </w:r>
      <w:r w:rsidRPr="00B849DC" w:rsidR="00343205">
        <w:rPr>
          <w:lang w:val="en-GB"/>
        </w:rPr>
        <w:t xml:space="preserve">company </w:t>
      </w:r>
      <w:r w:rsidRPr="00B849DC">
        <w:rPr>
          <w:lang w:val="en-GB"/>
        </w:rPr>
        <w:t xml:space="preserve">planned its activities and development </w:t>
      </w:r>
      <w:r w:rsidRPr="00B849DC" w:rsidR="00343205">
        <w:rPr>
          <w:lang w:val="en-GB"/>
        </w:rPr>
        <w:t>itself</w:t>
      </w:r>
      <w:r w:rsidRPr="00B849DC">
        <w:rPr>
          <w:lang w:val="en-GB"/>
        </w:rPr>
        <w:t xml:space="preserve">. </w:t>
      </w:r>
      <w:r w:rsidRPr="00B849DC" w:rsidR="00B66FE2">
        <w:rPr>
          <w:lang w:val="en-GB"/>
        </w:rPr>
        <w:t>It</w:t>
      </w:r>
      <w:r w:rsidRPr="00B849DC">
        <w:rPr>
          <w:lang w:val="en-GB"/>
        </w:rPr>
        <w:t xml:space="preserve"> proposed prices and the tariffs for its </w:t>
      </w:r>
      <w:r w:rsidRPr="00B849DC" w:rsidR="00170B9E">
        <w:rPr>
          <w:lang w:val="en-GB"/>
        </w:rPr>
        <w:t xml:space="preserve">products </w:t>
      </w:r>
      <w:r w:rsidRPr="00B849DC">
        <w:rPr>
          <w:lang w:val="en-GB"/>
        </w:rPr>
        <w:t xml:space="preserve">and services in accordance with the domestic legislation and submitted them </w:t>
      </w:r>
      <w:r w:rsidRPr="00B849DC" w:rsidR="003152A0">
        <w:rPr>
          <w:lang w:val="en-GB"/>
        </w:rPr>
        <w:t>to the district administration</w:t>
      </w:r>
      <w:r w:rsidRPr="00B849DC" w:rsidR="00B66FE2">
        <w:rPr>
          <w:lang w:val="en-GB"/>
        </w:rPr>
        <w:t xml:space="preserve"> for approval</w:t>
      </w:r>
      <w:r w:rsidRPr="00B849DC" w:rsidR="003152A0">
        <w:rPr>
          <w:lang w:val="en-GB"/>
        </w:rPr>
        <w:t>.</w:t>
      </w:r>
      <w:r w:rsidRPr="00B849DC">
        <w:rPr>
          <w:lang w:val="en-GB"/>
        </w:rPr>
        <w:t xml:space="preserve"> The plans were based on contracts with consumers, including </w:t>
      </w:r>
      <w:r w:rsidRPr="00B849DC" w:rsidR="00B66FE2">
        <w:rPr>
          <w:lang w:val="en-GB"/>
        </w:rPr>
        <w:t>S</w:t>
      </w:r>
      <w:r w:rsidRPr="00B849DC">
        <w:rPr>
          <w:lang w:val="en-GB"/>
        </w:rPr>
        <w:t>tate bodies and suppliers, “</w:t>
      </w:r>
      <w:r w:rsidRPr="00B849DC" w:rsidR="00B66FE2">
        <w:rPr>
          <w:lang w:val="en-GB"/>
        </w:rPr>
        <w:t xml:space="preserve">concluded </w:t>
      </w:r>
      <w:r w:rsidRPr="00B849DC">
        <w:rPr>
          <w:lang w:val="en-GB"/>
        </w:rPr>
        <w:t>on a commercial basis”.</w:t>
      </w:r>
    </w:p>
    <w:p w:rsidRPr="00B849DC" w:rsidR="003D527B" w:rsidP="00B849DC" w:rsidRDefault="003477CF">
      <w:pPr>
        <w:pStyle w:val="ECHRHeading4"/>
        <w:rPr>
          <w:lang w:val="en-US"/>
        </w:rPr>
      </w:pPr>
      <w:r w:rsidRPr="00B849DC">
        <w:rPr>
          <w:lang w:val="en-US"/>
        </w:rPr>
        <w:t>(b)  </w:t>
      </w:r>
      <w:r w:rsidRPr="00B849DC" w:rsidR="00733EC5">
        <w:rPr>
          <w:lang w:val="en-US"/>
        </w:rPr>
        <w:t>E</w:t>
      </w:r>
      <w:r w:rsidRPr="00B849DC">
        <w:rPr>
          <w:lang w:val="en-US"/>
        </w:rPr>
        <w:t>mployees</w:t>
      </w:r>
      <w:r w:rsidRPr="00B849DC" w:rsidR="00B849DC">
        <w:rPr>
          <w:lang w:val="en-US"/>
        </w:rPr>
        <w:t>’</w:t>
      </w:r>
      <w:r w:rsidRPr="00B849DC">
        <w:rPr>
          <w:lang w:val="en-US"/>
        </w:rPr>
        <w:t xml:space="preserve"> salaries</w:t>
      </w:r>
    </w:p>
    <w:p w:rsidRPr="00B849DC" w:rsidR="00D314FB" w:rsidP="00B849DC" w:rsidRDefault="005C6D93">
      <w:pPr>
        <w:pStyle w:val="ECHRPara"/>
        <w:rPr>
          <w:lang w:val="en-US"/>
        </w:rPr>
      </w:pPr>
      <w:r w:rsidRPr="00B849DC">
        <w:rPr>
          <w:lang w:val="en-US"/>
        </w:rPr>
        <w:fldChar w:fldCharType="begin"/>
      </w:r>
      <w:r w:rsidRPr="00B849DC">
        <w:rPr>
          <w:lang w:val="en-US"/>
        </w:rPr>
        <w:instrText xml:space="preserve"> SEQ level0 \*arabic </w:instrText>
      </w:r>
      <w:r w:rsidRPr="00B849DC">
        <w:rPr>
          <w:lang w:val="en-US"/>
        </w:rPr>
        <w:fldChar w:fldCharType="separate"/>
      </w:r>
      <w:r w:rsidRPr="00B849DC" w:rsidR="00B849DC">
        <w:rPr>
          <w:noProof/>
          <w:lang w:val="en-US"/>
        </w:rPr>
        <w:t>32</w:t>
      </w:r>
      <w:r w:rsidRPr="00B849DC">
        <w:rPr>
          <w:lang w:val="en-US"/>
        </w:rPr>
        <w:fldChar w:fldCharType="end"/>
      </w:r>
      <w:r w:rsidRPr="00B849DC">
        <w:rPr>
          <w:lang w:val="en-US"/>
        </w:rPr>
        <w:t>.  </w:t>
      </w:r>
      <w:r w:rsidRPr="00B849DC" w:rsidR="00193D44">
        <w:rPr>
          <w:lang w:val="en-US"/>
        </w:rPr>
        <w:t xml:space="preserve">The </w:t>
      </w:r>
      <w:r w:rsidRPr="00B849DC" w:rsidR="00D314FB">
        <w:rPr>
          <w:lang w:val="en-GB"/>
        </w:rPr>
        <w:t xml:space="preserve">basic </w:t>
      </w:r>
      <w:r w:rsidRPr="00B849DC" w:rsidR="00D314FB">
        <w:rPr>
          <w:lang w:val="en-US"/>
        </w:rPr>
        <w:t xml:space="preserve">salaries of the employees of the housing and communal sector </w:t>
      </w:r>
      <w:r w:rsidRPr="00B849DC" w:rsidR="00193D44">
        <w:rPr>
          <w:lang w:val="en-US"/>
        </w:rPr>
        <w:t xml:space="preserve">for 2005-07 </w:t>
      </w:r>
      <w:r w:rsidRPr="00B849DC" w:rsidR="00D314FB">
        <w:rPr>
          <w:lang w:val="en-US"/>
        </w:rPr>
        <w:t xml:space="preserve">were </w:t>
      </w:r>
      <w:r w:rsidRPr="00B849DC" w:rsidR="00B66FE2">
        <w:rPr>
          <w:lang w:val="en-US"/>
        </w:rPr>
        <w:t xml:space="preserve">set </w:t>
      </w:r>
      <w:r w:rsidRPr="00B849DC" w:rsidR="00D314FB">
        <w:rPr>
          <w:lang w:val="en-US"/>
        </w:rPr>
        <w:t xml:space="preserve">by the </w:t>
      </w:r>
      <w:r w:rsidRPr="00B849DC" w:rsidR="003D527B">
        <w:rPr>
          <w:lang w:val="en-US"/>
        </w:rPr>
        <w:t xml:space="preserve">Sectoral Tariff Agreement for the </w:t>
      </w:r>
      <w:r w:rsidRPr="00B849DC" w:rsidR="00D314FB">
        <w:rPr>
          <w:lang w:val="en-US"/>
        </w:rPr>
        <w:t>Housing and Communal Sector</w:t>
      </w:r>
      <w:r w:rsidRPr="00B849DC" w:rsidR="003D527B">
        <w:rPr>
          <w:lang w:val="en-US"/>
        </w:rPr>
        <w:t xml:space="preserve"> of the Russian Federation </w:t>
      </w:r>
      <w:r w:rsidRPr="00B849DC" w:rsidR="003D527B">
        <w:rPr>
          <w:i/>
          <w:lang w:val="en-US"/>
        </w:rPr>
        <w:t xml:space="preserve">(Отраслевое тарифное соглашение по </w:t>
      </w:r>
      <w:r w:rsidRPr="00B849DC" w:rsidR="00D314FB">
        <w:rPr>
          <w:i/>
          <w:lang w:val="ru-RU"/>
        </w:rPr>
        <w:t>организациям</w:t>
      </w:r>
      <w:r w:rsidRPr="00B849DC" w:rsidR="00D314FB">
        <w:rPr>
          <w:i/>
          <w:lang w:val="en-US"/>
        </w:rPr>
        <w:t xml:space="preserve"> </w:t>
      </w:r>
      <w:r w:rsidRPr="00B849DC" w:rsidR="00D314FB">
        <w:rPr>
          <w:i/>
          <w:lang w:val="ru-RU"/>
        </w:rPr>
        <w:t>жилищно</w:t>
      </w:r>
      <w:r w:rsidRPr="00B849DC" w:rsidR="00D314FB">
        <w:rPr>
          <w:i/>
          <w:lang w:val="en-US"/>
        </w:rPr>
        <w:t>-</w:t>
      </w:r>
      <w:r w:rsidRPr="00B849DC" w:rsidR="00D314FB">
        <w:rPr>
          <w:i/>
          <w:lang w:val="ru-RU"/>
        </w:rPr>
        <w:t>коммунального</w:t>
      </w:r>
      <w:r w:rsidRPr="00B849DC" w:rsidR="00D314FB">
        <w:rPr>
          <w:i/>
          <w:lang w:val="en-US"/>
        </w:rPr>
        <w:t xml:space="preserve"> </w:t>
      </w:r>
      <w:r w:rsidRPr="00B849DC" w:rsidR="00D314FB">
        <w:rPr>
          <w:i/>
          <w:lang w:val="ru-RU"/>
        </w:rPr>
        <w:t>хозяйства</w:t>
      </w:r>
      <w:r w:rsidRPr="00B849DC" w:rsidR="003D527B">
        <w:rPr>
          <w:i/>
          <w:lang w:val="en-US"/>
        </w:rPr>
        <w:t xml:space="preserve"> Российской Федерации</w:t>
      </w:r>
      <w:r w:rsidRPr="00B849DC" w:rsidR="0059769E">
        <w:rPr>
          <w:lang w:val="en-US"/>
        </w:rPr>
        <w:t>) concluded between the employees of the “</w:t>
      </w:r>
      <w:r w:rsidRPr="00B849DC" w:rsidR="002A298B">
        <w:rPr>
          <w:lang w:val="en-US"/>
        </w:rPr>
        <w:t>essential public services</w:t>
      </w:r>
      <w:r w:rsidRPr="00B849DC" w:rsidR="0059769E">
        <w:rPr>
          <w:lang w:val="en-US"/>
        </w:rPr>
        <w:t xml:space="preserve"> sector” represented by the trade</w:t>
      </w:r>
      <w:r w:rsidRPr="00B849DC" w:rsidR="00B66FE2">
        <w:rPr>
          <w:lang w:val="en-US"/>
        </w:rPr>
        <w:t xml:space="preserve"> </w:t>
      </w:r>
      <w:r w:rsidRPr="00B849DC" w:rsidR="0059769E">
        <w:rPr>
          <w:lang w:val="en-US"/>
        </w:rPr>
        <w:t>union</w:t>
      </w:r>
      <w:r w:rsidRPr="00B849DC" w:rsidR="00B66FE2">
        <w:rPr>
          <w:lang w:val="en-US"/>
        </w:rPr>
        <w:t>,</w:t>
      </w:r>
      <w:r w:rsidRPr="00B849DC" w:rsidR="0059769E">
        <w:rPr>
          <w:lang w:val="en-US"/>
        </w:rPr>
        <w:t xml:space="preserve"> and the employers</w:t>
      </w:r>
      <w:r w:rsidRPr="00B849DC" w:rsidR="00B66FE2">
        <w:rPr>
          <w:lang w:val="en-US"/>
        </w:rPr>
        <w:t>,</w:t>
      </w:r>
      <w:r w:rsidRPr="00B849DC" w:rsidR="0059769E">
        <w:rPr>
          <w:lang w:val="en-US"/>
        </w:rPr>
        <w:t xml:space="preserve"> represented by the Communal Enterprises Union. </w:t>
      </w:r>
      <w:r w:rsidRPr="00B849DC" w:rsidR="003D527B">
        <w:rPr>
          <w:lang w:val="en-US"/>
        </w:rPr>
        <w:t>The agreement applied</w:t>
      </w:r>
      <w:r w:rsidRPr="00B849DC" w:rsidR="00C06AA9">
        <w:rPr>
          <w:lang w:val="en-US"/>
        </w:rPr>
        <w:t xml:space="preserve"> </w:t>
      </w:r>
      <w:r w:rsidRPr="00B849DC" w:rsidR="0059769E">
        <w:rPr>
          <w:lang w:val="en-US"/>
        </w:rPr>
        <w:t xml:space="preserve">to </w:t>
      </w:r>
      <w:r w:rsidRPr="00B849DC" w:rsidR="00733EC5">
        <w:rPr>
          <w:lang w:val="en-US"/>
        </w:rPr>
        <w:t xml:space="preserve">the </w:t>
      </w:r>
      <w:r w:rsidRPr="00B849DC" w:rsidR="0059769E">
        <w:rPr>
          <w:lang w:val="en-US"/>
        </w:rPr>
        <w:t xml:space="preserve">municipal authorities </w:t>
      </w:r>
      <w:r w:rsidRPr="00B849DC" w:rsidR="00733EC5">
        <w:rPr>
          <w:lang w:val="en-US"/>
        </w:rPr>
        <w:t xml:space="preserve">that </w:t>
      </w:r>
      <w:r w:rsidRPr="00B849DC" w:rsidR="0059769E">
        <w:rPr>
          <w:lang w:val="en-US"/>
        </w:rPr>
        <w:t xml:space="preserve">empowered the parties to make such </w:t>
      </w:r>
      <w:r w:rsidRPr="00B849DC" w:rsidR="00733EC5">
        <w:rPr>
          <w:lang w:val="en-US"/>
        </w:rPr>
        <w:t xml:space="preserve">an </w:t>
      </w:r>
      <w:r w:rsidRPr="00B849DC" w:rsidR="0059769E">
        <w:rPr>
          <w:lang w:val="en-US"/>
        </w:rPr>
        <w:t xml:space="preserve">agreement, as well as </w:t>
      </w:r>
      <w:r w:rsidRPr="00B849DC" w:rsidR="00C06AA9">
        <w:rPr>
          <w:lang w:val="en-US"/>
        </w:rPr>
        <w:t xml:space="preserve">to all </w:t>
      </w:r>
      <w:r w:rsidRPr="00B849DC" w:rsidR="00170B9E">
        <w:rPr>
          <w:lang w:val="en-US"/>
        </w:rPr>
        <w:t xml:space="preserve">entities </w:t>
      </w:r>
      <w:r w:rsidRPr="00B849DC" w:rsidR="00C06AA9">
        <w:rPr>
          <w:lang w:val="en-US"/>
        </w:rPr>
        <w:t>operating in the housing and communal sector</w:t>
      </w:r>
      <w:r w:rsidRPr="00B849DC" w:rsidR="00733EC5">
        <w:rPr>
          <w:lang w:val="en-US"/>
        </w:rPr>
        <w:t>,</w:t>
      </w:r>
      <w:r w:rsidRPr="00B849DC" w:rsidR="00C06AA9">
        <w:rPr>
          <w:lang w:val="en-US"/>
        </w:rPr>
        <w:t xml:space="preserve"> unless </w:t>
      </w:r>
      <w:r w:rsidRPr="00B849DC" w:rsidR="00170B9E">
        <w:rPr>
          <w:lang w:val="en-US"/>
        </w:rPr>
        <w:t>they</w:t>
      </w:r>
      <w:r w:rsidRPr="00B849DC" w:rsidR="00C06AA9">
        <w:rPr>
          <w:lang w:val="en-US"/>
        </w:rPr>
        <w:t xml:space="preserve"> explicitly </w:t>
      </w:r>
      <w:r w:rsidRPr="00B849DC" w:rsidR="00733EC5">
        <w:rPr>
          <w:lang w:val="en-US"/>
        </w:rPr>
        <w:t xml:space="preserve">refused </w:t>
      </w:r>
      <w:r w:rsidRPr="00B849DC" w:rsidR="00C06AA9">
        <w:rPr>
          <w:lang w:val="en-US"/>
        </w:rPr>
        <w:t xml:space="preserve">to apply it. No such refusal was </w:t>
      </w:r>
      <w:r w:rsidRPr="00B849DC" w:rsidR="00733EC5">
        <w:rPr>
          <w:lang w:val="en-US"/>
        </w:rPr>
        <w:t xml:space="preserve">made </w:t>
      </w:r>
      <w:r w:rsidRPr="00B849DC" w:rsidR="00C06AA9">
        <w:rPr>
          <w:lang w:val="en-US"/>
        </w:rPr>
        <w:t>by the applicant</w:t>
      </w:r>
      <w:r w:rsidRPr="00B849DC" w:rsidR="00B849DC">
        <w:rPr>
          <w:lang w:val="en-US"/>
        </w:rPr>
        <w:t>’</w:t>
      </w:r>
      <w:r w:rsidRPr="00B849DC" w:rsidR="00C06AA9">
        <w:rPr>
          <w:lang w:val="en-US"/>
        </w:rPr>
        <w:t>s employer.</w:t>
      </w:r>
    </w:p>
    <w:p w:rsidRPr="00B849DC" w:rsidR="002100B4" w:rsidP="00B849DC" w:rsidRDefault="003477CF">
      <w:pPr>
        <w:pStyle w:val="ECHRHeading4"/>
        <w:rPr>
          <w:lang w:val="en-US"/>
        </w:rPr>
      </w:pPr>
      <w:r w:rsidRPr="00B849DC">
        <w:rPr>
          <w:lang w:val="en-US"/>
        </w:rPr>
        <w:t>(c</w:t>
      </w:r>
      <w:r w:rsidRPr="00B849DC" w:rsidR="00AE7B9E">
        <w:rPr>
          <w:lang w:val="en-US"/>
        </w:rPr>
        <w:t>)  </w:t>
      </w:r>
      <w:r w:rsidRPr="00B849DC" w:rsidR="002100B4">
        <w:rPr>
          <w:lang w:val="en-US"/>
        </w:rPr>
        <w:t>Available information on tariffs for heating supply</w:t>
      </w:r>
    </w:p>
    <w:p w:rsidRPr="00B849DC" w:rsidR="002100B4" w:rsidP="00B849DC" w:rsidRDefault="00422CBF">
      <w:pPr>
        <w:pStyle w:val="ECHRPara"/>
        <w:rPr>
          <w:lang w:val="en-US"/>
        </w:rPr>
      </w:pPr>
      <w:r w:rsidRPr="00B849DC">
        <w:rPr>
          <w:lang w:val="en-US"/>
        </w:rPr>
        <w:fldChar w:fldCharType="begin"/>
      </w:r>
      <w:r w:rsidRPr="00B849DC">
        <w:rPr>
          <w:lang w:val="en-US"/>
        </w:rPr>
        <w:instrText xml:space="preserve"> SEQ level0 \*arabic </w:instrText>
      </w:r>
      <w:r w:rsidRPr="00B849DC">
        <w:rPr>
          <w:lang w:val="en-US"/>
        </w:rPr>
        <w:fldChar w:fldCharType="separate"/>
      </w:r>
      <w:r w:rsidRPr="00B849DC" w:rsidR="00B849DC">
        <w:rPr>
          <w:noProof/>
          <w:lang w:val="en-US"/>
        </w:rPr>
        <w:t>33</w:t>
      </w:r>
      <w:r w:rsidRPr="00B849DC">
        <w:rPr>
          <w:lang w:val="en-US"/>
        </w:rPr>
        <w:fldChar w:fldCharType="end"/>
      </w:r>
      <w:r w:rsidRPr="00B849DC">
        <w:rPr>
          <w:lang w:val="en-US"/>
        </w:rPr>
        <w:t xml:space="preserve">.  The district administration </w:t>
      </w:r>
      <w:r w:rsidRPr="00B849DC" w:rsidR="00733EC5">
        <w:rPr>
          <w:lang w:val="en-US"/>
        </w:rPr>
        <w:t xml:space="preserve">was responsible for </w:t>
      </w:r>
      <w:r w:rsidRPr="00B849DC" w:rsidR="002D5C94">
        <w:rPr>
          <w:lang w:val="en-US"/>
        </w:rPr>
        <w:t>setting</w:t>
      </w:r>
      <w:r w:rsidRPr="00B849DC">
        <w:rPr>
          <w:lang w:val="en-US"/>
        </w:rPr>
        <w:t xml:space="preserve"> the tariffs </w:t>
      </w:r>
      <w:r w:rsidRPr="00B849DC" w:rsidR="00733EC5">
        <w:rPr>
          <w:lang w:val="en-US"/>
        </w:rPr>
        <w:t xml:space="preserve">of </w:t>
      </w:r>
      <w:r w:rsidRPr="00B849DC">
        <w:rPr>
          <w:lang w:val="en-US"/>
        </w:rPr>
        <w:t xml:space="preserve">the </w:t>
      </w:r>
      <w:r w:rsidRPr="00B849DC" w:rsidR="00733EC5">
        <w:rPr>
          <w:lang w:val="en-US"/>
        </w:rPr>
        <w:t>company</w:t>
      </w:r>
      <w:r w:rsidRPr="00B849DC" w:rsidR="00B849DC">
        <w:rPr>
          <w:lang w:val="en-US"/>
        </w:rPr>
        <w:t>’</w:t>
      </w:r>
      <w:r w:rsidRPr="00B849DC" w:rsidR="00733EC5">
        <w:rPr>
          <w:lang w:val="en-US"/>
        </w:rPr>
        <w:t xml:space="preserve">s </w:t>
      </w:r>
      <w:r w:rsidRPr="00B849DC">
        <w:rPr>
          <w:lang w:val="en-US"/>
        </w:rPr>
        <w:t xml:space="preserve">services and was also </w:t>
      </w:r>
      <w:r w:rsidRPr="00B849DC" w:rsidR="00733EC5">
        <w:rPr>
          <w:lang w:val="en-US"/>
        </w:rPr>
        <w:t xml:space="preserve">a </w:t>
      </w:r>
      <w:r w:rsidRPr="00B849DC">
        <w:rPr>
          <w:lang w:val="en-US"/>
        </w:rPr>
        <w:t xml:space="preserve">major consumer of its services. The tariffs in place until 2005 were based on 5 per cent profitability. According to the submissions of the </w:t>
      </w:r>
      <w:r w:rsidRPr="00B849DC" w:rsidR="00424A32">
        <w:rPr>
          <w:lang w:val="en-US"/>
        </w:rPr>
        <w:t xml:space="preserve">director </w:t>
      </w:r>
      <w:r w:rsidRPr="00B849DC">
        <w:rPr>
          <w:lang w:val="en-US"/>
        </w:rPr>
        <w:t xml:space="preserve">of the </w:t>
      </w:r>
      <w:r w:rsidRPr="00B849DC" w:rsidR="00424A32">
        <w:rPr>
          <w:lang w:val="en-US"/>
        </w:rPr>
        <w:t xml:space="preserve">company which employed the </w:t>
      </w:r>
      <w:r w:rsidRPr="00B849DC">
        <w:rPr>
          <w:lang w:val="en-US"/>
        </w:rPr>
        <w:t>applicant in the subsidiary liability proceedings</w:t>
      </w:r>
      <w:r w:rsidRPr="00B849DC" w:rsidR="00424A32">
        <w:rPr>
          <w:lang w:val="en-US"/>
        </w:rPr>
        <w:t xml:space="preserve"> brought by the applicant</w:t>
      </w:r>
      <w:r w:rsidRPr="00B849DC">
        <w:rPr>
          <w:lang w:val="en-US"/>
        </w:rPr>
        <w:t xml:space="preserve"> (see paragraph </w:t>
      </w:r>
      <w:r w:rsidRPr="00B849DC" w:rsidR="00CC3916">
        <w:rPr>
          <w:lang w:val="en-US"/>
        </w:rPr>
        <w:t>48</w:t>
      </w:r>
      <w:r w:rsidRPr="00B849DC">
        <w:rPr>
          <w:lang w:val="en-US"/>
        </w:rPr>
        <w:t xml:space="preserve"> below), as a result of</w:t>
      </w:r>
      <w:r w:rsidRPr="00B849DC" w:rsidR="00733EC5">
        <w:rPr>
          <w:lang w:val="en-US"/>
        </w:rPr>
        <w:t xml:space="preserve"> the</w:t>
      </w:r>
      <w:r w:rsidRPr="00B849DC">
        <w:rPr>
          <w:lang w:val="en-US"/>
        </w:rPr>
        <w:t xml:space="preserve"> application of those tariffs the enterprise had become unprofitable</w:t>
      </w:r>
      <w:r w:rsidRPr="00B849DC" w:rsidR="00733EC5">
        <w:rPr>
          <w:lang w:val="en-US"/>
        </w:rPr>
        <w:t>;</w:t>
      </w:r>
      <w:r w:rsidRPr="00B849DC">
        <w:rPr>
          <w:lang w:val="en-US"/>
        </w:rPr>
        <w:t xml:space="preserve"> the </w:t>
      </w:r>
      <w:r w:rsidRPr="00B849DC" w:rsidR="00733EC5">
        <w:rPr>
          <w:lang w:val="en-US"/>
        </w:rPr>
        <w:t xml:space="preserve">loss in </w:t>
      </w:r>
      <w:r w:rsidRPr="00B849DC">
        <w:rPr>
          <w:lang w:val="en-US"/>
        </w:rPr>
        <w:t>profit</w:t>
      </w:r>
      <w:r w:rsidRPr="00B849DC" w:rsidR="00733EC5">
        <w:rPr>
          <w:lang w:val="en-US"/>
        </w:rPr>
        <w:t>s</w:t>
      </w:r>
      <w:r w:rsidRPr="00B849DC">
        <w:rPr>
          <w:lang w:val="en-US"/>
        </w:rPr>
        <w:t xml:space="preserve"> </w:t>
      </w:r>
      <w:r w:rsidRPr="00B849DC" w:rsidR="003A1FBF">
        <w:rPr>
          <w:lang w:val="en-US"/>
        </w:rPr>
        <w:t>amounted to RUB 300,000</w:t>
      </w:r>
      <w:r w:rsidRPr="00B849DC">
        <w:rPr>
          <w:lang w:val="en-US"/>
        </w:rPr>
        <w:t xml:space="preserve"> </w:t>
      </w:r>
      <w:r w:rsidRPr="00B849DC" w:rsidR="008E7D69">
        <w:rPr>
          <w:lang w:val="en-US"/>
        </w:rPr>
        <w:t>and</w:t>
      </w:r>
      <w:r w:rsidRPr="00B849DC">
        <w:rPr>
          <w:lang w:val="en-US"/>
        </w:rPr>
        <w:t xml:space="preserve"> was not reimbursed by the administration. The administration failed to pay RUB 2,500,000 for the </w:t>
      </w:r>
      <w:r w:rsidRPr="00B849DC" w:rsidR="00170B9E">
        <w:rPr>
          <w:lang w:val="en-US"/>
        </w:rPr>
        <w:t>company</w:t>
      </w:r>
      <w:r w:rsidRPr="00B849DC" w:rsidR="00B849DC">
        <w:rPr>
          <w:lang w:val="en-US"/>
        </w:rPr>
        <w:t>’</w:t>
      </w:r>
      <w:r w:rsidRPr="00B849DC" w:rsidR="00170B9E">
        <w:rPr>
          <w:lang w:val="en-US"/>
        </w:rPr>
        <w:t xml:space="preserve">s </w:t>
      </w:r>
      <w:r w:rsidRPr="00B849DC">
        <w:rPr>
          <w:lang w:val="en-US"/>
        </w:rPr>
        <w:t xml:space="preserve">services. According to </w:t>
      </w:r>
      <w:r w:rsidRPr="00B849DC" w:rsidR="00733EC5">
        <w:rPr>
          <w:lang w:val="en-US"/>
        </w:rPr>
        <w:t>its director</w:t>
      </w:r>
      <w:r w:rsidRPr="00B849DC">
        <w:rPr>
          <w:lang w:val="en-US"/>
        </w:rPr>
        <w:t xml:space="preserve">, the company was put in a difficult financial situation as a result of </w:t>
      </w:r>
      <w:r w:rsidRPr="00B849DC" w:rsidR="00733EC5">
        <w:rPr>
          <w:lang w:val="en-US"/>
        </w:rPr>
        <w:t xml:space="preserve">the </w:t>
      </w:r>
      <w:r w:rsidRPr="00B849DC">
        <w:rPr>
          <w:lang w:val="en-US"/>
        </w:rPr>
        <w:t>actions of the owner.</w:t>
      </w:r>
    </w:p>
    <w:p w:rsidRPr="00B849DC" w:rsidR="00AE7B9E" w:rsidP="00B849DC" w:rsidRDefault="002100B4">
      <w:pPr>
        <w:pStyle w:val="ECHRHeading4"/>
        <w:rPr>
          <w:lang w:val="en-US"/>
        </w:rPr>
      </w:pPr>
      <w:r w:rsidRPr="00B849DC">
        <w:rPr>
          <w:lang w:val="en-US"/>
        </w:rPr>
        <w:t>(d)  </w:t>
      </w:r>
      <w:r w:rsidRPr="00B849DC" w:rsidR="00AE7B9E">
        <w:rPr>
          <w:lang w:val="en-US"/>
        </w:rPr>
        <w:t>Re</w:t>
      </w:r>
      <w:r w:rsidRPr="00B849DC" w:rsidR="00170B9E">
        <w:rPr>
          <w:lang w:val="en-US"/>
        </w:rPr>
        <w:t xml:space="preserve">structuring </w:t>
      </w:r>
      <w:r w:rsidRPr="00B849DC" w:rsidR="00AE7B9E">
        <w:rPr>
          <w:lang w:val="en-US"/>
        </w:rPr>
        <w:t xml:space="preserve">of the </w:t>
      </w:r>
      <w:r w:rsidRPr="00B849DC" w:rsidR="00170B9E">
        <w:rPr>
          <w:lang w:val="en-US"/>
        </w:rPr>
        <w:t>company</w:t>
      </w:r>
    </w:p>
    <w:p w:rsidRPr="00B849DC" w:rsidR="00B06558" w:rsidP="00B849DC" w:rsidRDefault="00422CBF">
      <w:pPr>
        <w:pStyle w:val="ECHRPara"/>
        <w:rPr>
          <w:lang w:val="en-GB"/>
        </w:rPr>
      </w:pPr>
      <w:r w:rsidRPr="00B849DC">
        <w:rPr>
          <w:lang w:val="en-US"/>
        </w:rPr>
        <w:fldChar w:fldCharType="begin"/>
      </w:r>
      <w:r w:rsidRPr="00B849DC">
        <w:rPr>
          <w:lang w:val="en-US"/>
        </w:rPr>
        <w:instrText xml:space="preserve"> SEQ level0 \*arabic </w:instrText>
      </w:r>
      <w:r w:rsidRPr="00B849DC">
        <w:rPr>
          <w:lang w:val="en-US"/>
        </w:rPr>
        <w:fldChar w:fldCharType="separate"/>
      </w:r>
      <w:r w:rsidRPr="00B849DC" w:rsidR="00B849DC">
        <w:rPr>
          <w:noProof/>
          <w:lang w:val="en-US"/>
        </w:rPr>
        <w:t>34</w:t>
      </w:r>
      <w:r w:rsidRPr="00B849DC">
        <w:rPr>
          <w:lang w:val="en-US"/>
        </w:rPr>
        <w:fldChar w:fldCharType="end"/>
      </w:r>
      <w:r w:rsidRPr="00B849DC">
        <w:rPr>
          <w:lang w:val="en-US"/>
        </w:rPr>
        <w:t>.  </w:t>
      </w:r>
      <w:r w:rsidRPr="00B849DC" w:rsidR="00B06558">
        <w:rPr>
          <w:lang w:val="en-US"/>
        </w:rPr>
        <w:t xml:space="preserve">On 23 December 2005 the Head of the Mezen district administration ordered the </w:t>
      </w:r>
      <w:r w:rsidRPr="00B849DC" w:rsidR="00424A32">
        <w:rPr>
          <w:lang w:val="en-US"/>
        </w:rPr>
        <w:t>restructuring of the company</w:t>
      </w:r>
      <w:r w:rsidRPr="00B849DC" w:rsidR="00B06558">
        <w:rPr>
          <w:lang w:val="en-US"/>
        </w:rPr>
        <w:t xml:space="preserve"> in the form of </w:t>
      </w:r>
      <w:r w:rsidRPr="00B849DC" w:rsidR="00733EC5">
        <w:rPr>
          <w:lang w:val="en-US"/>
        </w:rPr>
        <w:t xml:space="preserve">a </w:t>
      </w:r>
      <w:r w:rsidRPr="00B849DC" w:rsidR="00B06558">
        <w:rPr>
          <w:lang w:val="en-US"/>
        </w:rPr>
        <w:t>spin-off</w:t>
      </w:r>
      <w:r w:rsidRPr="00B849DC" w:rsidR="00733EC5">
        <w:rPr>
          <w:lang w:val="en-US"/>
        </w:rPr>
        <w:t>,</w:t>
      </w:r>
      <w:r w:rsidRPr="00B849DC" w:rsidR="00B06558">
        <w:rPr>
          <w:lang w:val="en-US"/>
        </w:rPr>
        <w:t xml:space="preserve"> </w:t>
      </w:r>
      <w:r w:rsidRPr="00B849DC" w:rsidR="00733EC5">
        <w:rPr>
          <w:lang w:val="en-US"/>
        </w:rPr>
        <w:t>creating a</w:t>
      </w:r>
      <w:r w:rsidRPr="00B849DC" w:rsidR="00B06558">
        <w:rPr>
          <w:lang w:val="en-US"/>
        </w:rPr>
        <w:t xml:space="preserve"> new municipal unitary enterprise “MUP </w:t>
      </w:r>
      <w:r w:rsidRPr="00B849DC" w:rsidR="00B849DC">
        <w:rPr>
          <w:lang w:val="en-US"/>
        </w:rPr>
        <w:t>‘</w:t>
      </w:r>
      <w:r w:rsidRPr="00B849DC" w:rsidR="002100B4">
        <w:rPr>
          <w:lang w:val="en-US"/>
        </w:rPr>
        <w:t>Mezenskiye Teplovyye Seti</w:t>
      </w:r>
      <w:r w:rsidRPr="00B849DC" w:rsidR="00B849DC">
        <w:rPr>
          <w:lang w:val="en-US"/>
        </w:rPr>
        <w:t>’</w:t>
      </w:r>
      <w:r w:rsidRPr="00B849DC" w:rsidR="002100B4">
        <w:rPr>
          <w:lang w:val="en-US"/>
        </w:rPr>
        <w:t xml:space="preserve"> (Mezen Heating Supply</w:t>
      </w:r>
      <w:r w:rsidRPr="00B849DC" w:rsidR="000A4811">
        <w:rPr>
          <w:lang w:val="en-US"/>
        </w:rPr>
        <w:t xml:space="preserve"> Systems</w:t>
      </w:r>
      <w:r w:rsidRPr="00B849DC" w:rsidR="002100B4">
        <w:rPr>
          <w:lang w:val="en-US"/>
        </w:rPr>
        <w:t>) of the Mezenskiy District” (</w:t>
      </w:r>
      <w:r w:rsidRPr="00B849DC" w:rsidR="00B2046E">
        <w:rPr>
          <w:lang w:val="en-US"/>
        </w:rPr>
        <w:t>here</w:t>
      </w:r>
      <w:r w:rsidRPr="00B849DC" w:rsidR="00733EC5">
        <w:rPr>
          <w:lang w:val="en-US"/>
        </w:rPr>
        <w:t xml:space="preserve">after, </w:t>
      </w:r>
      <w:r w:rsidRPr="00B849DC" w:rsidR="002100B4">
        <w:rPr>
          <w:lang w:val="en-GB"/>
        </w:rPr>
        <w:t xml:space="preserve">“MUP </w:t>
      </w:r>
      <w:r w:rsidRPr="00B849DC" w:rsidR="00B849DC">
        <w:rPr>
          <w:lang w:val="en-GB"/>
        </w:rPr>
        <w:t>‘</w:t>
      </w:r>
      <w:r w:rsidRPr="00B849DC" w:rsidR="002100B4">
        <w:rPr>
          <w:lang w:val="en-GB"/>
        </w:rPr>
        <w:t>MTS</w:t>
      </w:r>
      <w:r w:rsidRPr="00B849DC" w:rsidR="00B849DC">
        <w:rPr>
          <w:lang w:val="en-GB"/>
        </w:rPr>
        <w:t>’</w:t>
      </w:r>
      <w:r w:rsidRPr="00B849DC" w:rsidR="002100B4">
        <w:rPr>
          <w:lang w:val="en-GB"/>
        </w:rPr>
        <w:t>”).</w:t>
      </w:r>
    </w:p>
    <w:p w:rsidRPr="00B849DC" w:rsidR="00B06558" w:rsidP="00B849DC" w:rsidRDefault="00B06558">
      <w:pPr>
        <w:pStyle w:val="ECHRPara"/>
        <w:rPr>
          <w:lang w:val="en-US"/>
        </w:rPr>
      </w:pPr>
      <w:r w:rsidRPr="00B849DC">
        <w:rPr>
          <w:lang w:val="en-US"/>
        </w:rPr>
        <w:fldChar w:fldCharType="begin"/>
      </w:r>
      <w:r w:rsidRPr="00B849DC">
        <w:rPr>
          <w:lang w:val="en-US"/>
        </w:rPr>
        <w:instrText xml:space="preserve"> SEQ level0 \*arabic </w:instrText>
      </w:r>
      <w:r w:rsidRPr="00B849DC">
        <w:rPr>
          <w:lang w:val="en-US"/>
        </w:rPr>
        <w:fldChar w:fldCharType="separate"/>
      </w:r>
      <w:r w:rsidRPr="00B849DC" w:rsidR="00B849DC">
        <w:rPr>
          <w:noProof/>
          <w:lang w:val="en-US"/>
        </w:rPr>
        <w:t>35</w:t>
      </w:r>
      <w:r w:rsidRPr="00B849DC">
        <w:rPr>
          <w:lang w:val="en-US"/>
        </w:rPr>
        <w:fldChar w:fldCharType="end"/>
      </w:r>
      <w:r w:rsidRPr="00B849DC">
        <w:rPr>
          <w:lang w:val="en-US"/>
        </w:rPr>
        <w:t>.  </w:t>
      </w:r>
      <w:r w:rsidRPr="00B849DC" w:rsidR="00B2046E">
        <w:rPr>
          <w:lang w:val="en-US"/>
        </w:rPr>
        <w:t>On</w:t>
      </w:r>
      <w:r w:rsidRPr="00B849DC">
        <w:rPr>
          <w:lang w:val="en-US"/>
        </w:rPr>
        <w:t xml:space="preserve"> the </w:t>
      </w:r>
      <w:r w:rsidRPr="00B849DC" w:rsidR="002100B4">
        <w:rPr>
          <w:lang w:val="en-US"/>
        </w:rPr>
        <w:t xml:space="preserve">spin-off balance </w:t>
      </w:r>
      <w:r w:rsidRPr="00B849DC">
        <w:rPr>
          <w:lang w:val="en-US"/>
        </w:rPr>
        <w:t xml:space="preserve">sheet approved by the Head of the Mezen district administration on 20 April 2006, the unpaid salary debt </w:t>
      </w:r>
      <w:r w:rsidRPr="00B849DC" w:rsidR="00B2046E">
        <w:rPr>
          <w:lang w:val="en-US"/>
        </w:rPr>
        <w:t xml:space="preserve">was </w:t>
      </w:r>
      <w:r w:rsidRPr="00B849DC">
        <w:rPr>
          <w:lang w:val="en-US"/>
        </w:rPr>
        <w:t>not transferred to the newly</w:t>
      </w:r>
      <w:r w:rsidRPr="00B849DC" w:rsidR="00105275">
        <w:rPr>
          <w:lang w:val="en-US"/>
        </w:rPr>
        <w:t xml:space="preserve"> </w:t>
      </w:r>
      <w:r w:rsidRPr="00B849DC">
        <w:rPr>
          <w:lang w:val="en-US"/>
        </w:rPr>
        <w:t>created company.</w:t>
      </w:r>
    </w:p>
    <w:p w:rsidRPr="00B849DC" w:rsidR="002100B4" w:rsidP="00B849DC" w:rsidRDefault="0059769E">
      <w:pPr>
        <w:pStyle w:val="ECHRPara"/>
        <w:rPr>
          <w:lang w:val="en-US"/>
        </w:rPr>
      </w:pPr>
      <w:r w:rsidRPr="00B849DC">
        <w:rPr>
          <w:lang w:val="en-US"/>
        </w:rPr>
        <w:fldChar w:fldCharType="begin"/>
      </w:r>
      <w:r w:rsidRPr="00B849DC">
        <w:rPr>
          <w:lang w:val="en-US"/>
        </w:rPr>
        <w:instrText xml:space="preserve"> SEQ level0 \*arabic </w:instrText>
      </w:r>
      <w:r w:rsidRPr="00B849DC">
        <w:rPr>
          <w:lang w:val="en-US"/>
        </w:rPr>
        <w:fldChar w:fldCharType="separate"/>
      </w:r>
      <w:r w:rsidRPr="00B849DC" w:rsidR="00B849DC">
        <w:rPr>
          <w:noProof/>
          <w:lang w:val="en-US"/>
        </w:rPr>
        <w:t>36</w:t>
      </w:r>
      <w:r w:rsidRPr="00B849DC">
        <w:rPr>
          <w:lang w:val="en-US"/>
        </w:rPr>
        <w:fldChar w:fldCharType="end"/>
      </w:r>
      <w:r w:rsidRPr="00B849DC">
        <w:rPr>
          <w:lang w:val="en-US"/>
        </w:rPr>
        <w:t>.  </w:t>
      </w:r>
      <w:r w:rsidRPr="00B849DC" w:rsidR="003477CF">
        <w:rPr>
          <w:lang w:val="en-US"/>
        </w:rPr>
        <w:t xml:space="preserve">On 24 May 2006 the Head of the Mezen </w:t>
      </w:r>
      <w:r w:rsidRPr="00B849DC" w:rsidR="00AE7B9E">
        <w:rPr>
          <w:lang w:val="en-US"/>
        </w:rPr>
        <w:t xml:space="preserve">district </w:t>
      </w:r>
      <w:r w:rsidRPr="00B849DC" w:rsidR="003D527B">
        <w:rPr>
          <w:lang w:val="en-US"/>
        </w:rPr>
        <w:t xml:space="preserve">administration </w:t>
      </w:r>
      <w:r w:rsidRPr="00B849DC" w:rsidR="003477CF">
        <w:rPr>
          <w:lang w:val="en-US"/>
        </w:rPr>
        <w:t xml:space="preserve">ordered </w:t>
      </w:r>
      <w:r w:rsidRPr="00B849DC" w:rsidR="00B2046E">
        <w:rPr>
          <w:lang w:val="en-US"/>
        </w:rPr>
        <w:t xml:space="preserve">the </w:t>
      </w:r>
      <w:r w:rsidRPr="00B849DC" w:rsidR="003477CF">
        <w:rPr>
          <w:lang w:val="en-US"/>
        </w:rPr>
        <w:t>withdraw</w:t>
      </w:r>
      <w:r w:rsidRPr="00B849DC" w:rsidR="00B2046E">
        <w:rPr>
          <w:lang w:val="en-US"/>
        </w:rPr>
        <w:t>al of</w:t>
      </w:r>
      <w:r w:rsidRPr="00B849DC" w:rsidR="003477CF">
        <w:rPr>
          <w:lang w:val="en-US"/>
        </w:rPr>
        <w:t xml:space="preserve"> </w:t>
      </w:r>
      <w:r w:rsidRPr="00B849DC" w:rsidR="007B055A">
        <w:rPr>
          <w:lang w:val="en-US"/>
        </w:rPr>
        <w:t xml:space="preserve">coal and </w:t>
      </w:r>
      <w:r w:rsidRPr="00B849DC" w:rsidR="00B06558">
        <w:rPr>
          <w:lang w:val="en-US"/>
        </w:rPr>
        <w:t xml:space="preserve">all </w:t>
      </w:r>
      <w:r w:rsidRPr="00B849DC" w:rsidR="007B055A">
        <w:rPr>
          <w:lang w:val="en-US"/>
        </w:rPr>
        <w:t xml:space="preserve">other </w:t>
      </w:r>
      <w:r w:rsidRPr="00B849DC" w:rsidR="003477CF">
        <w:rPr>
          <w:lang w:val="en-US"/>
        </w:rPr>
        <w:t>assets</w:t>
      </w:r>
      <w:r w:rsidRPr="00B849DC" w:rsidR="00B2046E">
        <w:rPr>
          <w:lang w:val="en-US"/>
        </w:rPr>
        <w:t>,</w:t>
      </w:r>
      <w:r w:rsidRPr="00B849DC" w:rsidR="003477CF">
        <w:rPr>
          <w:lang w:val="en-US"/>
        </w:rPr>
        <w:t xml:space="preserve"> </w:t>
      </w:r>
      <w:r w:rsidRPr="00B849DC" w:rsidR="00B06558">
        <w:rPr>
          <w:lang w:val="en-US"/>
        </w:rPr>
        <w:t>except for the company</w:t>
      </w:r>
      <w:r w:rsidRPr="00B849DC" w:rsidR="00B849DC">
        <w:rPr>
          <w:lang w:val="en-US"/>
        </w:rPr>
        <w:t>’</w:t>
      </w:r>
      <w:r w:rsidRPr="00B849DC" w:rsidR="00B06558">
        <w:rPr>
          <w:lang w:val="en-US"/>
        </w:rPr>
        <w:t xml:space="preserve">s authorized </w:t>
      </w:r>
      <w:r w:rsidRPr="00B849DC" w:rsidR="00170B9E">
        <w:rPr>
          <w:lang w:val="en-US"/>
        </w:rPr>
        <w:t>capital</w:t>
      </w:r>
      <w:r w:rsidRPr="00B849DC" w:rsidR="00B06558">
        <w:rPr>
          <w:lang w:val="en-US"/>
        </w:rPr>
        <w:t xml:space="preserve">, </w:t>
      </w:r>
      <w:r w:rsidRPr="00B849DC" w:rsidR="003D527B">
        <w:rPr>
          <w:lang w:val="en-US"/>
        </w:rPr>
        <w:t xml:space="preserve">from the </w:t>
      </w:r>
      <w:r w:rsidRPr="00B849DC" w:rsidR="007B055A">
        <w:rPr>
          <w:lang w:val="en-US"/>
        </w:rPr>
        <w:t>company</w:t>
      </w:r>
      <w:r w:rsidRPr="00B849DC" w:rsidR="00B849DC">
        <w:rPr>
          <w:lang w:val="en-US"/>
        </w:rPr>
        <w:t>’</w:t>
      </w:r>
      <w:r w:rsidRPr="00B849DC" w:rsidR="007B055A">
        <w:rPr>
          <w:lang w:val="en-US"/>
        </w:rPr>
        <w:t xml:space="preserve">s </w:t>
      </w:r>
      <w:r w:rsidRPr="00B849DC" w:rsidR="003D527B">
        <w:rPr>
          <w:lang w:val="en-US"/>
        </w:rPr>
        <w:t xml:space="preserve">economic control and </w:t>
      </w:r>
      <w:r w:rsidRPr="00B849DC" w:rsidR="00B2046E">
        <w:rPr>
          <w:lang w:val="en-US"/>
        </w:rPr>
        <w:t xml:space="preserve">their allocation </w:t>
      </w:r>
      <w:r w:rsidRPr="00B849DC" w:rsidR="00422CBF">
        <w:rPr>
          <w:lang w:val="en-US"/>
        </w:rPr>
        <w:t xml:space="preserve">to </w:t>
      </w:r>
      <w:r w:rsidRPr="00B849DC" w:rsidR="00B06558">
        <w:rPr>
          <w:lang w:val="en-US"/>
        </w:rPr>
        <w:t>MUP “MTS”.</w:t>
      </w:r>
      <w:r w:rsidRPr="00B849DC">
        <w:rPr>
          <w:lang w:val="en-US"/>
        </w:rPr>
        <w:t xml:space="preserve"> </w:t>
      </w:r>
      <w:r w:rsidRPr="00B849DC" w:rsidR="002100B4">
        <w:rPr>
          <w:lang w:val="en-US"/>
        </w:rPr>
        <w:t xml:space="preserve">The </w:t>
      </w:r>
      <w:r w:rsidRPr="00B849DC" w:rsidR="00B2046E">
        <w:rPr>
          <w:lang w:val="en-US"/>
        </w:rPr>
        <w:t xml:space="preserve">director </w:t>
      </w:r>
      <w:r w:rsidRPr="00B849DC" w:rsidR="002100B4">
        <w:rPr>
          <w:lang w:val="en-US"/>
        </w:rPr>
        <w:t xml:space="preserve">of the </w:t>
      </w:r>
      <w:r w:rsidRPr="00B849DC" w:rsidR="00B2046E">
        <w:rPr>
          <w:lang w:val="en-US"/>
        </w:rPr>
        <w:t xml:space="preserve">company </w:t>
      </w:r>
      <w:r w:rsidRPr="00B849DC" w:rsidR="00F91CAE">
        <w:rPr>
          <w:lang w:val="en-US"/>
        </w:rPr>
        <w:t xml:space="preserve">which </w:t>
      </w:r>
      <w:r w:rsidRPr="00B849DC" w:rsidR="00B2046E">
        <w:rPr>
          <w:lang w:val="en-US"/>
        </w:rPr>
        <w:t>employ</w:t>
      </w:r>
      <w:r w:rsidRPr="00B849DC" w:rsidR="00F91CAE">
        <w:rPr>
          <w:lang w:val="en-US"/>
        </w:rPr>
        <w:t>ed</w:t>
      </w:r>
      <w:r w:rsidRPr="00B849DC" w:rsidR="00B2046E">
        <w:rPr>
          <w:lang w:val="en-US"/>
        </w:rPr>
        <w:t xml:space="preserve"> the </w:t>
      </w:r>
      <w:r w:rsidRPr="00B849DC" w:rsidR="002100B4">
        <w:rPr>
          <w:lang w:val="en-US"/>
        </w:rPr>
        <w:t xml:space="preserve">applicant became </w:t>
      </w:r>
      <w:r w:rsidRPr="00B849DC" w:rsidR="00B2046E">
        <w:rPr>
          <w:lang w:val="en-US"/>
        </w:rPr>
        <w:t>director</w:t>
      </w:r>
      <w:r w:rsidRPr="00B849DC" w:rsidR="002100B4">
        <w:rPr>
          <w:lang w:val="en-US"/>
        </w:rPr>
        <w:t xml:space="preserve"> of MUP “MTS”.</w:t>
      </w:r>
    </w:p>
    <w:p w:rsidRPr="00B849DC" w:rsidR="00B06558" w:rsidP="00B849DC" w:rsidRDefault="00B06558">
      <w:pPr>
        <w:pStyle w:val="ECHRPara"/>
        <w:rPr>
          <w:lang w:val="en-US"/>
        </w:rPr>
      </w:pPr>
      <w:r w:rsidRPr="00B849DC">
        <w:rPr>
          <w:lang w:val="en-US"/>
        </w:rPr>
        <w:fldChar w:fldCharType="begin"/>
      </w:r>
      <w:r w:rsidRPr="00B849DC">
        <w:rPr>
          <w:lang w:val="en-US"/>
        </w:rPr>
        <w:instrText xml:space="preserve"> SEQ level0 \*arabic </w:instrText>
      </w:r>
      <w:r w:rsidRPr="00B849DC">
        <w:rPr>
          <w:lang w:val="en-US"/>
        </w:rPr>
        <w:fldChar w:fldCharType="separate"/>
      </w:r>
      <w:r w:rsidRPr="00B849DC" w:rsidR="00B849DC">
        <w:rPr>
          <w:noProof/>
          <w:lang w:val="en-US"/>
        </w:rPr>
        <w:t>37</w:t>
      </w:r>
      <w:r w:rsidRPr="00B849DC">
        <w:rPr>
          <w:lang w:val="en-US"/>
        </w:rPr>
        <w:fldChar w:fldCharType="end"/>
      </w:r>
      <w:r w:rsidRPr="00B849DC">
        <w:rPr>
          <w:lang w:val="en-US"/>
        </w:rPr>
        <w:t>.  On 13 July 2006 the Head of the Mezen district administration ordered the applicant</w:t>
      </w:r>
      <w:r w:rsidRPr="00B849DC" w:rsidR="00B849DC">
        <w:rPr>
          <w:lang w:val="en-US"/>
        </w:rPr>
        <w:t>’</w:t>
      </w:r>
      <w:r w:rsidRPr="00B849DC">
        <w:rPr>
          <w:lang w:val="en-US"/>
        </w:rPr>
        <w:t xml:space="preserve">s </w:t>
      </w:r>
      <w:r w:rsidRPr="00B849DC" w:rsidR="0059769E">
        <w:rPr>
          <w:lang w:val="en-US"/>
        </w:rPr>
        <w:t>employer</w:t>
      </w:r>
      <w:r w:rsidRPr="00B849DC" w:rsidR="00B849DC">
        <w:rPr>
          <w:lang w:val="en-US"/>
        </w:rPr>
        <w:t>’</w:t>
      </w:r>
      <w:r w:rsidRPr="00B849DC" w:rsidR="0059769E">
        <w:rPr>
          <w:lang w:val="en-US"/>
        </w:rPr>
        <w:t>s</w:t>
      </w:r>
      <w:r w:rsidRPr="00B849DC" w:rsidR="00261377">
        <w:rPr>
          <w:lang w:val="en-US"/>
        </w:rPr>
        <w:t xml:space="preserve"> liquidation.</w:t>
      </w:r>
    </w:p>
    <w:p w:rsidRPr="00B849DC" w:rsidR="005E57ED" w:rsidP="00B849DC" w:rsidRDefault="00587A46">
      <w:pPr>
        <w:pStyle w:val="ECHRPara"/>
        <w:rPr>
          <w:lang w:val="en-US"/>
        </w:rPr>
      </w:pPr>
      <w:r w:rsidRPr="00B849DC">
        <w:rPr>
          <w:lang w:val="en-US"/>
        </w:rPr>
        <w:fldChar w:fldCharType="begin"/>
      </w:r>
      <w:r w:rsidRPr="00B849DC">
        <w:rPr>
          <w:lang w:val="en-US"/>
        </w:rPr>
        <w:instrText xml:space="preserve"> SEQ level0 \*arabic </w:instrText>
      </w:r>
      <w:r w:rsidRPr="00B849DC">
        <w:rPr>
          <w:lang w:val="en-US"/>
        </w:rPr>
        <w:fldChar w:fldCharType="separate"/>
      </w:r>
      <w:r w:rsidRPr="00B849DC" w:rsidR="00B849DC">
        <w:rPr>
          <w:noProof/>
          <w:lang w:val="en-US"/>
        </w:rPr>
        <w:t>38</w:t>
      </w:r>
      <w:r w:rsidRPr="00B849DC">
        <w:rPr>
          <w:lang w:val="en-US"/>
        </w:rPr>
        <w:fldChar w:fldCharType="end"/>
      </w:r>
      <w:r w:rsidRPr="00B849DC">
        <w:rPr>
          <w:lang w:val="en-US"/>
        </w:rPr>
        <w:t>.  </w:t>
      </w:r>
      <w:r w:rsidRPr="00B849DC" w:rsidR="00A13211">
        <w:rPr>
          <w:lang w:val="en-US"/>
        </w:rPr>
        <w:t xml:space="preserve">On </w:t>
      </w:r>
      <w:r w:rsidRPr="00B849DC" w:rsidR="005E57ED">
        <w:rPr>
          <w:lang w:val="en-US"/>
        </w:rPr>
        <w:t xml:space="preserve">29 May 2007 the Commercial Court of the Arkhangelsk Region declared the respondent </w:t>
      </w:r>
      <w:r w:rsidRPr="00B849DC" w:rsidR="008B6FC1">
        <w:rPr>
          <w:lang w:val="en-US"/>
        </w:rPr>
        <w:t xml:space="preserve">company </w:t>
      </w:r>
      <w:r w:rsidRPr="00B849DC">
        <w:rPr>
          <w:lang w:val="en-US"/>
        </w:rPr>
        <w:t>insolvent, and the liquidation</w:t>
      </w:r>
      <w:r w:rsidRPr="00B849DC" w:rsidR="005E57ED">
        <w:rPr>
          <w:lang w:val="en-US"/>
        </w:rPr>
        <w:t xml:space="preserve"> </w:t>
      </w:r>
      <w:r w:rsidRPr="00B849DC">
        <w:rPr>
          <w:lang w:val="en-US"/>
        </w:rPr>
        <w:t xml:space="preserve">procedure was </w:t>
      </w:r>
      <w:r w:rsidRPr="00B849DC" w:rsidR="00B2046E">
        <w:rPr>
          <w:lang w:val="en-US"/>
        </w:rPr>
        <w:t xml:space="preserve">set </w:t>
      </w:r>
      <w:r w:rsidRPr="00B849DC">
        <w:rPr>
          <w:lang w:val="en-US"/>
        </w:rPr>
        <w:t xml:space="preserve">in </w:t>
      </w:r>
      <w:r w:rsidRPr="00B849DC" w:rsidR="00B2046E">
        <w:rPr>
          <w:lang w:val="en-US"/>
        </w:rPr>
        <w:t>motion</w:t>
      </w:r>
      <w:r w:rsidRPr="00B849DC">
        <w:rPr>
          <w:lang w:val="en-US"/>
        </w:rPr>
        <w:t>.</w:t>
      </w:r>
    </w:p>
    <w:p w:rsidRPr="00B849DC" w:rsidR="00C06AA9" w:rsidP="00B849DC" w:rsidRDefault="00193D44">
      <w:pPr>
        <w:pStyle w:val="ECHRHeading3"/>
        <w:rPr>
          <w:lang w:val="en-US"/>
        </w:rPr>
      </w:pPr>
      <w:r w:rsidRPr="00B849DC">
        <w:rPr>
          <w:lang w:val="en-US"/>
        </w:rPr>
        <w:t>2</w:t>
      </w:r>
      <w:r w:rsidRPr="00B849DC" w:rsidR="00C06AA9">
        <w:rPr>
          <w:lang w:val="en-US"/>
        </w:rPr>
        <w:t>.  Final judgment in the applicant</w:t>
      </w:r>
      <w:r w:rsidRPr="00B849DC" w:rsidR="00B849DC">
        <w:rPr>
          <w:lang w:val="en-US"/>
        </w:rPr>
        <w:t>’</w:t>
      </w:r>
      <w:r w:rsidRPr="00B849DC" w:rsidR="00C06AA9">
        <w:rPr>
          <w:lang w:val="en-US"/>
        </w:rPr>
        <w:t>s favour</w:t>
      </w:r>
    </w:p>
    <w:p w:rsidRPr="00B849DC" w:rsidR="00C06AA9" w:rsidP="00B849DC" w:rsidRDefault="00C06AA9">
      <w:pPr>
        <w:pStyle w:val="ECHRPara"/>
        <w:rPr>
          <w:lang w:val="en-US"/>
        </w:rPr>
      </w:pPr>
      <w:r w:rsidRPr="00B849DC">
        <w:rPr>
          <w:lang w:val="en-US"/>
        </w:rPr>
        <w:fldChar w:fldCharType="begin"/>
      </w:r>
      <w:r w:rsidRPr="00B849DC">
        <w:rPr>
          <w:lang w:val="en-US"/>
        </w:rPr>
        <w:instrText xml:space="preserve"> SEQ level0 \*arabic </w:instrText>
      </w:r>
      <w:r w:rsidRPr="00B849DC">
        <w:rPr>
          <w:lang w:val="en-US"/>
        </w:rPr>
        <w:fldChar w:fldCharType="separate"/>
      </w:r>
      <w:r w:rsidRPr="00B849DC" w:rsidR="00B849DC">
        <w:rPr>
          <w:noProof/>
          <w:lang w:val="en-US"/>
        </w:rPr>
        <w:t>39</w:t>
      </w:r>
      <w:r w:rsidRPr="00B849DC">
        <w:rPr>
          <w:lang w:val="en-US"/>
        </w:rPr>
        <w:fldChar w:fldCharType="end"/>
      </w:r>
      <w:r w:rsidRPr="00B849DC">
        <w:rPr>
          <w:lang w:val="en-US"/>
        </w:rPr>
        <w:t>.  </w:t>
      </w:r>
      <w:r w:rsidRPr="00B849DC" w:rsidR="00BC7DCC">
        <w:rPr>
          <w:lang w:val="en-US"/>
        </w:rPr>
        <w:t>The applicant sued his employer for salary arrears, claiming that his salary rate was below that provided for in the respective Sectoral Tariff Agreement (see paragraph </w:t>
      </w:r>
      <w:r w:rsidRPr="00B849DC" w:rsidR="00CC3916">
        <w:rPr>
          <w:lang w:val="en-US"/>
        </w:rPr>
        <w:t>32</w:t>
      </w:r>
      <w:r w:rsidRPr="00B849DC" w:rsidR="00BC7DCC">
        <w:rPr>
          <w:lang w:val="en-US"/>
        </w:rPr>
        <w:t xml:space="preserve"> above). The liquidator</w:t>
      </w:r>
      <w:r w:rsidRPr="00B849DC" w:rsidR="00117671">
        <w:rPr>
          <w:lang w:val="en-US"/>
        </w:rPr>
        <w:t xml:space="preserve"> accepted the claims. </w:t>
      </w:r>
      <w:r w:rsidRPr="00B849DC">
        <w:rPr>
          <w:lang w:val="en-US"/>
        </w:rPr>
        <w:t>On 19 June 2007 the Justice of the Peace of the Court Circuit of the Mezen District of the Arkhangelsk Region awarded the applicant RUB 80,892.63</w:t>
      </w:r>
      <w:r w:rsidRPr="00B849DC" w:rsidR="00BC7DCC">
        <w:rPr>
          <w:lang w:val="en-US"/>
        </w:rPr>
        <w:t xml:space="preserve"> </w:t>
      </w:r>
      <w:r w:rsidRPr="00B849DC">
        <w:rPr>
          <w:lang w:val="en-US"/>
        </w:rPr>
        <w:t>in salary arrears again</w:t>
      </w:r>
      <w:r w:rsidRPr="00B849DC" w:rsidR="00BC7DCC">
        <w:rPr>
          <w:lang w:val="en-US"/>
        </w:rPr>
        <w:t>st his employer.</w:t>
      </w:r>
    </w:p>
    <w:p w:rsidRPr="00B849DC" w:rsidR="005E57ED" w:rsidP="00B849DC" w:rsidRDefault="005E57ED">
      <w:pPr>
        <w:pStyle w:val="ECHRPara"/>
        <w:rPr>
          <w:lang w:val="en-US"/>
        </w:rPr>
      </w:pPr>
      <w:r w:rsidRPr="00B849DC">
        <w:rPr>
          <w:lang w:val="en-US"/>
        </w:rPr>
        <w:fldChar w:fldCharType="begin"/>
      </w:r>
      <w:r w:rsidRPr="00B849DC">
        <w:rPr>
          <w:lang w:val="en-US"/>
        </w:rPr>
        <w:instrText xml:space="preserve"> SEQ level0 \*arabic </w:instrText>
      </w:r>
      <w:r w:rsidRPr="00B849DC">
        <w:rPr>
          <w:lang w:val="en-US"/>
        </w:rPr>
        <w:fldChar w:fldCharType="separate"/>
      </w:r>
      <w:r w:rsidRPr="00B849DC" w:rsidR="00B849DC">
        <w:rPr>
          <w:noProof/>
          <w:lang w:val="en-US"/>
        </w:rPr>
        <w:t>40</w:t>
      </w:r>
      <w:r w:rsidRPr="00B849DC">
        <w:rPr>
          <w:lang w:val="en-US"/>
        </w:rPr>
        <w:fldChar w:fldCharType="end"/>
      </w:r>
      <w:r w:rsidRPr="00B849DC">
        <w:rPr>
          <w:lang w:val="en-US"/>
        </w:rPr>
        <w:t>.  The judgment was not app</w:t>
      </w:r>
      <w:r w:rsidRPr="00B849DC" w:rsidR="00261377">
        <w:rPr>
          <w:lang w:val="en-US"/>
        </w:rPr>
        <w:t>ealed against and became final.</w:t>
      </w:r>
    </w:p>
    <w:p w:rsidRPr="00B849DC" w:rsidR="003D527B" w:rsidP="00B849DC" w:rsidRDefault="00193D44">
      <w:pPr>
        <w:pStyle w:val="ECHRHeading3"/>
        <w:rPr>
          <w:lang w:val="en-US"/>
        </w:rPr>
      </w:pPr>
      <w:r w:rsidRPr="00B849DC">
        <w:rPr>
          <w:lang w:val="en-US"/>
        </w:rPr>
        <w:t>3</w:t>
      </w:r>
      <w:r w:rsidRPr="00B849DC" w:rsidR="003D527B">
        <w:rPr>
          <w:lang w:val="en-US"/>
        </w:rPr>
        <w:t>.  </w:t>
      </w:r>
      <w:r w:rsidRPr="00B849DC" w:rsidR="00C06AA9">
        <w:rPr>
          <w:lang w:val="en-US"/>
        </w:rPr>
        <w:t xml:space="preserve">Enforcement of the judgment and liquidation of the </w:t>
      </w:r>
      <w:r w:rsidRPr="00B849DC" w:rsidR="00B2046E">
        <w:rPr>
          <w:lang w:val="en-US"/>
        </w:rPr>
        <w:t>company</w:t>
      </w:r>
    </w:p>
    <w:p w:rsidRPr="00B849DC" w:rsidR="00193D44" w:rsidP="00B849DC" w:rsidRDefault="00193D44">
      <w:pPr>
        <w:pStyle w:val="ECHRHeading4"/>
        <w:rPr>
          <w:lang w:val="en-US"/>
        </w:rPr>
      </w:pPr>
      <w:r w:rsidRPr="00B849DC">
        <w:rPr>
          <w:lang w:val="en-US"/>
        </w:rPr>
        <w:t>(a)  Writs of execution</w:t>
      </w:r>
      <w:r w:rsidRPr="00B849DC" w:rsidR="00587A46">
        <w:rPr>
          <w:lang w:val="en-US"/>
        </w:rPr>
        <w:t xml:space="preserve"> and register of creditors</w:t>
      </w:r>
    </w:p>
    <w:p w:rsidRPr="00B849DC" w:rsidR="00193D44" w:rsidP="00B849DC" w:rsidRDefault="00193D44">
      <w:pPr>
        <w:pStyle w:val="ECHRPara"/>
        <w:rPr>
          <w:lang w:val="en-US"/>
        </w:rPr>
      </w:pPr>
      <w:r w:rsidRPr="00B849DC">
        <w:rPr>
          <w:lang w:val="en-US"/>
        </w:rPr>
        <w:fldChar w:fldCharType="begin"/>
      </w:r>
      <w:r w:rsidRPr="00B849DC">
        <w:rPr>
          <w:lang w:val="en-US"/>
        </w:rPr>
        <w:instrText xml:space="preserve"> SEQ level0 \*arabic </w:instrText>
      </w:r>
      <w:r w:rsidRPr="00B849DC">
        <w:rPr>
          <w:lang w:val="en-US"/>
        </w:rPr>
        <w:fldChar w:fldCharType="separate"/>
      </w:r>
      <w:r w:rsidRPr="00B849DC" w:rsidR="00B849DC">
        <w:rPr>
          <w:noProof/>
          <w:lang w:val="en-US"/>
        </w:rPr>
        <w:t>41</w:t>
      </w:r>
      <w:r w:rsidRPr="00B849DC">
        <w:rPr>
          <w:lang w:val="en-US"/>
        </w:rPr>
        <w:fldChar w:fldCharType="end"/>
      </w:r>
      <w:r w:rsidRPr="00B849DC" w:rsidR="00A13211">
        <w:rPr>
          <w:lang w:val="en-US"/>
        </w:rPr>
        <w:t>.  On 16 </w:t>
      </w:r>
      <w:r w:rsidRPr="00B849DC">
        <w:rPr>
          <w:lang w:val="en-US"/>
        </w:rPr>
        <w:t>July 2007 the bailiffs</w:t>
      </w:r>
      <w:r w:rsidRPr="00B849DC" w:rsidR="00B849DC">
        <w:rPr>
          <w:lang w:val="en-US"/>
        </w:rPr>
        <w:t>’</w:t>
      </w:r>
      <w:r w:rsidRPr="00B849DC">
        <w:rPr>
          <w:lang w:val="en-US"/>
        </w:rPr>
        <w:t xml:space="preserve"> service initiated the enforcement proceedin</w:t>
      </w:r>
      <w:r w:rsidRPr="00B849DC" w:rsidR="0059769E">
        <w:rPr>
          <w:lang w:val="en-US"/>
        </w:rPr>
        <w:t xml:space="preserve">gs in respect of the judgment. </w:t>
      </w:r>
      <w:r w:rsidRPr="00B849DC">
        <w:rPr>
          <w:lang w:val="en-US"/>
        </w:rPr>
        <w:t xml:space="preserve">On 19 July 2007 the bailiffs </w:t>
      </w:r>
      <w:r w:rsidRPr="00B849DC" w:rsidR="00D97D2D">
        <w:rPr>
          <w:lang w:val="en-US"/>
        </w:rPr>
        <w:t xml:space="preserve">terminated </w:t>
      </w:r>
      <w:r w:rsidRPr="00B849DC">
        <w:rPr>
          <w:lang w:val="en-US"/>
        </w:rPr>
        <w:t>the enforcement proceedings and forwarded the writs of execution to the liquidator.</w:t>
      </w:r>
    </w:p>
    <w:p w:rsidRPr="00B849DC" w:rsidR="00193D44" w:rsidP="00B849DC" w:rsidRDefault="0059769E">
      <w:pPr>
        <w:pStyle w:val="ECHRPara"/>
        <w:rPr>
          <w:lang w:val="en-US"/>
        </w:rPr>
      </w:pPr>
      <w:r w:rsidRPr="00B849DC">
        <w:rPr>
          <w:lang w:val="en-US"/>
        </w:rPr>
        <w:fldChar w:fldCharType="begin"/>
      </w:r>
      <w:r w:rsidRPr="00B849DC">
        <w:rPr>
          <w:lang w:val="en-US"/>
        </w:rPr>
        <w:instrText xml:space="preserve"> SEQ level0 \*arabic </w:instrText>
      </w:r>
      <w:r w:rsidRPr="00B849DC">
        <w:rPr>
          <w:lang w:val="en-US"/>
        </w:rPr>
        <w:fldChar w:fldCharType="separate"/>
      </w:r>
      <w:r w:rsidRPr="00B849DC" w:rsidR="00B849DC">
        <w:rPr>
          <w:noProof/>
          <w:lang w:val="en-US"/>
        </w:rPr>
        <w:t>42</w:t>
      </w:r>
      <w:r w:rsidRPr="00B849DC">
        <w:rPr>
          <w:lang w:val="en-US"/>
        </w:rPr>
        <w:fldChar w:fldCharType="end"/>
      </w:r>
      <w:r w:rsidRPr="00B849DC">
        <w:rPr>
          <w:lang w:val="en-US"/>
        </w:rPr>
        <w:t>.  </w:t>
      </w:r>
      <w:r w:rsidRPr="00B849DC" w:rsidR="000A4811">
        <w:rPr>
          <w:lang w:val="en-US"/>
        </w:rPr>
        <w:t>At some point before 1 </w:t>
      </w:r>
      <w:r w:rsidRPr="00B849DC" w:rsidR="00B06558">
        <w:rPr>
          <w:lang w:val="en-US"/>
        </w:rPr>
        <w:t xml:space="preserve">February 2009 </w:t>
      </w:r>
      <w:r w:rsidRPr="00B849DC">
        <w:rPr>
          <w:lang w:val="en-US"/>
        </w:rPr>
        <w:t>(date of the liq</w:t>
      </w:r>
      <w:r w:rsidRPr="00B849DC" w:rsidR="00A13211">
        <w:rPr>
          <w:lang w:val="en-US"/>
        </w:rPr>
        <w:t>uidator</w:t>
      </w:r>
      <w:r w:rsidRPr="00B849DC" w:rsidR="00B849DC">
        <w:rPr>
          <w:lang w:val="en-US"/>
        </w:rPr>
        <w:t>’</w:t>
      </w:r>
      <w:r w:rsidRPr="00B849DC" w:rsidR="00A13211">
        <w:rPr>
          <w:lang w:val="en-US"/>
        </w:rPr>
        <w:t xml:space="preserve">s report, see paragraph </w:t>
      </w:r>
      <w:r w:rsidRPr="00B849DC">
        <w:rPr>
          <w:lang w:val="en-US"/>
        </w:rPr>
        <w:t xml:space="preserve">45 below) </w:t>
      </w:r>
      <w:r w:rsidRPr="00B849DC" w:rsidR="00193D44">
        <w:rPr>
          <w:lang w:val="en-US"/>
        </w:rPr>
        <w:t xml:space="preserve">the </w:t>
      </w:r>
      <w:r w:rsidRPr="00B849DC" w:rsidR="00EA78FC">
        <w:rPr>
          <w:lang w:val="en-US"/>
        </w:rPr>
        <w:t>applicant</w:t>
      </w:r>
      <w:r w:rsidRPr="00B849DC" w:rsidR="00B849DC">
        <w:rPr>
          <w:lang w:val="en-US"/>
        </w:rPr>
        <w:t>’</w:t>
      </w:r>
      <w:r w:rsidRPr="00B849DC" w:rsidR="00EA78FC">
        <w:rPr>
          <w:lang w:val="en-US"/>
        </w:rPr>
        <w:t>s</w:t>
      </w:r>
      <w:r w:rsidRPr="00B849DC" w:rsidR="00193D44">
        <w:rPr>
          <w:lang w:val="en-US"/>
        </w:rPr>
        <w:t xml:space="preserve"> claims were included </w:t>
      </w:r>
      <w:r w:rsidRPr="00B849DC" w:rsidR="00EA78FC">
        <w:rPr>
          <w:lang w:val="en-US"/>
        </w:rPr>
        <w:t>in the second priority line of the register of creditors</w:t>
      </w:r>
      <w:r w:rsidRPr="00B849DC" w:rsidR="00B849DC">
        <w:rPr>
          <w:lang w:val="en-US"/>
        </w:rPr>
        <w:t>’</w:t>
      </w:r>
      <w:r w:rsidRPr="00B849DC" w:rsidR="00EA78FC">
        <w:rPr>
          <w:lang w:val="en-US"/>
        </w:rPr>
        <w:t xml:space="preserve"> claims.</w:t>
      </w:r>
    </w:p>
    <w:p w:rsidRPr="00B849DC" w:rsidR="00193D44" w:rsidP="00B849DC" w:rsidRDefault="00193D44">
      <w:pPr>
        <w:pStyle w:val="ECHRHeading4"/>
        <w:rPr>
          <w:lang w:val="en-US"/>
        </w:rPr>
      </w:pPr>
      <w:r w:rsidRPr="00B849DC">
        <w:rPr>
          <w:lang w:val="en-US"/>
        </w:rPr>
        <w:t>(b)  </w:t>
      </w:r>
      <w:r w:rsidRPr="00B849DC" w:rsidR="00EA78FC">
        <w:rPr>
          <w:lang w:val="en-US"/>
        </w:rPr>
        <w:t>A</w:t>
      </w:r>
      <w:r w:rsidRPr="00B849DC">
        <w:rPr>
          <w:lang w:val="en-US"/>
        </w:rPr>
        <w:t>pp</w:t>
      </w:r>
      <w:r w:rsidRPr="00B849DC" w:rsidR="00EA78FC">
        <w:rPr>
          <w:lang w:val="en-US"/>
        </w:rPr>
        <w:t>lication to the Ark</w:t>
      </w:r>
      <w:r w:rsidRPr="00B849DC">
        <w:rPr>
          <w:lang w:val="en-US"/>
        </w:rPr>
        <w:t xml:space="preserve">hangelsk </w:t>
      </w:r>
      <w:r w:rsidRPr="00B849DC" w:rsidR="00EA78FC">
        <w:rPr>
          <w:lang w:val="en-US"/>
        </w:rPr>
        <w:t>Commercial</w:t>
      </w:r>
      <w:r w:rsidRPr="00B849DC">
        <w:rPr>
          <w:lang w:val="en-US"/>
        </w:rPr>
        <w:t xml:space="preserve"> Court</w:t>
      </w:r>
    </w:p>
    <w:p w:rsidRPr="00B849DC" w:rsidR="00193D44" w:rsidP="00B849DC" w:rsidRDefault="00193D44">
      <w:pPr>
        <w:pStyle w:val="ECHRPara"/>
        <w:rPr>
          <w:lang w:val="en-US"/>
        </w:rPr>
      </w:pPr>
      <w:r w:rsidRPr="00B849DC">
        <w:rPr>
          <w:lang w:val="en-US"/>
        </w:rPr>
        <w:fldChar w:fldCharType="begin"/>
      </w:r>
      <w:r w:rsidRPr="00B849DC">
        <w:rPr>
          <w:lang w:val="en-US"/>
        </w:rPr>
        <w:instrText xml:space="preserve"> SEQ level0 \*arabic </w:instrText>
      </w:r>
      <w:r w:rsidRPr="00B849DC">
        <w:rPr>
          <w:lang w:val="en-US"/>
        </w:rPr>
        <w:fldChar w:fldCharType="separate"/>
      </w:r>
      <w:r w:rsidRPr="00B849DC" w:rsidR="00B849DC">
        <w:rPr>
          <w:noProof/>
          <w:lang w:val="en-US"/>
        </w:rPr>
        <w:t>43</w:t>
      </w:r>
      <w:r w:rsidRPr="00B849DC">
        <w:rPr>
          <w:lang w:val="en-US"/>
        </w:rPr>
        <w:fldChar w:fldCharType="end"/>
      </w:r>
      <w:r w:rsidRPr="00B849DC">
        <w:rPr>
          <w:lang w:val="en-US"/>
        </w:rPr>
        <w:t>.  </w:t>
      </w:r>
      <w:r w:rsidRPr="00B849DC" w:rsidR="00915B7E">
        <w:rPr>
          <w:lang w:val="en-US"/>
        </w:rPr>
        <w:t>According to the Government, on</w:t>
      </w:r>
      <w:r w:rsidRPr="00B849DC" w:rsidR="00EA78FC">
        <w:rPr>
          <w:lang w:val="en-US"/>
        </w:rPr>
        <w:t xml:space="preserve"> 1 October 2007 the applicant petitioned the Commercial Court of Arkhangelsk with a request to order the liquidator to enforce the judgment in his favour.</w:t>
      </w:r>
    </w:p>
    <w:p w:rsidRPr="00B849DC" w:rsidR="00CA087B" w:rsidP="00B849DC" w:rsidRDefault="00EA78FC">
      <w:pPr>
        <w:pStyle w:val="ECHRPara"/>
        <w:rPr>
          <w:lang w:val="en-US"/>
        </w:rPr>
      </w:pPr>
      <w:r w:rsidRPr="00B849DC">
        <w:rPr>
          <w:lang w:val="en-US"/>
        </w:rPr>
        <w:fldChar w:fldCharType="begin"/>
      </w:r>
      <w:r w:rsidRPr="00B849DC">
        <w:rPr>
          <w:lang w:val="en-US"/>
        </w:rPr>
        <w:instrText xml:space="preserve"> SEQ level0 \*arabic </w:instrText>
      </w:r>
      <w:r w:rsidRPr="00B849DC">
        <w:rPr>
          <w:lang w:val="en-US"/>
        </w:rPr>
        <w:fldChar w:fldCharType="separate"/>
      </w:r>
      <w:r w:rsidRPr="00B849DC" w:rsidR="00B849DC">
        <w:rPr>
          <w:noProof/>
          <w:lang w:val="en-US"/>
        </w:rPr>
        <w:t>44</w:t>
      </w:r>
      <w:r w:rsidRPr="00B849DC">
        <w:rPr>
          <w:lang w:val="en-US"/>
        </w:rPr>
        <w:fldChar w:fldCharType="end"/>
      </w:r>
      <w:r w:rsidRPr="00B849DC">
        <w:rPr>
          <w:lang w:val="en-US"/>
        </w:rPr>
        <w:t>.  On 4 October 2007 the court returned the petition unexamined</w:t>
      </w:r>
      <w:r w:rsidRPr="00B849DC" w:rsidR="00B0105F">
        <w:rPr>
          <w:lang w:val="en-US"/>
        </w:rPr>
        <w:t>,</w:t>
      </w:r>
      <w:r w:rsidRPr="00B849DC">
        <w:rPr>
          <w:lang w:val="en-US"/>
        </w:rPr>
        <w:t xml:space="preserve"> referring to </w:t>
      </w:r>
      <w:r w:rsidRPr="00B849DC" w:rsidR="00BD2DFC">
        <w:rPr>
          <w:lang w:val="en-US"/>
        </w:rPr>
        <w:t>section </w:t>
      </w:r>
      <w:r w:rsidRPr="00B849DC">
        <w:rPr>
          <w:lang w:val="en-US"/>
        </w:rPr>
        <w:t>60 of the Insolvency Act (see paragraph</w:t>
      </w:r>
      <w:r w:rsidRPr="00B849DC" w:rsidR="00CC3916">
        <w:rPr>
          <w:lang w:val="en-US"/>
        </w:rPr>
        <w:t> </w:t>
      </w:r>
      <w:r w:rsidRPr="00B849DC" w:rsidR="005765D5">
        <w:rPr>
          <w:lang w:val="en-US"/>
        </w:rPr>
        <w:t>120</w:t>
      </w:r>
      <w:r w:rsidRPr="00B849DC">
        <w:rPr>
          <w:lang w:val="en-US"/>
        </w:rPr>
        <w:t xml:space="preserve"> below). The parties have not submitted a copy of any document produced </w:t>
      </w:r>
      <w:r w:rsidRPr="00B849DC" w:rsidR="00A049E9">
        <w:rPr>
          <w:lang w:val="en-US"/>
        </w:rPr>
        <w:t xml:space="preserve">by the court </w:t>
      </w:r>
      <w:r w:rsidRPr="00B849DC">
        <w:rPr>
          <w:lang w:val="en-US"/>
        </w:rPr>
        <w:t>in that respect</w:t>
      </w:r>
      <w:r w:rsidRPr="00B849DC" w:rsidR="0059769E">
        <w:rPr>
          <w:lang w:val="en-US"/>
        </w:rPr>
        <w:t>, or a copy of the applicant</w:t>
      </w:r>
      <w:r w:rsidRPr="00B849DC" w:rsidR="00B849DC">
        <w:rPr>
          <w:lang w:val="en-US"/>
        </w:rPr>
        <w:t>’</w:t>
      </w:r>
      <w:r w:rsidRPr="00B849DC" w:rsidR="0059769E">
        <w:rPr>
          <w:lang w:val="en-US"/>
        </w:rPr>
        <w:t>s petition</w:t>
      </w:r>
      <w:r w:rsidRPr="00B849DC">
        <w:rPr>
          <w:lang w:val="en-US"/>
        </w:rPr>
        <w:t>.</w:t>
      </w:r>
    </w:p>
    <w:p w:rsidRPr="00B849DC" w:rsidR="00193D44" w:rsidP="00B849DC" w:rsidRDefault="00193D44">
      <w:pPr>
        <w:pStyle w:val="ECHRHeading4"/>
        <w:rPr>
          <w:lang w:val="en-US"/>
        </w:rPr>
      </w:pPr>
      <w:r w:rsidRPr="00B849DC">
        <w:rPr>
          <w:lang w:val="en-US"/>
        </w:rPr>
        <w:t xml:space="preserve">(c)  The </w:t>
      </w:r>
      <w:r w:rsidRPr="00B849DC" w:rsidR="00A049E9">
        <w:rPr>
          <w:lang w:val="en-US"/>
        </w:rPr>
        <w:t>company</w:t>
      </w:r>
      <w:r w:rsidRPr="00B849DC" w:rsidR="00B849DC">
        <w:rPr>
          <w:lang w:val="en-US"/>
        </w:rPr>
        <w:t>’</w:t>
      </w:r>
      <w:r w:rsidRPr="00B849DC" w:rsidR="00A049E9">
        <w:rPr>
          <w:lang w:val="en-US"/>
        </w:rPr>
        <w:t xml:space="preserve">s </w:t>
      </w:r>
      <w:r w:rsidRPr="00B849DC">
        <w:rPr>
          <w:lang w:val="en-US"/>
        </w:rPr>
        <w:t>liquidation</w:t>
      </w:r>
    </w:p>
    <w:p w:rsidRPr="00B849DC" w:rsidR="00915B7E" w:rsidP="00B849DC" w:rsidRDefault="003D527B">
      <w:pPr>
        <w:pStyle w:val="ECHRPara"/>
        <w:rPr>
          <w:lang w:val="en-US"/>
        </w:rPr>
      </w:pPr>
      <w:r w:rsidRPr="00B849DC">
        <w:rPr>
          <w:lang w:val="en-US"/>
        </w:rPr>
        <w:fldChar w:fldCharType="begin"/>
      </w:r>
      <w:r w:rsidRPr="00B849DC">
        <w:rPr>
          <w:lang w:val="en-US"/>
        </w:rPr>
        <w:instrText xml:space="preserve"> SEQ level0 \*arabic </w:instrText>
      </w:r>
      <w:r w:rsidRPr="00B849DC">
        <w:rPr>
          <w:lang w:val="en-US"/>
        </w:rPr>
        <w:fldChar w:fldCharType="separate"/>
      </w:r>
      <w:r w:rsidRPr="00B849DC" w:rsidR="00B849DC">
        <w:rPr>
          <w:noProof/>
          <w:lang w:val="en-US"/>
        </w:rPr>
        <w:t>45</w:t>
      </w:r>
      <w:r w:rsidRPr="00B849DC">
        <w:rPr>
          <w:lang w:val="en-US"/>
        </w:rPr>
        <w:fldChar w:fldCharType="end"/>
      </w:r>
      <w:r w:rsidRPr="00B849DC">
        <w:rPr>
          <w:lang w:val="en-US"/>
        </w:rPr>
        <w:t>.  </w:t>
      </w:r>
      <w:r w:rsidRPr="00B849DC" w:rsidR="00915B7E">
        <w:rPr>
          <w:lang w:val="en-US"/>
        </w:rPr>
        <w:t xml:space="preserve">On 1 February 2009 the liquidator produced a report stating, </w:t>
      </w:r>
      <w:r w:rsidRPr="00B849DC" w:rsidR="00915B7E">
        <w:rPr>
          <w:i/>
          <w:lang w:val="en-US"/>
        </w:rPr>
        <w:t>inter alia</w:t>
      </w:r>
      <w:r w:rsidRPr="00B849DC" w:rsidR="00915B7E">
        <w:rPr>
          <w:lang w:val="en-US"/>
        </w:rPr>
        <w:t xml:space="preserve">, that the assets of the debtor </w:t>
      </w:r>
      <w:r w:rsidRPr="00B849DC" w:rsidR="00A049E9">
        <w:rPr>
          <w:lang w:val="en-US"/>
        </w:rPr>
        <w:t xml:space="preserve">company </w:t>
      </w:r>
      <w:r w:rsidRPr="00B849DC" w:rsidR="00915B7E">
        <w:rPr>
          <w:lang w:val="en-US"/>
        </w:rPr>
        <w:t xml:space="preserve">had not been found and the receivables </w:t>
      </w:r>
      <w:r w:rsidRPr="00B849DC" w:rsidR="0059769E">
        <w:rPr>
          <w:lang w:val="en-US"/>
        </w:rPr>
        <w:t xml:space="preserve">had not been </w:t>
      </w:r>
      <w:r w:rsidRPr="00B849DC" w:rsidR="00915B7E">
        <w:rPr>
          <w:lang w:val="en-US"/>
        </w:rPr>
        <w:t>established, “for lack of</w:t>
      </w:r>
      <w:r w:rsidRPr="00B849DC" w:rsidR="00A049E9">
        <w:rPr>
          <w:lang w:val="en-US"/>
        </w:rPr>
        <w:t xml:space="preserve"> </w:t>
      </w:r>
      <w:r w:rsidRPr="00B849DC" w:rsidR="00915B7E">
        <w:rPr>
          <w:lang w:val="en-US"/>
        </w:rPr>
        <w:t xml:space="preserve">financial </w:t>
      </w:r>
      <w:r w:rsidRPr="00B849DC" w:rsidR="008B6FC1">
        <w:rPr>
          <w:lang w:val="en-US"/>
        </w:rPr>
        <w:t>records</w:t>
      </w:r>
      <w:r w:rsidRPr="00B849DC" w:rsidR="00915B7E">
        <w:rPr>
          <w:lang w:val="en-US"/>
        </w:rPr>
        <w:t>”.</w:t>
      </w:r>
    </w:p>
    <w:p w:rsidRPr="00B849DC" w:rsidR="003D527B" w:rsidP="00B849DC" w:rsidRDefault="00915B7E">
      <w:pPr>
        <w:pStyle w:val="ECHRPara"/>
        <w:rPr>
          <w:lang w:val="en-US"/>
        </w:rPr>
      </w:pPr>
      <w:r w:rsidRPr="00B849DC">
        <w:rPr>
          <w:lang w:val="en-US"/>
        </w:rPr>
        <w:fldChar w:fldCharType="begin"/>
      </w:r>
      <w:r w:rsidRPr="00B849DC">
        <w:rPr>
          <w:lang w:val="en-US"/>
        </w:rPr>
        <w:instrText xml:space="preserve"> SEQ level0 \*arabic </w:instrText>
      </w:r>
      <w:r w:rsidRPr="00B849DC">
        <w:rPr>
          <w:lang w:val="en-US"/>
        </w:rPr>
        <w:fldChar w:fldCharType="separate"/>
      </w:r>
      <w:r w:rsidRPr="00B849DC" w:rsidR="00B849DC">
        <w:rPr>
          <w:noProof/>
          <w:lang w:val="en-US"/>
        </w:rPr>
        <w:t>46</w:t>
      </w:r>
      <w:r w:rsidRPr="00B849DC">
        <w:rPr>
          <w:lang w:val="en-US"/>
        </w:rPr>
        <w:fldChar w:fldCharType="end"/>
      </w:r>
      <w:r w:rsidRPr="00B849DC">
        <w:rPr>
          <w:lang w:val="en-US"/>
        </w:rPr>
        <w:t>.  </w:t>
      </w:r>
      <w:r w:rsidRPr="00B849DC" w:rsidR="003D527B">
        <w:rPr>
          <w:lang w:val="en-US"/>
        </w:rPr>
        <w:t xml:space="preserve">On </w:t>
      </w:r>
      <w:r w:rsidRPr="00B849DC" w:rsidR="00EA78FC">
        <w:rPr>
          <w:lang w:val="en-US"/>
        </w:rPr>
        <w:t>24 February 2009</w:t>
      </w:r>
      <w:r w:rsidRPr="00B849DC" w:rsidR="003D527B">
        <w:rPr>
          <w:lang w:val="en-US"/>
        </w:rPr>
        <w:t xml:space="preserve"> the Commercial Court </w:t>
      </w:r>
      <w:r w:rsidRPr="00B849DC" w:rsidR="0059769E">
        <w:rPr>
          <w:lang w:val="en-US"/>
        </w:rPr>
        <w:t xml:space="preserve">of </w:t>
      </w:r>
      <w:r w:rsidRPr="00B849DC" w:rsidR="00EA78FC">
        <w:rPr>
          <w:lang w:val="en-US"/>
        </w:rPr>
        <w:t>Arkhangelsk</w:t>
      </w:r>
      <w:r w:rsidRPr="00B849DC" w:rsidR="003D527B">
        <w:rPr>
          <w:lang w:val="en-US"/>
        </w:rPr>
        <w:t xml:space="preserve"> </w:t>
      </w:r>
      <w:r w:rsidRPr="00B849DC" w:rsidR="00A049E9">
        <w:rPr>
          <w:lang w:val="en-US"/>
        </w:rPr>
        <w:t xml:space="preserve">terminated </w:t>
      </w:r>
      <w:r w:rsidRPr="00B849DC" w:rsidR="003D527B">
        <w:rPr>
          <w:lang w:val="en-US"/>
        </w:rPr>
        <w:t xml:space="preserve">the insolvency proceedings and ordered the respondent </w:t>
      </w:r>
      <w:r w:rsidRPr="00B849DC" w:rsidR="00A049E9">
        <w:rPr>
          <w:lang w:val="en-US"/>
        </w:rPr>
        <w:t>company</w:t>
      </w:r>
      <w:r w:rsidRPr="00B849DC" w:rsidR="00B849DC">
        <w:rPr>
          <w:lang w:val="en-US"/>
        </w:rPr>
        <w:t>’</w:t>
      </w:r>
      <w:r w:rsidRPr="00B849DC" w:rsidR="00A049E9">
        <w:rPr>
          <w:lang w:val="en-US"/>
        </w:rPr>
        <w:t xml:space="preserve">s </w:t>
      </w:r>
      <w:r w:rsidRPr="00B849DC" w:rsidR="003D527B">
        <w:rPr>
          <w:lang w:val="en-US"/>
        </w:rPr>
        <w:t>liquidation. The creditors</w:t>
      </w:r>
      <w:r w:rsidRPr="00B849DC" w:rsidR="00B849DC">
        <w:rPr>
          <w:lang w:val="en-US"/>
        </w:rPr>
        <w:t>’</w:t>
      </w:r>
      <w:r w:rsidRPr="00B849DC" w:rsidR="003D527B">
        <w:rPr>
          <w:lang w:val="en-US"/>
        </w:rPr>
        <w:t xml:space="preserve"> claims which </w:t>
      </w:r>
      <w:r w:rsidRPr="00B849DC" w:rsidR="008B6FC1">
        <w:rPr>
          <w:lang w:val="en-US"/>
        </w:rPr>
        <w:t xml:space="preserve">had </w:t>
      </w:r>
      <w:r w:rsidRPr="00B849DC" w:rsidR="000B0CD4">
        <w:rPr>
          <w:lang w:val="en-US"/>
        </w:rPr>
        <w:t>not</w:t>
      </w:r>
      <w:r w:rsidRPr="00B849DC" w:rsidR="008B6FC1">
        <w:rPr>
          <w:lang w:val="en-US"/>
        </w:rPr>
        <w:t xml:space="preserve"> been</w:t>
      </w:r>
      <w:r w:rsidRPr="00B849DC" w:rsidR="000B0CD4">
        <w:rPr>
          <w:lang w:val="en-US"/>
        </w:rPr>
        <w:t xml:space="preserve"> </w:t>
      </w:r>
      <w:r w:rsidRPr="00B849DC" w:rsidR="003D527B">
        <w:rPr>
          <w:lang w:val="en-US"/>
        </w:rPr>
        <w:t xml:space="preserve">satisfied during the </w:t>
      </w:r>
      <w:r w:rsidRPr="00B849DC" w:rsidR="00DB610B">
        <w:rPr>
          <w:lang w:val="en-US"/>
        </w:rPr>
        <w:t>liquidation</w:t>
      </w:r>
      <w:r w:rsidRPr="00B849DC" w:rsidR="003D527B">
        <w:rPr>
          <w:lang w:val="en-US"/>
        </w:rPr>
        <w:t xml:space="preserve"> procedure</w:t>
      </w:r>
      <w:r w:rsidRPr="00B849DC" w:rsidR="00EA78FC">
        <w:rPr>
          <w:lang w:val="en-US"/>
        </w:rPr>
        <w:t xml:space="preserve"> due to the </w:t>
      </w:r>
      <w:r w:rsidRPr="00B849DC" w:rsidR="00A049E9">
        <w:rPr>
          <w:lang w:val="en-US"/>
        </w:rPr>
        <w:t>debtor</w:t>
      </w:r>
      <w:r w:rsidRPr="00B849DC" w:rsidR="00B849DC">
        <w:rPr>
          <w:lang w:val="en-US"/>
        </w:rPr>
        <w:t>’</w:t>
      </w:r>
      <w:r w:rsidRPr="00B849DC" w:rsidR="00A049E9">
        <w:rPr>
          <w:lang w:val="en-US"/>
        </w:rPr>
        <w:t xml:space="preserve">s </w:t>
      </w:r>
      <w:r w:rsidRPr="00B849DC" w:rsidR="00EA78FC">
        <w:rPr>
          <w:lang w:val="en-US"/>
        </w:rPr>
        <w:t>shortage of funds</w:t>
      </w:r>
      <w:r w:rsidRPr="00B849DC" w:rsidR="003D527B">
        <w:rPr>
          <w:lang w:val="en-US"/>
        </w:rPr>
        <w:t>, including the applicant</w:t>
      </w:r>
      <w:r w:rsidRPr="00B849DC" w:rsidR="00B849DC">
        <w:rPr>
          <w:lang w:val="en-US"/>
        </w:rPr>
        <w:t>’</w:t>
      </w:r>
      <w:r w:rsidRPr="00B849DC" w:rsidR="003D527B">
        <w:rPr>
          <w:lang w:val="en-US"/>
        </w:rPr>
        <w:t xml:space="preserve">s claims, </w:t>
      </w:r>
      <w:r w:rsidRPr="00B849DC" w:rsidR="00DB610B">
        <w:rPr>
          <w:lang w:val="en-US"/>
        </w:rPr>
        <w:t>were</w:t>
      </w:r>
      <w:r w:rsidRPr="00B849DC" w:rsidR="003D527B">
        <w:rPr>
          <w:lang w:val="en-US"/>
        </w:rPr>
        <w:t xml:space="preserve"> considered as settled. </w:t>
      </w:r>
      <w:r w:rsidRPr="00B849DC" w:rsidR="00DB610B">
        <w:rPr>
          <w:lang w:val="en-US"/>
        </w:rPr>
        <w:t xml:space="preserve">The court further ordered </w:t>
      </w:r>
      <w:r w:rsidRPr="00B849DC" w:rsidR="00A049E9">
        <w:rPr>
          <w:lang w:val="en-US"/>
        </w:rPr>
        <w:t xml:space="preserve">that </w:t>
      </w:r>
      <w:r w:rsidRPr="00B849DC" w:rsidR="00DB610B">
        <w:rPr>
          <w:lang w:val="en-US"/>
        </w:rPr>
        <w:t xml:space="preserve">the enforcement proceedings in respect of </w:t>
      </w:r>
      <w:r w:rsidRPr="00B849DC" w:rsidR="00424A32">
        <w:rPr>
          <w:lang w:val="en-US"/>
        </w:rPr>
        <w:t>that</w:t>
      </w:r>
      <w:r w:rsidRPr="00B849DC" w:rsidR="00DB610B">
        <w:rPr>
          <w:lang w:val="en-US"/>
        </w:rPr>
        <w:t xml:space="preserve"> debt</w:t>
      </w:r>
      <w:r w:rsidRPr="00B849DC" w:rsidR="00A049E9">
        <w:rPr>
          <w:lang w:val="en-US"/>
        </w:rPr>
        <w:t xml:space="preserve"> be terminated</w:t>
      </w:r>
      <w:r w:rsidRPr="00B849DC" w:rsidR="00DB610B">
        <w:rPr>
          <w:lang w:val="en-US"/>
        </w:rPr>
        <w:t>.</w:t>
      </w:r>
    </w:p>
    <w:p w:rsidRPr="00B849DC" w:rsidR="0003246B" w:rsidP="00B849DC" w:rsidRDefault="00193D44">
      <w:pPr>
        <w:pStyle w:val="ECHRHeading3"/>
        <w:rPr>
          <w:lang w:val="en-US"/>
        </w:rPr>
      </w:pPr>
      <w:r w:rsidRPr="00B849DC">
        <w:rPr>
          <w:lang w:val="en-US"/>
        </w:rPr>
        <w:t>4</w:t>
      </w:r>
      <w:r w:rsidRPr="00B849DC" w:rsidR="0003246B">
        <w:rPr>
          <w:lang w:val="en-US"/>
        </w:rPr>
        <w:t>.  Proceedings for subsidiary liability brought by the applicant</w:t>
      </w:r>
    </w:p>
    <w:p w:rsidRPr="00B849DC" w:rsidR="00AE7B9E" w:rsidP="00B849DC" w:rsidRDefault="0003246B">
      <w:pPr>
        <w:pStyle w:val="ECHRPara"/>
        <w:rPr>
          <w:lang w:val="en-US"/>
        </w:rPr>
      </w:pPr>
      <w:r w:rsidRPr="00B849DC">
        <w:rPr>
          <w:lang w:val="en-US"/>
        </w:rPr>
        <w:fldChar w:fldCharType="begin"/>
      </w:r>
      <w:r w:rsidRPr="00B849DC">
        <w:rPr>
          <w:lang w:val="en-US"/>
        </w:rPr>
        <w:instrText xml:space="preserve"> SEQ level0 \*arabic </w:instrText>
      </w:r>
      <w:r w:rsidRPr="00B849DC">
        <w:rPr>
          <w:lang w:val="en-US"/>
        </w:rPr>
        <w:fldChar w:fldCharType="separate"/>
      </w:r>
      <w:r w:rsidRPr="00B849DC" w:rsidR="00B849DC">
        <w:rPr>
          <w:noProof/>
          <w:lang w:val="en-US"/>
        </w:rPr>
        <w:t>47</w:t>
      </w:r>
      <w:r w:rsidRPr="00B849DC">
        <w:rPr>
          <w:lang w:val="en-US"/>
        </w:rPr>
        <w:fldChar w:fldCharType="end"/>
      </w:r>
      <w:r w:rsidRPr="00B849DC">
        <w:rPr>
          <w:lang w:val="en-US"/>
        </w:rPr>
        <w:t>.  </w:t>
      </w:r>
      <w:r w:rsidRPr="00B849DC" w:rsidR="00AE7B9E">
        <w:rPr>
          <w:lang w:val="en-US"/>
        </w:rPr>
        <w:t>The</w:t>
      </w:r>
      <w:r w:rsidRPr="00B849DC" w:rsidR="000C1222">
        <w:rPr>
          <w:lang w:val="en-US"/>
        </w:rPr>
        <w:t xml:space="preserve"> applicant lodged </w:t>
      </w:r>
      <w:r w:rsidRPr="00B849DC" w:rsidR="00A049E9">
        <w:rPr>
          <w:lang w:val="en-US"/>
        </w:rPr>
        <w:t xml:space="preserve">a </w:t>
      </w:r>
      <w:r w:rsidRPr="00B849DC" w:rsidR="000C1222">
        <w:rPr>
          <w:lang w:val="en-US"/>
        </w:rPr>
        <w:t>court</w:t>
      </w:r>
      <w:r w:rsidRPr="00B849DC">
        <w:rPr>
          <w:lang w:val="en-US"/>
        </w:rPr>
        <w:t xml:space="preserve"> action </w:t>
      </w:r>
      <w:r w:rsidRPr="00B849DC" w:rsidR="000462A0">
        <w:rPr>
          <w:lang w:val="en-US"/>
        </w:rPr>
        <w:t xml:space="preserve">against various respondents </w:t>
      </w:r>
      <w:r w:rsidRPr="00B849DC">
        <w:rPr>
          <w:lang w:val="en-US"/>
        </w:rPr>
        <w:t>claiming</w:t>
      </w:r>
      <w:r w:rsidRPr="00B849DC" w:rsidR="000462A0">
        <w:rPr>
          <w:lang w:val="en-US"/>
        </w:rPr>
        <w:t xml:space="preserve">, </w:t>
      </w:r>
      <w:r w:rsidRPr="00B849DC" w:rsidR="000462A0">
        <w:rPr>
          <w:i/>
          <w:lang w:val="en-US"/>
        </w:rPr>
        <w:t>inter alia</w:t>
      </w:r>
      <w:r w:rsidRPr="00B849DC" w:rsidR="000462A0">
        <w:rPr>
          <w:lang w:val="en-US"/>
        </w:rPr>
        <w:t>,</w:t>
      </w:r>
      <w:r w:rsidRPr="00B849DC">
        <w:rPr>
          <w:lang w:val="en-US"/>
        </w:rPr>
        <w:t xml:space="preserve"> </w:t>
      </w:r>
      <w:r w:rsidRPr="00B849DC" w:rsidR="007730BB">
        <w:rPr>
          <w:lang w:val="en-US"/>
        </w:rPr>
        <w:t>that the</w:t>
      </w:r>
      <w:r w:rsidRPr="00B849DC" w:rsidR="000C1222">
        <w:rPr>
          <w:lang w:val="en-US"/>
        </w:rPr>
        <w:t xml:space="preserve"> town</w:t>
      </w:r>
      <w:r w:rsidRPr="00B849DC">
        <w:rPr>
          <w:lang w:val="en-US"/>
        </w:rPr>
        <w:t xml:space="preserve"> administration </w:t>
      </w:r>
      <w:r w:rsidRPr="00B849DC" w:rsidR="007730BB">
        <w:rPr>
          <w:lang w:val="en-US"/>
        </w:rPr>
        <w:t>was</w:t>
      </w:r>
      <w:r w:rsidRPr="00B849DC" w:rsidR="000C1222">
        <w:rPr>
          <w:lang w:val="en-US"/>
        </w:rPr>
        <w:t xml:space="preserve"> </w:t>
      </w:r>
      <w:r w:rsidRPr="00B849DC">
        <w:rPr>
          <w:lang w:val="en-US"/>
        </w:rPr>
        <w:t>liable to repay h</w:t>
      </w:r>
      <w:r w:rsidRPr="00B849DC" w:rsidR="005E57ED">
        <w:rPr>
          <w:lang w:val="en-US"/>
        </w:rPr>
        <w:t xml:space="preserve">im </w:t>
      </w:r>
      <w:r w:rsidRPr="00B849DC">
        <w:rPr>
          <w:lang w:val="en-US"/>
        </w:rPr>
        <w:t xml:space="preserve">the unpaid judgment debt, as well as </w:t>
      </w:r>
      <w:r w:rsidRPr="00B849DC" w:rsidR="00424A32">
        <w:rPr>
          <w:lang w:val="en-US"/>
        </w:rPr>
        <w:t xml:space="preserve">compensation for </w:t>
      </w:r>
      <w:r w:rsidRPr="00B849DC" w:rsidR="005E57ED">
        <w:rPr>
          <w:lang w:val="en-US"/>
        </w:rPr>
        <w:t xml:space="preserve">non-pecuniary and pecuniary </w:t>
      </w:r>
      <w:r w:rsidRPr="00B849DC" w:rsidR="00424A32">
        <w:rPr>
          <w:lang w:val="en-US"/>
        </w:rPr>
        <w:t xml:space="preserve">damage </w:t>
      </w:r>
      <w:r w:rsidRPr="00B849DC" w:rsidR="005E57ED">
        <w:rPr>
          <w:lang w:val="en-US"/>
        </w:rPr>
        <w:t>resulting from the</w:t>
      </w:r>
      <w:r w:rsidRPr="00B849DC">
        <w:rPr>
          <w:lang w:val="en-US"/>
        </w:rPr>
        <w:t xml:space="preserve"> </w:t>
      </w:r>
      <w:r w:rsidRPr="00B849DC" w:rsidR="005E57ED">
        <w:rPr>
          <w:lang w:val="en-US"/>
        </w:rPr>
        <w:t>non-</w:t>
      </w:r>
      <w:r w:rsidRPr="00B849DC">
        <w:rPr>
          <w:lang w:val="en-US"/>
        </w:rPr>
        <w:t xml:space="preserve">enforcement. </w:t>
      </w:r>
      <w:r w:rsidRPr="00B849DC" w:rsidR="005E57ED">
        <w:rPr>
          <w:lang w:val="en-US"/>
        </w:rPr>
        <w:t>He</w:t>
      </w:r>
      <w:r w:rsidRPr="00B849DC">
        <w:rPr>
          <w:lang w:val="en-US"/>
        </w:rPr>
        <w:t xml:space="preserve"> argued that the insolvency of the debtor </w:t>
      </w:r>
      <w:r w:rsidRPr="00B849DC" w:rsidR="00A049E9">
        <w:rPr>
          <w:lang w:val="en-US"/>
        </w:rPr>
        <w:t xml:space="preserve">company </w:t>
      </w:r>
      <w:r w:rsidRPr="00B849DC">
        <w:rPr>
          <w:lang w:val="en-US"/>
        </w:rPr>
        <w:t xml:space="preserve">had been caused by the actions of the </w:t>
      </w:r>
      <w:r w:rsidRPr="00B849DC" w:rsidR="000462A0">
        <w:rPr>
          <w:lang w:val="en-US"/>
        </w:rPr>
        <w:t>district</w:t>
      </w:r>
      <w:r w:rsidRPr="00B849DC" w:rsidR="00261377">
        <w:rPr>
          <w:lang w:val="en-US"/>
        </w:rPr>
        <w:t xml:space="preserve"> administration.</w:t>
      </w:r>
    </w:p>
    <w:p w:rsidRPr="00B849DC" w:rsidR="00587A46" w:rsidP="00B849DC" w:rsidRDefault="00AE7B9E">
      <w:pPr>
        <w:pStyle w:val="ECHRPara"/>
        <w:rPr>
          <w:lang w:val="en-US"/>
        </w:rPr>
      </w:pPr>
      <w:r w:rsidRPr="00B849DC">
        <w:rPr>
          <w:lang w:val="en-US"/>
        </w:rPr>
        <w:fldChar w:fldCharType="begin"/>
      </w:r>
      <w:r w:rsidRPr="00B849DC">
        <w:rPr>
          <w:lang w:val="en-US"/>
        </w:rPr>
        <w:instrText xml:space="preserve"> SEQ level0 \*arabic </w:instrText>
      </w:r>
      <w:r w:rsidRPr="00B849DC">
        <w:rPr>
          <w:lang w:val="en-US"/>
        </w:rPr>
        <w:fldChar w:fldCharType="separate"/>
      </w:r>
      <w:r w:rsidRPr="00B849DC" w:rsidR="00B849DC">
        <w:rPr>
          <w:noProof/>
          <w:lang w:val="en-US"/>
        </w:rPr>
        <w:t>48</w:t>
      </w:r>
      <w:r w:rsidRPr="00B849DC">
        <w:rPr>
          <w:lang w:val="en-US"/>
        </w:rPr>
        <w:fldChar w:fldCharType="end"/>
      </w:r>
      <w:r w:rsidRPr="00B849DC">
        <w:rPr>
          <w:lang w:val="en-US"/>
        </w:rPr>
        <w:t xml:space="preserve">.  On 16 September 2009 the Mezenskiy District Court of the Arkhangelsk Region </w:t>
      </w:r>
      <w:r w:rsidRPr="00B849DC" w:rsidR="00422CBF">
        <w:rPr>
          <w:lang w:val="en-US"/>
        </w:rPr>
        <w:t xml:space="preserve">heard the parties, including the applicant, the district administration representative and the head of the liquidated </w:t>
      </w:r>
      <w:r w:rsidRPr="00B849DC" w:rsidR="00424A32">
        <w:rPr>
          <w:lang w:val="en-US"/>
        </w:rPr>
        <w:t xml:space="preserve">company </w:t>
      </w:r>
      <w:r w:rsidRPr="00B849DC" w:rsidR="00422CBF">
        <w:rPr>
          <w:lang w:val="en-US"/>
        </w:rPr>
        <w:t>who was, at the time of the even</w:t>
      </w:r>
      <w:r w:rsidRPr="00B849DC" w:rsidR="00A049E9">
        <w:rPr>
          <w:lang w:val="en-US"/>
        </w:rPr>
        <w:t>t</w:t>
      </w:r>
      <w:r w:rsidRPr="00B849DC" w:rsidR="00422CBF">
        <w:rPr>
          <w:lang w:val="en-US"/>
        </w:rPr>
        <w:t xml:space="preserve">s, employed as the </w:t>
      </w:r>
      <w:r w:rsidRPr="00B849DC" w:rsidR="00A049E9">
        <w:rPr>
          <w:lang w:val="en-US"/>
        </w:rPr>
        <w:t xml:space="preserve">director </w:t>
      </w:r>
      <w:r w:rsidRPr="00B849DC" w:rsidR="00422CBF">
        <w:rPr>
          <w:lang w:val="en-US"/>
        </w:rPr>
        <w:t>of MUP “MTS” (see paragraph </w:t>
      </w:r>
      <w:r w:rsidRPr="00B849DC" w:rsidR="00CC3916">
        <w:rPr>
          <w:lang w:val="en-US"/>
        </w:rPr>
        <w:t>34</w:t>
      </w:r>
      <w:r w:rsidRPr="00B849DC" w:rsidR="00422CBF">
        <w:rPr>
          <w:lang w:val="en-US"/>
        </w:rPr>
        <w:t xml:space="preserve"> above) and </w:t>
      </w:r>
      <w:r w:rsidRPr="00B849DC">
        <w:rPr>
          <w:lang w:val="en-US"/>
        </w:rPr>
        <w:t xml:space="preserve">granted </w:t>
      </w:r>
      <w:r w:rsidRPr="00B849DC" w:rsidR="00422CBF">
        <w:rPr>
          <w:lang w:val="en-US"/>
        </w:rPr>
        <w:t>the applicant</w:t>
      </w:r>
      <w:r w:rsidRPr="00B849DC" w:rsidR="00B849DC">
        <w:rPr>
          <w:lang w:val="en-US"/>
        </w:rPr>
        <w:t>’</w:t>
      </w:r>
      <w:r w:rsidRPr="00B849DC" w:rsidR="00422CBF">
        <w:rPr>
          <w:lang w:val="en-US"/>
        </w:rPr>
        <w:t xml:space="preserve">s </w:t>
      </w:r>
      <w:r w:rsidRPr="00B849DC">
        <w:rPr>
          <w:lang w:val="en-US"/>
        </w:rPr>
        <w:t>claims in part.</w:t>
      </w:r>
      <w:r w:rsidRPr="00B849DC" w:rsidR="00587A46">
        <w:rPr>
          <w:lang w:val="en-US"/>
        </w:rPr>
        <w:t xml:space="preserve"> The court reiterated that the debtor </w:t>
      </w:r>
      <w:r w:rsidRPr="00B849DC" w:rsidR="00354E2B">
        <w:rPr>
          <w:lang w:val="en-US"/>
        </w:rPr>
        <w:t>company</w:t>
      </w:r>
      <w:r w:rsidRPr="00B849DC" w:rsidR="00587A46">
        <w:rPr>
          <w:lang w:val="en-US"/>
        </w:rPr>
        <w:t xml:space="preserve"> had been set up by the district administration</w:t>
      </w:r>
      <w:r w:rsidRPr="00B849DC" w:rsidR="00290157">
        <w:rPr>
          <w:lang w:val="en-US"/>
        </w:rPr>
        <w:t>, which, as its</w:t>
      </w:r>
      <w:r w:rsidRPr="00B849DC" w:rsidR="00587A46">
        <w:rPr>
          <w:lang w:val="en-US"/>
        </w:rPr>
        <w:t xml:space="preserve"> owner</w:t>
      </w:r>
      <w:r w:rsidRPr="00B849DC" w:rsidR="00290157">
        <w:rPr>
          <w:lang w:val="en-US"/>
        </w:rPr>
        <w:t>,</w:t>
      </w:r>
      <w:r w:rsidRPr="00B849DC" w:rsidR="00587A46">
        <w:rPr>
          <w:lang w:val="en-US"/>
        </w:rPr>
        <w:t xml:space="preserve"> had been entitled to decide on its </w:t>
      </w:r>
      <w:r w:rsidRPr="00B849DC" w:rsidR="008B6FC1">
        <w:rPr>
          <w:lang w:val="en-US"/>
        </w:rPr>
        <w:t xml:space="preserve">restructuring </w:t>
      </w:r>
      <w:r w:rsidRPr="00B849DC" w:rsidR="00587A46">
        <w:rPr>
          <w:lang w:val="en-US"/>
        </w:rPr>
        <w:t xml:space="preserve">and liquidation under Article 295 § 1 of the Civil Code. The owner could not be held liable for the insolvent </w:t>
      </w:r>
      <w:r w:rsidRPr="00B849DC" w:rsidR="00290157">
        <w:rPr>
          <w:lang w:val="en-US"/>
        </w:rPr>
        <w:t>company</w:t>
      </w:r>
      <w:r w:rsidRPr="00B849DC" w:rsidR="00B849DC">
        <w:rPr>
          <w:lang w:val="en-US"/>
        </w:rPr>
        <w:t>’</w:t>
      </w:r>
      <w:r w:rsidRPr="00B849DC" w:rsidR="00290157">
        <w:rPr>
          <w:lang w:val="en-US"/>
        </w:rPr>
        <w:t xml:space="preserve">s </w:t>
      </w:r>
      <w:r w:rsidRPr="00B849DC" w:rsidR="00587A46">
        <w:rPr>
          <w:lang w:val="en-US"/>
        </w:rPr>
        <w:t>debts unless the insolvency had been caused by the owner</w:t>
      </w:r>
      <w:r w:rsidRPr="00B849DC" w:rsidR="00B849DC">
        <w:rPr>
          <w:lang w:val="en-US"/>
        </w:rPr>
        <w:t>’</w:t>
      </w:r>
      <w:r w:rsidRPr="00B849DC" w:rsidR="00587A46">
        <w:rPr>
          <w:lang w:val="en-US"/>
        </w:rPr>
        <w:t xml:space="preserve">s actions. The court established that </w:t>
      </w:r>
      <w:r w:rsidRPr="00B849DC" w:rsidR="0034201B">
        <w:rPr>
          <w:lang w:val="en-US"/>
        </w:rPr>
        <w:t>as a result of the administration</w:t>
      </w:r>
      <w:r w:rsidRPr="00B849DC" w:rsidR="00B849DC">
        <w:rPr>
          <w:lang w:val="en-US"/>
        </w:rPr>
        <w:t>’</w:t>
      </w:r>
      <w:r w:rsidRPr="00B849DC" w:rsidR="0034201B">
        <w:rPr>
          <w:lang w:val="en-US"/>
        </w:rPr>
        <w:t>s tariff</w:t>
      </w:r>
      <w:r w:rsidRPr="00B849DC" w:rsidR="007730BB">
        <w:rPr>
          <w:lang w:val="en-US"/>
        </w:rPr>
        <w:t>-setting</w:t>
      </w:r>
      <w:r w:rsidRPr="00B849DC" w:rsidR="0034201B">
        <w:rPr>
          <w:lang w:val="en-US"/>
        </w:rPr>
        <w:t xml:space="preserve"> policy (see paragraph </w:t>
      </w:r>
      <w:r w:rsidRPr="00B849DC" w:rsidR="00CC3916">
        <w:rPr>
          <w:lang w:val="en-US"/>
        </w:rPr>
        <w:t>33</w:t>
      </w:r>
      <w:r w:rsidRPr="00B849DC" w:rsidR="0034201B">
        <w:rPr>
          <w:lang w:val="en-US"/>
        </w:rPr>
        <w:t xml:space="preserve"> above) the </w:t>
      </w:r>
      <w:r w:rsidRPr="00B849DC" w:rsidR="00354E2B">
        <w:rPr>
          <w:lang w:val="en-US"/>
        </w:rPr>
        <w:t xml:space="preserve">company </w:t>
      </w:r>
      <w:r w:rsidRPr="00B849DC" w:rsidR="007730BB">
        <w:rPr>
          <w:lang w:val="en-US"/>
        </w:rPr>
        <w:t xml:space="preserve">had been </w:t>
      </w:r>
      <w:r w:rsidRPr="00B849DC" w:rsidR="0034201B">
        <w:rPr>
          <w:lang w:val="en-US"/>
        </w:rPr>
        <w:t xml:space="preserve">put in a pre-insolvency situation. Furthermore, the court emphasized that </w:t>
      </w:r>
      <w:r w:rsidRPr="00B849DC" w:rsidR="00587A46">
        <w:rPr>
          <w:lang w:val="en-US"/>
        </w:rPr>
        <w:t>the district administration had withdrawn all assets from the company</w:t>
      </w:r>
      <w:r w:rsidRPr="00B849DC" w:rsidR="00A049E9">
        <w:rPr>
          <w:lang w:val="en-US"/>
        </w:rPr>
        <w:t xml:space="preserve"> except for its authorized </w:t>
      </w:r>
      <w:r w:rsidRPr="00B849DC" w:rsidR="008B6FC1">
        <w:rPr>
          <w:lang w:val="en-US"/>
        </w:rPr>
        <w:t>capital</w:t>
      </w:r>
      <w:r w:rsidRPr="00B849DC" w:rsidR="00587A46">
        <w:rPr>
          <w:lang w:val="en-US"/>
        </w:rPr>
        <w:t>, which resulted in the company</w:t>
      </w:r>
      <w:r w:rsidRPr="00B849DC" w:rsidR="00B849DC">
        <w:rPr>
          <w:lang w:val="en-US"/>
        </w:rPr>
        <w:t>’</w:t>
      </w:r>
      <w:r w:rsidRPr="00B849DC" w:rsidR="00587A46">
        <w:rPr>
          <w:lang w:val="en-US"/>
        </w:rPr>
        <w:t>s inability to continue its activity in accordance with the goals and objectives</w:t>
      </w:r>
      <w:r w:rsidRPr="00B849DC" w:rsidR="00A049E9">
        <w:rPr>
          <w:lang w:val="en-US"/>
        </w:rPr>
        <w:t xml:space="preserve"> assigned to it</w:t>
      </w:r>
      <w:r w:rsidRPr="00B849DC" w:rsidR="00587A46">
        <w:rPr>
          <w:lang w:val="en-US"/>
        </w:rPr>
        <w:t>. With reference to the Court</w:t>
      </w:r>
      <w:r w:rsidRPr="00B849DC" w:rsidR="00B849DC">
        <w:rPr>
          <w:lang w:val="en-US"/>
        </w:rPr>
        <w:t>’</w:t>
      </w:r>
      <w:r w:rsidRPr="00B849DC" w:rsidR="00587A46">
        <w:rPr>
          <w:lang w:val="en-US"/>
        </w:rPr>
        <w:t>s case-law (</w:t>
      </w:r>
      <w:r w:rsidRPr="00B849DC" w:rsidR="00587A46">
        <w:rPr>
          <w:i/>
          <w:szCs w:val="24"/>
          <w:lang w:val="en-GB"/>
        </w:rPr>
        <w:t>Shlepkin v. Russia</w:t>
      </w:r>
      <w:r w:rsidRPr="00B849DC" w:rsidR="00587A46">
        <w:rPr>
          <w:szCs w:val="24"/>
          <w:lang w:val="en-GB"/>
        </w:rPr>
        <w:t xml:space="preserve">, no. 3046/03, 1 February 2007; </w:t>
      </w:r>
      <w:r w:rsidRPr="00B849DC" w:rsidR="00587A46">
        <w:rPr>
          <w:i/>
          <w:szCs w:val="24"/>
          <w:lang w:val="en-GB"/>
        </w:rPr>
        <w:t>Grigoryev and Kakaurova v. Russia</w:t>
      </w:r>
      <w:r w:rsidRPr="00B849DC" w:rsidR="00587A46">
        <w:rPr>
          <w:szCs w:val="24"/>
          <w:lang w:val="en-GB"/>
        </w:rPr>
        <w:t xml:space="preserve">, no. 13820/04, 12 April 2007; and </w:t>
      </w:r>
      <w:bookmarkStart w:name="File15" w:id="2"/>
      <w:r w:rsidRPr="00B849DC" w:rsidR="00587A46">
        <w:rPr>
          <w:i/>
          <w:lang w:val="en-US"/>
        </w:rPr>
        <w:t>Aleksand</w:t>
      </w:r>
      <w:bookmarkEnd w:id="2"/>
      <w:r w:rsidRPr="00B849DC" w:rsidR="00587A46">
        <w:rPr>
          <w:i/>
          <w:lang w:val="en-US"/>
        </w:rPr>
        <w:t>rova v. Russia</w:t>
      </w:r>
      <w:r w:rsidRPr="00B849DC" w:rsidR="00587A46">
        <w:rPr>
          <w:lang w:val="en-US"/>
        </w:rPr>
        <w:t xml:space="preserve">, no. 28965/02, 6 December 2007) the District Court found </w:t>
      </w:r>
      <w:r w:rsidRPr="00B849DC" w:rsidR="008B6FC1">
        <w:rPr>
          <w:lang w:val="en-US"/>
        </w:rPr>
        <w:t xml:space="preserve">that </w:t>
      </w:r>
      <w:r w:rsidRPr="00B849DC" w:rsidR="00587A46">
        <w:rPr>
          <w:lang w:val="en-US"/>
        </w:rPr>
        <w:t xml:space="preserve">the administration </w:t>
      </w:r>
      <w:r w:rsidRPr="00B849DC" w:rsidR="008B6FC1">
        <w:rPr>
          <w:lang w:val="en-US"/>
        </w:rPr>
        <w:t>had</w:t>
      </w:r>
      <w:r w:rsidRPr="00B849DC" w:rsidR="00A049E9">
        <w:rPr>
          <w:lang w:val="en-US"/>
        </w:rPr>
        <w:t xml:space="preserve"> </w:t>
      </w:r>
      <w:r w:rsidRPr="00B849DC" w:rsidR="00587A46">
        <w:rPr>
          <w:lang w:val="en-US"/>
        </w:rPr>
        <w:t>subsidiary liab</w:t>
      </w:r>
      <w:r w:rsidRPr="00B849DC" w:rsidR="00A049E9">
        <w:rPr>
          <w:lang w:val="en-US"/>
        </w:rPr>
        <w:t>i</w:t>
      </w:r>
      <w:r w:rsidRPr="00B849DC" w:rsidR="00587A46">
        <w:rPr>
          <w:lang w:val="en-US"/>
        </w:rPr>
        <w:t>l</w:t>
      </w:r>
      <w:r w:rsidRPr="00B849DC" w:rsidR="00A049E9">
        <w:rPr>
          <w:lang w:val="en-US"/>
        </w:rPr>
        <w:t>ity</w:t>
      </w:r>
      <w:r w:rsidRPr="00B849DC" w:rsidR="00587A46">
        <w:rPr>
          <w:lang w:val="en-US"/>
        </w:rPr>
        <w:t xml:space="preserve"> for the </w:t>
      </w:r>
      <w:r w:rsidRPr="00B849DC" w:rsidR="007730BB">
        <w:rPr>
          <w:lang w:val="en-US"/>
        </w:rPr>
        <w:t xml:space="preserve">insolvent </w:t>
      </w:r>
      <w:r w:rsidRPr="00B849DC" w:rsidR="00A82427">
        <w:rPr>
          <w:lang w:val="en-US"/>
        </w:rPr>
        <w:t>company</w:t>
      </w:r>
      <w:r w:rsidRPr="00B849DC" w:rsidR="00B849DC">
        <w:rPr>
          <w:lang w:val="en-US"/>
        </w:rPr>
        <w:t>’</w:t>
      </w:r>
      <w:r w:rsidRPr="00B849DC" w:rsidR="00A82427">
        <w:rPr>
          <w:lang w:val="en-US"/>
        </w:rPr>
        <w:t xml:space="preserve">s </w:t>
      </w:r>
      <w:r w:rsidRPr="00B849DC" w:rsidR="00587A46">
        <w:rPr>
          <w:lang w:val="en-US"/>
        </w:rPr>
        <w:t xml:space="preserve">debts, ordered that the judgment debt be recovered from the district administration at the expense of the </w:t>
      </w:r>
      <w:r w:rsidRPr="00B849DC" w:rsidR="007730BB">
        <w:rPr>
          <w:lang w:val="en-US"/>
        </w:rPr>
        <w:t>district</w:t>
      </w:r>
      <w:r w:rsidRPr="00B849DC" w:rsidR="00587A46">
        <w:rPr>
          <w:lang w:val="en-US"/>
        </w:rPr>
        <w:t xml:space="preserve"> treasury and rejected </w:t>
      </w:r>
      <w:r w:rsidRPr="00B849DC" w:rsidR="00A82427">
        <w:rPr>
          <w:lang w:val="en-US"/>
        </w:rPr>
        <w:t>t</w:t>
      </w:r>
      <w:r w:rsidRPr="00B849DC" w:rsidR="00587A46">
        <w:rPr>
          <w:lang w:val="en-US"/>
        </w:rPr>
        <w:t>he remain</w:t>
      </w:r>
      <w:r w:rsidRPr="00B849DC" w:rsidR="00A82427">
        <w:rPr>
          <w:lang w:val="en-US"/>
        </w:rPr>
        <w:t>der</w:t>
      </w:r>
      <w:r w:rsidRPr="00B849DC" w:rsidR="00587A46">
        <w:rPr>
          <w:lang w:val="en-US"/>
        </w:rPr>
        <w:t xml:space="preserve"> </w:t>
      </w:r>
      <w:r w:rsidRPr="00B849DC" w:rsidR="00A82427">
        <w:rPr>
          <w:lang w:val="en-US"/>
        </w:rPr>
        <w:t xml:space="preserve">of </w:t>
      </w:r>
      <w:r w:rsidRPr="00B849DC" w:rsidR="00587A46">
        <w:rPr>
          <w:lang w:val="en-US"/>
        </w:rPr>
        <w:t>the applicant</w:t>
      </w:r>
      <w:r w:rsidRPr="00B849DC" w:rsidR="00B849DC">
        <w:rPr>
          <w:lang w:val="en-US"/>
        </w:rPr>
        <w:t>’</w:t>
      </w:r>
      <w:r w:rsidRPr="00B849DC" w:rsidR="00587A46">
        <w:rPr>
          <w:lang w:val="en-US"/>
        </w:rPr>
        <w:t>s claims. In particular, the court found that the newly</w:t>
      </w:r>
      <w:r w:rsidRPr="00B849DC" w:rsidR="00105275">
        <w:rPr>
          <w:lang w:val="en-US"/>
        </w:rPr>
        <w:t xml:space="preserve"> </w:t>
      </w:r>
      <w:r w:rsidRPr="00B849DC" w:rsidR="00587A46">
        <w:rPr>
          <w:lang w:val="en-US"/>
        </w:rPr>
        <w:t xml:space="preserve">created </w:t>
      </w:r>
      <w:r w:rsidRPr="00B849DC" w:rsidR="00A82427">
        <w:rPr>
          <w:lang w:val="en-US"/>
        </w:rPr>
        <w:t xml:space="preserve">company </w:t>
      </w:r>
      <w:r w:rsidRPr="00B849DC" w:rsidR="007730BB">
        <w:rPr>
          <w:lang w:val="en-US"/>
        </w:rPr>
        <w:t>was</w:t>
      </w:r>
      <w:r w:rsidRPr="00B849DC" w:rsidR="00587A46">
        <w:rPr>
          <w:lang w:val="en-US"/>
        </w:rPr>
        <w:t xml:space="preserve"> not liable for the debts of the applicant</w:t>
      </w:r>
      <w:r w:rsidRPr="00B849DC" w:rsidR="00B849DC">
        <w:rPr>
          <w:lang w:val="en-US"/>
        </w:rPr>
        <w:t>’</w:t>
      </w:r>
      <w:r w:rsidRPr="00B849DC" w:rsidR="00587A46">
        <w:rPr>
          <w:lang w:val="en-US"/>
        </w:rPr>
        <w:t>s employer since they had not been transferred to it</w:t>
      </w:r>
      <w:r w:rsidRPr="00B849DC" w:rsidR="007730BB">
        <w:rPr>
          <w:lang w:val="en-US"/>
        </w:rPr>
        <w:t xml:space="preserve"> in</w:t>
      </w:r>
      <w:r w:rsidRPr="00B849DC" w:rsidR="00587A46">
        <w:rPr>
          <w:lang w:val="en-US"/>
        </w:rPr>
        <w:t xml:space="preserve"> the spin-off procedure.</w:t>
      </w:r>
    </w:p>
    <w:p w:rsidRPr="00B849DC" w:rsidR="00AE7B9E" w:rsidP="00B849DC" w:rsidRDefault="00AE7B9E">
      <w:pPr>
        <w:pStyle w:val="ECHRPara"/>
        <w:rPr>
          <w:lang w:val="en-US"/>
        </w:rPr>
      </w:pPr>
      <w:r w:rsidRPr="00B849DC">
        <w:rPr>
          <w:lang w:val="en-US"/>
        </w:rPr>
        <w:fldChar w:fldCharType="begin"/>
      </w:r>
      <w:r w:rsidRPr="00B849DC">
        <w:rPr>
          <w:lang w:val="en-US"/>
        </w:rPr>
        <w:instrText xml:space="preserve"> SEQ level0 \*arabic </w:instrText>
      </w:r>
      <w:r w:rsidRPr="00B849DC">
        <w:rPr>
          <w:lang w:val="en-US"/>
        </w:rPr>
        <w:fldChar w:fldCharType="separate"/>
      </w:r>
      <w:r w:rsidRPr="00B849DC" w:rsidR="00B849DC">
        <w:rPr>
          <w:noProof/>
          <w:lang w:val="en-US"/>
        </w:rPr>
        <w:t>49</w:t>
      </w:r>
      <w:r w:rsidRPr="00B849DC">
        <w:rPr>
          <w:lang w:val="en-US"/>
        </w:rPr>
        <w:fldChar w:fldCharType="end"/>
      </w:r>
      <w:r w:rsidRPr="00B849DC">
        <w:rPr>
          <w:lang w:val="en-US"/>
        </w:rPr>
        <w:t>.  On 17 December 2009 the Arkhangelsk Regional Court quashed the judgment on appeal and remitted the case for a fresh examination.</w:t>
      </w:r>
      <w:r w:rsidRPr="00B849DC" w:rsidR="002100B4">
        <w:rPr>
          <w:lang w:val="en-US"/>
        </w:rPr>
        <w:t xml:space="preserve"> The regional court found that it was for the applicant to demonstrate that the insolvency had </w:t>
      </w:r>
      <w:r w:rsidRPr="00B849DC" w:rsidR="00A82427">
        <w:rPr>
          <w:lang w:val="en-US"/>
        </w:rPr>
        <w:t xml:space="preserve">actually </w:t>
      </w:r>
      <w:r w:rsidRPr="00B849DC" w:rsidR="002100B4">
        <w:rPr>
          <w:lang w:val="en-US"/>
        </w:rPr>
        <w:t>been caused by the owner</w:t>
      </w:r>
      <w:r w:rsidRPr="00B849DC" w:rsidR="00B849DC">
        <w:rPr>
          <w:lang w:val="en-US"/>
        </w:rPr>
        <w:t>’</w:t>
      </w:r>
      <w:r w:rsidRPr="00B849DC" w:rsidR="002100B4">
        <w:rPr>
          <w:lang w:val="en-US"/>
        </w:rPr>
        <w:t xml:space="preserve">s actions. However, he had failed to do so. </w:t>
      </w:r>
      <w:r w:rsidRPr="00B849DC" w:rsidR="0034201B">
        <w:rPr>
          <w:lang w:val="en-US"/>
        </w:rPr>
        <w:t>Turning to the tariff</w:t>
      </w:r>
      <w:r w:rsidRPr="00B849DC" w:rsidR="00A82427">
        <w:rPr>
          <w:lang w:val="en-US"/>
        </w:rPr>
        <w:t>-</w:t>
      </w:r>
      <w:r w:rsidRPr="00B849DC" w:rsidR="0034201B">
        <w:rPr>
          <w:lang w:val="en-US"/>
        </w:rPr>
        <w:t>setting issue (see paragraph </w:t>
      </w:r>
      <w:r w:rsidRPr="00B849DC" w:rsidR="005571C4">
        <w:rPr>
          <w:lang w:val="en-US"/>
        </w:rPr>
        <w:t>33</w:t>
      </w:r>
      <w:r w:rsidRPr="00B849DC" w:rsidR="0034201B">
        <w:rPr>
          <w:lang w:val="en-US"/>
        </w:rPr>
        <w:t xml:space="preserve"> above), the regional court noted that </w:t>
      </w:r>
      <w:r w:rsidRPr="00B849DC" w:rsidR="00A82427">
        <w:rPr>
          <w:lang w:val="en-US"/>
        </w:rPr>
        <w:t xml:space="preserve">under </w:t>
      </w:r>
      <w:r w:rsidRPr="00B849DC" w:rsidR="0034201B">
        <w:rPr>
          <w:lang w:val="en-US"/>
        </w:rPr>
        <w:t xml:space="preserve">the domestic law the owner </w:t>
      </w:r>
      <w:r w:rsidRPr="00B849DC" w:rsidR="00A82427">
        <w:rPr>
          <w:lang w:val="en-US"/>
        </w:rPr>
        <w:t xml:space="preserve">was not obliged </w:t>
      </w:r>
      <w:r w:rsidRPr="00B849DC" w:rsidR="0034201B">
        <w:rPr>
          <w:lang w:val="en-US"/>
        </w:rPr>
        <w:t xml:space="preserve">to finance the </w:t>
      </w:r>
      <w:r w:rsidRPr="00B849DC" w:rsidR="00503745">
        <w:rPr>
          <w:lang w:val="en-US"/>
        </w:rPr>
        <w:t>company directly</w:t>
      </w:r>
      <w:r w:rsidRPr="00B849DC" w:rsidR="0034201B">
        <w:rPr>
          <w:lang w:val="en-US"/>
        </w:rPr>
        <w:t xml:space="preserve">. </w:t>
      </w:r>
      <w:r w:rsidRPr="00B849DC" w:rsidR="002100B4">
        <w:rPr>
          <w:lang w:val="en-US"/>
        </w:rPr>
        <w:t>The</w:t>
      </w:r>
      <w:r w:rsidRPr="00B849DC" w:rsidR="0034201B">
        <w:rPr>
          <w:lang w:val="en-US"/>
        </w:rPr>
        <w:t xml:space="preserve"> regional court further considered that the </w:t>
      </w:r>
      <w:r w:rsidRPr="00B849DC" w:rsidR="002100B4">
        <w:rPr>
          <w:lang w:val="en-US"/>
        </w:rPr>
        <w:t xml:space="preserve">assets had not </w:t>
      </w:r>
      <w:r w:rsidRPr="00B849DC" w:rsidR="00A82427">
        <w:rPr>
          <w:lang w:val="en-US"/>
        </w:rPr>
        <w:t xml:space="preserve">actually </w:t>
      </w:r>
      <w:r w:rsidRPr="00B849DC" w:rsidR="002100B4">
        <w:rPr>
          <w:lang w:val="en-US"/>
        </w:rPr>
        <w:t xml:space="preserve">been withdrawn from the </w:t>
      </w:r>
      <w:r w:rsidRPr="00B849DC" w:rsidR="00A82427">
        <w:rPr>
          <w:lang w:val="en-US"/>
        </w:rPr>
        <w:t xml:space="preserve">company which employed the </w:t>
      </w:r>
      <w:r w:rsidRPr="00B849DC" w:rsidR="002100B4">
        <w:rPr>
          <w:lang w:val="en-US"/>
        </w:rPr>
        <w:t xml:space="preserve">applicant, but </w:t>
      </w:r>
      <w:r w:rsidRPr="00B849DC" w:rsidR="00A82427">
        <w:rPr>
          <w:lang w:val="en-US"/>
        </w:rPr>
        <w:t xml:space="preserve">that </w:t>
      </w:r>
      <w:r w:rsidRPr="00B849DC" w:rsidR="002100B4">
        <w:rPr>
          <w:lang w:val="en-US"/>
        </w:rPr>
        <w:t xml:space="preserve">the </w:t>
      </w:r>
      <w:r w:rsidRPr="00B849DC" w:rsidR="00A82427">
        <w:rPr>
          <w:lang w:val="en-US"/>
        </w:rPr>
        <w:t xml:space="preserve">company </w:t>
      </w:r>
      <w:r w:rsidRPr="00B849DC" w:rsidR="002100B4">
        <w:rPr>
          <w:lang w:val="en-US"/>
        </w:rPr>
        <w:t>itself had transferred them to the newly</w:t>
      </w:r>
      <w:r w:rsidRPr="00B849DC" w:rsidR="00105275">
        <w:rPr>
          <w:lang w:val="en-US"/>
        </w:rPr>
        <w:t xml:space="preserve"> </w:t>
      </w:r>
      <w:r w:rsidRPr="00B849DC" w:rsidR="002100B4">
        <w:rPr>
          <w:lang w:val="en-US"/>
        </w:rPr>
        <w:t xml:space="preserve">created </w:t>
      </w:r>
      <w:r w:rsidRPr="00B849DC" w:rsidR="00A82427">
        <w:rPr>
          <w:lang w:val="en-US"/>
        </w:rPr>
        <w:t>company on</w:t>
      </w:r>
      <w:r w:rsidRPr="00B849DC" w:rsidR="002100B4">
        <w:rPr>
          <w:lang w:val="en-US"/>
        </w:rPr>
        <w:t xml:space="preserve"> the spin-off balance shee</w:t>
      </w:r>
      <w:r w:rsidRPr="00B849DC" w:rsidR="0034201B">
        <w:rPr>
          <w:lang w:val="en-US"/>
        </w:rPr>
        <w:t>t a</w:t>
      </w:r>
      <w:r w:rsidRPr="00B849DC" w:rsidR="007730BB">
        <w:rPr>
          <w:lang w:val="en-US"/>
        </w:rPr>
        <w:t xml:space="preserve">fter the </w:t>
      </w:r>
      <w:r w:rsidRPr="00B849DC" w:rsidR="009C63D2">
        <w:rPr>
          <w:lang w:val="en-US"/>
        </w:rPr>
        <w:t>restructuring</w:t>
      </w:r>
      <w:r w:rsidRPr="00B849DC" w:rsidR="002100B4">
        <w:rPr>
          <w:lang w:val="en-US"/>
        </w:rPr>
        <w:t>. There was nothing in the case to suggest that the lawfulness of the transfer of the assets had at any point been challenged in court.</w:t>
      </w:r>
      <w:r w:rsidRPr="00B849DC" w:rsidR="0034201B">
        <w:rPr>
          <w:lang w:val="en-US"/>
        </w:rPr>
        <w:t xml:space="preserve"> Further</w:t>
      </w:r>
      <w:r w:rsidRPr="00B849DC" w:rsidR="00A82427">
        <w:rPr>
          <w:lang w:val="en-US"/>
        </w:rPr>
        <w:t>more</w:t>
      </w:r>
      <w:r w:rsidRPr="00B849DC" w:rsidR="0034201B">
        <w:rPr>
          <w:lang w:val="en-US"/>
        </w:rPr>
        <w:t xml:space="preserve">, </w:t>
      </w:r>
      <w:r w:rsidRPr="00B849DC" w:rsidR="00D4273D">
        <w:rPr>
          <w:lang w:val="en-US"/>
        </w:rPr>
        <w:t>Russian</w:t>
      </w:r>
      <w:r w:rsidRPr="00B849DC" w:rsidR="009C63D2">
        <w:rPr>
          <w:lang w:val="en-US"/>
        </w:rPr>
        <w:t xml:space="preserve"> employment </w:t>
      </w:r>
      <w:r w:rsidRPr="00B849DC" w:rsidR="0034201B">
        <w:rPr>
          <w:lang w:val="en-US"/>
        </w:rPr>
        <w:t xml:space="preserve">law had not contained any provisions on the subsidiary liability </w:t>
      </w:r>
      <w:r w:rsidRPr="00B849DC" w:rsidR="00354E2B">
        <w:rPr>
          <w:lang w:val="en-US"/>
        </w:rPr>
        <w:t xml:space="preserve">of owners </w:t>
      </w:r>
      <w:r w:rsidRPr="00B849DC" w:rsidR="0034201B">
        <w:rPr>
          <w:lang w:val="en-US"/>
        </w:rPr>
        <w:t>for the debts of municipal unitary enterprise</w:t>
      </w:r>
      <w:r w:rsidRPr="00B849DC" w:rsidR="00354E2B">
        <w:rPr>
          <w:lang w:val="en-US"/>
        </w:rPr>
        <w:t>s</w:t>
      </w:r>
      <w:r w:rsidRPr="00B849DC" w:rsidR="0034201B">
        <w:rPr>
          <w:lang w:val="en-US"/>
        </w:rPr>
        <w:t>. On the other hand, the first-instance court had failed to examine the issue of MUP “MTS”</w:t>
      </w:r>
      <w:r w:rsidRPr="00B849DC" w:rsidR="00B849DC">
        <w:rPr>
          <w:lang w:val="en-US"/>
        </w:rPr>
        <w:t>‘</w:t>
      </w:r>
      <w:r w:rsidRPr="00B849DC" w:rsidR="009C63D2">
        <w:rPr>
          <w:lang w:val="en-US"/>
        </w:rPr>
        <w:t>s</w:t>
      </w:r>
      <w:r w:rsidRPr="00B849DC" w:rsidR="0034201B">
        <w:rPr>
          <w:lang w:val="en-US"/>
        </w:rPr>
        <w:t xml:space="preserve"> liability for the debts of the </w:t>
      </w:r>
      <w:r w:rsidRPr="00B849DC" w:rsidR="009C63D2">
        <w:rPr>
          <w:lang w:val="en-US"/>
        </w:rPr>
        <w:t>restructured company</w:t>
      </w:r>
      <w:r w:rsidRPr="00B849DC" w:rsidR="0034201B">
        <w:rPr>
          <w:lang w:val="en-US"/>
        </w:rPr>
        <w:t>.</w:t>
      </w:r>
    </w:p>
    <w:p w:rsidRPr="00B849DC" w:rsidR="00CA087B" w:rsidP="00B849DC" w:rsidRDefault="00AE7B9E">
      <w:pPr>
        <w:pStyle w:val="ECHRPara"/>
        <w:rPr>
          <w:lang w:val="en-US"/>
        </w:rPr>
      </w:pPr>
      <w:r w:rsidRPr="00B849DC">
        <w:rPr>
          <w:lang w:val="en-US"/>
        </w:rPr>
        <w:fldChar w:fldCharType="begin"/>
      </w:r>
      <w:r w:rsidRPr="00B849DC">
        <w:rPr>
          <w:lang w:val="en-US"/>
        </w:rPr>
        <w:instrText xml:space="preserve"> SEQ level0 \*arabic </w:instrText>
      </w:r>
      <w:r w:rsidRPr="00B849DC">
        <w:rPr>
          <w:lang w:val="en-US"/>
        </w:rPr>
        <w:fldChar w:fldCharType="separate"/>
      </w:r>
      <w:r w:rsidRPr="00B849DC" w:rsidR="00B849DC">
        <w:rPr>
          <w:noProof/>
          <w:lang w:val="en-US"/>
        </w:rPr>
        <w:t>50</w:t>
      </w:r>
      <w:r w:rsidRPr="00B849DC">
        <w:rPr>
          <w:lang w:val="en-US"/>
        </w:rPr>
        <w:fldChar w:fldCharType="end"/>
      </w:r>
      <w:r w:rsidRPr="00B849DC">
        <w:rPr>
          <w:lang w:val="en-US"/>
        </w:rPr>
        <w:t xml:space="preserve">.  On 19 February 2010 the Mezenskiy District Court rejected </w:t>
      </w:r>
      <w:r w:rsidRPr="00B849DC" w:rsidR="007730BB">
        <w:rPr>
          <w:lang w:val="en-US"/>
        </w:rPr>
        <w:t>the applicant</w:t>
      </w:r>
      <w:r w:rsidRPr="00B849DC" w:rsidR="00B849DC">
        <w:rPr>
          <w:lang w:val="en-US"/>
        </w:rPr>
        <w:t>’</w:t>
      </w:r>
      <w:r w:rsidRPr="00B849DC" w:rsidR="007730BB">
        <w:rPr>
          <w:lang w:val="en-US"/>
        </w:rPr>
        <w:t>s</w:t>
      </w:r>
      <w:r w:rsidRPr="00B849DC">
        <w:rPr>
          <w:lang w:val="en-US"/>
        </w:rPr>
        <w:t xml:space="preserve"> claims.</w:t>
      </w:r>
      <w:r w:rsidRPr="00B849DC" w:rsidR="00DB610B">
        <w:rPr>
          <w:lang w:val="en-US"/>
        </w:rPr>
        <w:t xml:space="preserve"> The court found that, as a result of the withdrawal of all assets from </w:t>
      </w:r>
      <w:r w:rsidRPr="00B849DC" w:rsidR="00AB52FF">
        <w:rPr>
          <w:lang w:val="en-US"/>
        </w:rPr>
        <w:t>MUP</w:t>
      </w:r>
      <w:r w:rsidRPr="00B849DC" w:rsidR="00DB610B">
        <w:rPr>
          <w:lang w:val="en-US"/>
        </w:rPr>
        <w:t xml:space="preserve"> </w:t>
      </w:r>
      <w:r w:rsidRPr="00B849DC" w:rsidR="00AB52FF">
        <w:rPr>
          <w:lang w:val="en-US"/>
        </w:rPr>
        <w:t>“</w:t>
      </w:r>
      <w:r w:rsidRPr="00B849DC" w:rsidR="00DB610B">
        <w:rPr>
          <w:lang w:val="en-US"/>
        </w:rPr>
        <w:t>MTS”</w:t>
      </w:r>
      <w:r w:rsidRPr="00B849DC" w:rsidR="00AB52FF">
        <w:rPr>
          <w:lang w:val="en-US"/>
        </w:rPr>
        <w:t>,</w:t>
      </w:r>
      <w:r w:rsidRPr="00B849DC" w:rsidR="00DB610B">
        <w:rPr>
          <w:lang w:val="en-US"/>
        </w:rPr>
        <w:t xml:space="preserve"> the latter had become unable to continue its activities, which </w:t>
      </w:r>
      <w:r w:rsidRPr="00B849DC" w:rsidR="00AB52FF">
        <w:rPr>
          <w:lang w:val="en-US"/>
        </w:rPr>
        <w:t xml:space="preserve">indeed </w:t>
      </w:r>
      <w:r w:rsidRPr="00B849DC" w:rsidR="00DB610B">
        <w:rPr>
          <w:lang w:val="en-US"/>
        </w:rPr>
        <w:t xml:space="preserve">constituted a reason for its insolvency. </w:t>
      </w:r>
      <w:r w:rsidRPr="00B849DC" w:rsidR="00AB52FF">
        <w:rPr>
          <w:lang w:val="en-US"/>
        </w:rPr>
        <w:t xml:space="preserve">However, the </w:t>
      </w:r>
      <w:r w:rsidRPr="00B849DC" w:rsidR="00DB610B">
        <w:rPr>
          <w:lang w:val="en-US"/>
        </w:rPr>
        <w:t xml:space="preserve">court </w:t>
      </w:r>
      <w:r w:rsidRPr="00B849DC" w:rsidR="00AB52FF">
        <w:rPr>
          <w:lang w:val="en-US"/>
        </w:rPr>
        <w:t>went on to find that</w:t>
      </w:r>
    </w:p>
    <w:p w:rsidRPr="00B849DC" w:rsidR="00DB610B" w:rsidP="00B849DC" w:rsidRDefault="00DB610B">
      <w:pPr>
        <w:pStyle w:val="ECHRParaQuote"/>
        <w:rPr>
          <w:lang w:val="en-US"/>
        </w:rPr>
      </w:pPr>
      <w:r w:rsidRPr="00B849DC">
        <w:rPr>
          <w:lang w:val="en-US"/>
        </w:rPr>
        <w:t>“</w:t>
      </w:r>
      <w:r w:rsidRPr="00B849DC" w:rsidR="00243354">
        <w:rPr>
          <w:lang w:val="en-US"/>
        </w:rPr>
        <w:t>...</w:t>
      </w:r>
      <w:r w:rsidRPr="00B849DC" w:rsidR="00AB52FF">
        <w:rPr>
          <w:lang w:val="en-US"/>
        </w:rPr>
        <w:t xml:space="preserve"> </w:t>
      </w:r>
      <w:proofErr w:type="gramStart"/>
      <w:r w:rsidRPr="00B849DC">
        <w:rPr>
          <w:lang w:val="en-US"/>
        </w:rPr>
        <w:t>the</w:t>
      </w:r>
      <w:proofErr w:type="gramEnd"/>
      <w:r w:rsidRPr="00B849DC">
        <w:rPr>
          <w:lang w:val="en-US"/>
        </w:rPr>
        <w:t xml:space="preserve"> insolvency occurred through no fault of the owner, since they [sic] had been bound by the federal law. Therefore, one of the criteria for </w:t>
      </w:r>
      <w:r w:rsidRPr="00B849DC" w:rsidR="00AB52FF">
        <w:rPr>
          <w:lang w:val="en-US"/>
        </w:rPr>
        <w:t xml:space="preserve">the </w:t>
      </w:r>
      <w:r w:rsidRPr="00B849DC">
        <w:rPr>
          <w:lang w:val="en-US"/>
        </w:rPr>
        <w:t>application of subsidiary liability, namely</w:t>
      </w:r>
      <w:r w:rsidRPr="00B849DC" w:rsidR="00AB52FF">
        <w:rPr>
          <w:lang w:val="en-US"/>
        </w:rPr>
        <w:t>,</w:t>
      </w:r>
      <w:r w:rsidRPr="00B849DC">
        <w:rPr>
          <w:lang w:val="en-US"/>
        </w:rPr>
        <w:t xml:space="preserve"> fault</w:t>
      </w:r>
      <w:r w:rsidRPr="00B849DC" w:rsidR="00AB52FF">
        <w:rPr>
          <w:lang w:val="en-US"/>
        </w:rPr>
        <w:t xml:space="preserve"> on the part of the owner</w:t>
      </w:r>
      <w:r w:rsidRPr="00B849DC">
        <w:rPr>
          <w:lang w:val="en-US"/>
        </w:rPr>
        <w:t>, is missing.”</w:t>
      </w:r>
    </w:p>
    <w:p w:rsidRPr="00B849DC" w:rsidR="00AE7B9E" w:rsidP="00B849DC" w:rsidRDefault="00DB610B">
      <w:pPr>
        <w:pStyle w:val="ECHRPara"/>
        <w:rPr>
          <w:lang w:val="en-US"/>
        </w:rPr>
      </w:pPr>
      <w:r w:rsidRPr="00B849DC">
        <w:rPr>
          <w:lang w:val="en-US"/>
        </w:rPr>
        <w:fldChar w:fldCharType="begin"/>
      </w:r>
      <w:r w:rsidRPr="00B849DC">
        <w:rPr>
          <w:lang w:val="en-US"/>
        </w:rPr>
        <w:instrText xml:space="preserve"> SEQ level0 \*arabic </w:instrText>
      </w:r>
      <w:r w:rsidRPr="00B849DC">
        <w:rPr>
          <w:lang w:val="en-US"/>
        </w:rPr>
        <w:fldChar w:fldCharType="separate"/>
      </w:r>
      <w:r w:rsidRPr="00B849DC" w:rsidR="00B849DC">
        <w:rPr>
          <w:noProof/>
          <w:lang w:val="en-US"/>
        </w:rPr>
        <w:t>51</w:t>
      </w:r>
      <w:r w:rsidRPr="00B849DC">
        <w:rPr>
          <w:lang w:val="en-US"/>
        </w:rPr>
        <w:fldChar w:fldCharType="end"/>
      </w:r>
      <w:r w:rsidRPr="00B849DC">
        <w:rPr>
          <w:lang w:val="en-US"/>
        </w:rPr>
        <w:t>.  In so far as the applicant</w:t>
      </w:r>
      <w:r w:rsidRPr="00B849DC" w:rsidR="00B849DC">
        <w:rPr>
          <w:lang w:val="en-US"/>
        </w:rPr>
        <w:t>’</w:t>
      </w:r>
      <w:r w:rsidRPr="00B849DC">
        <w:rPr>
          <w:lang w:val="en-US"/>
        </w:rPr>
        <w:t xml:space="preserve">s claims for compensation for delayed enforcement </w:t>
      </w:r>
      <w:r w:rsidRPr="00B849DC" w:rsidR="00D70D0C">
        <w:rPr>
          <w:lang w:val="en-US"/>
        </w:rPr>
        <w:t xml:space="preserve">were </w:t>
      </w:r>
      <w:r w:rsidRPr="00B849DC">
        <w:rPr>
          <w:lang w:val="en-US"/>
        </w:rPr>
        <w:t xml:space="preserve">concerned, the court noted, in addition, that he had failed to raise that issue before the main </w:t>
      </w:r>
      <w:proofErr w:type="gramStart"/>
      <w:r w:rsidRPr="00B849DC">
        <w:rPr>
          <w:lang w:val="en-US"/>
        </w:rPr>
        <w:t>debtor, that</w:t>
      </w:r>
      <w:proofErr w:type="gramEnd"/>
      <w:r w:rsidRPr="00B849DC">
        <w:rPr>
          <w:lang w:val="en-US"/>
        </w:rPr>
        <w:t xml:space="preserve"> is</w:t>
      </w:r>
      <w:r w:rsidRPr="00B849DC" w:rsidR="00D70D0C">
        <w:rPr>
          <w:lang w:val="en-US"/>
        </w:rPr>
        <w:t>,</w:t>
      </w:r>
      <w:r w:rsidRPr="00B849DC">
        <w:rPr>
          <w:lang w:val="en-US"/>
        </w:rPr>
        <w:t xml:space="preserve"> the employer </w:t>
      </w:r>
      <w:r w:rsidRPr="00B849DC" w:rsidR="00D70D0C">
        <w:rPr>
          <w:lang w:val="en-US"/>
        </w:rPr>
        <w:t>company</w:t>
      </w:r>
      <w:r w:rsidRPr="00B849DC">
        <w:rPr>
          <w:lang w:val="en-US"/>
        </w:rPr>
        <w:t xml:space="preserve">, and </w:t>
      </w:r>
      <w:r w:rsidRPr="00B849DC" w:rsidR="00290157">
        <w:rPr>
          <w:lang w:val="en-US"/>
        </w:rPr>
        <w:t xml:space="preserve">was </w:t>
      </w:r>
      <w:r w:rsidRPr="00B849DC">
        <w:rPr>
          <w:lang w:val="en-US"/>
        </w:rPr>
        <w:t xml:space="preserve">therefore prevented from making such claims in the subsidiary liability proceedings. </w:t>
      </w:r>
      <w:r w:rsidRPr="00B849DC" w:rsidR="00354E2B">
        <w:rPr>
          <w:lang w:val="en-US"/>
        </w:rPr>
        <w:t>Lastly</w:t>
      </w:r>
      <w:r w:rsidRPr="00B849DC" w:rsidR="00701BCC">
        <w:rPr>
          <w:lang w:val="en-US"/>
        </w:rPr>
        <w:t>, the claims lodged against the newly</w:t>
      </w:r>
      <w:r w:rsidRPr="00B849DC" w:rsidR="00105275">
        <w:rPr>
          <w:lang w:val="en-US"/>
        </w:rPr>
        <w:t xml:space="preserve"> </w:t>
      </w:r>
      <w:r w:rsidRPr="00B849DC" w:rsidR="00701BCC">
        <w:rPr>
          <w:lang w:val="en-US"/>
        </w:rPr>
        <w:t xml:space="preserve">created </w:t>
      </w:r>
      <w:r w:rsidRPr="00B849DC" w:rsidR="00D70D0C">
        <w:rPr>
          <w:lang w:val="en-US"/>
        </w:rPr>
        <w:t xml:space="preserve">company </w:t>
      </w:r>
      <w:r w:rsidRPr="00B849DC" w:rsidR="00701BCC">
        <w:rPr>
          <w:lang w:val="en-US"/>
        </w:rPr>
        <w:t>could not be granted since the debt in respect of the salary arrears had not been transferred to it.</w:t>
      </w:r>
    </w:p>
    <w:p w:rsidRPr="00B849DC" w:rsidR="00B2099C" w:rsidP="00B849DC" w:rsidRDefault="00B2099C">
      <w:pPr>
        <w:pStyle w:val="ECHRPara"/>
        <w:rPr>
          <w:lang w:val="en-US"/>
        </w:rPr>
      </w:pPr>
      <w:r w:rsidRPr="00B849DC">
        <w:rPr>
          <w:lang w:val="en-US"/>
        </w:rPr>
        <w:fldChar w:fldCharType="begin"/>
      </w:r>
      <w:r w:rsidRPr="00B849DC">
        <w:rPr>
          <w:lang w:val="en-US"/>
        </w:rPr>
        <w:instrText xml:space="preserve"> SEQ level0 \*arabic </w:instrText>
      </w:r>
      <w:r w:rsidRPr="00B849DC">
        <w:rPr>
          <w:lang w:val="en-US"/>
        </w:rPr>
        <w:fldChar w:fldCharType="separate"/>
      </w:r>
      <w:r w:rsidRPr="00B849DC" w:rsidR="00B849DC">
        <w:rPr>
          <w:noProof/>
          <w:lang w:val="en-US"/>
        </w:rPr>
        <w:t>52</w:t>
      </w:r>
      <w:r w:rsidRPr="00B849DC">
        <w:rPr>
          <w:lang w:val="en-US"/>
        </w:rPr>
        <w:fldChar w:fldCharType="end"/>
      </w:r>
      <w:r w:rsidRPr="00B849DC">
        <w:rPr>
          <w:lang w:val="en-US"/>
        </w:rPr>
        <w:t>.  </w:t>
      </w:r>
      <w:r w:rsidRPr="00B849DC" w:rsidR="00B23A46">
        <w:rPr>
          <w:lang w:val="en-US"/>
        </w:rPr>
        <w:t>The applicant appealed</w:t>
      </w:r>
      <w:r w:rsidRPr="00B849DC" w:rsidR="00F858B1">
        <w:rPr>
          <w:lang w:val="en-US"/>
        </w:rPr>
        <w:t>,</w:t>
      </w:r>
      <w:r w:rsidRPr="00B849DC" w:rsidR="00B23A46">
        <w:rPr>
          <w:lang w:val="en-US"/>
        </w:rPr>
        <w:t xml:space="preserve"> arguing, </w:t>
      </w:r>
      <w:r w:rsidRPr="00B849DC" w:rsidR="00B23A46">
        <w:rPr>
          <w:i/>
          <w:lang w:val="en-US"/>
        </w:rPr>
        <w:t>inter alia</w:t>
      </w:r>
      <w:r w:rsidRPr="00B849DC" w:rsidR="00B23A46">
        <w:rPr>
          <w:lang w:val="en-US"/>
        </w:rPr>
        <w:t>, that the liquidator had not been heard by the first-instance court and the documents on the debtor company</w:t>
      </w:r>
      <w:r w:rsidRPr="00B849DC" w:rsidR="00B849DC">
        <w:rPr>
          <w:lang w:val="en-US"/>
        </w:rPr>
        <w:t>’</w:t>
      </w:r>
      <w:r w:rsidRPr="00B849DC" w:rsidR="00B23A46">
        <w:rPr>
          <w:lang w:val="en-US"/>
        </w:rPr>
        <w:t>s remaining assets had not been available to him.</w:t>
      </w:r>
    </w:p>
    <w:p w:rsidRPr="00B849DC" w:rsidR="00AE7B9E" w:rsidP="00B849DC" w:rsidRDefault="00AE7B9E">
      <w:pPr>
        <w:pStyle w:val="ECHRPara"/>
        <w:rPr>
          <w:lang w:val="en-US"/>
        </w:rPr>
      </w:pPr>
      <w:r w:rsidRPr="00B849DC">
        <w:rPr>
          <w:lang w:val="en-US"/>
        </w:rPr>
        <w:fldChar w:fldCharType="begin"/>
      </w:r>
      <w:r w:rsidRPr="00B849DC">
        <w:rPr>
          <w:lang w:val="en-US"/>
        </w:rPr>
        <w:instrText xml:space="preserve"> SEQ level0 \*arabic </w:instrText>
      </w:r>
      <w:r w:rsidRPr="00B849DC">
        <w:rPr>
          <w:lang w:val="en-US"/>
        </w:rPr>
        <w:fldChar w:fldCharType="separate"/>
      </w:r>
      <w:r w:rsidRPr="00B849DC" w:rsidR="00B849DC">
        <w:rPr>
          <w:noProof/>
          <w:lang w:val="en-US"/>
        </w:rPr>
        <w:t>53</w:t>
      </w:r>
      <w:r w:rsidRPr="00B849DC">
        <w:rPr>
          <w:lang w:val="en-US"/>
        </w:rPr>
        <w:fldChar w:fldCharType="end"/>
      </w:r>
      <w:r w:rsidRPr="00B849DC">
        <w:rPr>
          <w:lang w:val="en-US"/>
        </w:rPr>
        <w:t>.  </w:t>
      </w:r>
      <w:r w:rsidRPr="00B849DC" w:rsidR="00B23A46">
        <w:rPr>
          <w:lang w:val="en-US"/>
        </w:rPr>
        <w:t xml:space="preserve">By </w:t>
      </w:r>
      <w:r w:rsidRPr="00B849DC" w:rsidR="00F858B1">
        <w:rPr>
          <w:lang w:val="en-US"/>
        </w:rPr>
        <w:t xml:space="preserve">a </w:t>
      </w:r>
      <w:r w:rsidRPr="00B849DC" w:rsidR="00B23A46">
        <w:rPr>
          <w:lang w:val="en-US"/>
        </w:rPr>
        <w:t xml:space="preserve">final judgment of </w:t>
      </w:r>
      <w:r w:rsidRPr="00B849DC">
        <w:rPr>
          <w:lang w:val="en-US"/>
        </w:rPr>
        <w:t>6</w:t>
      </w:r>
      <w:r w:rsidRPr="00B849DC" w:rsidR="00701BCC">
        <w:rPr>
          <w:lang w:val="en-US"/>
        </w:rPr>
        <w:t> </w:t>
      </w:r>
      <w:r w:rsidRPr="00B849DC">
        <w:rPr>
          <w:lang w:val="en-US"/>
        </w:rPr>
        <w:t xml:space="preserve">May 2010 the Arkhangelsk Regional Court </w:t>
      </w:r>
      <w:r w:rsidRPr="00B849DC" w:rsidR="00B23A46">
        <w:rPr>
          <w:lang w:val="en-US"/>
        </w:rPr>
        <w:t>upheld</w:t>
      </w:r>
      <w:r w:rsidRPr="00B849DC">
        <w:rPr>
          <w:lang w:val="en-US"/>
        </w:rPr>
        <w:t xml:space="preserve"> the lower court</w:t>
      </w:r>
      <w:r w:rsidRPr="00B849DC" w:rsidR="00B849DC">
        <w:rPr>
          <w:lang w:val="en-US"/>
        </w:rPr>
        <w:t>’</w:t>
      </w:r>
      <w:r w:rsidRPr="00B849DC">
        <w:rPr>
          <w:lang w:val="en-US"/>
        </w:rPr>
        <w:t xml:space="preserve">s findings of 19 February 2010 on appeal. </w:t>
      </w:r>
      <w:r w:rsidRPr="00B849DC" w:rsidR="00B23A46">
        <w:rPr>
          <w:lang w:val="en-US"/>
        </w:rPr>
        <w:t>The regional court rejected the applicant</w:t>
      </w:r>
      <w:r w:rsidRPr="00B849DC" w:rsidR="00B849DC">
        <w:rPr>
          <w:lang w:val="en-US"/>
        </w:rPr>
        <w:t>’</w:t>
      </w:r>
      <w:r w:rsidRPr="00B849DC" w:rsidR="00B23A46">
        <w:rPr>
          <w:lang w:val="en-US"/>
        </w:rPr>
        <w:t xml:space="preserve">s argument </w:t>
      </w:r>
      <w:r w:rsidRPr="00B849DC" w:rsidR="00354E2B">
        <w:rPr>
          <w:lang w:val="en-US"/>
        </w:rPr>
        <w:t xml:space="preserve">regarding </w:t>
      </w:r>
      <w:r w:rsidRPr="00B849DC" w:rsidR="00B23A46">
        <w:rPr>
          <w:lang w:val="en-US"/>
        </w:rPr>
        <w:t>the unavailability of the company</w:t>
      </w:r>
      <w:r w:rsidRPr="00B849DC" w:rsidR="00B849DC">
        <w:rPr>
          <w:lang w:val="en-US"/>
        </w:rPr>
        <w:t>’</w:t>
      </w:r>
      <w:r w:rsidRPr="00B849DC" w:rsidR="00B23A46">
        <w:rPr>
          <w:lang w:val="en-US"/>
        </w:rPr>
        <w:t xml:space="preserve">s documents as irrelevant, having noted that the claimant </w:t>
      </w:r>
      <w:r w:rsidRPr="00B849DC" w:rsidR="00F858B1">
        <w:rPr>
          <w:lang w:val="en-US"/>
        </w:rPr>
        <w:t xml:space="preserve">had </w:t>
      </w:r>
      <w:r w:rsidRPr="00B849DC" w:rsidR="00B23A46">
        <w:rPr>
          <w:lang w:val="en-US"/>
        </w:rPr>
        <w:t>to demonstrate that the insolvency had been caused by the owner</w:t>
      </w:r>
      <w:r w:rsidRPr="00B849DC" w:rsidR="00B849DC">
        <w:rPr>
          <w:lang w:val="en-US"/>
        </w:rPr>
        <w:t>’</w:t>
      </w:r>
      <w:r w:rsidRPr="00B849DC" w:rsidR="00B23A46">
        <w:rPr>
          <w:lang w:val="en-US"/>
        </w:rPr>
        <w:t>s actions and not by the company</w:t>
      </w:r>
      <w:r w:rsidRPr="00B849DC" w:rsidR="00B849DC">
        <w:rPr>
          <w:lang w:val="en-US"/>
        </w:rPr>
        <w:t>’</w:t>
      </w:r>
      <w:r w:rsidRPr="00B849DC" w:rsidR="00B23A46">
        <w:rPr>
          <w:lang w:val="en-US"/>
        </w:rPr>
        <w:t xml:space="preserve">s own management “and, in any event, not </w:t>
      </w:r>
      <w:r w:rsidRPr="00B849DC" w:rsidR="00B23A46">
        <w:rPr>
          <w:i/>
          <w:lang w:val="en-US"/>
        </w:rPr>
        <w:t>vice versa</w:t>
      </w:r>
      <w:r w:rsidRPr="00B849DC" w:rsidR="00B23A46">
        <w:rPr>
          <w:lang w:val="en-US"/>
        </w:rPr>
        <w:t>”. The court endorsed the remainder of the lower court</w:t>
      </w:r>
      <w:r w:rsidRPr="00B849DC" w:rsidR="00B849DC">
        <w:rPr>
          <w:lang w:val="en-US"/>
        </w:rPr>
        <w:t>’</w:t>
      </w:r>
      <w:r w:rsidRPr="00B849DC" w:rsidR="00B23A46">
        <w:rPr>
          <w:lang w:val="en-US"/>
        </w:rPr>
        <w:t>s findings.</w:t>
      </w:r>
    </w:p>
    <w:p w:rsidRPr="00B849DC" w:rsidR="00F011EF" w:rsidP="00B849DC" w:rsidRDefault="00F011EF">
      <w:pPr>
        <w:pStyle w:val="ECHRHeading1"/>
        <w:rPr>
          <w:lang w:val="en-GB"/>
        </w:rPr>
      </w:pPr>
      <w:r w:rsidRPr="00B849DC">
        <w:rPr>
          <w:lang w:val="en-US"/>
        </w:rPr>
        <w:t>II</w:t>
      </w:r>
      <w:r w:rsidRPr="00B849DC" w:rsidR="00D40A31">
        <w:rPr>
          <w:lang w:val="en-US"/>
        </w:rPr>
        <w:t>.</w:t>
      </w:r>
      <w:proofErr w:type="gramStart"/>
      <w:r w:rsidRPr="00B849DC" w:rsidR="00D40A31">
        <w:rPr>
          <w:lang w:val="en-US"/>
        </w:rPr>
        <w:t>  </w:t>
      </w:r>
      <w:r w:rsidRPr="00B849DC">
        <w:rPr>
          <w:lang w:val="en-US"/>
        </w:rPr>
        <w:t>RELEVANT</w:t>
      </w:r>
      <w:proofErr w:type="gramEnd"/>
      <w:r w:rsidRPr="00B849DC">
        <w:rPr>
          <w:lang w:val="en-US"/>
        </w:rPr>
        <w:t xml:space="preserve"> </w:t>
      </w:r>
      <w:r w:rsidRPr="00B849DC">
        <w:rPr>
          <w:lang w:val="en-GB"/>
        </w:rPr>
        <w:t>DOMESTIC LAW AND PRACTICE</w:t>
      </w:r>
    </w:p>
    <w:p w:rsidRPr="00B849DC" w:rsidR="00CA087B" w:rsidP="00B849DC" w:rsidRDefault="00FD4A1F">
      <w:pPr>
        <w:pStyle w:val="ECHRHeading2"/>
        <w:rPr>
          <w:lang w:val="en-US"/>
        </w:rPr>
      </w:pPr>
      <w:r w:rsidRPr="00B849DC">
        <w:rPr>
          <w:lang w:val="en-US"/>
        </w:rPr>
        <w:t>A</w:t>
      </w:r>
      <w:r w:rsidRPr="00B849DC" w:rsidR="00964940">
        <w:rPr>
          <w:lang w:val="en-US"/>
        </w:rPr>
        <w:t>.  </w:t>
      </w:r>
      <w:r w:rsidRPr="00B849DC" w:rsidR="002F7F75">
        <w:rPr>
          <w:lang w:val="en-US"/>
        </w:rPr>
        <w:t>General provisions on S</w:t>
      </w:r>
      <w:r w:rsidRPr="00B849DC">
        <w:rPr>
          <w:lang w:val="en-US"/>
        </w:rPr>
        <w:t>tate and municipal unitary enterprises</w:t>
      </w:r>
    </w:p>
    <w:p w:rsidRPr="00B849DC" w:rsidR="008B5904" w:rsidP="00B849DC" w:rsidRDefault="00203CFE">
      <w:pPr>
        <w:pStyle w:val="ECHRPara"/>
        <w:rPr>
          <w:lang w:val="en-US"/>
        </w:rPr>
      </w:pPr>
      <w:r w:rsidRPr="00B849DC">
        <w:rPr>
          <w:bCs/>
          <w:lang w:val="en-US"/>
        </w:rPr>
        <w:fldChar w:fldCharType="begin"/>
      </w:r>
      <w:r w:rsidRPr="00B849DC">
        <w:rPr>
          <w:bCs/>
          <w:lang w:val="en-US"/>
        </w:rPr>
        <w:instrText xml:space="preserve"> SEQ level0 \*arabic </w:instrText>
      </w:r>
      <w:r w:rsidRPr="00B849DC">
        <w:rPr>
          <w:bCs/>
          <w:lang w:val="en-US"/>
        </w:rPr>
        <w:fldChar w:fldCharType="separate"/>
      </w:r>
      <w:r w:rsidRPr="00B849DC" w:rsidR="00B849DC">
        <w:rPr>
          <w:bCs/>
          <w:noProof/>
          <w:lang w:val="en-US"/>
        </w:rPr>
        <w:t>54</w:t>
      </w:r>
      <w:r w:rsidRPr="00B849DC">
        <w:rPr>
          <w:bCs/>
          <w:lang w:val="en-US"/>
        </w:rPr>
        <w:fldChar w:fldCharType="end"/>
      </w:r>
      <w:r w:rsidRPr="00B849DC">
        <w:rPr>
          <w:bCs/>
          <w:lang w:val="en-US"/>
        </w:rPr>
        <w:t>.  </w:t>
      </w:r>
      <w:r w:rsidRPr="00B849DC" w:rsidR="008B5904">
        <w:rPr>
          <w:bCs/>
          <w:lang w:val="en-US"/>
        </w:rPr>
        <w:t>Article</w:t>
      </w:r>
      <w:r w:rsidRPr="00B849DC" w:rsidR="009719CE">
        <w:rPr>
          <w:bCs/>
          <w:lang w:val="en-US"/>
        </w:rPr>
        <w:t xml:space="preserve"> </w:t>
      </w:r>
      <w:r w:rsidRPr="00B849DC" w:rsidR="008B5904">
        <w:rPr>
          <w:bCs/>
          <w:lang w:val="en-US"/>
        </w:rPr>
        <w:t>49 of the Civil Code of the Russian Federation provides that</w:t>
      </w:r>
      <w:r w:rsidRPr="00B849DC" w:rsidR="008B5904">
        <w:rPr>
          <w:b/>
          <w:bCs/>
          <w:lang w:val="en-US"/>
        </w:rPr>
        <w:t xml:space="preserve"> </w:t>
      </w:r>
      <w:r w:rsidRPr="00B849DC" w:rsidR="00580B8C">
        <w:rPr>
          <w:lang w:val="en-US"/>
        </w:rPr>
        <w:t xml:space="preserve">a </w:t>
      </w:r>
      <w:r w:rsidRPr="00B849DC" w:rsidR="008B5904">
        <w:rPr>
          <w:lang w:val="en-US"/>
        </w:rPr>
        <w:t xml:space="preserve">legal entity enjoys the civil rights corresponding to the </w:t>
      </w:r>
      <w:r w:rsidRPr="00B849DC" w:rsidR="00241304">
        <w:rPr>
          <w:lang w:val="en-US"/>
        </w:rPr>
        <w:t xml:space="preserve">purpose and aims </w:t>
      </w:r>
      <w:r w:rsidRPr="00B849DC" w:rsidR="008B5904">
        <w:rPr>
          <w:lang w:val="en-US"/>
        </w:rPr>
        <w:t xml:space="preserve">of its activity, stipulated in its </w:t>
      </w:r>
      <w:r w:rsidRPr="00B849DC" w:rsidR="00503745">
        <w:rPr>
          <w:lang w:val="en-US"/>
        </w:rPr>
        <w:t xml:space="preserve">constitutional </w:t>
      </w:r>
      <w:r w:rsidRPr="00B849DC" w:rsidR="008B5904">
        <w:rPr>
          <w:lang w:val="en-US"/>
        </w:rPr>
        <w:t>documents, and discharge</w:t>
      </w:r>
      <w:r w:rsidRPr="00B849DC" w:rsidR="00354E2B">
        <w:rPr>
          <w:lang w:val="en-US"/>
        </w:rPr>
        <w:t>s</w:t>
      </w:r>
      <w:r w:rsidRPr="00B849DC" w:rsidR="008B5904">
        <w:rPr>
          <w:lang w:val="en-US"/>
        </w:rPr>
        <w:t xml:space="preserve"> the duties related to </w:t>
      </w:r>
      <w:r w:rsidRPr="00B849DC" w:rsidR="00503745">
        <w:rPr>
          <w:lang w:val="en-US"/>
        </w:rPr>
        <w:t xml:space="preserve">that </w:t>
      </w:r>
      <w:r w:rsidRPr="00B849DC" w:rsidR="008B5904">
        <w:rPr>
          <w:lang w:val="en-US"/>
        </w:rPr>
        <w:t xml:space="preserve">activity. </w:t>
      </w:r>
      <w:r w:rsidRPr="00B849DC" w:rsidR="00580B8C">
        <w:rPr>
          <w:lang w:val="en-US"/>
        </w:rPr>
        <w:t>C</w:t>
      </w:r>
      <w:r w:rsidRPr="00B849DC" w:rsidR="008B5904">
        <w:rPr>
          <w:lang w:val="en-US"/>
        </w:rPr>
        <w:t>ommercial organisations, with the exception of</w:t>
      </w:r>
      <w:r w:rsidRPr="00B849DC" w:rsidR="0082479F">
        <w:rPr>
          <w:lang w:val="en-US"/>
        </w:rPr>
        <w:t xml:space="preserve">, </w:t>
      </w:r>
      <w:r w:rsidRPr="00B849DC" w:rsidR="0082479F">
        <w:rPr>
          <w:i/>
          <w:lang w:val="en-US"/>
        </w:rPr>
        <w:t>inter alia</w:t>
      </w:r>
      <w:r w:rsidRPr="00B849DC" w:rsidR="0082479F">
        <w:rPr>
          <w:lang w:val="en-US"/>
        </w:rPr>
        <w:t>,</w:t>
      </w:r>
      <w:r w:rsidRPr="00B849DC" w:rsidR="008B5904">
        <w:rPr>
          <w:lang w:val="en-US"/>
        </w:rPr>
        <w:t xml:space="preserve"> unitary enterprises, possess the civil rights and discharge the civil duties indispensable for the performance of any kind of activity that </w:t>
      </w:r>
      <w:r w:rsidRPr="00B849DC" w:rsidR="002F7F75">
        <w:rPr>
          <w:lang w:val="en-US"/>
        </w:rPr>
        <w:t xml:space="preserve">is </w:t>
      </w:r>
      <w:r w:rsidRPr="00B849DC" w:rsidR="008B5904">
        <w:rPr>
          <w:lang w:val="en-US"/>
        </w:rPr>
        <w:t>not prohibited by the law.</w:t>
      </w:r>
    </w:p>
    <w:p w:rsidRPr="00B849DC" w:rsidR="00FD60FF" w:rsidP="00B849DC" w:rsidRDefault="00EC365E">
      <w:pPr>
        <w:pStyle w:val="ECHRPara"/>
        <w:rPr>
          <w:lang w:val="en-GB"/>
        </w:rPr>
      </w:pPr>
      <w:r w:rsidRPr="00B849DC">
        <w:rPr>
          <w:lang w:val="en-US"/>
        </w:rPr>
        <w:fldChar w:fldCharType="begin"/>
      </w:r>
      <w:r w:rsidRPr="00B849DC">
        <w:rPr>
          <w:lang w:val="en-US"/>
        </w:rPr>
        <w:instrText xml:space="preserve"> SEQ level0 \*arabic </w:instrText>
      </w:r>
      <w:r w:rsidRPr="00B849DC">
        <w:rPr>
          <w:lang w:val="en-US"/>
        </w:rPr>
        <w:fldChar w:fldCharType="separate"/>
      </w:r>
      <w:r w:rsidRPr="00B849DC" w:rsidR="00B849DC">
        <w:rPr>
          <w:noProof/>
          <w:lang w:val="en-US"/>
        </w:rPr>
        <w:t>55</w:t>
      </w:r>
      <w:r w:rsidRPr="00B849DC">
        <w:rPr>
          <w:lang w:val="en-US"/>
        </w:rPr>
        <w:fldChar w:fldCharType="end"/>
      </w:r>
      <w:r w:rsidRPr="00B849DC">
        <w:rPr>
          <w:lang w:val="en-US"/>
        </w:rPr>
        <w:t>.  </w:t>
      </w:r>
      <w:r w:rsidRPr="00B849DC" w:rsidR="00817B35">
        <w:rPr>
          <w:lang w:val="en-US"/>
        </w:rPr>
        <w:t xml:space="preserve">The Civil Code of the Russian Federation defines State and municipal unitary enterprises as commercial organisations that do not exercise a right of ownership in respect of </w:t>
      </w:r>
      <w:r w:rsidRPr="00B849DC" w:rsidR="009B3B9C">
        <w:rPr>
          <w:lang w:val="en-US"/>
        </w:rPr>
        <w:t xml:space="preserve">the </w:t>
      </w:r>
      <w:r w:rsidRPr="00B849DC" w:rsidR="00817B35">
        <w:rPr>
          <w:lang w:val="en-US"/>
        </w:rPr>
        <w:t xml:space="preserve">property allocated to them by </w:t>
      </w:r>
      <w:r w:rsidRPr="00B849DC" w:rsidR="009B3B9C">
        <w:rPr>
          <w:lang w:val="en-US"/>
        </w:rPr>
        <w:t xml:space="preserve">their </w:t>
      </w:r>
      <w:r w:rsidRPr="00B849DC" w:rsidR="00817B35">
        <w:rPr>
          <w:lang w:val="en-US"/>
        </w:rPr>
        <w:t>owner</w:t>
      </w:r>
      <w:r w:rsidRPr="00B849DC" w:rsidR="009B3B9C">
        <w:rPr>
          <w:lang w:val="en-US"/>
        </w:rPr>
        <w:t>s</w:t>
      </w:r>
      <w:r w:rsidRPr="00B849DC" w:rsidR="009719CE">
        <w:rPr>
          <w:lang w:val="en-US"/>
        </w:rPr>
        <w:t xml:space="preserve"> (Article 113 § </w:t>
      </w:r>
      <w:r w:rsidRPr="00B849DC" w:rsidR="00817B35">
        <w:rPr>
          <w:lang w:val="en-US"/>
        </w:rPr>
        <w:t>1</w:t>
      </w:r>
      <w:r w:rsidRPr="00B849DC" w:rsidR="00FD60FF">
        <w:rPr>
          <w:lang w:val="en-US"/>
        </w:rPr>
        <w:t xml:space="preserve"> of the Civil Code and </w:t>
      </w:r>
      <w:r w:rsidRPr="00B849DC" w:rsidR="00BD2DFC">
        <w:rPr>
          <w:lang w:val="en-US"/>
        </w:rPr>
        <w:t>section</w:t>
      </w:r>
      <w:r w:rsidRPr="00B849DC" w:rsidR="009719CE">
        <w:rPr>
          <w:lang w:val="en-US"/>
        </w:rPr>
        <w:t xml:space="preserve"> </w:t>
      </w:r>
      <w:r w:rsidRPr="00B849DC" w:rsidR="00FD60FF">
        <w:rPr>
          <w:lang w:val="en-US"/>
        </w:rPr>
        <w:t xml:space="preserve">2 of Federal Law </w:t>
      </w:r>
      <w:r w:rsidRPr="00B849DC" w:rsidR="0072383A">
        <w:rPr>
          <w:lang w:val="en-US"/>
        </w:rPr>
        <w:t>no. 161-</w:t>
      </w:r>
      <w:r w:rsidRPr="00B849DC" w:rsidR="0076377E">
        <w:rPr>
          <w:lang w:val="en-GB"/>
        </w:rPr>
        <w:t>F</w:t>
      </w:r>
      <w:r w:rsidRPr="00B849DC" w:rsidR="0076377E">
        <w:rPr>
          <w:lang w:val="en-US"/>
        </w:rPr>
        <w:t>Z</w:t>
      </w:r>
      <w:r w:rsidRPr="00B849DC" w:rsidR="009719CE">
        <w:rPr>
          <w:lang w:val="en-US"/>
        </w:rPr>
        <w:t xml:space="preserve"> of 14 </w:t>
      </w:r>
      <w:r w:rsidRPr="00B849DC" w:rsidR="0072383A">
        <w:rPr>
          <w:lang w:val="en-US"/>
        </w:rPr>
        <w:t xml:space="preserve">November 2002 </w:t>
      </w:r>
      <w:r w:rsidRPr="00B849DC" w:rsidR="00FD60FF">
        <w:rPr>
          <w:lang w:val="en-US"/>
        </w:rPr>
        <w:t xml:space="preserve">on State and Municipal Unitary Enterprises, </w:t>
      </w:r>
      <w:r w:rsidRPr="00B849DC" w:rsidR="0072383A">
        <w:rPr>
          <w:lang w:val="en-US"/>
        </w:rPr>
        <w:t xml:space="preserve">hereafter </w:t>
      </w:r>
      <w:r w:rsidRPr="00B849DC" w:rsidR="00FD60FF">
        <w:rPr>
          <w:lang w:val="en-US"/>
        </w:rPr>
        <w:t>“the Unitary Enterprises Act”</w:t>
      </w:r>
      <w:r w:rsidRPr="00B849DC" w:rsidR="00817B35">
        <w:rPr>
          <w:lang w:val="en-US"/>
        </w:rPr>
        <w:t xml:space="preserve">). The property of the unitary enterprise is indivisible. </w:t>
      </w:r>
      <w:r w:rsidRPr="00B849DC" w:rsidR="0072383A">
        <w:rPr>
          <w:lang w:val="en-US"/>
        </w:rPr>
        <w:t>U</w:t>
      </w:r>
      <w:r w:rsidRPr="00B849DC" w:rsidR="002F7F75">
        <w:rPr>
          <w:lang w:val="en-US"/>
        </w:rPr>
        <w:t xml:space="preserve">nitary enterprises cannot create subsidiary companies </w:t>
      </w:r>
      <w:r w:rsidRPr="00B849DC" w:rsidR="002F7F75">
        <w:rPr>
          <w:i/>
          <w:lang w:val="en-US"/>
        </w:rPr>
        <w:t>(</w:t>
      </w:r>
      <w:r w:rsidRPr="00B849DC" w:rsidR="002F7F75">
        <w:rPr>
          <w:i/>
          <w:lang w:val="ru-RU"/>
        </w:rPr>
        <w:t>дочерние</w:t>
      </w:r>
      <w:r w:rsidRPr="00B849DC" w:rsidR="002F7F75">
        <w:rPr>
          <w:i/>
          <w:lang w:val="en-US"/>
        </w:rPr>
        <w:t xml:space="preserve"> </w:t>
      </w:r>
      <w:r w:rsidRPr="00B849DC" w:rsidR="002F7F75">
        <w:rPr>
          <w:i/>
          <w:lang w:val="ru-RU"/>
        </w:rPr>
        <w:t>предприятия</w:t>
      </w:r>
      <w:r w:rsidRPr="00B849DC" w:rsidR="002F7F75">
        <w:rPr>
          <w:lang w:val="en-US"/>
        </w:rPr>
        <w:t>) (</w:t>
      </w:r>
      <w:r w:rsidRPr="00B849DC" w:rsidR="00BD2DFC">
        <w:rPr>
          <w:lang w:val="en-GB"/>
        </w:rPr>
        <w:t>section</w:t>
      </w:r>
      <w:r w:rsidRPr="00B849DC" w:rsidR="009719CE">
        <w:rPr>
          <w:lang w:val="en-GB"/>
        </w:rPr>
        <w:t xml:space="preserve"> </w:t>
      </w:r>
      <w:r w:rsidRPr="00B849DC" w:rsidR="002F7F75">
        <w:rPr>
          <w:lang w:val="en-GB"/>
        </w:rPr>
        <w:t>2 of the Unitary Enterprises Act).</w:t>
      </w:r>
    </w:p>
    <w:p w:rsidRPr="00B849DC" w:rsidR="006E6C90" w:rsidP="00B849DC" w:rsidRDefault="006E6C90">
      <w:pPr>
        <w:pStyle w:val="ECHRPara"/>
        <w:rPr>
          <w:lang w:val="en-US"/>
        </w:rPr>
      </w:pPr>
      <w:r w:rsidRPr="00B849DC">
        <w:rPr>
          <w:lang w:val="en-US"/>
        </w:rPr>
        <w:fldChar w:fldCharType="begin"/>
      </w:r>
      <w:r w:rsidRPr="00B849DC">
        <w:rPr>
          <w:lang w:val="en-US"/>
        </w:rPr>
        <w:instrText xml:space="preserve"> SEQ level0 \*arabic </w:instrText>
      </w:r>
      <w:r w:rsidRPr="00B849DC">
        <w:rPr>
          <w:lang w:val="en-US"/>
        </w:rPr>
        <w:fldChar w:fldCharType="separate"/>
      </w:r>
      <w:r w:rsidRPr="00B849DC" w:rsidR="00B849DC">
        <w:rPr>
          <w:noProof/>
          <w:lang w:val="en-US"/>
        </w:rPr>
        <w:t>56</w:t>
      </w:r>
      <w:r w:rsidRPr="00B849DC">
        <w:rPr>
          <w:lang w:val="en-US"/>
        </w:rPr>
        <w:fldChar w:fldCharType="end"/>
      </w:r>
      <w:r w:rsidRPr="00B849DC">
        <w:rPr>
          <w:lang w:val="en-US"/>
        </w:rPr>
        <w:t>.  </w:t>
      </w:r>
      <w:r w:rsidRPr="00B849DC" w:rsidR="00817B35">
        <w:rPr>
          <w:lang w:val="en-US"/>
        </w:rPr>
        <w:t xml:space="preserve">Only </w:t>
      </w:r>
      <w:r w:rsidRPr="00B849DC" w:rsidR="00054D12">
        <w:rPr>
          <w:lang w:val="en-US"/>
        </w:rPr>
        <w:t>S</w:t>
      </w:r>
      <w:r w:rsidRPr="00B849DC" w:rsidR="00817B35">
        <w:rPr>
          <w:lang w:val="en-US"/>
        </w:rPr>
        <w:t xml:space="preserve">tate-run and municipal enterprises </w:t>
      </w:r>
      <w:r w:rsidRPr="00B849DC" w:rsidR="0072383A">
        <w:rPr>
          <w:lang w:val="en-US"/>
        </w:rPr>
        <w:t xml:space="preserve">can </w:t>
      </w:r>
      <w:r w:rsidRPr="00B849DC" w:rsidR="00817B35">
        <w:rPr>
          <w:lang w:val="en-US"/>
        </w:rPr>
        <w:t>be set up in the form of unitary enterprises (</w:t>
      </w:r>
      <w:r w:rsidRPr="00B849DC" w:rsidR="009719CE">
        <w:rPr>
          <w:lang w:val="en-US"/>
        </w:rPr>
        <w:t xml:space="preserve">Article 113 § </w:t>
      </w:r>
      <w:r w:rsidRPr="00B849DC" w:rsidR="00FD60FF">
        <w:rPr>
          <w:lang w:val="en-US"/>
        </w:rPr>
        <w:t>1 of the Civil Code).</w:t>
      </w:r>
      <w:r w:rsidRPr="00B849DC">
        <w:rPr>
          <w:lang w:val="en-US"/>
        </w:rPr>
        <w:t xml:space="preserve"> </w:t>
      </w:r>
      <w:r w:rsidRPr="00B849DC" w:rsidR="009B3B9C">
        <w:rPr>
          <w:lang w:val="en-US"/>
        </w:rPr>
        <w:t>Under</w:t>
      </w:r>
      <w:r w:rsidRPr="00B849DC">
        <w:rPr>
          <w:lang w:val="en-US"/>
        </w:rPr>
        <w:t xml:space="preserve"> </w:t>
      </w:r>
      <w:r w:rsidRPr="00B849DC" w:rsidR="00BD2DFC">
        <w:rPr>
          <w:lang w:val="en-US"/>
        </w:rPr>
        <w:t>section </w:t>
      </w:r>
      <w:r w:rsidRPr="00B849DC">
        <w:rPr>
          <w:lang w:val="en-US"/>
        </w:rPr>
        <w:t>8</w:t>
      </w:r>
      <w:r w:rsidRPr="00B849DC" w:rsidR="00BD2DFC">
        <w:rPr>
          <w:lang w:val="en-US"/>
        </w:rPr>
        <w:t>(</w:t>
      </w:r>
      <w:r w:rsidRPr="00B849DC">
        <w:rPr>
          <w:lang w:val="en-US"/>
        </w:rPr>
        <w:t>4</w:t>
      </w:r>
      <w:r w:rsidRPr="00B849DC" w:rsidR="00BD2DFC">
        <w:rPr>
          <w:lang w:val="en-US"/>
        </w:rPr>
        <w:t>)</w:t>
      </w:r>
      <w:r w:rsidRPr="00B849DC">
        <w:rPr>
          <w:lang w:val="en-US"/>
        </w:rPr>
        <w:t xml:space="preserve"> of the Unitary Enterprises Act, a State or municipal unitary company may be created in order to:</w:t>
      </w:r>
    </w:p>
    <w:p w:rsidRPr="00B849DC" w:rsidR="006E6C90" w:rsidP="00B849DC" w:rsidRDefault="006E6C90">
      <w:pPr>
        <w:pStyle w:val="ECHRParaQuote"/>
        <w:rPr>
          <w:lang w:val="en-US"/>
        </w:rPr>
      </w:pPr>
      <w:r w:rsidRPr="00B849DC">
        <w:rPr>
          <w:lang w:val="en-US"/>
        </w:rPr>
        <w:t>“-</w:t>
      </w:r>
      <w:r w:rsidRPr="00B849DC" w:rsidR="00A13211">
        <w:rPr>
          <w:lang w:val="en-US"/>
        </w:rPr>
        <w:t> </w:t>
      </w:r>
      <w:r w:rsidRPr="00B849DC">
        <w:rPr>
          <w:lang w:val="en-US"/>
        </w:rPr>
        <w:t>ensure the use of estate the privatization of which is prohibited, including the assets necessary to ensure the security of the Russian Federation;</w:t>
      </w:r>
    </w:p>
    <w:p w:rsidRPr="00B849DC" w:rsidR="006E6C90" w:rsidP="00B849DC" w:rsidRDefault="00A13211">
      <w:pPr>
        <w:pStyle w:val="ECHRParaQuote"/>
        <w:rPr>
          <w:lang w:val="en-US"/>
        </w:rPr>
      </w:pPr>
      <w:r w:rsidRPr="00B849DC">
        <w:rPr>
          <w:lang w:val="en-US"/>
        </w:rPr>
        <w:t>- </w:t>
      </w:r>
      <w:r w:rsidRPr="00B849DC" w:rsidR="006E6C90">
        <w:rPr>
          <w:lang w:val="en-US"/>
        </w:rPr>
        <w:t xml:space="preserve">conduct activities to </w:t>
      </w:r>
      <w:r w:rsidRPr="00B849DC" w:rsidR="0047119F">
        <w:rPr>
          <w:lang w:val="en-US"/>
        </w:rPr>
        <w:t>carry out</w:t>
      </w:r>
      <w:r w:rsidRPr="00B849DC" w:rsidR="00354E2B">
        <w:rPr>
          <w:lang w:val="en-US"/>
        </w:rPr>
        <w:t xml:space="preserve"> </w:t>
      </w:r>
      <w:r w:rsidRPr="00B849DC" w:rsidR="006E6C90">
        <w:rPr>
          <w:lang w:val="en-US"/>
        </w:rPr>
        <w:t xml:space="preserve">social </w:t>
      </w:r>
      <w:r w:rsidRPr="00B849DC" w:rsidR="0047119F">
        <w:rPr>
          <w:lang w:val="en-US"/>
        </w:rPr>
        <w:t>tasks</w:t>
      </w:r>
      <w:r w:rsidRPr="00B849DC" w:rsidR="00354E2B">
        <w:rPr>
          <w:lang w:val="en-US"/>
        </w:rPr>
        <w:t xml:space="preserve"> </w:t>
      </w:r>
      <w:r w:rsidRPr="00B849DC" w:rsidR="006E6C90">
        <w:rPr>
          <w:lang w:val="en-US"/>
        </w:rPr>
        <w:t xml:space="preserve">(including the </w:t>
      </w:r>
      <w:r w:rsidRPr="00B849DC" w:rsidR="006C7B13">
        <w:rPr>
          <w:lang w:val="en-US"/>
        </w:rPr>
        <w:t xml:space="preserve">production </w:t>
      </w:r>
      <w:r w:rsidRPr="00B849DC" w:rsidR="006E6C90">
        <w:rPr>
          <w:lang w:val="en-US"/>
        </w:rPr>
        <w:t xml:space="preserve">of specific goods and services for a minimum price) and </w:t>
      </w:r>
      <w:r w:rsidRPr="00B849DC" w:rsidR="006C7B13">
        <w:rPr>
          <w:lang w:val="en-US"/>
        </w:rPr>
        <w:t xml:space="preserve">organise </w:t>
      </w:r>
      <w:r w:rsidRPr="00B849DC" w:rsidR="006E6C90">
        <w:rPr>
          <w:lang w:val="en-US"/>
        </w:rPr>
        <w:t xml:space="preserve">and conduct </w:t>
      </w:r>
      <w:r w:rsidRPr="00B849DC" w:rsidR="006E6C90">
        <w:rPr>
          <w:lang w:val="en-GB"/>
        </w:rPr>
        <w:t>purchasing and commodity</w:t>
      </w:r>
      <w:r w:rsidRPr="00B849DC" w:rsidR="006E6C90">
        <w:rPr>
          <w:lang w:val="en-US"/>
        </w:rPr>
        <w:t xml:space="preserve"> interventions to ensure the national food security;</w:t>
      </w:r>
    </w:p>
    <w:p w:rsidRPr="00B849DC" w:rsidR="006E6C90" w:rsidP="00B849DC" w:rsidRDefault="00A13211">
      <w:pPr>
        <w:pStyle w:val="ECHRParaQuote"/>
        <w:rPr>
          <w:lang w:val="en-US"/>
        </w:rPr>
      </w:pPr>
      <w:r w:rsidRPr="00B849DC">
        <w:rPr>
          <w:lang w:val="en-US"/>
        </w:rPr>
        <w:t>- </w:t>
      </w:r>
      <w:proofErr w:type="gramStart"/>
      <w:r w:rsidRPr="00B849DC" w:rsidR="006E6C90">
        <w:rPr>
          <w:lang w:val="en-US"/>
        </w:rPr>
        <w:t>conduct</w:t>
      </w:r>
      <w:proofErr w:type="gramEnd"/>
      <w:r w:rsidRPr="00B849DC" w:rsidR="006E6C90">
        <w:rPr>
          <w:lang w:val="en-US"/>
        </w:rPr>
        <w:t xml:space="preserve"> activities reserved exclusively </w:t>
      </w:r>
      <w:r w:rsidRPr="00B849DC" w:rsidR="006C7B13">
        <w:rPr>
          <w:lang w:val="en-US"/>
        </w:rPr>
        <w:t xml:space="preserve">for </w:t>
      </w:r>
      <w:r w:rsidRPr="00B849DC" w:rsidR="006E6C90">
        <w:rPr>
          <w:lang w:val="en-US"/>
        </w:rPr>
        <w:t>State unitary companies, as defined by federal laws;</w:t>
      </w:r>
    </w:p>
    <w:p w:rsidRPr="00B849DC" w:rsidR="00CA087B" w:rsidP="00B849DC" w:rsidRDefault="006E6C90">
      <w:pPr>
        <w:pStyle w:val="ECHRParaQuote"/>
        <w:rPr>
          <w:lang w:val="en-US"/>
        </w:rPr>
      </w:pPr>
      <w:r w:rsidRPr="00B849DC">
        <w:rPr>
          <w:lang w:val="en-US"/>
        </w:rPr>
        <w:t>-</w:t>
      </w:r>
      <w:r w:rsidRPr="00B849DC" w:rsidR="00A13211">
        <w:rPr>
          <w:lang w:val="en-US"/>
        </w:rPr>
        <w:t> </w:t>
      </w:r>
      <w:r w:rsidRPr="00B849DC">
        <w:rPr>
          <w:lang w:val="en-US"/>
        </w:rPr>
        <w:t>conduct scientific and technical activities related to the security of the Russian Federation;</w:t>
      </w:r>
    </w:p>
    <w:p w:rsidRPr="00B849DC" w:rsidR="006E6C90" w:rsidP="00B849DC" w:rsidRDefault="006E6C90">
      <w:pPr>
        <w:pStyle w:val="ECHRParaQuote"/>
        <w:rPr>
          <w:lang w:val="en-US"/>
        </w:rPr>
      </w:pPr>
      <w:r w:rsidRPr="00B849DC">
        <w:rPr>
          <w:lang w:val="en-US"/>
        </w:rPr>
        <w:t>-</w:t>
      </w:r>
      <w:r w:rsidRPr="00B849DC" w:rsidR="00A13211">
        <w:rPr>
          <w:lang w:val="en-US"/>
        </w:rPr>
        <w:t> </w:t>
      </w:r>
      <w:r w:rsidRPr="00B849DC" w:rsidR="00354E2B">
        <w:rPr>
          <w:lang w:val="en-US"/>
        </w:rPr>
        <w:t xml:space="preserve">design </w:t>
      </w:r>
      <w:r w:rsidRPr="00B849DC">
        <w:rPr>
          <w:lang w:val="en-US"/>
        </w:rPr>
        <w:t xml:space="preserve">and produce certain types of goods within the sphere of interests of the Russian Federation and </w:t>
      </w:r>
      <w:r w:rsidRPr="00B849DC" w:rsidR="00C47FB4">
        <w:rPr>
          <w:lang w:val="en-US"/>
        </w:rPr>
        <w:t xml:space="preserve">which </w:t>
      </w:r>
      <w:r w:rsidRPr="00B849DC">
        <w:rPr>
          <w:lang w:val="en-US"/>
        </w:rPr>
        <w:t>guarantee the security of the Russian Federation;</w:t>
      </w:r>
    </w:p>
    <w:p w:rsidRPr="00B849DC" w:rsidR="006E6C90" w:rsidP="00B849DC" w:rsidRDefault="006E6C90">
      <w:pPr>
        <w:pStyle w:val="ECHRParaQuote"/>
        <w:rPr>
          <w:lang w:val="en-US"/>
        </w:rPr>
      </w:pPr>
      <w:r w:rsidRPr="00B849DC">
        <w:rPr>
          <w:lang w:val="en-US"/>
        </w:rPr>
        <w:t>-</w:t>
      </w:r>
      <w:r w:rsidRPr="00B849DC" w:rsidR="00A13211">
        <w:rPr>
          <w:lang w:val="en-US"/>
        </w:rPr>
        <w:t> </w:t>
      </w:r>
      <w:r w:rsidRPr="00B849DC">
        <w:rPr>
          <w:lang w:val="en-US"/>
        </w:rPr>
        <w:t>produce specific types of goods excluded from circulation or of limited circulation.”</w:t>
      </w:r>
    </w:p>
    <w:p w:rsidRPr="00B849DC" w:rsidR="00E35810" w:rsidP="00B849DC" w:rsidRDefault="00817B35">
      <w:pPr>
        <w:pStyle w:val="ECHRPara"/>
        <w:rPr>
          <w:lang w:val="en-GB"/>
        </w:rPr>
      </w:pPr>
      <w:r w:rsidRPr="00B849DC">
        <w:rPr>
          <w:lang w:val="en-US"/>
        </w:rPr>
        <w:fldChar w:fldCharType="begin"/>
      </w:r>
      <w:r w:rsidRPr="00B849DC">
        <w:rPr>
          <w:lang w:val="en-US"/>
        </w:rPr>
        <w:instrText xml:space="preserve"> SEQ level0 \*arabic </w:instrText>
      </w:r>
      <w:r w:rsidRPr="00B849DC">
        <w:rPr>
          <w:lang w:val="en-US"/>
        </w:rPr>
        <w:fldChar w:fldCharType="separate"/>
      </w:r>
      <w:r w:rsidRPr="00B849DC" w:rsidR="00B849DC">
        <w:rPr>
          <w:noProof/>
          <w:lang w:val="en-US"/>
        </w:rPr>
        <w:t>57</w:t>
      </w:r>
      <w:r w:rsidRPr="00B849DC">
        <w:rPr>
          <w:lang w:val="en-US"/>
        </w:rPr>
        <w:fldChar w:fldCharType="end"/>
      </w:r>
      <w:r w:rsidRPr="00B849DC">
        <w:rPr>
          <w:lang w:val="en-US"/>
        </w:rPr>
        <w:t>.  </w:t>
      </w:r>
      <w:r w:rsidRPr="00B849DC" w:rsidR="00C47FB4">
        <w:rPr>
          <w:lang w:val="en-US"/>
        </w:rPr>
        <w:t xml:space="preserve">A </w:t>
      </w:r>
      <w:r w:rsidRPr="00B849DC" w:rsidR="00E35810">
        <w:rPr>
          <w:lang w:val="en-US"/>
        </w:rPr>
        <w:t xml:space="preserve">unitary enterprise </w:t>
      </w:r>
      <w:r w:rsidRPr="00B849DC" w:rsidR="00E35810">
        <w:rPr>
          <w:lang w:val="en-GB"/>
        </w:rPr>
        <w:t>may acquire an</w:t>
      </w:r>
      <w:r w:rsidRPr="00B849DC" w:rsidR="00243354">
        <w:rPr>
          <w:lang w:val="en-GB"/>
        </w:rPr>
        <w:t>d make use of pecuniary and non</w:t>
      </w:r>
      <w:r w:rsidRPr="00B849DC" w:rsidR="00243354">
        <w:rPr>
          <w:lang w:val="en-GB"/>
        </w:rPr>
        <w:noBreakHyphen/>
      </w:r>
      <w:r w:rsidRPr="00B849DC" w:rsidR="00E35810">
        <w:rPr>
          <w:lang w:val="en-GB"/>
        </w:rPr>
        <w:t xml:space="preserve">pecuniary rights and bear responsibilities, </w:t>
      </w:r>
      <w:r w:rsidRPr="00B849DC" w:rsidR="00354E2B">
        <w:rPr>
          <w:lang w:val="en-GB"/>
        </w:rPr>
        <w:t xml:space="preserve">and </w:t>
      </w:r>
      <w:r w:rsidRPr="00B849DC" w:rsidR="00E35810">
        <w:rPr>
          <w:lang w:val="en-GB"/>
        </w:rPr>
        <w:t>be a claimant and a defendant in courts (</w:t>
      </w:r>
      <w:r w:rsidRPr="00B849DC" w:rsidR="00BD2DFC">
        <w:rPr>
          <w:lang w:val="en-GB"/>
        </w:rPr>
        <w:t>section </w:t>
      </w:r>
      <w:r w:rsidRPr="00B849DC" w:rsidR="00E35810">
        <w:rPr>
          <w:lang w:val="en-GB"/>
        </w:rPr>
        <w:t>2 of the Unitary Enterprises Act).</w:t>
      </w:r>
    </w:p>
    <w:p w:rsidRPr="00B849DC" w:rsidR="00E72A19" w:rsidP="00B849DC" w:rsidRDefault="00E72A19">
      <w:pPr>
        <w:pStyle w:val="ECHRPara"/>
        <w:rPr>
          <w:lang w:val="en-US"/>
        </w:rPr>
      </w:pPr>
      <w:r w:rsidRPr="00B849DC">
        <w:rPr>
          <w:lang w:val="en-US"/>
        </w:rPr>
        <w:fldChar w:fldCharType="begin"/>
      </w:r>
      <w:r w:rsidRPr="00B849DC">
        <w:rPr>
          <w:lang w:val="en-US"/>
        </w:rPr>
        <w:instrText xml:space="preserve"> SEQ level0 \*arabic </w:instrText>
      </w:r>
      <w:r w:rsidRPr="00B849DC">
        <w:rPr>
          <w:lang w:val="en-US"/>
        </w:rPr>
        <w:fldChar w:fldCharType="separate"/>
      </w:r>
      <w:r w:rsidRPr="00B849DC" w:rsidR="00B849DC">
        <w:rPr>
          <w:noProof/>
          <w:lang w:val="en-US"/>
        </w:rPr>
        <w:t>58</w:t>
      </w:r>
      <w:r w:rsidRPr="00B849DC">
        <w:rPr>
          <w:lang w:val="en-US"/>
        </w:rPr>
        <w:fldChar w:fldCharType="end"/>
      </w:r>
      <w:r w:rsidRPr="00B849DC">
        <w:rPr>
          <w:lang w:val="en-US"/>
        </w:rPr>
        <w:t xml:space="preserve">.  The State or municipal authority retains ownership of the property but the </w:t>
      </w:r>
      <w:r w:rsidRPr="00B849DC" w:rsidR="000051F2">
        <w:rPr>
          <w:lang w:val="en-US"/>
        </w:rPr>
        <w:t xml:space="preserve">unitary </w:t>
      </w:r>
      <w:r w:rsidRPr="00B849DC">
        <w:rPr>
          <w:lang w:val="en-US"/>
        </w:rPr>
        <w:t xml:space="preserve">enterprise may exercise the right of economic </w:t>
      </w:r>
      <w:r w:rsidRPr="00B849DC" w:rsidR="000051F2">
        <w:rPr>
          <w:lang w:val="en-US"/>
        </w:rPr>
        <w:t xml:space="preserve">control </w:t>
      </w:r>
      <w:r w:rsidRPr="00B849DC">
        <w:rPr>
          <w:i/>
          <w:lang w:val="en-US"/>
        </w:rPr>
        <w:t>(право хозяйственного ведения</w:t>
      </w:r>
      <w:r w:rsidRPr="00B849DC">
        <w:rPr>
          <w:lang w:val="en-US"/>
        </w:rPr>
        <w:t xml:space="preserve">) or operational management </w:t>
      </w:r>
      <w:r w:rsidRPr="00B849DC">
        <w:rPr>
          <w:i/>
          <w:lang w:val="en-US"/>
        </w:rPr>
        <w:t>(право оперативного управления</w:t>
      </w:r>
      <w:r w:rsidRPr="00B849DC">
        <w:rPr>
          <w:lang w:val="en-US"/>
        </w:rPr>
        <w:t xml:space="preserve">) </w:t>
      </w:r>
      <w:r w:rsidRPr="00B849DC" w:rsidR="00177A7C">
        <w:rPr>
          <w:lang w:val="en-US"/>
        </w:rPr>
        <w:t>over it</w:t>
      </w:r>
      <w:r w:rsidRPr="00B849DC" w:rsidR="000D65F2">
        <w:rPr>
          <w:lang w:val="en-US"/>
        </w:rPr>
        <w:t xml:space="preserve"> </w:t>
      </w:r>
      <w:r w:rsidRPr="00B849DC">
        <w:rPr>
          <w:lang w:val="en-US"/>
        </w:rPr>
        <w:t xml:space="preserve">(Article 113 § 2 of the Civil Code and </w:t>
      </w:r>
      <w:r w:rsidRPr="00B849DC" w:rsidR="00BD2DFC">
        <w:rPr>
          <w:lang w:val="en-US"/>
        </w:rPr>
        <w:t>section </w:t>
      </w:r>
      <w:r w:rsidRPr="00B849DC">
        <w:rPr>
          <w:lang w:val="en-US"/>
        </w:rPr>
        <w:t>2 of the Unitary Enterprises Act).</w:t>
      </w:r>
    </w:p>
    <w:p w:rsidRPr="00B849DC" w:rsidR="00E72A19" w:rsidP="00B849DC" w:rsidRDefault="00E72A19">
      <w:pPr>
        <w:pStyle w:val="ECHRPara"/>
        <w:rPr>
          <w:lang w:val="en-US"/>
        </w:rPr>
      </w:pPr>
      <w:r w:rsidRPr="00B849DC">
        <w:rPr>
          <w:lang w:val="en-US"/>
        </w:rPr>
        <w:fldChar w:fldCharType="begin"/>
      </w:r>
      <w:r w:rsidRPr="00B849DC">
        <w:rPr>
          <w:lang w:val="en-US"/>
        </w:rPr>
        <w:instrText xml:space="preserve"> SEQ level0 \*arabic </w:instrText>
      </w:r>
      <w:r w:rsidRPr="00B849DC">
        <w:rPr>
          <w:lang w:val="en-US"/>
        </w:rPr>
        <w:fldChar w:fldCharType="separate"/>
      </w:r>
      <w:r w:rsidRPr="00B849DC" w:rsidR="00B849DC">
        <w:rPr>
          <w:noProof/>
          <w:lang w:val="en-US"/>
        </w:rPr>
        <w:t>59</w:t>
      </w:r>
      <w:r w:rsidRPr="00B849DC">
        <w:rPr>
          <w:lang w:val="en-US"/>
        </w:rPr>
        <w:fldChar w:fldCharType="end"/>
      </w:r>
      <w:r w:rsidRPr="00B849DC">
        <w:rPr>
          <w:lang w:val="en-US"/>
        </w:rPr>
        <w:t xml:space="preserve">.  The </w:t>
      </w:r>
      <w:r w:rsidRPr="00B849DC" w:rsidR="000D65F2">
        <w:rPr>
          <w:lang w:val="en-US"/>
        </w:rPr>
        <w:t xml:space="preserve">following </w:t>
      </w:r>
      <w:r w:rsidRPr="00B849DC">
        <w:rPr>
          <w:lang w:val="en-US"/>
        </w:rPr>
        <w:t>summary of the domestic law provisions concern</w:t>
      </w:r>
      <w:r w:rsidRPr="00B849DC" w:rsidR="000051F2">
        <w:rPr>
          <w:lang w:val="en-US"/>
        </w:rPr>
        <w:t>s</w:t>
      </w:r>
      <w:r w:rsidRPr="00B849DC">
        <w:rPr>
          <w:lang w:val="en-US"/>
        </w:rPr>
        <w:t xml:space="preserve"> only enterprises </w:t>
      </w:r>
      <w:r w:rsidRPr="00B849DC" w:rsidR="000D65F2">
        <w:rPr>
          <w:lang w:val="en-US"/>
        </w:rPr>
        <w:t xml:space="preserve">with </w:t>
      </w:r>
      <w:r w:rsidRPr="00B849DC">
        <w:rPr>
          <w:lang w:val="en-US"/>
        </w:rPr>
        <w:t>the right of economic control</w:t>
      </w:r>
      <w:r w:rsidRPr="00B849DC" w:rsidR="000051F2">
        <w:rPr>
          <w:lang w:val="en-US"/>
        </w:rPr>
        <w:t xml:space="preserve"> over</w:t>
      </w:r>
      <w:r w:rsidRPr="00B849DC" w:rsidR="00177A7C">
        <w:rPr>
          <w:lang w:val="en-US"/>
        </w:rPr>
        <w:t xml:space="preserve"> the assets allocated to them</w:t>
      </w:r>
      <w:r w:rsidRPr="00B849DC">
        <w:rPr>
          <w:lang w:val="en-US"/>
        </w:rPr>
        <w:t>.</w:t>
      </w:r>
    </w:p>
    <w:p w:rsidRPr="00B849DC" w:rsidR="00CA087B" w:rsidP="00B849DC" w:rsidRDefault="00FD4A1F">
      <w:pPr>
        <w:pStyle w:val="ECHRHeading2"/>
        <w:rPr>
          <w:lang w:val="en-US"/>
        </w:rPr>
      </w:pPr>
      <w:r w:rsidRPr="00B849DC">
        <w:rPr>
          <w:lang w:val="en-US"/>
        </w:rPr>
        <w:t>B</w:t>
      </w:r>
      <w:r w:rsidRPr="00B849DC" w:rsidR="00D27F10">
        <w:rPr>
          <w:lang w:val="en-US"/>
        </w:rPr>
        <w:t>.  </w:t>
      </w:r>
      <w:r w:rsidRPr="00B849DC" w:rsidR="004C5049">
        <w:rPr>
          <w:lang w:val="en-US"/>
        </w:rPr>
        <w:t xml:space="preserve">Unitary enterprises </w:t>
      </w:r>
      <w:r w:rsidRPr="00B849DC" w:rsidR="000D65F2">
        <w:rPr>
          <w:lang w:val="en-US"/>
        </w:rPr>
        <w:t xml:space="preserve">with </w:t>
      </w:r>
      <w:r w:rsidRPr="00B849DC" w:rsidR="004C5049">
        <w:rPr>
          <w:lang w:val="en-US"/>
        </w:rPr>
        <w:t>the right of economic</w:t>
      </w:r>
      <w:r w:rsidRPr="00B849DC" w:rsidR="00177A7C">
        <w:rPr>
          <w:lang w:val="en-US"/>
        </w:rPr>
        <w:t xml:space="preserve"> </w:t>
      </w:r>
      <w:r w:rsidRPr="00B849DC" w:rsidR="000051F2">
        <w:rPr>
          <w:lang w:val="en-US"/>
        </w:rPr>
        <w:t>control</w:t>
      </w:r>
    </w:p>
    <w:p w:rsidRPr="00B849DC" w:rsidR="004C5049" w:rsidP="00B849DC" w:rsidRDefault="004C5049">
      <w:pPr>
        <w:pStyle w:val="ECHRPara"/>
        <w:rPr>
          <w:rFonts w:eastAsiaTheme="majorEastAsia"/>
          <w:lang w:val="en-US"/>
        </w:rPr>
      </w:pPr>
      <w:r w:rsidRPr="00B849DC">
        <w:rPr>
          <w:rFonts w:eastAsiaTheme="majorEastAsia"/>
        </w:rPr>
        <w:fldChar w:fldCharType="begin"/>
      </w:r>
      <w:r w:rsidRPr="00B849DC">
        <w:rPr>
          <w:rFonts w:eastAsiaTheme="majorEastAsia"/>
          <w:lang w:val="en-US"/>
        </w:rPr>
        <w:instrText xml:space="preserve"> SEQ level0 \*arabic </w:instrText>
      </w:r>
      <w:r w:rsidRPr="00B849DC">
        <w:rPr>
          <w:rFonts w:eastAsiaTheme="majorEastAsia"/>
        </w:rPr>
        <w:fldChar w:fldCharType="separate"/>
      </w:r>
      <w:r w:rsidRPr="00B849DC" w:rsidR="00B849DC">
        <w:rPr>
          <w:rFonts w:eastAsiaTheme="majorEastAsia"/>
          <w:noProof/>
          <w:lang w:val="en-US"/>
        </w:rPr>
        <w:t>60</w:t>
      </w:r>
      <w:r w:rsidRPr="00B849DC">
        <w:rPr>
          <w:rFonts w:eastAsiaTheme="majorEastAsia"/>
        </w:rPr>
        <w:fldChar w:fldCharType="end"/>
      </w:r>
      <w:r w:rsidRPr="00B849DC" w:rsidR="002F7F75">
        <w:rPr>
          <w:rFonts w:eastAsiaTheme="majorEastAsia"/>
          <w:lang w:val="en-US"/>
        </w:rPr>
        <w:t>.  </w:t>
      </w:r>
      <w:r w:rsidRPr="00B849DC" w:rsidR="000D65F2">
        <w:rPr>
          <w:rFonts w:eastAsiaTheme="majorEastAsia"/>
          <w:lang w:val="en-US"/>
        </w:rPr>
        <w:t xml:space="preserve">A </w:t>
      </w:r>
      <w:r w:rsidRPr="00B849DC" w:rsidR="002F7F75">
        <w:rPr>
          <w:rFonts w:eastAsiaTheme="majorEastAsia"/>
          <w:lang w:val="en-US"/>
        </w:rPr>
        <w:t>unitary enterprise</w:t>
      </w:r>
      <w:r w:rsidRPr="00B849DC">
        <w:rPr>
          <w:rFonts w:eastAsiaTheme="majorEastAsia"/>
          <w:lang w:val="en-US"/>
        </w:rPr>
        <w:t xml:space="preserve"> </w:t>
      </w:r>
      <w:r w:rsidRPr="00B849DC" w:rsidR="000D65F2">
        <w:rPr>
          <w:rFonts w:eastAsiaTheme="majorEastAsia"/>
          <w:lang w:val="en-US"/>
        </w:rPr>
        <w:t>with</w:t>
      </w:r>
      <w:r w:rsidRPr="00B849DC" w:rsidR="002F7F75">
        <w:rPr>
          <w:rFonts w:eastAsiaTheme="majorEastAsia"/>
          <w:lang w:val="en-US"/>
        </w:rPr>
        <w:t xml:space="preserve"> the right of economic control</w:t>
      </w:r>
      <w:r w:rsidRPr="00B849DC">
        <w:rPr>
          <w:rFonts w:eastAsiaTheme="majorEastAsia"/>
          <w:lang w:val="en-US"/>
        </w:rPr>
        <w:t xml:space="preserve"> </w:t>
      </w:r>
      <w:r w:rsidRPr="00B849DC" w:rsidR="000051F2">
        <w:rPr>
          <w:rFonts w:eastAsiaTheme="majorEastAsia"/>
          <w:lang w:val="en-US"/>
        </w:rPr>
        <w:t xml:space="preserve">over the assets allocated to it </w:t>
      </w:r>
      <w:r w:rsidRPr="00B849DC">
        <w:rPr>
          <w:rFonts w:eastAsiaTheme="majorEastAsia"/>
          <w:lang w:val="en-US"/>
        </w:rPr>
        <w:t xml:space="preserve">is set up by a decision of the State or the </w:t>
      </w:r>
      <w:r w:rsidRPr="00B849DC" w:rsidR="00177A7C">
        <w:rPr>
          <w:rFonts w:eastAsiaTheme="majorEastAsia"/>
          <w:lang w:val="en-US"/>
        </w:rPr>
        <w:t xml:space="preserve">competent </w:t>
      </w:r>
      <w:r w:rsidRPr="00B849DC">
        <w:rPr>
          <w:rFonts w:eastAsiaTheme="majorEastAsia"/>
          <w:lang w:val="en-US"/>
        </w:rPr>
        <w:t>local self-government body if the law does not stipulate otherwise (Article 114 § 1 of the Civil Code).</w:t>
      </w:r>
    </w:p>
    <w:p w:rsidRPr="00B849DC" w:rsidR="00CA087B" w:rsidP="00B849DC" w:rsidRDefault="00FD4A1F">
      <w:pPr>
        <w:pStyle w:val="ECHRHeading3"/>
      </w:pPr>
      <w:r w:rsidRPr="00B849DC">
        <w:t>1.</w:t>
      </w:r>
      <w:r w:rsidRPr="00B849DC" w:rsidR="00830685">
        <w:t>  </w:t>
      </w:r>
      <w:r w:rsidRPr="00B849DC" w:rsidR="0059542E">
        <w:t xml:space="preserve">Constitutional </w:t>
      </w:r>
      <w:r w:rsidRPr="00B849DC" w:rsidR="00830685">
        <w:t>document</w:t>
      </w:r>
      <w:r w:rsidRPr="00B849DC" w:rsidR="00080442">
        <w:t>,</w:t>
      </w:r>
      <w:r w:rsidRPr="00B849DC" w:rsidR="00830685">
        <w:t xml:space="preserve"> assets</w:t>
      </w:r>
      <w:r w:rsidRPr="00B849DC" w:rsidR="00080442">
        <w:t xml:space="preserve"> and profit</w:t>
      </w:r>
    </w:p>
    <w:p w:rsidRPr="00B849DC" w:rsidR="00CA087B" w:rsidP="00B849DC" w:rsidRDefault="004C5049">
      <w:pPr>
        <w:pStyle w:val="ECHRPara"/>
        <w:rPr>
          <w:rFonts w:eastAsiaTheme="majorEastAsia"/>
          <w:lang w:val="en-US"/>
        </w:rPr>
      </w:pPr>
      <w:r w:rsidRPr="00B849DC">
        <w:rPr>
          <w:rFonts w:eastAsiaTheme="majorEastAsia"/>
        </w:rPr>
        <w:fldChar w:fldCharType="begin"/>
      </w:r>
      <w:r w:rsidRPr="00B849DC">
        <w:rPr>
          <w:rFonts w:eastAsiaTheme="majorEastAsia"/>
        </w:rPr>
        <w:instrText xml:space="preserve"> SEQ level0 \*arabic </w:instrText>
      </w:r>
      <w:r w:rsidRPr="00B849DC">
        <w:rPr>
          <w:rFonts w:eastAsiaTheme="majorEastAsia"/>
        </w:rPr>
        <w:fldChar w:fldCharType="separate"/>
      </w:r>
      <w:r w:rsidRPr="00B849DC" w:rsidR="00B849DC">
        <w:rPr>
          <w:rFonts w:eastAsiaTheme="majorEastAsia"/>
          <w:noProof/>
        </w:rPr>
        <w:t>61</w:t>
      </w:r>
      <w:r w:rsidRPr="00B849DC">
        <w:rPr>
          <w:rFonts w:eastAsiaTheme="majorEastAsia"/>
        </w:rPr>
        <w:fldChar w:fldCharType="end"/>
      </w:r>
      <w:r w:rsidRPr="00B849DC">
        <w:rPr>
          <w:rFonts w:eastAsiaTheme="majorEastAsia"/>
        </w:rPr>
        <w:t>.  </w:t>
      </w:r>
      <w:r w:rsidRPr="00B849DC" w:rsidR="003B56E3">
        <w:rPr>
          <w:rFonts w:eastAsiaTheme="majorEastAsia"/>
          <w:lang w:val="en-US"/>
        </w:rPr>
        <w:t xml:space="preserve">A </w:t>
      </w:r>
      <w:r w:rsidRPr="00B849DC" w:rsidR="0033795F">
        <w:rPr>
          <w:rFonts w:eastAsiaTheme="majorEastAsia"/>
          <w:lang w:val="en-US"/>
        </w:rPr>
        <w:t>company</w:t>
      </w:r>
      <w:r w:rsidRPr="00B849DC" w:rsidR="00B849DC">
        <w:rPr>
          <w:rFonts w:eastAsiaTheme="majorEastAsia"/>
          <w:lang w:val="en-US"/>
        </w:rPr>
        <w:t>’</w:t>
      </w:r>
      <w:r w:rsidRPr="00B849DC" w:rsidR="0033795F">
        <w:rPr>
          <w:rFonts w:eastAsiaTheme="majorEastAsia"/>
          <w:lang w:val="en-US"/>
        </w:rPr>
        <w:t xml:space="preserve">s </w:t>
      </w:r>
      <w:r w:rsidRPr="00B849DC" w:rsidR="003B56E3">
        <w:rPr>
          <w:rFonts w:eastAsiaTheme="majorEastAsia"/>
          <w:lang w:val="en-US"/>
        </w:rPr>
        <w:t>a</w:t>
      </w:r>
      <w:r w:rsidRPr="00B849DC" w:rsidR="0033795F">
        <w:rPr>
          <w:rFonts w:eastAsiaTheme="majorEastAsia"/>
          <w:lang w:val="en-US"/>
        </w:rPr>
        <w:t xml:space="preserve">rticles of </w:t>
      </w:r>
      <w:r w:rsidRPr="00B849DC" w:rsidR="003B56E3">
        <w:rPr>
          <w:rFonts w:eastAsiaTheme="majorEastAsia"/>
          <w:lang w:val="en-US"/>
        </w:rPr>
        <w:t>a</w:t>
      </w:r>
      <w:r w:rsidRPr="00B849DC" w:rsidR="0033795F">
        <w:rPr>
          <w:rFonts w:eastAsiaTheme="majorEastAsia"/>
          <w:lang w:val="en-US"/>
        </w:rPr>
        <w:t>ssociation are its constitutional document</w:t>
      </w:r>
      <w:r w:rsidRPr="00B849DC" w:rsidR="009E14F6">
        <w:rPr>
          <w:rFonts w:eastAsiaTheme="majorEastAsia"/>
          <w:lang w:val="en-US"/>
        </w:rPr>
        <w:t>s</w:t>
      </w:r>
      <w:r w:rsidRPr="00B849DC" w:rsidR="000D65F2">
        <w:rPr>
          <w:rFonts w:eastAsiaTheme="majorEastAsia"/>
          <w:lang w:val="en-US"/>
        </w:rPr>
        <w:t xml:space="preserve"> </w:t>
      </w:r>
      <w:r w:rsidRPr="00B849DC">
        <w:rPr>
          <w:rFonts w:eastAsiaTheme="majorEastAsia"/>
          <w:lang w:val="en-US"/>
        </w:rPr>
        <w:t xml:space="preserve">and </w:t>
      </w:r>
      <w:r w:rsidRPr="00B849DC" w:rsidR="0033795F">
        <w:rPr>
          <w:rFonts w:eastAsiaTheme="majorEastAsia"/>
          <w:lang w:val="en-US"/>
        </w:rPr>
        <w:t>are</w:t>
      </w:r>
      <w:r w:rsidRPr="00B849DC">
        <w:rPr>
          <w:rFonts w:eastAsiaTheme="majorEastAsia"/>
          <w:lang w:val="en-US"/>
        </w:rPr>
        <w:t xml:space="preserve"> approved by the State body or local self-government body</w:t>
      </w:r>
      <w:r w:rsidRPr="00B849DC" w:rsidR="00B04BF5">
        <w:rPr>
          <w:rFonts w:eastAsiaTheme="majorEastAsia"/>
          <w:lang w:val="en-US"/>
        </w:rPr>
        <w:t xml:space="preserve"> (Article 114 of the Civil Code</w:t>
      </w:r>
      <w:r w:rsidRPr="00B849DC" w:rsidR="009E14F6">
        <w:rPr>
          <w:rFonts w:eastAsiaTheme="majorEastAsia"/>
          <w:lang w:val="en-US"/>
        </w:rPr>
        <w:t xml:space="preserve"> and</w:t>
      </w:r>
      <w:r w:rsidRPr="00B849DC" w:rsidR="00F34B9B">
        <w:rPr>
          <w:rFonts w:eastAsiaTheme="majorEastAsia"/>
          <w:lang w:val="en-US"/>
        </w:rPr>
        <w:t xml:space="preserve"> </w:t>
      </w:r>
      <w:r w:rsidRPr="00B849DC" w:rsidR="00BD2DFC">
        <w:rPr>
          <w:rFonts w:eastAsiaTheme="majorEastAsia"/>
          <w:lang w:val="en-US"/>
        </w:rPr>
        <w:t>section </w:t>
      </w:r>
      <w:r w:rsidRPr="00B849DC" w:rsidR="00B04BF5">
        <w:rPr>
          <w:rFonts w:eastAsiaTheme="majorEastAsia"/>
          <w:lang w:val="en-US"/>
        </w:rPr>
        <w:t>20 of the Unitary Enterprises Act)</w:t>
      </w:r>
      <w:r w:rsidRPr="00B849DC">
        <w:rPr>
          <w:rFonts w:eastAsiaTheme="majorEastAsia"/>
          <w:lang w:val="en-US"/>
        </w:rPr>
        <w:t>.</w:t>
      </w:r>
    </w:p>
    <w:p w:rsidRPr="00B849DC" w:rsidR="002F7F75" w:rsidP="00B849DC" w:rsidRDefault="002F7F75">
      <w:pPr>
        <w:pStyle w:val="ECHRPara"/>
        <w:rPr>
          <w:rFonts w:eastAsiaTheme="majorEastAsia"/>
          <w:lang w:val="en-US"/>
        </w:rPr>
      </w:pPr>
      <w:r w:rsidRPr="00B849DC">
        <w:rPr>
          <w:rFonts w:eastAsiaTheme="majorEastAsia"/>
          <w:lang w:val="en-US"/>
        </w:rPr>
        <w:fldChar w:fldCharType="begin"/>
      </w:r>
      <w:r w:rsidRPr="00B849DC">
        <w:rPr>
          <w:rFonts w:eastAsiaTheme="majorEastAsia"/>
          <w:lang w:val="en-US"/>
        </w:rPr>
        <w:instrText xml:space="preserve"> SEQ level0 \*arabic </w:instrText>
      </w:r>
      <w:r w:rsidRPr="00B849DC">
        <w:rPr>
          <w:rFonts w:eastAsiaTheme="majorEastAsia"/>
          <w:lang w:val="en-US"/>
        </w:rPr>
        <w:fldChar w:fldCharType="separate"/>
      </w:r>
      <w:r w:rsidRPr="00B849DC" w:rsidR="00B849DC">
        <w:rPr>
          <w:rFonts w:eastAsiaTheme="majorEastAsia"/>
          <w:noProof/>
          <w:lang w:val="en-US"/>
        </w:rPr>
        <w:t>62</w:t>
      </w:r>
      <w:r w:rsidRPr="00B849DC">
        <w:rPr>
          <w:rFonts w:eastAsiaTheme="majorEastAsia"/>
          <w:lang w:val="en-US"/>
        </w:rPr>
        <w:fldChar w:fldCharType="end"/>
      </w:r>
      <w:r w:rsidRPr="00B849DC">
        <w:rPr>
          <w:rFonts w:eastAsiaTheme="majorEastAsia"/>
          <w:lang w:val="en-US"/>
        </w:rPr>
        <w:t xml:space="preserve">.  The </w:t>
      </w:r>
      <w:r w:rsidRPr="00B849DC" w:rsidR="003B56E3">
        <w:rPr>
          <w:rFonts w:eastAsiaTheme="majorEastAsia"/>
          <w:lang w:val="en-US"/>
        </w:rPr>
        <w:t>a</w:t>
      </w:r>
      <w:r w:rsidRPr="00B849DC" w:rsidR="0033795F">
        <w:rPr>
          <w:rFonts w:eastAsiaTheme="majorEastAsia"/>
          <w:lang w:val="en-US"/>
        </w:rPr>
        <w:t xml:space="preserve">rticles </w:t>
      </w:r>
      <w:r w:rsidRPr="00B849DC">
        <w:rPr>
          <w:rFonts w:eastAsiaTheme="majorEastAsia"/>
          <w:lang w:val="en-US"/>
        </w:rPr>
        <w:t xml:space="preserve">should contain information on the size of </w:t>
      </w:r>
      <w:r w:rsidRPr="00B849DC" w:rsidR="000051F2">
        <w:rPr>
          <w:rFonts w:eastAsiaTheme="majorEastAsia"/>
          <w:lang w:val="en-US"/>
        </w:rPr>
        <w:t>the company</w:t>
      </w:r>
      <w:r w:rsidRPr="00B849DC" w:rsidR="00B849DC">
        <w:rPr>
          <w:rFonts w:eastAsiaTheme="majorEastAsia"/>
          <w:lang w:val="en-US"/>
        </w:rPr>
        <w:t>’</w:t>
      </w:r>
      <w:r w:rsidRPr="00B849DC" w:rsidR="000051F2">
        <w:rPr>
          <w:rFonts w:eastAsiaTheme="majorEastAsia"/>
          <w:lang w:val="en-US"/>
        </w:rPr>
        <w:t xml:space="preserve">s </w:t>
      </w:r>
      <w:r w:rsidRPr="00B849DC">
        <w:rPr>
          <w:rFonts w:eastAsiaTheme="majorEastAsia"/>
          <w:lang w:val="en-US"/>
        </w:rPr>
        <w:t xml:space="preserve">authorised </w:t>
      </w:r>
      <w:r w:rsidRPr="00B849DC" w:rsidR="0043489C">
        <w:rPr>
          <w:rFonts w:eastAsiaTheme="majorEastAsia"/>
          <w:lang w:val="en-US"/>
        </w:rPr>
        <w:t>capital</w:t>
      </w:r>
      <w:r w:rsidRPr="00B849DC" w:rsidR="00C27866">
        <w:rPr>
          <w:rFonts w:eastAsiaTheme="majorEastAsia"/>
          <w:lang w:val="en-US"/>
        </w:rPr>
        <w:t>,</w:t>
      </w:r>
      <w:r w:rsidRPr="00B849DC" w:rsidR="0043489C">
        <w:rPr>
          <w:rFonts w:eastAsiaTheme="majorEastAsia"/>
          <w:lang w:val="en-US"/>
        </w:rPr>
        <w:t xml:space="preserve"> </w:t>
      </w:r>
      <w:r w:rsidRPr="00B849DC" w:rsidR="009E14F6">
        <w:rPr>
          <w:rFonts w:eastAsiaTheme="majorEastAsia"/>
          <w:lang w:val="en-US"/>
        </w:rPr>
        <w:t>its</w:t>
      </w:r>
      <w:r w:rsidRPr="00B849DC">
        <w:rPr>
          <w:rFonts w:eastAsiaTheme="majorEastAsia"/>
          <w:lang w:val="en-US"/>
        </w:rPr>
        <w:t xml:space="preserve"> sources</w:t>
      </w:r>
      <w:r w:rsidRPr="00B849DC" w:rsidR="0033795F">
        <w:rPr>
          <w:rFonts w:eastAsiaTheme="majorEastAsia"/>
          <w:lang w:val="en-US"/>
        </w:rPr>
        <w:t>,</w:t>
      </w:r>
      <w:r w:rsidRPr="00B849DC">
        <w:rPr>
          <w:rFonts w:eastAsiaTheme="majorEastAsia"/>
          <w:lang w:val="en-US"/>
        </w:rPr>
        <w:t xml:space="preserve"> </w:t>
      </w:r>
      <w:r w:rsidRPr="00B849DC" w:rsidR="0033795F">
        <w:rPr>
          <w:rFonts w:eastAsiaTheme="majorEastAsia"/>
          <w:lang w:val="en-US"/>
        </w:rPr>
        <w:t xml:space="preserve">and </w:t>
      </w:r>
      <w:r w:rsidRPr="00B849DC" w:rsidR="007B055A">
        <w:rPr>
          <w:rFonts w:eastAsiaTheme="majorEastAsia"/>
          <w:lang w:val="en-US"/>
        </w:rPr>
        <w:t>the manner in which it was set up</w:t>
      </w:r>
      <w:r w:rsidRPr="00B849DC" w:rsidR="0043489C">
        <w:rPr>
          <w:rFonts w:eastAsiaTheme="majorEastAsia"/>
          <w:lang w:val="en-US"/>
        </w:rPr>
        <w:t xml:space="preserve"> </w:t>
      </w:r>
      <w:r w:rsidRPr="00B849DC">
        <w:rPr>
          <w:rFonts w:eastAsiaTheme="majorEastAsia"/>
          <w:lang w:val="en-US"/>
        </w:rPr>
        <w:t>(Article 113 § </w:t>
      </w:r>
      <w:r w:rsidRPr="00B849DC" w:rsidR="00843C2B">
        <w:rPr>
          <w:rFonts w:eastAsiaTheme="majorEastAsia"/>
          <w:lang w:val="en-US"/>
        </w:rPr>
        <w:t xml:space="preserve">1 </w:t>
      </w:r>
      <w:r w:rsidRPr="00B849DC">
        <w:rPr>
          <w:rFonts w:eastAsiaTheme="majorEastAsia"/>
          <w:lang w:val="en-US"/>
        </w:rPr>
        <w:t>of the Civil Code).</w:t>
      </w:r>
      <w:r w:rsidRPr="00B849DC" w:rsidR="00CF3AA6">
        <w:rPr>
          <w:rFonts w:eastAsiaTheme="majorEastAsia"/>
          <w:lang w:val="en-US"/>
        </w:rPr>
        <w:t xml:space="preserve"> The owner </w:t>
      </w:r>
      <w:r w:rsidRPr="00B849DC" w:rsidR="0043489C">
        <w:rPr>
          <w:rFonts w:eastAsiaTheme="majorEastAsia"/>
          <w:lang w:val="en-US"/>
        </w:rPr>
        <w:t xml:space="preserve">sets up </w:t>
      </w:r>
      <w:r w:rsidRPr="00B849DC" w:rsidR="00CF3AA6">
        <w:rPr>
          <w:rFonts w:eastAsiaTheme="majorEastAsia"/>
          <w:lang w:val="en-US"/>
        </w:rPr>
        <w:t xml:space="preserve">the </w:t>
      </w:r>
      <w:r w:rsidRPr="00B849DC" w:rsidR="00CF120F">
        <w:rPr>
          <w:rFonts w:eastAsiaTheme="majorEastAsia"/>
          <w:lang w:val="en-US"/>
        </w:rPr>
        <w:t>company</w:t>
      </w:r>
      <w:r w:rsidRPr="00B849DC" w:rsidR="00B849DC">
        <w:rPr>
          <w:rFonts w:eastAsiaTheme="majorEastAsia"/>
          <w:lang w:val="en-US"/>
        </w:rPr>
        <w:t>’</w:t>
      </w:r>
      <w:r w:rsidRPr="00B849DC" w:rsidR="00CF120F">
        <w:rPr>
          <w:rFonts w:eastAsiaTheme="majorEastAsia"/>
          <w:lang w:val="en-US"/>
        </w:rPr>
        <w:t xml:space="preserve">s </w:t>
      </w:r>
      <w:r w:rsidRPr="00B849DC" w:rsidR="00CF3AA6">
        <w:rPr>
          <w:rFonts w:eastAsiaTheme="majorEastAsia"/>
          <w:lang w:val="en-US"/>
        </w:rPr>
        <w:t xml:space="preserve">authorised </w:t>
      </w:r>
      <w:r w:rsidRPr="00B849DC" w:rsidR="0033795F">
        <w:rPr>
          <w:rFonts w:eastAsiaTheme="majorEastAsia"/>
          <w:lang w:val="en-US"/>
        </w:rPr>
        <w:t xml:space="preserve">capital </w:t>
      </w:r>
      <w:r w:rsidRPr="00B849DC" w:rsidR="00CF3AA6">
        <w:rPr>
          <w:rFonts w:eastAsiaTheme="majorEastAsia"/>
          <w:lang w:val="en-US"/>
        </w:rPr>
        <w:t xml:space="preserve">and </w:t>
      </w:r>
      <w:r w:rsidRPr="00B849DC" w:rsidR="004141C0">
        <w:rPr>
          <w:rFonts w:eastAsiaTheme="majorEastAsia"/>
          <w:lang w:val="en-US"/>
        </w:rPr>
        <w:t xml:space="preserve">may </w:t>
      </w:r>
      <w:r w:rsidRPr="00B849DC" w:rsidR="00CF3AA6">
        <w:rPr>
          <w:rFonts w:eastAsiaTheme="majorEastAsia"/>
          <w:lang w:val="en-US"/>
        </w:rPr>
        <w:t>decide to increase or reduce it (</w:t>
      </w:r>
      <w:r w:rsidRPr="00B849DC" w:rsidR="00BD2DFC">
        <w:rPr>
          <w:rFonts w:eastAsiaTheme="majorEastAsia"/>
          <w:lang w:val="en-US"/>
        </w:rPr>
        <w:t>sections </w:t>
      </w:r>
      <w:r w:rsidRPr="00B849DC" w:rsidR="002E0235">
        <w:rPr>
          <w:rFonts w:eastAsiaTheme="majorEastAsia"/>
          <w:lang w:val="en-US"/>
        </w:rPr>
        <w:t>14 and </w:t>
      </w:r>
      <w:r w:rsidRPr="00B849DC" w:rsidR="00CF3AA6">
        <w:rPr>
          <w:rFonts w:eastAsiaTheme="majorEastAsia"/>
          <w:lang w:val="en-US"/>
        </w:rPr>
        <w:t xml:space="preserve">15 of the Unitary Enterprises Act). If, at the end of the fiscal year, the </w:t>
      </w:r>
      <w:r w:rsidRPr="00B849DC" w:rsidR="000051F2">
        <w:rPr>
          <w:rFonts w:eastAsiaTheme="majorEastAsia"/>
          <w:lang w:val="en-US"/>
        </w:rPr>
        <w:t xml:space="preserve">value </w:t>
      </w:r>
      <w:r w:rsidRPr="00B849DC" w:rsidR="00CF3AA6">
        <w:rPr>
          <w:rFonts w:eastAsiaTheme="majorEastAsia"/>
          <w:lang w:val="en-US"/>
        </w:rPr>
        <w:t xml:space="preserve">of the net assets of the </w:t>
      </w:r>
      <w:r w:rsidRPr="00B849DC" w:rsidR="0033795F">
        <w:rPr>
          <w:rFonts w:eastAsiaTheme="majorEastAsia"/>
          <w:lang w:val="en-US"/>
        </w:rPr>
        <w:t xml:space="preserve">company </w:t>
      </w:r>
      <w:r w:rsidRPr="00B849DC" w:rsidR="00CF3AA6">
        <w:rPr>
          <w:rFonts w:eastAsiaTheme="majorEastAsia"/>
          <w:lang w:val="en-US"/>
        </w:rPr>
        <w:t xml:space="preserve">proves to be less than the size of its authorised </w:t>
      </w:r>
      <w:r w:rsidRPr="00B849DC" w:rsidR="0033795F">
        <w:rPr>
          <w:rFonts w:eastAsiaTheme="majorEastAsia"/>
          <w:lang w:val="en-US"/>
        </w:rPr>
        <w:t>capital</w:t>
      </w:r>
      <w:r w:rsidRPr="00B849DC" w:rsidR="00CF3AA6">
        <w:rPr>
          <w:rFonts w:eastAsiaTheme="majorEastAsia"/>
          <w:lang w:val="en-US"/>
        </w:rPr>
        <w:t xml:space="preserve">, the founder is under </w:t>
      </w:r>
      <w:r w:rsidRPr="00B849DC" w:rsidR="0043489C">
        <w:rPr>
          <w:rFonts w:eastAsiaTheme="majorEastAsia"/>
          <w:lang w:val="en-US"/>
        </w:rPr>
        <w:t xml:space="preserve">the </w:t>
      </w:r>
      <w:r w:rsidRPr="00B849DC" w:rsidR="00CF3AA6">
        <w:rPr>
          <w:rFonts w:eastAsiaTheme="majorEastAsia"/>
          <w:lang w:val="en-US"/>
        </w:rPr>
        <w:t xml:space="preserve">obligation to </w:t>
      </w:r>
      <w:r w:rsidRPr="00B849DC" w:rsidR="000051F2">
        <w:rPr>
          <w:rFonts w:eastAsiaTheme="majorEastAsia"/>
          <w:lang w:val="en-US"/>
        </w:rPr>
        <w:t>reduce</w:t>
      </w:r>
      <w:r w:rsidRPr="00B849DC" w:rsidR="00CF3AA6">
        <w:rPr>
          <w:rFonts w:eastAsiaTheme="majorEastAsia"/>
          <w:lang w:val="en-US"/>
        </w:rPr>
        <w:t xml:space="preserve"> the authorized </w:t>
      </w:r>
      <w:r w:rsidRPr="00B849DC" w:rsidR="0033795F">
        <w:rPr>
          <w:rFonts w:eastAsiaTheme="majorEastAsia"/>
          <w:lang w:val="en-US"/>
        </w:rPr>
        <w:t xml:space="preserve">capital </w:t>
      </w:r>
      <w:r w:rsidRPr="00B849DC" w:rsidR="00CF3AA6">
        <w:rPr>
          <w:rFonts w:eastAsiaTheme="majorEastAsia"/>
          <w:lang w:val="en-US"/>
        </w:rPr>
        <w:t xml:space="preserve">in conformity with the procedure established by law. If the </w:t>
      </w:r>
      <w:r w:rsidRPr="00B849DC" w:rsidR="000051F2">
        <w:rPr>
          <w:rFonts w:eastAsiaTheme="majorEastAsia"/>
          <w:lang w:val="en-US"/>
        </w:rPr>
        <w:t xml:space="preserve">value </w:t>
      </w:r>
      <w:r w:rsidRPr="00B849DC" w:rsidR="00CF3AA6">
        <w:rPr>
          <w:rFonts w:eastAsiaTheme="majorEastAsia"/>
          <w:lang w:val="en-US"/>
        </w:rPr>
        <w:t xml:space="preserve">of the net assets falls below the amount fixed </w:t>
      </w:r>
      <w:r w:rsidRPr="00B849DC" w:rsidR="0033795F">
        <w:rPr>
          <w:rFonts w:eastAsiaTheme="majorEastAsia"/>
          <w:lang w:val="en-US"/>
        </w:rPr>
        <w:t xml:space="preserve">by </w:t>
      </w:r>
      <w:r w:rsidRPr="00B849DC" w:rsidR="00CF3AA6">
        <w:rPr>
          <w:rFonts w:eastAsiaTheme="majorEastAsia"/>
          <w:lang w:val="en-US"/>
        </w:rPr>
        <w:t xml:space="preserve">law, the </w:t>
      </w:r>
      <w:r w:rsidRPr="00B849DC" w:rsidR="0033795F">
        <w:rPr>
          <w:rFonts w:eastAsiaTheme="majorEastAsia"/>
          <w:lang w:val="en-US"/>
        </w:rPr>
        <w:t xml:space="preserve">company </w:t>
      </w:r>
      <w:r w:rsidRPr="00B849DC" w:rsidR="00CF3AA6">
        <w:rPr>
          <w:rFonts w:eastAsiaTheme="majorEastAsia"/>
          <w:lang w:val="en-US"/>
        </w:rPr>
        <w:t xml:space="preserve">may be liquidated </w:t>
      </w:r>
      <w:r w:rsidRPr="00B849DC" w:rsidR="0033795F">
        <w:rPr>
          <w:rFonts w:eastAsiaTheme="majorEastAsia"/>
          <w:lang w:val="en-US"/>
        </w:rPr>
        <w:t>p</w:t>
      </w:r>
      <w:r w:rsidRPr="00B849DC" w:rsidR="00135043">
        <w:rPr>
          <w:rFonts w:eastAsiaTheme="majorEastAsia"/>
          <w:lang w:val="en-US"/>
        </w:rPr>
        <w:t>ursuant to</w:t>
      </w:r>
      <w:r w:rsidRPr="00B849DC" w:rsidR="0033795F">
        <w:rPr>
          <w:rFonts w:eastAsiaTheme="majorEastAsia"/>
          <w:lang w:val="en-US"/>
        </w:rPr>
        <w:t xml:space="preserve"> </w:t>
      </w:r>
      <w:r w:rsidRPr="00B849DC" w:rsidR="00CF3AA6">
        <w:rPr>
          <w:rFonts w:eastAsiaTheme="majorEastAsia"/>
          <w:lang w:val="en-US"/>
        </w:rPr>
        <w:t>a court decision (Article 114 of the Civil Code).</w:t>
      </w:r>
    </w:p>
    <w:p w:rsidRPr="00B849DC" w:rsidR="00830685" w:rsidP="00B849DC" w:rsidRDefault="00F34B9B">
      <w:pPr>
        <w:pStyle w:val="ECHRPara"/>
        <w:rPr>
          <w:rFonts w:eastAsiaTheme="majorEastAsia"/>
          <w:lang w:val="en-US"/>
        </w:rPr>
      </w:pPr>
      <w:r w:rsidRPr="00B849DC">
        <w:rPr>
          <w:rFonts w:eastAsiaTheme="majorEastAsia"/>
          <w:lang w:val="en-US"/>
        </w:rPr>
        <w:fldChar w:fldCharType="begin"/>
      </w:r>
      <w:r w:rsidRPr="00B849DC">
        <w:rPr>
          <w:rFonts w:eastAsiaTheme="majorEastAsia"/>
          <w:lang w:val="en-US"/>
        </w:rPr>
        <w:instrText xml:space="preserve"> SEQ level0 \*arabic </w:instrText>
      </w:r>
      <w:r w:rsidRPr="00B849DC">
        <w:rPr>
          <w:rFonts w:eastAsiaTheme="majorEastAsia"/>
          <w:lang w:val="en-US"/>
        </w:rPr>
        <w:fldChar w:fldCharType="separate"/>
      </w:r>
      <w:r w:rsidRPr="00B849DC" w:rsidR="00B849DC">
        <w:rPr>
          <w:rFonts w:eastAsiaTheme="majorEastAsia"/>
          <w:noProof/>
          <w:lang w:val="en-US"/>
        </w:rPr>
        <w:t>63</w:t>
      </w:r>
      <w:r w:rsidRPr="00B849DC">
        <w:rPr>
          <w:rFonts w:eastAsiaTheme="majorEastAsia"/>
          <w:lang w:val="en-US"/>
        </w:rPr>
        <w:fldChar w:fldCharType="end"/>
      </w:r>
      <w:r w:rsidRPr="00B849DC">
        <w:rPr>
          <w:rFonts w:eastAsiaTheme="majorEastAsia"/>
          <w:lang w:val="en-US"/>
        </w:rPr>
        <w:t>.  </w:t>
      </w:r>
      <w:r w:rsidRPr="00B849DC" w:rsidR="00830685">
        <w:rPr>
          <w:rFonts w:eastAsiaTheme="majorEastAsia"/>
          <w:lang w:val="en-US"/>
        </w:rPr>
        <w:t>The Unitary Enterprises Act stipulates</w:t>
      </w:r>
      <w:r w:rsidRPr="00B849DC" w:rsidR="0071235B">
        <w:rPr>
          <w:rFonts w:eastAsiaTheme="majorEastAsia"/>
          <w:lang w:val="en-US"/>
        </w:rPr>
        <w:t xml:space="preserve"> </w:t>
      </w:r>
      <w:r w:rsidRPr="00B849DC" w:rsidR="00830685">
        <w:rPr>
          <w:rFonts w:eastAsiaTheme="majorEastAsia"/>
          <w:lang w:val="en-US"/>
        </w:rPr>
        <w:t xml:space="preserve">that </w:t>
      </w:r>
      <w:r w:rsidRPr="00B849DC" w:rsidR="00135043">
        <w:rPr>
          <w:rFonts w:eastAsiaTheme="majorEastAsia"/>
          <w:lang w:val="en-US"/>
        </w:rPr>
        <w:t>a company</w:t>
      </w:r>
      <w:r w:rsidRPr="00B849DC" w:rsidR="00B849DC">
        <w:rPr>
          <w:rFonts w:eastAsiaTheme="majorEastAsia"/>
          <w:lang w:val="en-US"/>
        </w:rPr>
        <w:t>’</w:t>
      </w:r>
      <w:r w:rsidRPr="00B849DC" w:rsidR="00135043">
        <w:rPr>
          <w:rFonts w:eastAsiaTheme="majorEastAsia"/>
          <w:lang w:val="en-US"/>
        </w:rPr>
        <w:t>s</w:t>
      </w:r>
      <w:r w:rsidRPr="00B849DC" w:rsidR="00830685">
        <w:rPr>
          <w:rFonts w:eastAsiaTheme="majorEastAsia"/>
          <w:lang w:val="en-US"/>
        </w:rPr>
        <w:t xml:space="preserve"> assets consist of the property allocated </w:t>
      </w:r>
      <w:r w:rsidRPr="00B849DC" w:rsidR="00135043">
        <w:rPr>
          <w:rFonts w:eastAsiaTheme="majorEastAsia"/>
          <w:lang w:val="en-US"/>
        </w:rPr>
        <w:t xml:space="preserve">to it and </w:t>
      </w:r>
      <w:r w:rsidRPr="00B849DC" w:rsidR="00830685">
        <w:rPr>
          <w:rFonts w:eastAsiaTheme="majorEastAsia"/>
          <w:lang w:val="en-US"/>
        </w:rPr>
        <w:t xml:space="preserve">under </w:t>
      </w:r>
      <w:r w:rsidRPr="00B849DC" w:rsidR="00210290">
        <w:rPr>
          <w:rFonts w:eastAsiaTheme="majorEastAsia"/>
          <w:lang w:val="en-US"/>
        </w:rPr>
        <w:t>its</w:t>
      </w:r>
      <w:r w:rsidRPr="00B849DC" w:rsidR="00830685">
        <w:rPr>
          <w:rFonts w:eastAsiaTheme="majorEastAsia"/>
          <w:lang w:val="en-US"/>
        </w:rPr>
        <w:t xml:space="preserve"> economic control, the </w:t>
      </w:r>
      <w:r w:rsidRPr="00B849DC" w:rsidR="002D2F07">
        <w:rPr>
          <w:rFonts w:eastAsiaTheme="majorEastAsia"/>
          <w:lang w:val="en-US"/>
        </w:rPr>
        <w:t>profit</w:t>
      </w:r>
      <w:r w:rsidRPr="00B849DC" w:rsidR="00830685">
        <w:rPr>
          <w:rFonts w:eastAsiaTheme="majorEastAsia"/>
          <w:lang w:val="en-US"/>
        </w:rPr>
        <w:t xml:space="preserve"> </w:t>
      </w:r>
      <w:r w:rsidRPr="00B849DC" w:rsidR="00135043">
        <w:rPr>
          <w:rFonts w:eastAsiaTheme="majorEastAsia"/>
          <w:lang w:val="en-US"/>
        </w:rPr>
        <w:t xml:space="preserve">made </w:t>
      </w:r>
      <w:r w:rsidRPr="00B849DC" w:rsidR="00830685">
        <w:rPr>
          <w:rFonts w:eastAsiaTheme="majorEastAsia"/>
          <w:lang w:val="en-US"/>
        </w:rPr>
        <w:t xml:space="preserve">as a result of </w:t>
      </w:r>
      <w:r w:rsidRPr="00B849DC" w:rsidR="00135043">
        <w:rPr>
          <w:rFonts w:eastAsiaTheme="majorEastAsia"/>
          <w:lang w:val="en-US"/>
        </w:rPr>
        <w:t>its</w:t>
      </w:r>
      <w:r w:rsidRPr="00B849DC" w:rsidR="00830685">
        <w:rPr>
          <w:rFonts w:eastAsiaTheme="majorEastAsia"/>
          <w:lang w:val="en-US"/>
        </w:rPr>
        <w:t xml:space="preserve"> activity and other sources </w:t>
      </w:r>
      <w:r w:rsidRPr="00B849DC" w:rsidR="00545148">
        <w:rPr>
          <w:rFonts w:eastAsiaTheme="majorEastAsia"/>
          <w:lang w:val="en-US"/>
        </w:rPr>
        <w:t>in accordance with</w:t>
      </w:r>
      <w:r w:rsidRPr="00B849DC" w:rsidR="00830685">
        <w:rPr>
          <w:rFonts w:eastAsiaTheme="majorEastAsia"/>
          <w:lang w:val="en-US"/>
        </w:rPr>
        <w:t xml:space="preserve"> </w:t>
      </w:r>
      <w:r w:rsidRPr="00B849DC" w:rsidR="00545148">
        <w:rPr>
          <w:rFonts w:eastAsiaTheme="majorEastAsia"/>
          <w:lang w:val="en-US"/>
        </w:rPr>
        <w:t xml:space="preserve">the </w:t>
      </w:r>
      <w:r w:rsidRPr="00B849DC" w:rsidR="00830685">
        <w:rPr>
          <w:rFonts w:eastAsiaTheme="majorEastAsia"/>
          <w:lang w:val="en-US"/>
        </w:rPr>
        <w:t>law (</w:t>
      </w:r>
      <w:r w:rsidRPr="00B849DC" w:rsidR="00BD2DFC">
        <w:rPr>
          <w:rFonts w:eastAsiaTheme="majorEastAsia"/>
          <w:lang w:val="en-US"/>
        </w:rPr>
        <w:t>section </w:t>
      </w:r>
      <w:r w:rsidRPr="00B849DC" w:rsidR="002E0235">
        <w:rPr>
          <w:rFonts w:eastAsiaTheme="majorEastAsia"/>
          <w:lang w:val="en-US"/>
        </w:rPr>
        <w:t>11 of the Act).</w:t>
      </w:r>
    </w:p>
    <w:p w:rsidRPr="00B849DC" w:rsidR="00416D89" w:rsidP="00B849DC" w:rsidRDefault="00CF3AA6">
      <w:pPr>
        <w:pStyle w:val="ECHRPara"/>
        <w:rPr>
          <w:rFonts w:eastAsiaTheme="majorEastAsia"/>
          <w:lang w:val="en-US"/>
        </w:rPr>
      </w:pPr>
      <w:r w:rsidRPr="00B849DC">
        <w:rPr>
          <w:rFonts w:eastAsiaTheme="majorEastAsia"/>
          <w:lang w:val="en-US"/>
        </w:rPr>
        <w:fldChar w:fldCharType="begin"/>
      </w:r>
      <w:r w:rsidRPr="00B849DC">
        <w:rPr>
          <w:rFonts w:eastAsiaTheme="majorEastAsia"/>
          <w:lang w:val="en-US"/>
        </w:rPr>
        <w:instrText xml:space="preserve"> SEQ level0 \*arabic </w:instrText>
      </w:r>
      <w:r w:rsidRPr="00B849DC">
        <w:rPr>
          <w:rFonts w:eastAsiaTheme="majorEastAsia"/>
          <w:lang w:val="en-US"/>
        </w:rPr>
        <w:fldChar w:fldCharType="separate"/>
      </w:r>
      <w:r w:rsidRPr="00B849DC" w:rsidR="00B849DC">
        <w:rPr>
          <w:rFonts w:eastAsiaTheme="majorEastAsia"/>
          <w:noProof/>
          <w:lang w:val="en-US"/>
        </w:rPr>
        <w:t>64</w:t>
      </w:r>
      <w:r w:rsidRPr="00B849DC">
        <w:rPr>
          <w:rFonts w:eastAsiaTheme="majorEastAsia"/>
          <w:lang w:val="en-US"/>
        </w:rPr>
        <w:fldChar w:fldCharType="end"/>
      </w:r>
      <w:r w:rsidRPr="00B849DC">
        <w:rPr>
          <w:rFonts w:eastAsiaTheme="majorEastAsia"/>
          <w:lang w:val="en-US"/>
        </w:rPr>
        <w:t>.  </w:t>
      </w:r>
      <w:r w:rsidRPr="00B849DC" w:rsidR="00416D89">
        <w:rPr>
          <w:rFonts w:eastAsiaTheme="majorEastAsia"/>
          <w:lang w:val="en-US"/>
        </w:rPr>
        <w:t>The unitary enterprise creates a reserve fund from the net profit it</w:t>
      </w:r>
      <w:r w:rsidRPr="00B849DC" w:rsidR="00545148">
        <w:rPr>
          <w:rFonts w:eastAsiaTheme="majorEastAsia"/>
          <w:lang w:val="en-US"/>
        </w:rPr>
        <w:t xml:space="preserve"> generates</w:t>
      </w:r>
      <w:r w:rsidRPr="00B849DC" w:rsidR="00416D89">
        <w:rPr>
          <w:rFonts w:eastAsiaTheme="majorEastAsia"/>
          <w:lang w:val="en-US"/>
        </w:rPr>
        <w:t xml:space="preserve">, as well as other funds in accordance with its </w:t>
      </w:r>
      <w:r w:rsidRPr="00B849DC" w:rsidR="00BD2DFC">
        <w:rPr>
          <w:rFonts w:eastAsiaTheme="majorEastAsia"/>
          <w:lang w:val="en-US"/>
        </w:rPr>
        <w:t>a</w:t>
      </w:r>
      <w:r w:rsidRPr="00B849DC" w:rsidR="00545148">
        <w:rPr>
          <w:rFonts w:eastAsiaTheme="majorEastAsia"/>
          <w:lang w:val="en-US"/>
        </w:rPr>
        <w:t xml:space="preserve">rticles </w:t>
      </w:r>
      <w:r w:rsidRPr="00B849DC" w:rsidR="00416D89">
        <w:rPr>
          <w:rFonts w:eastAsiaTheme="majorEastAsia"/>
          <w:lang w:val="en-US"/>
        </w:rPr>
        <w:t>(</w:t>
      </w:r>
      <w:r w:rsidRPr="00B849DC" w:rsidR="00BD2DFC">
        <w:rPr>
          <w:rFonts w:eastAsiaTheme="majorEastAsia"/>
          <w:lang w:val="en-US"/>
        </w:rPr>
        <w:t>section </w:t>
      </w:r>
      <w:r w:rsidRPr="00B849DC" w:rsidR="00416D89">
        <w:rPr>
          <w:rFonts w:eastAsiaTheme="majorEastAsia"/>
          <w:lang w:val="en-US"/>
        </w:rPr>
        <w:t>16</w:t>
      </w:r>
      <w:r w:rsidRPr="00B849DC" w:rsidR="008E38F7">
        <w:rPr>
          <w:rFonts w:eastAsiaTheme="majorEastAsia"/>
          <w:lang w:val="en-US"/>
        </w:rPr>
        <w:t xml:space="preserve"> of the Unitary Enterprises Act</w:t>
      </w:r>
      <w:r w:rsidRPr="00B849DC" w:rsidR="00416D89">
        <w:rPr>
          <w:rFonts w:eastAsiaTheme="majorEastAsia"/>
          <w:lang w:val="en-US"/>
        </w:rPr>
        <w:t>).</w:t>
      </w:r>
    </w:p>
    <w:p w:rsidRPr="00B849DC" w:rsidR="00587F92" w:rsidP="00B849DC" w:rsidRDefault="00E35810">
      <w:pPr>
        <w:pStyle w:val="ECHRPara"/>
        <w:rPr>
          <w:rFonts w:eastAsiaTheme="majorEastAsia"/>
          <w:lang w:val="en-US"/>
        </w:rPr>
      </w:pPr>
      <w:r w:rsidRPr="00B849DC">
        <w:rPr>
          <w:rFonts w:eastAsiaTheme="majorEastAsia"/>
          <w:lang w:val="en-US"/>
        </w:rPr>
        <w:fldChar w:fldCharType="begin"/>
      </w:r>
      <w:r w:rsidRPr="00B849DC">
        <w:rPr>
          <w:rFonts w:eastAsiaTheme="majorEastAsia"/>
          <w:lang w:val="en-US"/>
        </w:rPr>
        <w:instrText xml:space="preserve"> SEQ level0 \*arabic </w:instrText>
      </w:r>
      <w:r w:rsidRPr="00B849DC">
        <w:rPr>
          <w:rFonts w:eastAsiaTheme="majorEastAsia"/>
          <w:lang w:val="en-US"/>
        </w:rPr>
        <w:fldChar w:fldCharType="separate"/>
      </w:r>
      <w:r w:rsidRPr="00B849DC" w:rsidR="00B849DC">
        <w:rPr>
          <w:rFonts w:eastAsiaTheme="majorEastAsia"/>
          <w:noProof/>
          <w:lang w:val="en-US"/>
        </w:rPr>
        <w:t>65</w:t>
      </w:r>
      <w:r w:rsidRPr="00B849DC">
        <w:rPr>
          <w:rFonts w:eastAsiaTheme="majorEastAsia"/>
          <w:lang w:val="en-US"/>
        </w:rPr>
        <w:fldChar w:fldCharType="end"/>
      </w:r>
      <w:r w:rsidRPr="00B849DC">
        <w:rPr>
          <w:rFonts w:eastAsiaTheme="majorEastAsia"/>
          <w:lang w:val="en-US"/>
        </w:rPr>
        <w:t>.  </w:t>
      </w:r>
      <w:r w:rsidRPr="00B849DC" w:rsidR="00B04BF5">
        <w:rPr>
          <w:rFonts w:eastAsiaTheme="majorEastAsia"/>
          <w:lang w:val="en-US"/>
        </w:rPr>
        <w:t xml:space="preserve">The owner has the right to obtain a part of the profit </w:t>
      </w:r>
      <w:r w:rsidRPr="00B849DC" w:rsidR="00545148">
        <w:rPr>
          <w:rFonts w:eastAsiaTheme="majorEastAsia"/>
          <w:lang w:val="en-US"/>
        </w:rPr>
        <w:t xml:space="preserve">generated by the company </w:t>
      </w:r>
      <w:r w:rsidRPr="00B849DC" w:rsidR="00B04BF5">
        <w:rPr>
          <w:rFonts w:eastAsiaTheme="majorEastAsia"/>
          <w:lang w:val="en-US"/>
        </w:rPr>
        <w:t>(Article 295 § 1 of the Civil Code</w:t>
      </w:r>
      <w:r w:rsidRPr="00B849DC" w:rsidR="00545148">
        <w:rPr>
          <w:rFonts w:eastAsiaTheme="majorEastAsia"/>
          <w:lang w:val="en-US"/>
        </w:rPr>
        <w:t xml:space="preserve"> and</w:t>
      </w:r>
      <w:r w:rsidRPr="00B849DC" w:rsidR="00B04BF5">
        <w:rPr>
          <w:rFonts w:eastAsiaTheme="majorEastAsia"/>
          <w:lang w:val="en-US"/>
        </w:rPr>
        <w:t xml:space="preserve"> </w:t>
      </w:r>
      <w:r w:rsidRPr="00B849DC" w:rsidR="00BD2DFC">
        <w:rPr>
          <w:rFonts w:eastAsiaTheme="majorEastAsia"/>
          <w:lang w:val="en-US"/>
        </w:rPr>
        <w:t>section</w:t>
      </w:r>
      <w:r w:rsidRPr="00B849DC" w:rsidR="006E03CE">
        <w:rPr>
          <w:rFonts w:eastAsiaTheme="majorEastAsia"/>
          <w:lang w:val="en-US"/>
        </w:rPr>
        <w:t xml:space="preserve"> </w:t>
      </w:r>
      <w:r w:rsidRPr="00B849DC" w:rsidR="00B04BF5">
        <w:rPr>
          <w:rFonts w:eastAsiaTheme="majorEastAsia"/>
          <w:lang w:val="en-US"/>
        </w:rPr>
        <w:t>17</w:t>
      </w:r>
      <w:r w:rsidRPr="00B849DC" w:rsidR="00BD2DFC">
        <w:rPr>
          <w:rFonts w:eastAsiaTheme="majorEastAsia"/>
          <w:lang w:val="en-US"/>
        </w:rPr>
        <w:t>(</w:t>
      </w:r>
      <w:r w:rsidRPr="00B849DC" w:rsidR="00B04BF5">
        <w:rPr>
          <w:rFonts w:eastAsiaTheme="majorEastAsia"/>
          <w:lang w:val="en-US"/>
        </w:rPr>
        <w:t>1</w:t>
      </w:r>
      <w:r w:rsidRPr="00B849DC" w:rsidR="00BD2DFC">
        <w:rPr>
          <w:rFonts w:eastAsiaTheme="majorEastAsia"/>
          <w:lang w:val="en-US"/>
        </w:rPr>
        <w:t>)</w:t>
      </w:r>
      <w:r w:rsidRPr="00B849DC" w:rsidR="00B04BF5">
        <w:rPr>
          <w:rFonts w:eastAsiaTheme="majorEastAsia"/>
          <w:lang w:val="en-US"/>
        </w:rPr>
        <w:t xml:space="preserve"> of the Unitary Enterprises Act). </w:t>
      </w:r>
      <w:r w:rsidRPr="00B849DC" w:rsidR="00210290">
        <w:rPr>
          <w:rFonts w:eastAsiaTheme="majorEastAsia"/>
          <w:lang w:val="en-US"/>
        </w:rPr>
        <w:t>U</w:t>
      </w:r>
      <w:r w:rsidRPr="00B849DC" w:rsidR="002D2F07">
        <w:rPr>
          <w:rFonts w:eastAsiaTheme="majorEastAsia"/>
          <w:lang w:val="en-US"/>
        </w:rPr>
        <w:t xml:space="preserve">nitary enterprises </w:t>
      </w:r>
      <w:r w:rsidRPr="00B849DC" w:rsidR="0051205E">
        <w:rPr>
          <w:rFonts w:eastAsiaTheme="majorEastAsia"/>
          <w:lang w:val="en-US"/>
        </w:rPr>
        <w:t xml:space="preserve">are required to </w:t>
      </w:r>
      <w:r w:rsidRPr="00B849DC" w:rsidR="002D2F07">
        <w:rPr>
          <w:rFonts w:eastAsiaTheme="majorEastAsia"/>
          <w:lang w:val="en-US"/>
        </w:rPr>
        <w:t xml:space="preserve">make yearly transfers of part of </w:t>
      </w:r>
      <w:r w:rsidRPr="00B849DC" w:rsidR="006A4B29">
        <w:rPr>
          <w:rFonts w:eastAsiaTheme="majorEastAsia"/>
          <w:lang w:val="en-US"/>
        </w:rPr>
        <w:t xml:space="preserve">the </w:t>
      </w:r>
      <w:r w:rsidRPr="00B849DC" w:rsidR="002D2F07">
        <w:rPr>
          <w:rFonts w:eastAsiaTheme="majorEastAsia"/>
          <w:lang w:val="en-US"/>
        </w:rPr>
        <w:t xml:space="preserve">profit </w:t>
      </w:r>
      <w:r w:rsidRPr="00B849DC" w:rsidR="0051205E">
        <w:rPr>
          <w:rFonts w:eastAsiaTheme="majorEastAsia"/>
          <w:lang w:val="en-US"/>
        </w:rPr>
        <w:t>that remain</w:t>
      </w:r>
      <w:r w:rsidRPr="00B849DC" w:rsidR="006A4B29">
        <w:rPr>
          <w:rFonts w:eastAsiaTheme="majorEastAsia"/>
          <w:lang w:val="en-US"/>
        </w:rPr>
        <w:t>s</w:t>
      </w:r>
      <w:r w:rsidRPr="00B849DC" w:rsidR="0051205E">
        <w:rPr>
          <w:rFonts w:eastAsiaTheme="majorEastAsia"/>
          <w:lang w:val="en-US"/>
        </w:rPr>
        <w:t xml:space="preserve"> </w:t>
      </w:r>
      <w:r w:rsidRPr="00B849DC" w:rsidR="002D2F07">
        <w:rPr>
          <w:rFonts w:eastAsiaTheme="majorEastAsia"/>
          <w:lang w:val="en-US"/>
        </w:rPr>
        <w:t xml:space="preserve">after the payment of taxes and other compulsory payments to the respective budget in </w:t>
      </w:r>
      <w:r w:rsidRPr="00B849DC" w:rsidR="0051205E">
        <w:rPr>
          <w:rFonts w:eastAsiaTheme="majorEastAsia"/>
          <w:lang w:val="en-US"/>
        </w:rPr>
        <w:t xml:space="preserve">an </w:t>
      </w:r>
      <w:r w:rsidRPr="00B849DC" w:rsidR="002D2F07">
        <w:rPr>
          <w:rFonts w:eastAsiaTheme="majorEastAsia"/>
          <w:lang w:val="en-US"/>
        </w:rPr>
        <w:t xml:space="preserve">amount and </w:t>
      </w:r>
      <w:r w:rsidRPr="00B849DC" w:rsidR="0051205E">
        <w:rPr>
          <w:rFonts w:eastAsiaTheme="majorEastAsia"/>
          <w:lang w:val="en-US"/>
        </w:rPr>
        <w:t>in accordance with a</w:t>
      </w:r>
      <w:r w:rsidRPr="00B849DC" w:rsidR="002D2F07">
        <w:rPr>
          <w:rFonts w:eastAsiaTheme="majorEastAsia"/>
          <w:lang w:val="en-US"/>
        </w:rPr>
        <w:t xml:space="preserve"> procedure determined by </w:t>
      </w:r>
      <w:r w:rsidRPr="00B849DC" w:rsidR="0051205E">
        <w:rPr>
          <w:rFonts w:eastAsiaTheme="majorEastAsia"/>
          <w:lang w:val="en-US"/>
        </w:rPr>
        <w:t xml:space="preserve">the </w:t>
      </w:r>
      <w:r w:rsidRPr="00B849DC" w:rsidR="002D2F07">
        <w:rPr>
          <w:rFonts w:eastAsiaTheme="majorEastAsia"/>
          <w:lang w:val="en-US"/>
        </w:rPr>
        <w:t>respective State or municipal authorit</w:t>
      </w:r>
      <w:r w:rsidRPr="00B849DC" w:rsidR="00CF3AA6">
        <w:rPr>
          <w:rFonts w:eastAsiaTheme="majorEastAsia"/>
          <w:lang w:val="en-US"/>
        </w:rPr>
        <w:t>y</w:t>
      </w:r>
      <w:r w:rsidRPr="00B849DC" w:rsidR="002D2F07">
        <w:rPr>
          <w:rFonts w:eastAsiaTheme="majorEastAsia"/>
          <w:lang w:val="en-US"/>
        </w:rPr>
        <w:t xml:space="preserve"> (</w:t>
      </w:r>
      <w:r w:rsidRPr="00B849DC" w:rsidR="00BD2DFC">
        <w:rPr>
          <w:rFonts w:eastAsiaTheme="majorEastAsia"/>
          <w:lang w:val="en-US"/>
        </w:rPr>
        <w:t>section </w:t>
      </w:r>
      <w:r w:rsidRPr="00B849DC" w:rsidR="002D2F07">
        <w:rPr>
          <w:rFonts w:eastAsiaTheme="majorEastAsia"/>
          <w:lang w:val="en-US"/>
        </w:rPr>
        <w:t>17</w:t>
      </w:r>
      <w:r w:rsidRPr="00B849DC" w:rsidR="00BD2DFC">
        <w:rPr>
          <w:rFonts w:eastAsiaTheme="majorEastAsia"/>
          <w:lang w:val="en-US"/>
        </w:rPr>
        <w:t>(</w:t>
      </w:r>
      <w:r w:rsidRPr="00B849DC" w:rsidR="002D2F07">
        <w:rPr>
          <w:rFonts w:eastAsiaTheme="majorEastAsia"/>
          <w:lang w:val="en-US"/>
        </w:rPr>
        <w:t>2</w:t>
      </w:r>
      <w:r w:rsidRPr="00B849DC" w:rsidR="00BD2DFC">
        <w:rPr>
          <w:rFonts w:eastAsiaTheme="majorEastAsia"/>
          <w:lang w:val="en-US"/>
        </w:rPr>
        <w:t>)</w:t>
      </w:r>
      <w:r w:rsidRPr="00B849DC" w:rsidR="002D2F07">
        <w:rPr>
          <w:rFonts w:eastAsiaTheme="majorEastAsia"/>
          <w:lang w:val="en-US"/>
        </w:rPr>
        <w:t xml:space="preserve"> of the Unitary Enterprises Act, as well </w:t>
      </w:r>
      <w:r w:rsidRPr="00B849DC" w:rsidR="0051205E">
        <w:rPr>
          <w:rFonts w:eastAsiaTheme="majorEastAsia"/>
          <w:lang w:val="en-US"/>
        </w:rPr>
        <w:t xml:space="preserve">as </w:t>
      </w:r>
      <w:r w:rsidRPr="00B849DC" w:rsidR="002D2F07">
        <w:rPr>
          <w:rFonts w:eastAsiaTheme="majorEastAsia"/>
          <w:lang w:val="en-US"/>
        </w:rPr>
        <w:t>Articles 51, 57 and 62 of the Budget Code of the Russian Federation</w:t>
      </w:r>
      <w:r w:rsidRPr="00B849DC" w:rsidR="004141C0">
        <w:rPr>
          <w:rFonts w:eastAsiaTheme="majorEastAsia"/>
          <w:lang w:val="en-US"/>
        </w:rPr>
        <w:t>,</w:t>
      </w:r>
      <w:r w:rsidRPr="00B849DC" w:rsidR="002D2F07">
        <w:rPr>
          <w:rFonts w:eastAsiaTheme="majorEastAsia"/>
          <w:lang w:val="en-US"/>
        </w:rPr>
        <w:t xml:space="preserve"> </w:t>
      </w:r>
      <w:r w:rsidRPr="00B849DC" w:rsidR="0051205E">
        <w:rPr>
          <w:rFonts w:eastAsiaTheme="majorEastAsia"/>
          <w:lang w:val="en-US"/>
        </w:rPr>
        <w:t xml:space="preserve">which define </w:t>
      </w:r>
      <w:r w:rsidRPr="00B849DC" w:rsidR="002D2F07">
        <w:rPr>
          <w:rFonts w:eastAsiaTheme="majorEastAsia"/>
          <w:lang w:val="en-US"/>
        </w:rPr>
        <w:t>the respective payments as non-tax revenues).</w:t>
      </w:r>
    </w:p>
    <w:p w:rsidRPr="00B849DC" w:rsidR="00F91582" w:rsidP="00B849DC" w:rsidRDefault="00080442">
      <w:pPr>
        <w:pStyle w:val="ECHRHeading3"/>
        <w:rPr>
          <w:lang w:val="en-US"/>
        </w:rPr>
      </w:pPr>
      <w:r w:rsidRPr="00B849DC">
        <w:rPr>
          <w:lang w:val="en-US"/>
        </w:rPr>
        <w:t>2</w:t>
      </w:r>
      <w:r w:rsidRPr="00B849DC" w:rsidR="00FD4A1F">
        <w:rPr>
          <w:lang w:val="en-US"/>
        </w:rPr>
        <w:t>.</w:t>
      </w:r>
      <w:r w:rsidRPr="00B849DC" w:rsidR="00830685">
        <w:rPr>
          <w:lang w:val="en-US"/>
        </w:rPr>
        <w:t>  </w:t>
      </w:r>
      <w:r w:rsidRPr="00B849DC" w:rsidR="0011315E">
        <w:rPr>
          <w:lang w:val="en-US"/>
        </w:rPr>
        <w:t>Purpose and aims</w:t>
      </w:r>
      <w:r w:rsidRPr="00B849DC" w:rsidR="00F91582">
        <w:rPr>
          <w:lang w:val="en-US"/>
        </w:rPr>
        <w:t xml:space="preserve"> of the municipal unitary enterprise</w:t>
      </w:r>
      <w:r w:rsidRPr="00B849DC" w:rsidR="00B849DC">
        <w:rPr>
          <w:lang w:val="en-US"/>
        </w:rPr>
        <w:t>’</w:t>
      </w:r>
      <w:r w:rsidRPr="00B849DC" w:rsidR="00F91582">
        <w:rPr>
          <w:lang w:val="en-US"/>
        </w:rPr>
        <w:t>s activity and failure to comply with them</w:t>
      </w:r>
    </w:p>
    <w:p w:rsidRPr="00B849DC" w:rsidR="00F91582" w:rsidP="00B849DC" w:rsidRDefault="00F91582">
      <w:pPr>
        <w:pStyle w:val="ECHRHeading4"/>
        <w:rPr>
          <w:lang w:val="en-US"/>
        </w:rPr>
      </w:pPr>
      <w:r w:rsidRPr="00B849DC">
        <w:rPr>
          <w:lang w:val="en-US"/>
        </w:rPr>
        <w:t>(a)  Legal provisions</w:t>
      </w:r>
    </w:p>
    <w:p w:rsidRPr="00B849DC" w:rsidR="00F91582" w:rsidP="00B849DC" w:rsidRDefault="008A4115">
      <w:pPr>
        <w:pStyle w:val="ECHRPara"/>
        <w:rPr>
          <w:rFonts w:asciiTheme="majorHAnsi" w:hAnsiTheme="majorHAnsi" w:eastAsiaTheme="majorEastAsia" w:cstheme="majorBidi"/>
          <w:bCs/>
          <w:lang w:val="en-US"/>
        </w:rPr>
      </w:pPr>
      <w:r w:rsidRPr="00B849DC">
        <w:rPr>
          <w:rFonts w:asciiTheme="majorHAnsi" w:hAnsiTheme="majorHAnsi" w:eastAsiaTheme="majorEastAsia" w:cstheme="majorBidi"/>
          <w:bCs/>
          <w:lang w:val="en-US"/>
        </w:rPr>
        <w:fldChar w:fldCharType="begin"/>
      </w:r>
      <w:r w:rsidRPr="00B849DC">
        <w:rPr>
          <w:rFonts w:asciiTheme="majorHAnsi" w:hAnsiTheme="majorHAnsi" w:eastAsiaTheme="majorEastAsia" w:cstheme="majorBidi"/>
          <w:bCs/>
          <w:lang w:val="en-US"/>
        </w:rPr>
        <w:instrText xml:space="preserve"> SEQ level0 \*arabic </w:instrText>
      </w:r>
      <w:r w:rsidRPr="00B849DC">
        <w:rPr>
          <w:rFonts w:asciiTheme="majorHAnsi" w:hAnsiTheme="majorHAnsi" w:eastAsiaTheme="majorEastAsia" w:cstheme="majorBidi"/>
          <w:bCs/>
          <w:lang w:val="en-US"/>
        </w:rPr>
        <w:fldChar w:fldCharType="separate"/>
      </w:r>
      <w:r w:rsidRPr="00B849DC" w:rsidR="00B849DC">
        <w:rPr>
          <w:rFonts w:asciiTheme="majorHAnsi" w:hAnsiTheme="majorHAnsi" w:eastAsiaTheme="majorEastAsia" w:cstheme="majorBidi"/>
          <w:bCs/>
          <w:noProof/>
          <w:lang w:val="en-US"/>
        </w:rPr>
        <w:t>66</w:t>
      </w:r>
      <w:r w:rsidRPr="00B849DC">
        <w:rPr>
          <w:rFonts w:asciiTheme="majorHAnsi" w:hAnsiTheme="majorHAnsi" w:eastAsiaTheme="majorEastAsia" w:cstheme="majorBidi"/>
          <w:bCs/>
          <w:lang w:val="en-US"/>
        </w:rPr>
        <w:fldChar w:fldCharType="end"/>
      </w:r>
      <w:r w:rsidRPr="00B849DC">
        <w:rPr>
          <w:rFonts w:asciiTheme="majorHAnsi" w:hAnsiTheme="majorHAnsi" w:eastAsiaTheme="majorEastAsia" w:cstheme="majorBidi"/>
          <w:bCs/>
          <w:lang w:val="en-US"/>
        </w:rPr>
        <w:t>.  </w:t>
      </w:r>
      <w:r w:rsidRPr="00B849DC" w:rsidR="007E6526">
        <w:rPr>
          <w:rFonts w:asciiTheme="majorHAnsi" w:hAnsiTheme="majorHAnsi" w:eastAsiaTheme="majorEastAsia" w:cstheme="majorBidi"/>
          <w:bCs/>
          <w:lang w:val="en-US"/>
        </w:rPr>
        <w:t xml:space="preserve">The owner of the property </w:t>
      </w:r>
      <w:r w:rsidRPr="00B849DC" w:rsidR="00473F2D">
        <w:rPr>
          <w:rFonts w:asciiTheme="majorHAnsi" w:hAnsiTheme="majorHAnsi" w:eastAsiaTheme="majorEastAsia" w:cstheme="majorBidi"/>
          <w:bCs/>
          <w:lang w:val="en-US"/>
        </w:rPr>
        <w:t xml:space="preserve">under </w:t>
      </w:r>
      <w:r w:rsidRPr="00B849DC" w:rsidR="00ED5857">
        <w:rPr>
          <w:rFonts w:asciiTheme="majorHAnsi" w:hAnsiTheme="majorHAnsi" w:eastAsiaTheme="majorEastAsia" w:cstheme="majorBidi"/>
          <w:bCs/>
          <w:lang w:val="en-US"/>
        </w:rPr>
        <w:t xml:space="preserve">the </w:t>
      </w:r>
      <w:r w:rsidRPr="00B849DC" w:rsidR="007E6526">
        <w:rPr>
          <w:rFonts w:asciiTheme="majorHAnsi" w:hAnsiTheme="majorHAnsi" w:eastAsiaTheme="majorEastAsia" w:cstheme="majorBidi"/>
          <w:bCs/>
          <w:lang w:val="en-US"/>
        </w:rPr>
        <w:t xml:space="preserve">economic control </w:t>
      </w:r>
      <w:r w:rsidRPr="00B849DC" w:rsidR="00ED5857">
        <w:rPr>
          <w:rFonts w:asciiTheme="majorHAnsi" w:hAnsiTheme="majorHAnsi" w:eastAsiaTheme="majorEastAsia" w:cstheme="majorBidi"/>
          <w:bCs/>
          <w:lang w:val="en-US"/>
        </w:rPr>
        <w:t xml:space="preserve">of a unitary enterprise </w:t>
      </w:r>
      <w:r w:rsidRPr="00B849DC" w:rsidR="007E6526">
        <w:rPr>
          <w:rFonts w:asciiTheme="majorHAnsi" w:hAnsiTheme="majorHAnsi" w:eastAsiaTheme="majorEastAsia" w:cstheme="majorBidi"/>
          <w:bCs/>
          <w:lang w:val="en-US"/>
        </w:rPr>
        <w:t xml:space="preserve">defines the </w:t>
      </w:r>
      <w:r w:rsidRPr="00B849DC" w:rsidR="0011315E">
        <w:rPr>
          <w:rFonts w:asciiTheme="majorHAnsi" w:hAnsiTheme="majorHAnsi" w:eastAsiaTheme="majorEastAsia" w:cstheme="majorBidi"/>
          <w:bCs/>
          <w:lang w:val="en-US"/>
        </w:rPr>
        <w:t>purpose</w:t>
      </w:r>
      <w:r w:rsidRPr="00B849DC" w:rsidR="00473F2D">
        <w:rPr>
          <w:rFonts w:asciiTheme="majorHAnsi" w:hAnsiTheme="majorHAnsi" w:eastAsiaTheme="majorEastAsia" w:cstheme="majorBidi"/>
          <w:bCs/>
          <w:lang w:val="en-US"/>
        </w:rPr>
        <w:t xml:space="preserve"> </w:t>
      </w:r>
      <w:r w:rsidRPr="00B849DC" w:rsidR="007E6526">
        <w:rPr>
          <w:rFonts w:asciiTheme="majorHAnsi" w:hAnsiTheme="majorHAnsi" w:eastAsiaTheme="majorEastAsia" w:cstheme="majorBidi"/>
          <w:bCs/>
          <w:lang w:val="en-US"/>
        </w:rPr>
        <w:t xml:space="preserve">and </w:t>
      </w:r>
      <w:r w:rsidRPr="00B849DC" w:rsidR="0011315E">
        <w:rPr>
          <w:rFonts w:asciiTheme="majorHAnsi" w:hAnsiTheme="majorHAnsi" w:eastAsiaTheme="majorEastAsia" w:cstheme="majorBidi"/>
          <w:bCs/>
          <w:lang w:val="en-US"/>
        </w:rPr>
        <w:t>aims</w:t>
      </w:r>
      <w:r w:rsidRPr="00B849DC" w:rsidR="007E6526">
        <w:rPr>
          <w:rFonts w:asciiTheme="majorHAnsi" w:hAnsiTheme="majorHAnsi" w:eastAsiaTheme="majorEastAsia" w:cstheme="majorBidi"/>
          <w:bCs/>
          <w:lang w:val="en-US"/>
        </w:rPr>
        <w:t xml:space="preserve"> of the</w:t>
      </w:r>
      <w:r w:rsidRPr="00B849DC" w:rsidR="00ED5857">
        <w:rPr>
          <w:rFonts w:asciiTheme="majorHAnsi" w:hAnsiTheme="majorHAnsi" w:eastAsiaTheme="majorEastAsia" w:cstheme="majorBidi"/>
          <w:bCs/>
          <w:lang w:val="en-US"/>
        </w:rPr>
        <w:t xml:space="preserve"> company</w:t>
      </w:r>
      <w:r w:rsidRPr="00B849DC" w:rsidR="007E6526">
        <w:rPr>
          <w:rFonts w:asciiTheme="majorHAnsi" w:hAnsiTheme="majorHAnsi" w:eastAsiaTheme="majorEastAsia" w:cstheme="majorBidi"/>
          <w:bCs/>
          <w:lang w:val="en-US"/>
        </w:rPr>
        <w:t xml:space="preserve"> (Article 295 of the Civil Code). </w:t>
      </w:r>
      <w:r w:rsidRPr="00B849DC">
        <w:rPr>
          <w:rFonts w:asciiTheme="majorHAnsi" w:hAnsiTheme="majorHAnsi" w:eastAsiaTheme="majorEastAsia" w:cstheme="majorBidi"/>
          <w:bCs/>
          <w:lang w:val="en-US"/>
        </w:rPr>
        <w:t xml:space="preserve">The </w:t>
      </w:r>
      <w:r w:rsidRPr="00B849DC" w:rsidR="003B56E3">
        <w:rPr>
          <w:rFonts w:asciiTheme="majorHAnsi" w:hAnsiTheme="majorHAnsi" w:eastAsiaTheme="majorEastAsia" w:cstheme="majorBidi"/>
          <w:bCs/>
          <w:lang w:val="en-US"/>
        </w:rPr>
        <w:t>a</w:t>
      </w:r>
      <w:r w:rsidRPr="00B849DC" w:rsidR="0011315E">
        <w:rPr>
          <w:rFonts w:asciiTheme="majorHAnsi" w:hAnsiTheme="majorHAnsi" w:eastAsiaTheme="majorEastAsia" w:cstheme="majorBidi"/>
          <w:bCs/>
          <w:lang w:val="en-US"/>
        </w:rPr>
        <w:t xml:space="preserve">rticles of </w:t>
      </w:r>
      <w:r w:rsidRPr="00B849DC" w:rsidR="003B56E3">
        <w:rPr>
          <w:rFonts w:asciiTheme="majorHAnsi" w:hAnsiTheme="majorHAnsi" w:eastAsiaTheme="majorEastAsia" w:cstheme="majorBidi"/>
          <w:bCs/>
          <w:lang w:val="en-US"/>
        </w:rPr>
        <w:t>a</w:t>
      </w:r>
      <w:r w:rsidRPr="00B849DC" w:rsidR="0011315E">
        <w:rPr>
          <w:rFonts w:asciiTheme="majorHAnsi" w:hAnsiTheme="majorHAnsi" w:eastAsiaTheme="majorEastAsia" w:cstheme="majorBidi"/>
          <w:bCs/>
          <w:lang w:val="en-US"/>
        </w:rPr>
        <w:t>ssociation</w:t>
      </w:r>
      <w:r w:rsidRPr="00B849DC" w:rsidR="00473F2D">
        <w:rPr>
          <w:rFonts w:asciiTheme="majorHAnsi" w:hAnsiTheme="majorHAnsi" w:eastAsiaTheme="majorEastAsia" w:cstheme="majorBidi"/>
          <w:bCs/>
          <w:lang w:val="en-US"/>
        </w:rPr>
        <w:t xml:space="preserve"> </w:t>
      </w:r>
      <w:r w:rsidRPr="00B849DC">
        <w:rPr>
          <w:rFonts w:asciiTheme="majorHAnsi" w:hAnsiTheme="majorHAnsi" w:eastAsiaTheme="majorEastAsia" w:cstheme="majorBidi"/>
          <w:bCs/>
          <w:lang w:val="en-US"/>
        </w:rPr>
        <w:t xml:space="preserve">of the unitary enterprise </w:t>
      </w:r>
      <w:r w:rsidRPr="00B849DC">
        <w:rPr>
          <w:rFonts w:eastAsiaTheme="majorEastAsia"/>
          <w:lang w:val="en-US"/>
        </w:rPr>
        <w:t>should</w:t>
      </w:r>
      <w:r w:rsidRPr="00B849DC">
        <w:rPr>
          <w:rFonts w:asciiTheme="majorHAnsi" w:hAnsiTheme="majorHAnsi" w:eastAsiaTheme="majorEastAsia" w:cstheme="majorBidi"/>
          <w:bCs/>
          <w:lang w:val="en-US"/>
        </w:rPr>
        <w:t xml:space="preserve"> contain information on </w:t>
      </w:r>
      <w:r w:rsidRPr="00B849DC" w:rsidR="00473F2D">
        <w:rPr>
          <w:rFonts w:asciiTheme="majorHAnsi" w:hAnsiTheme="majorHAnsi" w:eastAsiaTheme="majorEastAsia" w:cstheme="majorBidi"/>
          <w:bCs/>
          <w:lang w:val="en-US"/>
        </w:rPr>
        <w:t>its</w:t>
      </w:r>
      <w:r w:rsidRPr="00B849DC">
        <w:rPr>
          <w:rFonts w:asciiTheme="majorHAnsi" w:hAnsiTheme="majorHAnsi" w:eastAsiaTheme="majorEastAsia" w:cstheme="majorBidi"/>
          <w:bCs/>
          <w:lang w:val="en-US"/>
        </w:rPr>
        <w:t xml:space="preserve"> </w:t>
      </w:r>
      <w:r w:rsidRPr="00B849DC" w:rsidR="0011315E">
        <w:rPr>
          <w:rFonts w:asciiTheme="majorHAnsi" w:hAnsiTheme="majorHAnsi" w:eastAsiaTheme="majorEastAsia" w:cstheme="majorBidi"/>
          <w:bCs/>
          <w:lang w:val="en-US"/>
        </w:rPr>
        <w:t>purpose</w:t>
      </w:r>
      <w:r w:rsidRPr="00B849DC" w:rsidR="00473F2D">
        <w:rPr>
          <w:rFonts w:asciiTheme="majorHAnsi" w:hAnsiTheme="majorHAnsi" w:eastAsiaTheme="majorEastAsia" w:cstheme="majorBidi"/>
          <w:bCs/>
          <w:lang w:val="en-US"/>
        </w:rPr>
        <w:t xml:space="preserve"> </w:t>
      </w:r>
      <w:r w:rsidRPr="00B849DC">
        <w:rPr>
          <w:rFonts w:asciiTheme="majorHAnsi" w:hAnsiTheme="majorHAnsi" w:eastAsiaTheme="majorEastAsia" w:cstheme="majorBidi"/>
          <w:bCs/>
          <w:lang w:val="en-US"/>
        </w:rPr>
        <w:t xml:space="preserve">and </w:t>
      </w:r>
      <w:r w:rsidRPr="00B849DC" w:rsidR="0011315E">
        <w:rPr>
          <w:rFonts w:asciiTheme="majorHAnsi" w:hAnsiTheme="majorHAnsi" w:eastAsiaTheme="majorEastAsia" w:cstheme="majorBidi"/>
          <w:bCs/>
          <w:lang w:val="en-US"/>
        </w:rPr>
        <w:t>aims</w:t>
      </w:r>
      <w:r w:rsidRPr="00B849DC" w:rsidR="00473F2D">
        <w:rPr>
          <w:rFonts w:asciiTheme="majorHAnsi" w:hAnsiTheme="majorHAnsi" w:eastAsiaTheme="majorEastAsia" w:cstheme="majorBidi"/>
          <w:bCs/>
          <w:lang w:val="en-US"/>
        </w:rPr>
        <w:t xml:space="preserve"> </w:t>
      </w:r>
      <w:r w:rsidRPr="00B849DC">
        <w:rPr>
          <w:rFonts w:asciiTheme="majorHAnsi" w:hAnsiTheme="majorHAnsi" w:eastAsiaTheme="majorEastAsia" w:cstheme="majorBidi"/>
          <w:bCs/>
          <w:lang w:val="en-US"/>
        </w:rPr>
        <w:t>(</w:t>
      </w:r>
      <w:r w:rsidRPr="00B849DC">
        <w:rPr>
          <w:rFonts w:eastAsiaTheme="majorEastAsia"/>
          <w:lang w:val="en-US"/>
        </w:rPr>
        <w:t>Article 113 § 3 of the Civil Code</w:t>
      </w:r>
      <w:r w:rsidRPr="00B849DC" w:rsidR="00473F2D">
        <w:rPr>
          <w:rFonts w:asciiTheme="majorHAnsi" w:hAnsiTheme="majorHAnsi" w:eastAsiaTheme="majorEastAsia" w:cstheme="majorBidi"/>
          <w:bCs/>
          <w:lang w:val="en-US"/>
        </w:rPr>
        <w:t xml:space="preserve"> and</w:t>
      </w:r>
      <w:r w:rsidRPr="00B849DC">
        <w:rPr>
          <w:rFonts w:asciiTheme="majorHAnsi" w:hAnsiTheme="majorHAnsi" w:eastAsiaTheme="majorEastAsia" w:cstheme="majorBidi"/>
          <w:bCs/>
          <w:lang w:val="en-US"/>
        </w:rPr>
        <w:t xml:space="preserve"> </w:t>
      </w:r>
      <w:r w:rsidRPr="00B849DC" w:rsidR="00BD2DFC">
        <w:rPr>
          <w:rFonts w:asciiTheme="majorHAnsi" w:hAnsiTheme="majorHAnsi" w:eastAsiaTheme="majorEastAsia" w:cstheme="majorBidi"/>
          <w:bCs/>
          <w:lang w:val="en-US"/>
        </w:rPr>
        <w:t>section</w:t>
      </w:r>
      <w:r w:rsidRPr="00B849DC">
        <w:rPr>
          <w:rFonts w:asciiTheme="majorHAnsi" w:hAnsiTheme="majorHAnsi" w:eastAsiaTheme="majorEastAsia" w:cstheme="majorBidi"/>
          <w:bCs/>
          <w:lang w:val="en-US"/>
        </w:rPr>
        <w:t> 9 of the Unitary Enterprises Act).</w:t>
      </w:r>
      <w:r w:rsidRPr="00B849DC" w:rsidR="00473F2D">
        <w:rPr>
          <w:rFonts w:asciiTheme="majorHAnsi" w:hAnsiTheme="majorHAnsi" w:eastAsiaTheme="majorEastAsia" w:cstheme="majorBidi"/>
          <w:bCs/>
          <w:lang w:val="en-US"/>
        </w:rPr>
        <w:t xml:space="preserve"> </w:t>
      </w:r>
      <w:r w:rsidRPr="00B849DC" w:rsidR="00F91582">
        <w:rPr>
          <w:rFonts w:asciiTheme="majorHAnsi" w:hAnsiTheme="majorHAnsi" w:eastAsiaTheme="majorEastAsia" w:cstheme="majorBidi"/>
          <w:bCs/>
          <w:lang w:val="en-US"/>
        </w:rPr>
        <w:t xml:space="preserve">The </w:t>
      </w:r>
      <w:r w:rsidRPr="00B849DC" w:rsidR="00473F2D">
        <w:rPr>
          <w:rFonts w:asciiTheme="majorHAnsi" w:hAnsiTheme="majorHAnsi" w:eastAsiaTheme="majorEastAsia" w:cstheme="majorBidi"/>
          <w:bCs/>
          <w:lang w:val="en-US"/>
        </w:rPr>
        <w:t>S</w:t>
      </w:r>
      <w:r w:rsidRPr="00B849DC" w:rsidR="00F91582">
        <w:rPr>
          <w:rFonts w:asciiTheme="majorHAnsi" w:hAnsiTheme="majorHAnsi" w:eastAsiaTheme="majorEastAsia" w:cstheme="majorBidi"/>
          <w:bCs/>
          <w:lang w:val="en-US"/>
        </w:rPr>
        <w:t xml:space="preserve">tate or municipal unitary </w:t>
      </w:r>
      <w:r w:rsidRPr="00B849DC" w:rsidR="00F91582">
        <w:rPr>
          <w:rFonts w:eastAsiaTheme="majorEastAsia"/>
          <w:lang w:val="en-US"/>
        </w:rPr>
        <w:t>enterprise</w:t>
      </w:r>
      <w:r w:rsidRPr="00B849DC" w:rsidR="00473F2D">
        <w:rPr>
          <w:rFonts w:eastAsiaTheme="majorEastAsia"/>
          <w:lang w:val="en-US"/>
        </w:rPr>
        <w:t xml:space="preserve"> may</w:t>
      </w:r>
      <w:r w:rsidRPr="00B849DC" w:rsidR="00F91582">
        <w:rPr>
          <w:rFonts w:asciiTheme="majorHAnsi" w:hAnsiTheme="majorHAnsi" w:eastAsiaTheme="majorEastAsia" w:cstheme="majorBidi"/>
          <w:bCs/>
          <w:lang w:val="en-US"/>
        </w:rPr>
        <w:t xml:space="preserve"> dispose of assets only in </w:t>
      </w:r>
      <w:r w:rsidRPr="00B849DC" w:rsidR="0011315E">
        <w:rPr>
          <w:rFonts w:asciiTheme="majorHAnsi" w:hAnsiTheme="majorHAnsi" w:eastAsiaTheme="majorEastAsia" w:cstheme="majorBidi"/>
          <w:bCs/>
          <w:lang w:val="en-US"/>
        </w:rPr>
        <w:t>a</w:t>
      </w:r>
      <w:r w:rsidRPr="00B849DC" w:rsidR="00473F2D">
        <w:rPr>
          <w:rFonts w:asciiTheme="majorHAnsi" w:hAnsiTheme="majorHAnsi" w:eastAsiaTheme="majorEastAsia" w:cstheme="majorBidi"/>
          <w:bCs/>
          <w:lang w:val="en-US"/>
        </w:rPr>
        <w:t xml:space="preserve"> manner which does not prevent it from</w:t>
      </w:r>
      <w:r w:rsidRPr="00B849DC" w:rsidR="00F91582">
        <w:rPr>
          <w:rFonts w:asciiTheme="majorHAnsi" w:hAnsiTheme="majorHAnsi" w:eastAsiaTheme="majorEastAsia" w:cstheme="majorBidi"/>
          <w:bCs/>
          <w:lang w:val="en-US"/>
        </w:rPr>
        <w:t xml:space="preserve"> </w:t>
      </w:r>
      <w:r w:rsidRPr="00B849DC" w:rsidR="00473F2D">
        <w:rPr>
          <w:rFonts w:asciiTheme="majorHAnsi" w:hAnsiTheme="majorHAnsi" w:eastAsiaTheme="majorEastAsia" w:cstheme="majorBidi"/>
          <w:bCs/>
          <w:lang w:val="en-US"/>
        </w:rPr>
        <w:t xml:space="preserve">carrying out </w:t>
      </w:r>
      <w:r w:rsidRPr="00B849DC" w:rsidR="006B3270">
        <w:rPr>
          <w:rFonts w:asciiTheme="majorHAnsi" w:hAnsiTheme="majorHAnsi" w:eastAsiaTheme="majorEastAsia" w:cstheme="majorBidi"/>
          <w:bCs/>
          <w:lang w:val="en-US"/>
        </w:rPr>
        <w:t>its</w:t>
      </w:r>
      <w:r w:rsidRPr="00B849DC" w:rsidR="006A4B29">
        <w:rPr>
          <w:rFonts w:asciiTheme="majorHAnsi" w:hAnsiTheme="majorHAnsi" w:eastAsiaTheme="majorEastAsia" w:cstheme="majorBidi"/>
          <w:bCs/>
          <w:lang w:val="en-US"/>
        </w:rPr>
        <w:t xml:space="preserve"> </w:t>
      </w:r>
      <w:r w:rsidRPr="00B849DC" w:rsidR="00F91582">
        <w:rPr>
          <w:rFonts w:asciiTheme="majorHAnsi" w:hAnsiTheme="majorHAnsi" w:eastAsiaTheme="majorEastAsia" w:cstheme="majorBidi"/>
          <w:bCs/>
          <w:lang w:val="en-US"/>
        </w:rPr>
        <w:t xml:space="preserve">activities in accordance with its </w:t>
      </w:r>
      <w:r w:rsidRPr="00B849DC" w:rsidR="007E6526">
        <w:rPr>
          <w:rFonts w:asciiTheme="majorHAnsi" w:hAnsiTheme="majorHAnsi" w:eastAsiaTheme="majorEastAsia" w:cstheme="majorBidi"/>
          <w:bCs/>
          <w:lang w:val="en-US"/>
        </w:rPr>
        <w:t xml:space="preserve">statutory </w:t>
      </w:r>
      <w:r w:rsidRPr="00B849DC" w:rsidR="006B3270">
        <w:rPr>
          <w:rFonts w:asciiTheme="majorHAnsi" w:hAnsiTheme="majorHAnsi" w:eastAsiaTheme="majorEastAsia" w:cstheme="majorBidi"/>
          <w:bCs/>
          <w:lang w:val="en-US"/>
        </w:rPr>
        <w:t xml:space="preserve">purpose </w:t>
      </w:r>
      <w:r w:rsidRPr="00B849DC" w:rsidR="00F91582">
        <w:rPr>
          <w:rFonts w:asciiTheme="majorHAnsi" w:hAnsiTheme="majorHAnsi" w:eastAsiaTheme="majorEastAsia" w:cstheme="majorBidi"/>
          <w:bCs/>
          <w:lang w:val="en-US"/>
        </w:rPr>
        <w:t xml:space="preserve">and </w:t>
      </w:r>
      <w:r w:rsidRPr="00B849DC" w:rsidR="00C27866">
        <w:rPr>
          <w:rFonts w:asciiTheme="majorHAnsi" w:hAnsiTheme="majorHAnsi" w:eastAsiaTheme="majorEastAsia" w:cstheme="majorBidi"/>
          <w:bCs/>
          <w:lang w:val="en-US"/>
        </w:rPr>
        <w:t>aims</w:t>
      </w:r>
      <w:r w:rsidRPr="00B849DC" w:rsidR="00F91582">
        <w:rPr>
          <w:rFonts w:asciiTheme="majorHAnsi" w:hAnsiTheme="majorHAnsi" w:eastAsiaTheme="majorEastAsia" w:cstheme="majorBidi"/>
          <w:bCs/>
          <w:lang w:val="en-US"/>
        </w:rPr>
        <w:t xml:space="preserve">. Transactions made in violation of this requirement </w:t>
      </w:r>
      <w:r w:rsidRPr="00B849DC" w:rsidR="00C27866">
        <w:rPr>
          <w:rFonts w:asciiTheme="majorHAnsi" w:hAnsiTheme="majorHAnsi" w:eastAsiaTheme="majorEastAsia" w:cstheme="majorBidi"/>
          <w:bCs/>
          <w:lang w:val="en-US"/>
        </w:rPr>
        <w:t>must</w:t>
      </w:r>
      <w:r w:rsidRPr="00B849DC" w:rsidR="0011315E">
        <w:rPr>
          <w:rFonts w:asciiTheme="majorHAnsi" w:hAnsiTheme="majorHAnsi" w:eastAsiaTheme="majorEastAsia" w:cstheme="majorBidi"/>
          <w:bCs/>
          <w:lang w:val="en-US"/>
        </w:rPr>
        <w:t xml:space="preserve"> be</w:t>
      </w:r>
      <w:r w:rsidRPr="00B849DC" w:rsidR="00FB6BAF">
        <w:rPr>
          <w:rFonts w:asciiTheme="majorHAnsi" w:hAnsiTheme="majorHAnsi" w:eastAsiaTheme="majorEastAsia" w:cstheme="majorBidi"/>
          <w:bCs/>
          <w:lang w:val="en-US"/>
        </w:rPr>
        <w:t xml:space="preserve"> declared</w:t>
      </w:r>
      <w:r w:rsidRPr="00B849DC" w:rsidR="0011315E">
        <w:rPr>
          <w:rFonts w:asciiTheme="majorHAnsi" w:hAnsiTheme="majorHAnsi" w:eastAsiaTheme="majorEastAsia" w:cstheme="majorBidi"/>
          <w:bCs/>
          <w:lang w:val="en-US"/>
        </w:rPr>
        <w:t xml:space="preserve"> </w:t>
      </w:r>
      <w:r w:rsidRPr="00B849DC" w:rsidR="00F91582">
        <w:rPr>
          <w:rFonts w:asciiTheme="majorHAnsi" w:hAnsiTheme="majorHAnsi" w:eastAsiaTheme="majorEastAsia" w:cstheme="majorBidi"/>
          <w:bCs/>
          <w:lang w:val="en-US"/>
        </w:rPr>
        <w:t>void (</w:t>
      </w:r>
      <w:r w:rsidRPr="00B849DC" w:rsidR="00BD2DFC">
        <w:rPr>
          <w:rFonts w:asciiTheme="majorHAnsi" w:hAnsiTheme="majorHAnsi" w:eastAsiaTheme="majorEastAsia" w:cstheme="majorBidi"/>
          <w:bCs/>
          <w:lang w:val="en-US"/>
        </w:rPr>
        <w:t>section </w:t>
      </w:r>
      <w:r w:rsidRPr="00B849DC" w:rsidR="00F91582">
        <w:rPr>
          <w:rFonts w:asciiTheme="majorHAnsi" w:hAnsiTheme="majorHAnsi" w:eastAsiaTheme="majorEastAsia" w:cstheme="majorBidi"/>
          <w:bCs/>
          <w:lang w:val="en-US"/>
        </w:rPr>
        <w:t>18</w:t>
      </w:r>
      <w:r w:rsidRPr="00B849DC" w:rsidR="00BD2DFC">
        <w:rPr>
          <w:rFonts w:asciiTheme="majorHAnsi" w:hAnsiTheme="majorHAnsi" w:eastAsiaTheme="majorEastAsia" w:cstheme="majorBidi"/>
          <w:bCs/>
          <w:lang w:val="en-US"/>
        </w:rPr>
        <w:t>(</w:t>
      </w:r>
      <w:r w:rsidRPr="00B849DC" w:rsidR="00F91582">
        <w:rPr>
          <w:rFonts w:asciiTheme="majorHAnsi" w:hAnsiTheme="majorHAnsi" w:eastAsiaTheme="majorEastAsia" w:cstheme="majorBidi"/>
          <w:bCs/>
          <w:lang w:val="en-US"/>
        </w:rPr>
        <w:t>3</w:t>
      </w:r>
      <w:r w:rsidRPr="00B849DC" w:rsidR="00BD2DFC">
        <w:rPr>
          <w:rFonts w:asciiTheme="majorHAnsi" w:hAnsiTheme="majorHAnsi" w:eastAsiaTheme="majorEastAsia" w:cstheme="majorBidi"/>
          <w:bCs/>
          <w:lang w:val="en-US"/>
        </w:rPr>
        <w:t>)</w:t>
      </w:r>
      <w:r w:rsidRPr="00B849DC" w:rsidR="00F91582">
        <w:rPr>
          <w:rFonts w:asciiTheme="majorHAnsi" w:hAnsiTheme="majorHAnsi" w:eastAsiaTheme="majorEastAsia" w:cstheme="majorBidi"/>
          <w:bCs/>
          <w:lang w:val="en-US"/>
        </w:rPr>
        <w:t xml:space="preserve"> of the State Unitary Enterprises Act)</w:t>
      </w:r>
      <w:r w:rsidRPr="00B849DC">
        <w:rPr>
          <w:rFonts w:asciiTheme="majorHAnsi" w:hAnsiTheme="majorHAnsi" w:eastAsiaTheme="majorEastAsia" w:cstheme="majorBidi"/>
          <w:bCs/>
          <w:lang w:val="en-US"/>
        </w:rPr>
        <w:t>.</w:t>
      </w:r>
    </w:p>
    <w:p w:rsidRPr="00B849DC" w:rsidR="007E6526" w:rsidP="00B849DC" w:rsidRDefault="007E6526">
      <w:pPr>
        <w:pStyle w:val="ECHRPara"/>
        <w:rPr>
          <w:rFonts w:asciiTheme="majorHAnsi" w:hAnsiTheme="majorHAnsi" w:eastAsiaTheme="majorEastAsia" w:cstheme="majorBidi"/>
          <w:bCs/>
          <w:lang w:val="en-US"/>
        </w:rPr>
      </w:pPr>
      <w:r w:rsidRPr="00B849DC">
        <w:rPr>
          <w:rFonts w:asciiTheme="majorHAnsi" w:hAnsiTheme="majorHAnsi" w:eastAsiaTheme="majorEastAsia" w:cstheme="majorBidi"/>
          <w:bCs/>
        </w:rPr>
        <w:fldChar w:fldCharType="begin"/>
      </w:r>
      <w:r w:rsidRPr="00B849DC">
        <w:rPr>
          <w:rFonts w:asciiTheme="majorHAnsi" w:hAnsiTheme="majorHAnsi" w:eastAsiaTheme="majorEastAsia" w:cstheme="majorBidi"/>
          <w:bCs/>
          <w:lang w:val="en-US"/>
        </w:rPr>
        <w:instrText xml:space="preserve"> SEQ level0 \*arabic </w:instrText>
      </w:r>
      <w:r w:rsidRPr="00B849DC">
        <w:rPr>
          <w:rFonts w:asciiTheme="majorHAnsi" w:hAnsiTheme="majorHAnsi" w:eastAsiaTheme="majorEastAsia" w:cstheme="majorBidi"/>
          <w:bCs/>
        </w:rPr>
        <w:fldChar w:fldCharType="separate"/>
      </w:r>
      <w:r w:rsidRPr="00B849DC" w:rsidR="00B849DC">
        <w:rPr>
          <w:rFonts w:asciiTheme="majorHAnsi" w:hAnsiTheme="majorHAnsi" w:eastAsiaTheme="majorEastAsia" w:cstheme="majorBidi"/>
          <w:bCs/>
          <w:noProof/>
          <w:lang w:val="en-US"/>
        </w:rPr>
        <w:t>67</w:t>
      </w:r>
      <w:r w:rsidRPr="00B849DC">
        <w:rPr>
          <w:rFonts w:asciiTheme="majorHAnsi" w:hAnsiTheme="majorHAnsi" w:eastAsiaTheme="majorEastAsia" w:cstheme="majorBidi"/>
          <w:bCs/>
        </w:rPr>
        <w:fldChar w:fldCharType="end"/>
      </w:r>
      <w:r w:rsidRPr="00B849DC">
        <w:rPr>
          <w:rFonts w:asciiTheme="majorHAnsi" w:hAnsiTheme="majorHAnsi" w:eastAsiaTheme="majorEastAsia" w:cstheme="majorBidi"/>
          <w:bCs/>
          <w:lang w:val="en-US"/>
        </w:rPr>
        <w:t xml:space="preserve">.  The owner </w:t>
      </w:r>
      <w:r w:rsidRPr="00B849DC" w:rsidR="00FC5341">
        <w:rPr>
          <w:rFonts w:asciiTheme="majorHAnsi" w:hAnsiTheme="majorHAnsi" w:eastAsiaTheme="majorEastAsia" w:cstheme="majorBidi"/>
          <w:bCs/>
          <w:lang w:val="en-US"/>
        </w:rPr>
        <w:t>oversees</w:t>
      </w:r>
      <w:r w:rsidRPr="00B849DC">
        <w:rPr>
          <w:rFonts w:asciiTheme="majorHAnsi" w:hAnsiTheme="majorHAnsi" w:eastAsiaTheme="majorEastAsia" w:cstheme="majorBidi"/>
          <w:bCs/>
          <w:lang w:val="en-US"/>
        </w:rPr>
        <w:t xml:space="preserve"> the use of the property assigned to </w:t>
      </w:r>
      <w:r w:rsidRPr="00B849DC" w:rsidR="00FC5341">
        <w:rPr>
          <w:rFonts w:asciiTheme="majorHAnsi" w:hAnsiTheme="majorHAnsi" w:eastAsiaTheme="majorEastAsia" w:cstheme="majorBidi"/>
          <w:bCs/>
          <w:lang w:val="en-US"/>
        </w:rPr>
        <w:t xml:space="preserve">the company </w:t>
      </w:r>
      <w:r w:rsidRPr="00B849DC">
        <w:rPr>
          <w:rFonts w:asciiTheme="majorHAnsi" w:hAnsiTheme="majorHAnsi" w:eastAsiaTheme="majorEastAsia" w:cstheme="majorBidi"/>
          <w:bCs/>
          <w:lang w:val="en-US"/>
        </w:rPr>
        <w:t xml:space="preserve">in conformity with </w:t>
      </w:r>
      <w:r w:rsidRPr="00B849DC" w:rsidR="00FC5341">
        <w:rPr>
          <w:rFonts w:asciiTheme="majorHAnsi" w:hAnsiTheme="majorHAnsi" w:eastAsiaTheme="majorEastAsia" w:cstheme="majorBidi"/>
          <w:bCs/>
          <w:lang w:val="en-US"/>
        </w:rPr>
        <w:t xml:space="preserve">its </w:t>
      </w:r>
      <w:r w:rsidRPr="00B849DC">
        <w:rPr>
          <w:rFonts w:asciiTheme="majorHAnsi" w:hAnsiTheme="majorHAnsi" w:eastAsiaTheme="majorEastAsia" w:cstheme="majorBidi"/>
          <w:bCs/>
          <w:lang w:val="en-US"/>
        </w:rPr>
        <w:t xml:space="preserve">stipulated purpose and </w:t>
      </w:r>
      <w:r w:rsidRPr="00B849DC" w:rsidR="00FC5341">
        <w:rPr>
          <w:rFonts w:asciiTheme="majorHAnsi" w:hAnsiTheme="majorHAnsi" w:eastAsiaTheme="majorEastAsia" w:cstheme="majorBidi"/>
          <w:bCs/>
          <w:lang w:val="en-US"/>
        </w:rPr>
        <w:t>the</w:t>
      </w:r>
      <w:r w:rsidRPr="00B849DC">
        <w:rPr>
          <w:rFonts w:asciiTheme="majorHAnsi" w:hAnsiTheme="majorHAnsi" w:eastAsiaTheme="majorEastAsia" w:cstheme="majorBidi"/>
          <w:bCs/>
          <w:lang w:val="en-US"/>
        </w:rPr>
        <w:t xml:space="preserve"> maintenance </w:t>
      </w:r>
      <w:r w:rsidRPr="00B849DC" w:rsidR="00FC5341">
        <w:rPr>
          <w:rFonts w:asciiTheme="majorHAnsi" w:hAnsiTheme="majorHAnsi" w:eastAsiaTheme="majorEastAsia" w:cstheme="majorBidi"/>
          <w:bCs/>
          <w:lang w:val="en-US"/>
        </w:rPr>
        <w:t xml:space="preserve">of that property </w:t>
      </w:r>
      <w:r w:rsidRPr="00B849DC">
        <w:rPr>
          <w:rFonts w:asciiTheme="majorHAnsi" w:hAnsiTheme="majorHAnsi" w:eastAsiaTheme="majorEastAsia" w:cstheme="majorBidi"/>
          <w:bCs/>
          <w:lang w:val="en-US"/>
        </w:rPr>
        <w:t>(Arti</w:t>
      </w:r>
      <w:r w:rsidRPr="00B849DC" w:rsidR="00A1600C">
        <w:rPr>
          <w:rFonts w:asciiTheme="majorHAnsi" w:hAnsiTheme="majorHAnsi" w:eastAsiaTheme="majorEastAsia" w:cstheme="majorBidi"/>
          <w:bCs/>
          <w:lang w:val="en-US"/>
        </w:rPr>
        <w:t>cle 295 § 1 of the Civil Code).</w:t>
      </w:r>
    </w:p>
    <w:p w:rsidRPr="00B849DC" w:rsidR="00F91582" w:rsidP="00B849DC" w:rsidRDefault="00F91582">
      <w:pPr>
        <w:pStyle w:val="ECHRHeading4"/>
        <w:rPr>
          <w:lang w:val="en-US"/>
        </w:rPr>
      </w:pPr>
      <w:r w:rsidRPr="00B849DC">
        <w:rPr>
          <w:lang w:val="en-US"/>
        </w:rPr>
        <w:t>(b)  Binding clarifications by the higher courts</w:t>
      </w:r>
    </w:p>
    <w:p w:rsidRPr="00B849DC" w:rsidR="00F91582" w:rsidP="00B849DC" w:rsidRDefault="00F91582">
      <w:pPr>
        <w:pStyle w:val="ECHRPara"/>
        <w:rPr>
          <w:rFonts w:asciiTheme="majorHAnsi" w:hAnsiTheme="majorHAnsi" w:eastAsiaTheme="majorEastAsia" w:cstheme="majorBidi"/>
          <w:bCs/>
          <w:lang w:val="en-US"/>
        </w:rPr>
      </w:pPr>
      <w:r w:rsidRPr="00B849DC">
        <w:rPr>
          <w:rFonts w:asciiTheme="majorHAnsi" w:hAnsiTheme="majorHAnsi" w:eastAsiaTheme="majorEastAsia" w:cstheme="majorBidi"/>
          <w:bCs/>
        </w:rPr>
        <w:fldChar w:fldCharType="begin"/>
      </w:r>
      <w:r w:rsidRPr="00B849DC">
        <w:rPr>
          <w:rFonts w:asciiTheme="majorHAnsi" w:hAnsiTheme="majorHAnsi" w:eastAsiaTheme="majorEastAsia" w:cstheme="majorBidi"/>
          <w:bCs/>
          <w:lang w:val="en-US"/>
        </w:rPr>
        <w:instrText xml:space="preserve"> SEQ level0 \*arabic </w:instrText>
      </w:r>
      <w:r w:rsidRPr="00B849DC">
        <w:rPr>
          <w:rFonts w:asciiTheme="majorHAnsi" w:hAnsiTheme="majorHAnsi" w:eastAsiaTheme="majorEastAsia" w:cstheme="majorBidi"/>
          <w:bCs/>
        </w:rPr>
        <w:fldChar w:fldCharType="separate"/>
      </w:r>
      <w:r w:rsidRPr="00B849DC" w:rsidR="00B849DC">
        <w:rPr>
          <w:rFonts w:asciiTheme="majorHAnsi" w:hAnsiTheme="majorHAnsi" w:eastAsiaTheme="majorEastAsia" w:cstheme="majorBidi"/>
          <w:bCs/>
          <w:noProof/>
          <w:lang w:val="en-US"/>
        </w:rPr>
        <w:t>68</w:t>
      </w:r>
      <w:r w:rsidRPr="00B849DC">
        <w:rPr>
          <w:rFonts w:asciiTheme="majorHAnsi" w:hAnsiTheme="majorHAnsi" w:eastAsiaTheme="majorEastAsia" w:cstheme="majorBidi"/>
          <w:bCs/>
        </w:rPr>
        <w:fldChar w:fldCharType="end"/>
      </w:r>
      <w:r w:rsidRPr="00B849DC">
        <w:rPr>
          <w:rFonts w:asciiTheme="majorHAnsi" w:hAnsiTheme="majorHAnsi" w:eastAsiaTheme="majorEastAsia" w:cstheme="majorBidi"/>
          <w:bCs/>
          <w:lang w:val="en-US"/>
        </w:rPr>
        <w:t xml:space="preserve">.  As clarified by § 10 </w:t>
      </w:r>
      <w:r w:rsidRPr="00B849DC" w:rsidR="005D20FA">
        <w:rPr>
          <w:rFonts w:asciiTheme="majorHAnsi" w:hAnsiTheme="majorHAnsi" w:eastAsiaTheme="majorEastAsia" w:cstheme="majorBidi"/>
          <w:bCs/>
          <w:lang w:val="en-US"/>
        </w:rPr>
        <w:t xml:space="preserve">of </w:t>
      </w:r>
      <w:r w:rsidRPr="00B849DC">
        <w:rPr>
          <w:rFonts w:asciiTheme="majorHAnsi" w:hAnsiTheme="majorHAnsi" w:eastAsiaTheme="majorEastAsia" w:cstheme="majorBidi"/>
          <w:bCs/>
          <w:lang w:val="en-US"/>
        </w:rPr>
        <w:t xml:space="preserve">Ruling no. 10/22 of the Plenary Session of the Supreme Court </w:t>
      </w:r>
      <w:r w:rsidRPr="00B849DC">
        <w:rPr>
          <w:rFonts w:eastAsiaTheme="majorEastAsia"/>
          <w:lang w:val="en-US"/>
        </w:rPr>
        <w:t>and</w:t>
      </w:r>
      <w:r w:rsidRPr="00B849DC">
        <w:rPr>
          <w:rFonts w:asciiTheme="majorHAnsi" w:hAnsiTheme="majorHAnsi" w:eastAsiaTheme="majorEastAsia" w:cstheme="majorBidi"/>
          <w:bCs/>
          <w:lang w:val="en-US"/>
        </w:rPr>
        <w:t xml:space="preserve"> the Supreme Commercial Court of Russia adopted at the Plenary session of 29 April 2010, transactions </w:t>
      </w:r>
      <w:r w:rsidRPr="00B849DC" w:rsidR="00ED5857">
        <w:rPr>
          <w:rFonts w:asciiTheme="majorHAnsi" w:hAnsiTheme="majorHAnsi" w:eastAsiaTheme="majorEastAsia" w:cstheme="majorBidi"/>
          <w:bCs/>
          <w:lang w:val="en-US"/>
        </w:rPr>
        <w:t xml:space="preserve">of the type mentioned above </w:t>
      </w:r>
      <w:r w:rsidRPr="00B849DC" w:rsidR="00C27866">
        <w:rPr>
          <w:rFonts w:asciiTheme="majorHAnsi" w:hAnsiTheme="majorHAnsi" w:eastAsiaTheme="majorEastAsia" w:cstheme="majorBidi"/>
          <w:bCs/>
          <w:lang w:val="en-US"/>
        </w:rPr>
        <w:t xml:space="preserve">must be declared </w:t>
      </w:r>
      <w:r w:rsidRPr="00B849DC">
        <w:rPr>
          <w:rFonts w:asciiTheme="majorHAnsi" w:hAnsiTheme="majorHAnsi" w:eastAsiaTheme="majorEastAsia" w:cstheme="majorBidi"/>
          <w:bCs/>
          <w:lang w:val="en-US"/>
        </w:rPr>
        <w:t xml:space="preserve">void irrespective of </w:t>
      </w:r>
      <w:r w:rsidRPr="00B849DC" w:rsidR="00F21AED">
        <w:rPr>
          <w:rFonts w:asciiTheme="majorHAnsi" w:hAnsiTheme="majorHAnsi" w:eastAsiaTheme="majorEastAsia" w:cstheme="majorBidi"/>
          <w:bCs/>
          <w:lang w:val="en-US"/>
        </w:rPr>
        <w:t xml:space="preserve">whether </w:t>
      </w:r>
      <w:r w:rsidRPr="00B849DC">
        <w:rPr>
          <w:rFonts w:asciiTheme="majorHAnsi" w:hAnsiTheme="majorHAnsi" w:eastAsiaTheme="majorEastAsia" w:cstheme="majorBidi"/>
          <w:bCs/>
          <w:lang w:val="en-US"/>
        </w:rPr>
        <w:t>the owner consent</w:t>
      </w:r>
      <w:r w:rsidRPr="00B849DC" w:rsidR="00F21AED">
        <w:rPr>
          <w:rFonts w:asciiTheme="majorHAnsi" w:hAnsiTheme="majorHAnsi" w:eastAsiaTheme="majorEastAsia" w:cstheme="majorBidi"/>
          <w:bCs/>
          <w:lang w:val="en-US"/>
        </w:rPr>
        <w:t>ed to them</w:t>
      </w:r>
      <w:r w:rsidRPr="00B849DC" w:rsidR="00A1600C">
        <w:rPr>
          <w:rFonts w:asciiTheme="majorHAnsi" w:hAnsiTheme="majorHAnsi" w:eastAsiaTheme="majorEastAsia" w:cstheme="majorBidi"/>
          <w:bCs/>
          <w:lang w:val="en-US"/>
        </w:rPr>
        <w:t>.</w:t>
      </w:r>
    </w:p>
    <w:p w:rsidRPr="00B849DC" w:rsidR="00CA087B" w:rsidP="00B849DC" w:rsidRDefault="00A73625">
      <w:pPr>
        <w:pStyle w:val="ECHRHeading3"/>
        <w:rPr>
          <w:lang w:val="en-US"/>
        </w:rPr>
      </w:pPr>
      <w:r w:rsidRPr="00B849DC">
        <w:rPr>
          <w:lang w:val="en-US"/>
        </w:rPr>
        <w:t>3.</w:t>
      </w:r>
      <w:r w:rsidRPr="00B849DC" w:rsidR="00F91582">
        <w:rPr>
          <w:lang w:val="en-US"/>
        </w:rPr>
        <w:t>  </w:t>
      </w:r>
      <w:r w:rsidRPr="00B849DC" w:rsidR="00830685">
        <w:rPr>
          <w:lang w:val="en-US"/>
        </w:rPr>
        <w:t>Management of assets</w:t>
      </w:r>
    </w:p>
    <w:p w:rsidRPr="00B849DC" w:rsidR="007B3D32" w:rsidP="00B849DC" w:rsidRDefault="0071235B">
      <w:pPr>
        <w:pStyle w:val="ECHRHeading4"/>
        <w:rPr>
          <w:lang w:val="en-US"/>
        </w:rPr>
      </w:pPr>
      <w:r w:rsidRPr="00B849DC">
        <w:rPr>
          <w:lang w:val="en-US"/>
        </w:rPr>
        <w:t>(</w:t>
      </w:r>
      <w:r w:rsidRPr="00B849DC" w:rsidR="00FD4A1F">
        <w:rPr>
          <w:lang w:val="en-US"/>
        </w:rPr>
        <w:t>a</w:t>
      </w:r>
      <w:r w:rsidRPr="00B849DC" w:rsidR="007B3D32">
        <w:rPr>
          <w:lang w:val="en-US"/>
        </w:rPr>
        <w:t>)  </w:t>
      </w:r>
      <w:r w:rsidRPr="00B849DC" w:rsidR="00F91582">
        <w:rPr>
          <w:lang w:val="en-US"/>
        </w:rPr>
        <w:t>Legal</w:t>
      </w:r>
      <w:r w:rsidRPr="00B849DC">
        <w:rPr>
          <w:lang w:val="en-US"/>
        </w:rPr>
        <w:t xml:space="preserve"> provisions</w:t>
      </w:r>
    </w:p>
    <w:p w:rsidRPr="00B849DC" w:rsidR="00361634" w:rsidP="00B849DC" w:rsidRDefault="004C5049">
      <w:pPr>
        <w:pStyle w:val="ECHRPara"/>
        <w:rPr>
          <w:rFonts w:eastAsiaTheme="majorEastAsia"/>
          <w:lang w:val="en-US"/>
        </w:rPr>
      </w:pPr>
      <w:r w:rsidRPr="00B849DC">
        <w:rPr>
          <w:rFonts w:eastAsiaTheme="majorEastAsia"/>
          <w:lang w:val="en-US"/>
        </w:rPr>
        <w:fldChar w:fldCharType="begin"/>
      </w:r>
      <w:r w:rsidRPr="00B849DC">
        <w:rPr>
          <w:rFonts w:eastAsiaTheme="majorEastAsia"/>
          <w:lang w:val="en-US"/>
        </w:rPr>
        <w:instrText xml:space="preserve"> SEQ level0 \*arabic </w:instrText>
      </w:r>
      <w:r w:rsidRPr="00B849DC">
        <w:rPr>
          <w:rFonts w:eastAsiaTheme="majorEastAsia"/>
          <w:lang w:val="en-US"/>
        </w:rPr>
        <w:fldChar w:fldCharType="separate"/>
      </w:r>
      <w:r w:rsidRPr="00B849DC" w:rsidR="00B849DC">
        <w:rPr>
          <w:rFonts w:eastAsiaTheme="majorEastAsia"/>
          <w:noProof/>
          <w:lang w:val="en-US"/>
        </w:rPr>
        <w:t>69</w:t>
      </w:r>
      <w:r w:rsidRPr="00B849DC">
        <w:rPr>
          <w:rFonts w:eastAsiaTheme="majorEastAsia"/>
          <w:lang w:val="en-US"/>
        </w:rPr>
        <w:fldChar w:fldCharType="end"/>
      </w:r>
      <w:r w:rsidRPr="00B849DC">
        <w:rPr>
          <w:rFonts w:eastAsiaTheme="majorEastAsia"/>
          <w:lang w:val="en-US"/>
        </w:rPr>
        <w:t xml:space="preserve">.  The owner of the property </w:t>
      </w:r>
      <w:r w:rsidRPr="00B849DC" w:rsidR="005D20FA">
        <w:rPr>
          <w:rFonts w:eastAsiaTheme="majorEastAsia"/>
          <w:lang w:val="en-US"/>
        </w:rPr>
        <w:t xml:space="preserve">under </w:t>
      </w:r>
      <w:r w:rsidRPr="00B849DC" w:rsidR="00ED5857">
        <w:rPr>
          <w:rFonts w:eastAsiaTheme="majorEastAsia"/>
          <w:lang w:val="en-US"/>
        </w:rPr>
        <w:t xml:space="preserve">the </w:t>
      </w:r>
      <w:r w:rsidRPr="00B849DC">
        <w:rPr>
          <w:rFonts w:eastAsiaTheme="majorEastAsia"/>
          <w:lang w:val="en-US"/>
        </w:rPr>
        <w:t xml:space="preserve">economic control </w:t>
      </w:r>
      <w:r w:rsidRPr="00B849DC" w:rsidR="00ED5857">
        <w:rPr>
          <w:rFonts w:eastAsiaTheme="majorEastAsia"/>
          <w:lang w:val="en-US"/>
        </w:rPr>
        <w:t xml:space="preserve">of a unitary enterprise </w:t>
      </w:r>
      <w:r w:rsidRPr="00B849DC" w:rsidR="005D20FA">
        <w:rPr>
          <w:rFonts w:eastAsiaTheme="majorEastAsia"/>
          <w:lang w:val="en-US"/>
        </w:rPr>
        <w:t xml:space="preserve">may </w:t>
      </w:r>
      <w:r w:rsidRPr="00B849DC">
        <w:rPr>
          <w:rFonts w:eastAsiaTheme="majorEastAsia"/>
          <w:lang w:val="en-US"/>
        </w:rPr>
        <w:t xml:space="preserve">decide </w:t>
      </w:r>
      <w:r w:rsidRPr="00B849DC" w:rsidR="00361634">
        <w:rPr>
          <w:rFonts w:eastAsiaTheme="majorEastAsia"/>
          <w:lang w:val="en-US"/>
        </w:rPr>
        <w:t xml:space="preserve">to </w:t>
      </w:r>
      <w:r w:rsidRPr="00B849DC" w:rsidR="005D20FA">
        <w:rPr>
          <w:rFonts w:eastAsiaTheme="majorEastAsia"/>
          <w:lang w:val="en-US"/>
        </w:rPr>
        <w:t xml:space="preserve">restructure or </w:t>
      </w:r>
      <w:r w:rsidRPr="00B849DC" w:rsidR="00361634">
        <w:rPr>
          <w:rFonts w:eastAsiaTheme="majorEastAsia"/>
          <w:lang w:val="en-US"/>
        </w:rPr>
        <w:t xml:space="preserve">liquidate </w:t>
      </w:r>
      <w:r w:rsidRPr="00B849DC" w:rsidR="00C27866">
        <w:rPr>
          <w:rFonts w:eastAsiaTheme="majorEastAsia"/>
          <w:lang w:val="en-US"/>
        </w:rPr>
        <w:t xml:space="preserve">the company </w:t>
      </w:r>
      <w:r w:rsidRPr="00B849DC" w:rsidR="00361634">
        <w:rPr>
          <w:rFonts w:eastAsiaTheme="majorEastAsia"/>
          <w:lang w:val="en-US"/>
        </w:rPr>
        <w:t>(Article 295 of the Civil Code</w:t>
      </w:r>
      <w:r w:rsidRPr="00B849DC" w:rsidR="005D20FA">
        <w:rPr>
          <w:rFonts w:eastAsiaTheme="majorEastAsia"/>
          <w:lang w:val="en-US"/>
        </w:rPr>
        <w:t xml:space="preserve"> and</w:t>
      </w:r>
      <w:r w:rsidRPr="00B849DC" w:rsidR="00361634">
        <w:rPr>
          <w:rFonts w:eastAsiaTheme="majorEastAsia"/>
          <w:lang w:val="en-US"/>
        </w:rPr>
        <w:t xml:space="preserve"> </w:t>
      </w:r>
      <w:r w:rsidRPr="00B849DC" w:rsidR="00BD2DFC">
        <w:rPr>
          <w:rFonts w:eastAsiaTheme="majorEastAsia"/>
          <w:lang w:val="en-US"/>
        </w:rPr>
        <w:t>section </w:t>
      </w:r>
      <w:r w:rsidRPr="00B849DC" w:rsidR="00361634">
        <w:rPr>
          <w:rFonts w:eastAsiaTheme="majorEastAsia"/>
          <w:lang w:val="en-US"/>
        </w:rPr>
        <w:t xml:space="preserve">29 of the Unitary Enterprises Act). The </w:t>
      </w:r>
      <w:r w:rsidRPr="00B849DC" w:rsidR="005D20FA">
        <w:rPr>
          <w:rFonts w:eastAsiaTheme="majorEastAsia"/>
          <w:lang w:val="en-US"/>
        </w:rPr>
        <w:t xml:space="preserve">restructuring </w:t>
      </w:r>
      <w:r w:rsidRPr="00B849DC" w:rsidR="00361634">
        <w:rPr>
          <w:rFonts w:eastAsiaTheme="majorEastAsia"/>
          <w:lang w:val="en-US"/>
        </w:rPr>
        <w:t xml:space="preserve">may </w:t>
      </w:r>
      <w:r w:rsidRPr="00B849DC" w:rsidR="00C27866">
        <w:rPr>
          <w:rFonts w:eastAsiaTheme="majorEastAsia"/>
          <w:lang w:val="en-US"/>
        </w:rPr>
        <w:t>take</w:t>
      </w:r>
      <w:r w:rsidRPr="00B849DC" w:rsidR="00361634">
        <w:rPr>
          <w:rFonts w:eastAsiaTheme="majorEastAsia"/>
          <w:lang w:val="en-US"/>
        </w:rPr>
        <w:t xml:space="preserve"> the form of consolidation, </w:t>
      </w:r>
      <w:r w:rsidRPr="00B849DC" w:rsidR="005D20FA">
        <w:rPr>
          <w:rFonts w:eastAsiaTheme="majorEastAsia"/>
          <w:lang w:val="en-US"/>
        </w:rPr>
        <w:t xml:space="preserve">a </w:t>
      </w:r>
      <w:r w:rsidRPr="00B849DC" w:rsidR="00361634">
        <w:rPr>
          <w:rFonts w:eastAsiaTheme="majorEastAsia"/>
          <w:lang w:val="en-US"/>
        </w:rPr>
        <w:t>merger, split</w:t>
      </w:r>
      <w:r w:rsidRPr="00B849DC" w:rsidR="00C27866">
        <w:rPr>
          <w:rFonts w:eastAsiaTheme="majorEastAsia"/>
          <w:lang w:val="en-US"/>
        </w:rPr>
        <w:t>,</w:t>
      </w:r>
      <w:r w:rsidRPr="00B849DC" w:rsidR="00361634">
        <w:rPr>
          <w:rFonts w:eastAsiaTheme="majorEastAsia"/>
          <w:lang w:val="en-US"/>
        </w:rPr>
        <w:t xml:space="preserve"> spin-off or transformation</w:t>
      </w:r>
      <w:r w:rsidRPr="00B849DC" w:rsidR="00EC365E">
        <w:rPr>
          <w:rFonts w:eastAsiaTheme="majorEastAsia"/>
          <w:lang w:val="en-US"/>
        </w:rPr>
        <w:t xml:space="preserve"> into a different legal entity </w:t>
      </w:r>
      <w:r w:rsidRPr="00B849DC" w:rsidR="00361634">
        <w:rPr>
          <w:rFonts w:eastAsiaTheme="majorEastAsia"/>
          <w:lang w:val="en-US"/>
        </w:rPr>
        <w:t>(</w:t>
      </w:r>
      <w:r w:rsidRPr="00B849DC" w:rsidR="00BD2DFC">
        <w:rPr>
          <w:rFonts w:eastAsiaTheme="majorEastAsia"/>
          <w:lang w:val="en-US"/>
        </w:rPr>
        <w:t>sections </w:t>
      </w:r>
      <w:r w:rsidRPr="00B849DC" w:rsidR="00361634">
        <w:rPr>
          <w:rFonts w:eastAsiaTheme="majorEastAsia"/>
          <w:lang w:val="en-US"/>
        </w:rPr>
        <w:t>29-35 of the Act).</w:t>
      </w:r>
      <w:r w:rsidRPr="00B849DC" w:rsidR="00E636F0">
        <w:rPr>
          <w:rFonts w:eastAsiaTheme="majorEastAsia"/>
          <w:lang w:val="en-US"/>
        </w:rPr>
        <w:t xml:space="preserve"> In particular, in </w:t>
      </w:r>
      <w:r w:rsidRPr="00B849DC" w:rsidR="005D20FA">
        <w:rPr>
          <w:rFonts w:eastAsiaTheme="majorEastAsia"/>
          <w:lang w:val="en-US"/>
        </w:rPr>
        <w:t xml:space="preserve">the </w:t>
      </w:r>
      <w:r w:rsidRPr="00B849DC" w:rsidR="00E636F0">
        <w:rPr>
          <w:rFonts w:eastAsiaTheme="majorEastAsia"/>
          <w:lang w:val="en-US"/>
        </w:rPr>
        <w:t xml:space="preserve">cases of </w:t>
      </w:r>
      <w:r w:rsidRPr="00B849DC" w:rsidR="005D20FA">
        <w:rPr>
          <w:rFonts w:eastAsiaTheme="majorEastAsia"/>
          <w:lang w:val="en-US"/>
        </w:rPr>
        <w:t>a</w:t>
      </w:r>
      <w:r w:rsidRPr="00B849DC" w:rsidR="00E636F0">
        <w:rPr>
          <w:rFonts w:eastAsiaTheme="majorEastAsia"/>
          <w:lang w:val="en-US"/>
        </w:rPr>
        <w:t xml:space="preserve"> split or spin-off</w:t>
      </w:r>
      <w:r w:rsidRPr="00B849DC" w:rsidR="00ED5857">
        <w:rPr>
          <w:rFonts w:eastAsiaTheme="majorEastAsia"/>
          <w:lang w:val="en-US"/>
        </w:rPr>
        <w:t>,</w:t>
      </w:r>
      <w:r w:rsidRPr="00B849DC" w:rsidR="00E636F0">
        <w:rPr>
          <w:rFonts w:eastAsiaTheme="majorEastAsia"/>
          <w:lang w:val="en-US"/>
        </w:rPr>
        <w:t xml:space="preserve"> the owner </w:t>
      </w:r>
      <w:r w:rsidRPr="00B849DC" w:rsidR="00ED5857">
        <w:rPr>
          <w:rFonts w:eastAsiaTheme="majorEastAsia"/>
          <w:lang w:val="en-US"/>
        </w:rPr>
        <w:t>must</w:t>
      </w:r>
      <w:r w:rsidRPr="00B849DC" w:rsidR="00E636F0">
        <w:rPr>
          <w:rFonts w:eastAsiaTheme="majorEastAsia"/>
          <w:lang w:val="en-US"/>
        </w:rPr>
        <w:t xml:space="preserve"> approve </w:t>
      </w:r>
      <w:r w:rsidRPr="00B849DC" w:rsidR="006A4B29">
        <w:rPr>
          <w:rFonts w:eastAsiaTheme="majorEastAsia"/>
          <w:lang w:val="en-US"/>
        </w:rPr>
        <w:t xml:space="preserve">the </w:t>
      </w:r>
      <w:r w:rsidRPr="00B849DC" w:rsidR="00E26CB9">
        <w:rPr>
          <w:rFonts w:eastAsiaTheme="majorEastAsia"/>
          <w:lang w:val="en-US"/>
        </w:rPr>
        <w:t>balance sheet</w:t>
      </w:r>
      <w:r w:rsidRPr="00B849DC" w:rsidR="00ED5857">
        <w:rPr>
          <w:rFonts w:eastAsiaTheme="majorEastAsia"/>
          <w:lang w:val="en-US"/>
        </w:rPr>
        <w:t xml:space="preserve"> of the respective operation</w:t>
      </w:r>
      <w:r w:rsidRPr="00B849DC" w:rsidR="00E26CB9">
        <w:rPr>
          <w:rFonts w:eastAsiaTheme="majorEastAsia"/>
          <w:lang w:val="en-US"/>
        </w:rPr>
        <w:t xml:space="preserve"> (</w:t>
      </w:r>
      <w:r w:rsidRPr="00B849DC" w:rsidR="00BD2DFC">
        <w:rPr>
          <w:rFonts w:eastAsiaTheme="majorEastAsia"/>
          <w:lang w:val="en-US"/>
        </w:rPr>
        <w:t>sections </w:t>
      </w:r>
      <w:r w:rsidRPr="00B849DC" w:rsidR="00E26CB9">
        <w:rPr>
          <w:rFonts w:eastAsiaTheme="majorEastAsia"/>
          <w:lang w:val="en-US"/>
        </w:rPr>
        <w:t xml:space="preserve">32 and 33 of the Unitary </w:t>
      </w:r>
      <w:r w:rsidRPr="00B849DC" w:rsidR="00C27866">
        <w:rPr>
          <w:rFonts w:eastAsiaTheme="majorEastAsia"/>
          <w:lang w:val="en-US"/>
        </w:rPr>
        <w:t xml:space="preserve">Enterprises </w:t>
      </w:r>
      <w:r w:rsidRPr="00B849DC" w:rsidR="00E26CB9">
        <w:rPr>
          <w:rFonts w:eastAsiaTheme="majorEastAsia"/>
          <w:lang w:val="en-US"/>
        </w:rPr>
        <w:t>Act).</w:t>
      </w:r>
    </w:p>
    <w:p w:rsidRPr="00B849DC" w:rsidR="004C5049" w:rsidP="00B849DC" w:rsidRDefault="007E6526">
      <w:pPr>
        <w:pStyle w:val="ECHRPara"/>
        <w:rPr>
          <w:rFonts w:eastAsiaTheme="majorEastAsia"/>
          <w:lang w:val="en-US"/>
        </w:rPr>
      </w:pPr>
      <w:r w:rsidRPr="00B849DC">
        <w:rPr>
          <w:rFonts w:eastAsiaTheme="majorEastAsia"/>
          <w:lang w:val="en-US"/>
        </w:rPr>
        <w:fldChar w:fldCharType="begin"/>
      </w:r>
      <w:r w:rsidRPr="00B849DC">
        <w:rPr>
          <w:rFonts w:eastAsiaTheme="majorEastAsia"/>
          <w:lang w:val="en-US"/>
        </w:rPr>
        <w:instrText xml:space="preserve"> SEQ level0 \*arabic </w:instrText>
      </w:r>
      <w:r w:rsidRPr="00B849DC">
        <w:rPr>
          <w:rFonts w:eastAsiaTheme="majorEastAsia"/>
          <w:lang w:val="en-US"/>
        </w:rPr>
        <w:fldChar w:fldCharType="separate"/>
      </w:r>
      <w:r w:rsidRPr="00B849DC" w:rsidR="00B849DC">
        <w:rPr>
          <w:rFonts w:eastAsiaTheme="majorEastAsia"/>
          <w:noProof/>
          <w:lang w:val="en-US"/>
        </w:rPr>
        <w:t>70</w:t>
      </w:r>
      <w:r w:rsidRPr="00B849DC">
        <w:rPr>
          <w:rFonts w:eastAsiaTheme="majorEastAsia"/>
          <w:lang w:val="en-US"/>
        </w:rPr>
        <w:fldChar w:fldCharType="end"/>
      </w:r>
      <w:r w:rsidRPr="00B849DC">
        <w:rPr>
          <w:rFonts w:eastAsiaTheme="majorEastAsia"/>
          <w:lang w:val="en-US"/>
        </w:rPr>
        <w:t>.  </w:t>
      </w:r>
      <w:r w:rsidRPr="00B849DC" w:rsidR="004C5049">
        <w:rPr>
          <w:rFonts w:eastAsiaTheme="majorEastAsia"/>
          <w:lang w:val="en-US"/>
        </w:rPr>
        <w:t>The owner</w:t>
      </w:r>
      <w:r w:rsidRPr="00B849DC" w:rsidR="00B849DC">
        <w:rPr>
          <w:rFonts w:eastAsiaTheme="majorEastAsia"/>
          <w:lang w:val="en-US"/>
        </w:rPr>
        <w:t>’</w:t>
      </w:r>
      <w:r w:rsidRPr="00B849DC" w:rsidR="004C5049">
        <w:rPr>
          <w:rFonts w:eastAsiaTheme="majorEastAsia"/>
          <w:lang w:val="en-US"/>
        </w:rPr>
        <w:t>s consent must be obtained for any transaction that may lead to the encumbrance or alienation of real estate</w:t>
      </w:r>
      <w:r w:rsidRPr="00B849DC" w:rsidR="00A13211">
        <w:rPr>
          <w:rFonts w:eastAsiaTheme="majorEastAsia"/>
          <w:lang w:val="en-US"/>
        </w:rPr>
        <w:t xml:space="preserve"> (Article 295 </w:t>
      </w:r>
      <w:r w:rsidRPr="00B849DC" w:rsidR="00AE61A6">
        <w:rPr>
          <w:rFonts w:eastAsiaTheme="majorEastAsia"/>
          <w:lang w:val="en-US"/>
        </w:rPr>
        <w:t>§ 2</w:t>
      </w:r>
      <w:r w:rsidRPr="00B849DC" w:rsidR="007B3D32">
        <w:rPr>
          <w:rFonts w:eastAsiaTheme="majorEastAsia"/>
          <w:lang w:val="en-US"/>
        </w:rPr>
        <w:t xml:space="preserve"> of the Civil Code</w:t>
      </w:r>
      <w:r w:rsidRPr="00B849DC" w:rsidR="005D20FA">
        <w:rPr>
          <w:rFonts w:eastAsiaTheme="majorEastAsia"/>
          <w:lang w:val="en-US"/>
        </w:rPr>
        <w:t xml:space="preserve"> and</w:t>
      </w:r>
      <w:r w:rsidRPr="00B849DC" w:rsidR="00830685">
        <w:rPr>
          <w:rFonts w:eastAsiaTheme="majorEastAsia"/>
          <w:lang w:val="en-US"/>
        </w:rPr>
        <w:t xml:space="preserve"> </w:t>
      </w:r>
      <w:r w:rsidRPr="00B849DC" w:rsidR="00BD2DFC">
        <w:rPr>
          <w:rFonts w:eastAsiaTheme="majorEastAsia"/>
          <w:lang w:val="en-US"/>
        </w:rPr>
        <w:t>section </w:t>
      </w:r>
      <w:r w:rsidRPr="00B849DC" w:rsidR="00830685">
        <w:rPr>
          <w:rFonts w:eastAsiaTheme="majorEastAsia"/>
          <w:lang w:val="en-US"/>
        </w:rPr>
        <w:t>18</w:t>
      </w:r>
      <w:r w:rsidRPr="00B849DC" w:rsidR="00BD2DFC">
        <w:rPr>
          <w:rFonts w:eastAsiaTheme="majorEastAsia"/>
          <w:lang w:val="en-US"/>
        </w:rPr>
        <w:t>(</w:t>
      </w:r>
      <w:r w:rsidRPr="00B849DC" w:rsidR="00830685">
        <w:rPr>
          <w:rFonts w:eastAsiaTheme="majorEastAsia"/>
          <w:lang w:val="en-US"/>
        </w:rPr>
        <w:t>2</w:t>
      </w:r>
      <w:r w:rsidRPr="00B849DC" w:rsidR="00BD2DFC">
        <w:rPr>
          <w:rFonts w:eastAsiaTheme="majorEastAsia"/>
          <w:lang w:val="en-US"/>
        </w:rPr>
        <w:t>)</w:t>
      </w:r>
      <w:r w:rsidRPr="00B849DC" w:rsidR="00830685">
        <w:rPr>
          <w:rFonts w:eastAsiaTheme="majorEastAsia"/>
          <w:lang w:val="en-US"/>
        </w:rPr>
        <w:t xml:space="preserve"> of the Unitary Enterprises Act</w:t>
      </w:r>
      <w:r w:rsidRPr="00B849DC" w:rsidR="00AE61A6">
        <w:rPr>
          <w:rFonts w:eastAsiaTheme="majorEastAsia"/>
          <w:lang w:val="en-US"/>
        </w:rPr>
        <w:t>).</w:t>
      </w:r>
      <w:r w:rsidRPr="00B849DC" w:rsidR="004C5049">
        <w:rPr>
          <w:rFonts w:eastAsiaTheme="majorEastAsia"/>
          <w:lang w:val="en-US"/>
        </w:rPr>
        <w:t xml:space="preserve"> The </w:t>
      </w:r>
      <w:r w:rsidRPr="00B849DC" w:rsidR="00E30D78">
        <w:rPr>
          <w:rFonts w:eastAsiaTheme="majorEastAsia"/>
          <w:lang w:val="en-US"/>
        </w:rPr>
        <w:t xml:space="preserve">unitary </w:t>
      </w:r>
      <w:r w:rsidRPr="00B849DC" w:rsidR="004C5049">
        <w:rPr>
          <w:rFonts w:eastAsiaTheme="majorEastAsia"/>
          <w:lang w:val="en-US"/>
        </w:rPr>
        <w:t xml:space="preserve">enterprise </w:t>
      </w:r>
      <w:r w:rsidRPr="00B849DC" w:rsidR="00E30D78">
        <w:rPr>
          <w:rFonts w:eastAsiaTheme="majorEastAsia"/>
          <w:lang w:val="en-US"/>
        </w:rPr>
        <w:t xml:space="preserve">can </w:t>
      </w:r>
      <w:r w:rsidRPr="00B849DC" w:rsidR="004C5049">
        <w:rPr>
          <w:rFonts w:eastAsiaTheme="majorEastAsia"/>
          <w:lang w:val="en-US"/>
        </w:rPr>
        <w:t xml:space="preserve">independently dispose of the rest of the property under its economic control, </w:t>
      </w:r>
      <w:r w:rsidRPr="00B849DC" w:rsidR="00E30D78">
        <w:rPr>
          <w:rFonts w:eastAsiaTheme="majorEastAsia"/>
          <w:lang w:val="en-US"/>
        </w:rPr>
        <w:t>except in</w:t>
      </w:r>
      <w:r w:rsidRPr="00B849DC" w:rsidR="004C5049">
        <w:rPr>
          <w:rFonts w:eastAsiaTheme="majorEastAsia"/>
          <w:lang w:val="en-US"/>
        </w:rPr>
        <w:t xml:space="preserve"> the cases established by law or other </w:t>
      </w:r>
      <w:r w:rsidRPr="00B849DC" w:rsidR="00F37503">
        <w:rPr>
          <w:rFonts w:eastAsiaTheme="majorEastAsia"/>
          <w:lang w:val="en-US"/>
        </w:rPr>
        <w:t xml:space="preserve">normative </w:t>
      </w:r>
      <w:r w:rsidRPr="00B849DC" w:rsidR="004C5049">
        <w:rPr>
          <w:rFonts w:eastAsiaTheme="majorEastAsia"/>
          <w:lang w:val="en-US"/>
        </w:rPr>
        <w:t xml:space="preserve">acts </w:t>
      </w:r>
      <w:r w:rsidRPr="00B849DC" w:rsidR="00AE61A6">
        <w:rPr>
          <w:rFonts w:eastAsiaTheme="majorEastAsia"/>
          <w:lang w:val="en-US"/>
        </w:rPr>
        <w:t>(</w:t>
      </w:r>
      <w:r w:rsidRPr="00B849DC" w:rsidR="00A13211">
        <w:rPr>
          <w:rFonts w:eastAsiaTheme="majorEastAsia"/>
          <w:lang w:val="en-US"/>
        </w:rPr>
        <w:t xml:space="preserve">Article 295 </w:t>
      </w:r>
      <w:r w:rsidRPr="00B849DC" w:rsidR="007B3D32">
        <w:rPr>
          <w:rFonts w:eastAsiaTheme="majorEastAsia"/>
          <w:lang w:val="en-US"/>
        </w:rPr>
        <w:t xml:space="preserve">§ 2 of the Civil Code and </w:t>
      </w:r>
      <w:r w:rsidRPr="00B849DC" w:rsidR="00BD2DFC">
        <w:rPr>
          <w:rFonts w:eastAsiaTheme="majorEastAsia"/>
          <w:lang w:val="en-US"/>
        </w:rPr>
        <w:t xml:space="preserve">section </w:t>
      </w:r>
      <w:r w:rsidRPr="00B849DC" w:rsidR="00AE61A6">
        <w:rPr>
          <w:rFonts w:eastAsiaTheme="majorEastAsia"/>
          <w:lang w:val="en-US"/>
        </w:rPr>
        <w:t>18</w:t>
      </w:r>
      <w:r w:rsidRPr="00B849DC" w:rsidR="00BD2DFC">
        <w:rPr>
          <w:rFonts w:eastAsiaTheme="majorEastAsia"/>
          <w:lang w:val="en-US"/>
        </w:rPr>
        <w:t>(</w:t>
      </w:r>
      <w:r w:rsidRPr="00B849DC" w:rsidR="00AE61A6">
        <w:rPr>
          <w:rFonts w:eastAsiaTheme="majorEastAsia"/>
          <w:lang w:val="en-US"/>
        </w:rPr>
        <w:t>1</w:t>
      </w:r>
      <w:r w:rsidRPr="00B849DC" w:rsidR="00BD2DFC">
        <w:rPr>
          <w:rFonts w:eastAsiaTheme="majorEastAsia"/>
          <w:lang w:val="en-US"/>
        </w:rPr>
        <w:t>)</w:t>
      </w:r>
      <w:r w:rsidRPr="00B849DC" w:rsidR="00AE61A6">
        <w:rPr>
          <w:rFonts w:eastAsiaTheme="majorEastAsia"/>
          <w:lang w:val="en-US"/>
        </w:rPr>
        <w:t xml:space="preserve"> of the Unitary Enterprises Act).</w:t>
      </w:r>
    </w:p>
    <w:p w:rsidRPr="00B849DC" w:rsidR="000E2963" w:rsidP="00B849DC" w:rsidRDefault="00587F92">
      <w:pPr>
        <w:pStyle w:val="ECHRPara"/>
        <w:rPr>
          <w:rFonts w:eastAsiaTheme="majorEastAsia"/>
          <w:lang w:val="en-US"/>
        </w:rPr>
      </w:pPr>
      <w:r w:rsidRPr="00B849DC">
        <w:rPr>
          <w:rFonts w:eastAsiaTheme="majorEastAsia"/>
          <w:lang w:val="ru-RU"/>
        </w:rPr>
        <w:fldChar w:fldCharType="begin"/>
      </w:r>
      <w:r w:rsidRPr="00B849DC">
        <w:rPr>
          <w:rFonts w:eastAsiaTheme="majorEastAsia"/>
          <w:lang w:val="en-US"/>
        </w:rPr>
        <w:instrText xml:space="preserve"> SEQ level0 \*arabic </w:instrText>
      </w:r>
      <w:r w:rsidRPr="00B849DC">
        <w:rPr>
          <w:rFonts w:eastAsiaTheme="majorEastAsia"/>
          <w:lang w:val="ru-RU"/>
        </w:rPr>
        <w:fldChar w:fldCharType="separate"/>
      </w:r>
      <w:r w:rsidRPr="00B849DC" w:rsidR="00B849DC">
        <w:rPr>
          <w:rFonts w:eastAsiaTheme="majorEastAsia"/>
          <w:noProof/>
          <w:lang w:val="en-US"/>
        </w:rPr>
        <w:t>71</w:t>
      </w:r>
      <w:r w:rsidRPr="00B849DC">
        <w:rPr>
          <w:rFonts w:eastAsiaTheme="majorEastAsia"/>
          <w:lang w:val="ru-RU"/>
        </w:rPr>
        <w:fldChar w:fldCharType="end"/>
      </w:r>
      <w:r w:rsidRPr="00B849DC">
        <w:rPr>
          <w:rFonts w:eastAsiaTheme="majorEastAsia"/>
          <w:lang w:val="en-US"/>
        </w:rPr>
        <w:t>.  </w:t>
      </w:r>
      <w:r w:rsidRPr="00B849DC">
        <w:rPr>
          <w:rFonts w:eastAsiaTheme="majorEastAsia"/>
          <w:lang w:val="en-GB"/>
        </w:rPr>
        <w:t>In</w:t>
      </w:r>
      <w:r w:rsidRPr="00B849DC">
        <w:rPr>
          <w:rFonts w:eastAsiaTheme="majorEastAsia"/>
          <w:lang w:val="en-US"/>
        </w:rPr>
        <w:t xml:space="preserve"> </w:t>
      </w:r>
      <w:r w:rsidRPr="00B849DC">
        <w:rPr>
          <w:rFonts w:eastAsiaTheme="majorEastAsia"/>
          <w:lang w:val="en-GB"/>
        </w:rPr>
        <w:t>the</w:t>
      </w:r>
      <w:r w:rsidRPr="00B849DC">
        <w:rPr>
          <w:rFonts w:eastAsiaTheme="majorEastAsia"/>
          <w:lang w:val="en-US"/>
        </w:rPr>
        <w:t xml:space="preserve"> </w:t>
      </w:r>
      <w:r w:rsidRPr="00B849DC">
        <w:rPr>
          <w:rFonts w:eastAsiaTheme="majorEastAsia"/>
          <w:lang w:val="en-GB"/>
        </w:rPr>
        <w:t>absence</w:t>
      </w:r>
      <w:r w:rsidRPr="00B849DC">
        <w:rPr>
          <w:rFonts w:eastAsiaTheme="majorEastAsia"/>
          <w:lang w:val="en-US"/>
        </w:rPr>
        <w:t xml:space="preserve"> </w:t>
      </w:r>
      <w:r w:rsidRPr="00B849DC">
        <w:rPr>
          <w:rFonts w:eastAsiaTheme="majorEastAsia"/>
          <w:lang w:val="en-GB"/>
        </w:rPr>
        <w:t>of</w:t>
      </w:r>
      <w:r w:rsidRPr="00B849DC">
        <w:rPr>
          <w:rFonts w:eastAsiaTheme="majorEastAsia"/>
          <w:lang w:val="en-US"/>
        </w:rPr>
        <w:t xml:space="preserve"> </w:t>
      </w:r>
      <w:r w:rsidRPr="00B849DC">
        <w:rPr>
          <w:rFonts w:eastAsiaTheme="majorEastAsia"/>
          <w:lang w:val="en-GB"/>
        </w:rPr>
        <w:t>the</w:t>
      </w:r>
      <w:r w:rsidRPr="00B849DC">
        <w:rPr>
          <w:rFonts w:eastAsiaTheme="majorEastAsia"/>
          <w:lang w:val="en-US"/>
        </w:rPr>
        <w:t xml:space="preserve"> </w:t>
      </w:r>
      <w:r w:rsidRPr="00B849DC">
        <w:rPr>
          <w:rFonts w:eastAsiaTheme="majorEastAsia"/>
          <w:lang w:val="en-GB"/>
        </w:rPr>
        <w:t>owner</w:t>
      </w:r>
      <w:r w:rsidRPr="00B849DC" w:rsidR="00B849DC">
        <w:rPr>
          <w:rFonts w:eastAsiaTheme="majorEastAsia"/>
          <w:lang w:val="en-US"/>
        </w:rPr>
        <w:t>’</w:t>
      </w:r>
      <w:r w:rsidRPr="00B849DC">
        <w:rPr>
          <w:rFonts w:eastAsiaTheme="majorEastAsia"/>
          <w:lang w:val="en-GB"/>
        </w:rPr>
        <w:t>s</w:t>
      </w:r>
      <w:r w:rsidRPr="00B849DC">
        <w:rPr>
          <w:rFonts w:eastAsiaTheme="majorEastAsia"/>
          <w:lang w:val="en-US"/>
        </w:rPr>
        <w:t xml:space="preserve"> </w:t>
      </w:r>
      <w:r w:rsidRPr="00B849DC" w:rsidR="00F37503">
        <w:rPr>
          <w:rFonts w:eastAsiaTheme="majorEastAsia"/>
          <w:lang w:val="en-GB"/>
        </w:rPr>
        <w:t>consent</w:t>
      </w:r>
      <w:r w:rsidRPr="00B849DC">
        <w:rPr>
          <w:rFonts w:eastAsiaTheme="majorEastAsia"/>
          <w:lang w:val="en-US"/>
        </w:rPr>
        <w:t xml:space="preserve">, </w:t>
      </w:r>
      <w:r w:rsidRPr="00B849DC">
        <w:rPr>
          <w:rFonts w:eastAsiaTheme="majorEastAsia"/>
          <w:lang w:val="en-GB"/>
        </w:rPr>
        <w:t>the</w:t>
      </w:r>
      <w:r w:rsidRPr="00B849DC">
        <w:rPr>
          <w:rFonts w:eastAsiaTheme="majorEastAsia"/>
          <w:lang w:val="en-US"/>
        </w:rPr>
        <w:t xml:space="preserve"> </w:t>
      </w:r>
      <w:r w:rsidRPr="00B849DC" w:rsidR="00E30D78">
        <w:rPr>
          <w:rFonts w:eastAsiaTheme="majorEastAsia"/>
          <w:lang w:val="en-US"/>
        </w:rPr>
        <w:t xml:space="preserve">unitary </w:t>
      </w:r>
      <w:r w:rsidRPr="00B849DC">
        <w:rPr>
          <w:rFonts w:eastAsiaTheme="majorEastAsia"/>
          <w:lang w:val="en-GB"/>
        </w:rPr>
        <w:t>enterprise</w:t>
      </w:r>
      <w:r w:rsidRPr="00B849DC">
        <w:rPr>
          <w:rFonts w:eastAsiaTheme="majorEastAsia"/>
          <w:lang w:val="en-US"/>
        </w:rPr>
        <w:t xml:space="preserve"> </w:t>
      </w:r>
      <w:r w:rsidRPr="00B849DC">
        <w:rPr>
          <w:rFonts w:eastAsiaTheme="majorEastAsia"/>
          <w:lang w:val="en-GB"/>
        </w:rPr>
        <w:t>cannot</w:t>
      </w:r>
      <w:r w:rsidRPr="00B849DC">
        <w:rPr>
          <w:rFonts w:eastAsiaTheme="majorEastAsia"/>
          <w:lang w:val="en-US"/>
        </w:rPr>
        <w:t xml:space="preserve"> </w:t>
      </w:r>
      <w:r w:rsidRPr="00B849DC">
        <w:rPr>
          <w:rFonts w:eastAsiaTheme="majorEastAsia"/>
          <w:lang w:val="en-GB"/>
        </w:rPr>
        <w:t>make</w:t>
      </w:r>
      <w:r w:rsidRPr="00B849DC">
        <w:rPr>
          <w:rFonts w:eastAsiaTheme="majorEastAsia"/>
          <w:lang w:val="en-US"/>
        </w:rPr>
        <w:t xml:space="preserve"> </w:t>
      </w:r>
      <w:r w:rsidRPr="00B849DC">
        <w:rPr>
          <w:rFonts w:eastAsiaTheme="majorEastAsia"/>
          <w:lang w:val="en-GB"/>
        </w:rPr>
        <w:t>transactions</w:t>
      </w:r>
      <w:r w:rsidRPr="00B849DC">
        <w:rPr>
          <w:rFonts w:eastAsiaTheme="majorEastAsia"/>
          <w:lang w:val="en-US"/>
        </w:rPr>
        <w:t xml:space="preserve"> </w:t>
      </w:r>
      <w:r w:rsidRPr="00B849DC">
        <w:rPr>
          <w:rFonts w:eastAsiaTheme="majorEastAsia"/>
          <w:lang w:val="en-GB"/>
        </w:rPr>
        <w:t>related</w:t>
      </w:r>
      <w:r w:rsidRPr="00B849DC">
        <w:rPr>
          <w:rFonts w:eastAsiaTheme="majorEastAsia"/>
          <w:lang w:val="en-US"/>
        </w:rPr>
        <w:t xml:space="preserve"> </w:t>
      </w:r>
      <w:r w:rsidRPr="00B849DC">
        <w:rPr>
          <w:rFonts w:asciiTheme="majorHAnsi" w:hAnsiTheme="majorHAnsi" w:eastAsiaTheme="majorEastAsia" w:cstheme="majorHAnsi"/>
          <w:lang w:val="en-GB"/>
        </w:rPr>
        <w:t>to</w:t>
      </w:r>
      <w:r w:rsidRPr="00B849DC" w:rsidR="005D20FA">
        <w:rPr>
          <w:rFonts w:asciiTheme="majorHAnsi" w:hAnsiTheme="majorHAnsi" w:eastAsiaTheme="majorEastAsia" w:cstheme="majorHAnsi"/>
          <w:lang w:val="en-GB"/>
        </w:rPr>
        <w:t xml:space="preserve">, </w:t>
      </w:r>
      <w:r w:rsidRPr="00B849DC" w:rsidR="005D20FA">
        <w:rPr>
          <w:rFonts w:asciiTheme="majorHAnsi" w:hAnsiTheme="majorHAnsi" w:eastAsiaTheme="majorEastAsia" w:cstheme="majorHAnsi"/>
          <w:i/>
          <w:lang w:val="en-GB"/>
        </w:rPr>
        <w:t>inter alia</w:t>
      </w:r>
      <w:r w:rsidRPr="00B849DC" w:rsidR="005D20FA">
        <w:rPr>
          <w:rFonts w:asciiTheme="majorHAnsi" w:hAnsiTheme="majorHAnsi" w:eastAsiaTheme="majorEastAsia" w:cstheme="majorHAnsi"/>
          <w:lang w:val="en-GB"/>
        </w:rPr>
        <w:t>,</w:t>
      </w:r>
      <w:r w:rsidRPr="00B849DC">
        <w:rPr>
          <w:rFonts w:asciiTheme="majorHAnsi" w:hAnsiTheme="majorHAnsi" w:eastAsiaTheme="majorEastAsia" w:cstheme="majorHAnsi"/>
          <w:lang w:val="en-US"/>
        </w:rPr>
        <w:t xml:space="preserve"> </w:t>
      </w:r>
      <w:r w:rsidRPr="00B849DC">
        <w:rPr>
          <w:rFonts w:asciiTheme="majorHAnsi" w:hAnsiTheme="majorHAnsi" w:cstheme="majorHAnsi"/>
          <w:lang w:val="en"/>
        </w:rPr>
        <w:t>the</w:t>
      </w:r>
      <w:r w:rsidRPr="00B849DC">
        <w:rPr>
          <w:rFonts w:asciiTheme="majorHAnsi" w:hAnsiTheme="majorHAnsi" w:cstheme="majorHAnsi"/>
          <w:lang w:val="en-US"/>
        </w:rPr>
        <w:t xml:space="preserve"> </w:t>
      </w:r>
      <w:r w:rsidRPr="00B849DC">
        <w:rPr>
          <w:rFonts w:asciiTheme="majorHAnsi" w:hAnsiTheme="majorHAnsi" w:cstheme="majorHAnsi"/>
          <w:lang w:val="en"/>
        </w:rPr>
        <w:t>provision</w:t>
      </w:r>
      <w:r w:rsidRPr="00B849DC">
        <w:rPr>
          <w:rFonts w:asciiTheme="majorHAnsi" w:hAnsiTheme="majorHAnsi" w:cstheme="majorHAnsi"/>
          <w:lang w:val="en-US"/>
        </w:rPr>
        <w:t xml:space="preserve"> </w:t>
      </w:r>
      <w:r w:rsidRPr="00B849DC">
        <w:rPr>
          <w:rFonts w:asciiTheme="majorHAnsi" w:hAnsiTheme="majorHAnsi" w:cstheme="majorHAnsi"/>
          <w:lang w:val="en"/>
        </w:rPr>
        <w:t>of</w:t>
      </w:r>
      <w:r w:rsidRPr="00B849DC">
        <w:rPr>
          <w:rFonts w:asciiTheme="majorHAnsi" w:hAnsiTheme="majorHAnsi" w:cstheme="majorHAnsi"/>
          <w:lang w:val="en-US"/>
        </w:rPr>
        <w:t xml:space="preserve"> </w:t>
      </w:r>
      <w:r w:rsidRPr="00B849DC">
        <w:rPr>
          <w:rFonts w:asciiTheme="majorHAnsi" w:hAnsiTheme="majorHAnsi" w:cstheme="majorHAnsi"/>
          <w:lang w:val="en"/>
        </w:rPr>
        <w:t>loans</w:t>
      </w:r>
      <w:r w:rsidRPr="00B849DC" w:rsidR="005D20FA">
        <w:rPr>
          <w:rFonts w:asciiTheme="majorHAnsi" w:hAnsiTheme="majorHAnsi" w:cstheme="majorHAnsi"/>
          <w:lang w:val="en-US"/>
        </w:rPr>
        <w:t xml:space="preserve"> and</w:t>
      </w:r>
      <w:r w:rsidRPr="00B849DC">
        <w:rPr>
          <w:rFonts w:asciiTheme="majorHAnsi" w:hAnsiTheme="majorHAnsi" w:cstheme="majorHAnsi"/>
          <w:lang w:val="en-US"/>
        </w:rPr>
        <w:t xml:space="preserve"> </w:t>
      </w:r>
      <w:r w:rsidRPr="00B849DC">
        <w:rPr>
          <w:rFonts w:asciiTheme="majorHAnsi" w:hAnsiTheme="majorHAnsi" w:cstheme="majorHAnsi"/>
          <w:lang w:val="en"/>
        </w:rPr>
        <w:t>guarantees</w:t>
      </w:r>
      <w:r w:rsidRPr="00B849DC">
        <w:rPr>
          <w:rFonts w:asciiTheme="majorHAnsi" w:hAnsiTheme="majorHAnsi" w:cstheme="majorHAnsi"/>
          <w:lang w:val="en-US"/>
        </w:rPr>
        <w:t xml:space="preserve">, </w:t>
      </w:r>
      <w:r w:rsidRPr="00B849DC" w:rsidR="005D20FA">
        <w:rPr>
          <w:rFonts w:asciiTheme="majorHAnsi" w:hAnsiTheme="majorHAnsi" w:cstheme="majorHAnsi"/>
          <w:lang w:val="en-US"/>
        </w:rPr>
        <w:t xml:space="preserve">the </w:t>
      </w:r>
      <w:r w:rsidRPr="00B849DC">
        <w:rPr>
          <w:rFonts w:asciiTheme="majorHAnsi" w:hAnsiTheme="majorHAnsi" w:cstheme="majorHAnsi"/>
          <w:lang w:val="en"/>
        </w:rPr>
        <w:t>obtaining</w:t>
      </w:r>
      <w:r w:rsidRPr="00B849DC">
        <w:rPr>
          <w:rFonts w:asciiTheme="majorHAnsi" w:hAnsiTheme="majorHAnsi" w:cstheme="majorHAnsi"/>
          <w:lang w:val="en-US"/>
        </w:rPr>
        <w:t xml:space="preserve"> </w:t>
      </w:r>
      <w:r w:rsidRPr="00B849DC" w:rsidR="005D20FA">
        <w:rPr>
          <w:rFonts w:asciiTheme="majorHAnsi" w:hAnsiTheme="majorHAnsi" w:cstheme="majorHAnsi"/>
          <w:lang w:val="en-US"/>
        </w:rPr>
        <w:t xml:space="preserve">of </w:t>
      </w:r>
      <w:r w:rsidRPr="00B849DC">
        <w:rPr>
          <w:rFonts w:asciiTheme="majorHAnsi" w:hAnsiTheme="majorHAnsi" w:cstheme="majorHAnsi"/>
          <w:lang w:val="en"/>
        </w:rPr>
        <w:t>bank</w:t>
      </w:r>
      <w:r w:rsidRPr="00B849DC">
        <w:rPr>
          <w:rFonts w:asciiTheme="majorHAnsi" w:hAnsiTheme="majorHAnsi" w:cstheme="majorHAnsi"/>
          <w:lang w:val="en-US"/>
        </w:rPr>
        <w:t xml:space="preserve"> </w:t>
      </w:r>
      <w:r w:rsidRPr="00B849DC">
        <w:rPr>
          <w:rFonts w:asciiTheme="majorHAnsi" w:hAnsiTheme="majorHAnsi" w:cstheme="majorHAnsi"/>
          <w:lang w:val="en"/>
        </w:rPr>
        <w:t>guarantees</w:t>
      </w:r>
      <w:r w:rsidRPr="00B849DC">
        <w:rPr>
          <w:rFonts w:ascii="Arial" w:hAnsi="Arial" w:cs="Arial"/>
          <w:lang w:val="en-US"/>
        </w:rPr>
        <w:t xml:space="preserve"> </w:t>
      </w:r>
      <w:r w:rsidRPr="00B849DC" w:rsidR="005D20FA">
        <w:rPr>
          <w:rFonts w:cstheme="minorHAnsi"/>
          <w:lang w:val="en"/>
        </w:rPr>
        <w:t>or</w:t>
      </w:r>
      <w:r w:rsidRPr="00B849DC">
        <w:rPr>
          <w:rFonts w:cstheme="minorHAnsi"/>
          <w:lang w:val="en-US"/>
        </w:rPr>
        <w:t xml:space="preserve"> </w:t>
      </w:r>
      <w:r w:rsidRPr="00B849DC">
        <w:rPr>
          <w:rFonts w:cstheme="minorHAnsi"/>
          <w:lang w:val="en"/>
        </w:rPr>
        <w:t>other</w:t>
      </w:r>
      <w:r w:rsidRPr="00B849DC">
        <w:rPr>
          <w:rFonts w:cstheme="minorHAnsi"/>
          <w:lang w:val="en-US"/>
        </w:rPr>
        <w:t xml:space="preserve"> </w:t>
      </w:r>
      <w:r w:rsidRPr="00B849DC">
        <w:rPr>
          <w:rFonts w:cstheme="minorHAnsi"/>
          <w:lang w:val="en"/>
        </w:rPr>
        <w:t>encumbrance</w:t>
      </w:r>
      <w:r w:rsidRPr="00B849DC">
        <w:rPr>
          <w:rFonts w:asciiTheme="majorHAnsi" w:hAnsiTheme="majorHAnsi" w:cstheme="majorHAnsi"/>
          <w:lang w:val="en-US"/>
        </w:rPr>
        <w:t xml:space="preserve">, </w:t>
      </w:r>
      <w:r w:rsidRPr="00B849DC">
        <w:rPr>
          <w:rFonts w:asciiTheme="majorHAnsi" w:hAnsiTheme="majorHAnsi" w:cstheme="majorHAnsi"/>
          <w:lang w:val="en"/>
        </w:rPr>
        <w:t>assignment</w:t>
      </w:r>
      <w:r w:rsidRPr="00B849DC" w:rsidR="000E2963">
        <w:rPr>
          <w:rFonts w:asciiTheme="majorHAnsi" w:hAnsiTheme="majorHAnsi" w:cstheme="majorHAnsi"/>
          <w:lang w:val="en"/>
        </w:rPr>
        <w:t>s</w:t>
      </w:r>
      <w:r w:rsidRPr="00B849DC">
        <w:rPr>
          <w:rFonts w:asciiTheme="majorHAnsi" w:hAnsiTheme="majorHAnsi" w:cstheme="majorHAnsi"/>
          <w:lang w:val="en-US"/>
        </w:rPr>
        <w:t xml:space="preserve"> </w:t>
      </w:r>
      <w:r w:rsidRPr="00B849DC" w:rsidR="000E2963">
        <w:rPr>
          <w:rFonts w:asciiTheme="majorHAnsi" w:hAnsiTheme="majorHAnsi" w:cstheme="majorHAnsi"/>
          <w:lang w:val="en"/>
        </w:rPr>
        <w:t>of claim</w:t>
      </w:r>
      <w:r w:rsidRPr="00B849DC" w:rsidR="005D20FA">
        <w:rPr>
          <w:rFonts w:asciiTheme="majorHAnsi" w:hAnsiTheme="majorHAnsi" w:cstheme="majorHAnsi"/>
          <w:lang w:val="en-US"/>
        </w:rPr>
        <w:t xml:space="preserve"> or</w:t>
      </w:r>
      <w:r w:rsidRPr="00B849DC">
        <w:rPr>
          <w:rFonts w:asciiTheme="majorHAnsi" w:hAnsiTheme="majorHAnsi" w:cstheme="majorHAnsi"/>
          <w:lang w:val="en-US"/>
        </w:rPr>
        <w:t xml:space="preserve"> </w:t>
      </w:r>
      <w:r w:rsidRPr="00B849DC" w:rsidR="000E2963">
        <w:rPr>
          <w:rFonts w:asciiTheme="majorHAnsi" w:hAnsiTheme="majorHAnsi" w:cstheme="majorHAnsi"/>
          <w:lang w:val="en"/>
        </w:rPr>
        <w:t>debt transfer agreements</w:t>
      </w:r>
      <w:r w:rsidRPr="00B849DC">
        <w:rPr>
          <w:rFonts w:asciiTheme="majorHAnsi" w:hAnsiTheme="majorHAnsi" w:cstheme="majorHAnsi"/>
          <w:lang w:val="en-US"/>
        </w:rPr>
        <w:t>,</w:t>
      </w:r>
      <w:r w:rsidRPr="00B849DC">
        <w:rPr>
          <w:rFonts w:ascii="Arial" w:hAnsi="Arial" w:cs="Arial"/>
          <w:lang w:val="en-US"/>
        </w:rPr>
        <w:t xml:space="preserve"> </w:t>
      </w:r>
      <w:r w:rsidRPr="00B849DC" w:rsidR="000E2963">
        <w:rPr>
          <w:rFonts w:asciiTheme="majorHAnsi" w:hAnsiTheme="majorHAnsi" w:cstheme="majorHAnsi"/>
          <w:lang w:val="en"/>
        </w:rPr>
        <w:t>or</w:t>
      </w:r>
      <w:r w:rsidRPr="00B849DC">
        <w:rPr>
          <w:rFonts w:asciiTheme="majorHAnsi" w:hAnsiTheme="majorHAnsi" w:cstheme="majorHAnsi"/>
          <w:lang w:val="en-US"/>
        </w:rPr>
        <w:t xml:space="preserve"> </w:t>
      </w:r>
      <w:r w:rsidRPr="00B849DC">
        <w:rPr>
          <w:rFonts w:asciiTheme="majorHAnsi" w:hAnsiTheme="majorHAnsi" w:cstheme="majorHAnsi"/>
          <w:lang w:val="en"/>
        </w:rPr>
        <w:t>to</w:t>
      </w:r>
      <w:r w:rsidRPr="00B849DC">
        <w:rPr>
          <w:rFonts w:asciiTheme="majorHAnsi" w:hAnsiTheme="majorHAnsi" w:cstheme="majorHAnsi"/>
          <w:lang w:val="en-US"/>
        </w:rPr>
        <w:t xml:space="preserve"> </w:t>
      </w:r>
      <w:r w:rsidRPr="00B849DC" w:rsidR="005D20FA">
        <w:rPr>
          <w:rFonts w:asciiTheme="majorHAnsi" w:hAnsiTheme="majorHAnsi" w:cstheme="majorHAnsi"/>
          <w:lang w:val="en-US"/>
        </w:rPr>
        <w:t xml:space="preserve">enter into </w:t>
      </w:r>
      <w:r w:rsidRPr="00B849DC" w:rsidR="000E2963">
        <w:rPr>
          <w:rFonts w:asciiTheme="majorHAnsi" w:hAnsiTheme="majorHAnsi" w:cstheme="majorHAnsi"/>
          <w:lang w:val="en-US"/>
        </w:rPr>
        <w:t xml:space="preserve">a </w:t>
      </w:r>
      <w:r w:rsidRPr="00B849DC" w:rsidR="00B04BF5">
        <w:rPr>
          <w:rFonts w:asciiTheme="majorHAnsi" w:hAnsiTheme="majorHAnsi" w:cstheme="majorHAnsi"/>
          <w:lang w:val="en-US"/>
        </w:rPr>
        <w:t>“simple partnership” (unincorporated venture)</w:t>
      </w:r>
      <w:r w:rsidRPr="00B849DC" w:rsidR="000E2963">
        <w:rPr>
          <w:rFonts w:asciiTheme="majorHAnsi" w:hAnsiTheme="majorHAnsi" w:cstheme="majorHAnsi"/>
          <w:lang w:val="en-US"/>
        </w:rPr>
        <w:t xml:space="preserve"> </w:t>
      </w:r>
      <w:r w:rsidRPr="00B849DC">
        <w:rPr>
          <w:rFonts w:asciiTheme="majorHAnsi" w:hAnsiTheme="majorHAnsi" w:cstheme="majorHAnsi"/>
          <w:lang w:val="en"/>
        </w:rPr>
        <w:t>contract</w:t>
      </w:r>
      <w:r w:rsidRPr="00B849DC">
        <w:rPr>
          <w:rFonts w:ascii="Arial" w:hAnsi="Arial" w:cs="Arial"/>
          <w:lang w:val="en-US"/>
        </w:rPr>
        <w:t xml:space="preserve"> </w:t>
      </w:r>
      <w:r w:rsidRPr="00B849DC">
        <w:rPr>
          <w:rFonts w:eastAsiaTheme="majorEastAsia"/>
          <w:lang w:val="en-US"/>
        </w:rPr>
        <w:t>(</w:t>
      </w:r>
      <w:r w:rsidRPr="00B849DC" w:rsidR="00A13211">
        <w:rPr>
          <w:rFonts w:eastAsiaTheme="majorEastAsia"/>
          <w:lang w:val="en-US"/>
        </w:rPr>
        <w:t xml:space="preserve">section </w:t>
      </w:r>
      <w:r w:rsidRPr="00B849DC">
        <w:rPr>
          <w:rFonts w:eastAsiaTheme="majorEastAsia"/>
          <w:lang w:val="en-US"/>
        </w:rPr>
        <w:t>18</w:t>
      </w:r>
      <w:r w:rsidRPr="00B849DC" w:rsidR="00BD2DFC">
        <w:rPr>
          <w:rFonts w:eastAsiaTheme="majorEastAsia"/>
          <w:lang w:val="en-US"/>
        </w:rPr>
        <w:t>(</w:t>
      </w:r>
      <w:r w:rsidRPr="00B849DC">
        <w:rPr>
          <w:rFonts w:eastAsiaTheme="majorEastAsia"/>
          <w:lang w:val="en-US"/>
        </w:rPr>
        <w:t>4</w:t>
      </w:r>
      <w:r w:rsidRPr="00B849DC" w:rsidR="00BD2DFC">
        <w:rPr>
          <w:rFonts w:eastAsiaTheme="majorEastAsia"/>
          <w:lang w:val="en-US"/>
        </w:rPr>
        <w:t>)</w:t>
      </w:r>
      <w:r w:rsidRPr="00B849DC">
        <w:rPr>
          <w:rFonts w:eastAsiaTheme="majorEastAsia"/>
          <w:lang w:val="en-US"/>
        </w:rPr>
        <w:t xml:space="preserve"> of the Unitary Enterprises Act).</w:t>
      </w:r>
      <w:r w:rsidRPr="00B849DC" w:rsidR="00CF3AA6">
        <w:rPr>
          <w:rFonts w:eastAsiaTheme="majorEastAsia"/>
          <w:lang w:val="en-US" w:eastAsia="en-US"/>
        </w:rPr>
        <w:t xml:space="preserve"> </w:t>
      </w:r>
      <w:r w:rsidRPr="00B849DC" w:rsidR="00CF3AA6">
        <w:rPr>
          <w:rFonts w:eastAsiaTheme="majorEastAsia"/>
          <w:lang w:val="en-US"/>
        </w:rPr>
        <w:t xml:space="preserve">The owner </w:t>
      </w:r>
      <w:r w:rsidRPr="00B849DC" w:rsidR="004A1FAD">
        <w:rPr>
          <w:rFonts w:eastAsiaTheme="majorEastAsia"/>
          <w:lang w:val="en-US"/>
        </w:rPr>
        <w:t xml:space="preserve">must </w:t>
      </w:r>
      <w:r w:rsidRPr="00B849DC" w:rsidR="00CF3AA6">
        <w:rPr>
          <w:rFonts w:eastAsiaTheme="majorEastAsia"/>
          <w:lang w:val="en-US"/>
        </w:rPr>
        <w:t>approve any loan agreement (</w:t>
      </w:r>
      <w:r w:rsidRPr="00B849DC" w:rsidR="00BD2DFC">
        <w:rPr>
          <w:rFonts w:eastAsiaTheme="majorEastAsia"/>
          <w:lang w:val="en-US"/>
        </w:rPr>
        <w:t>section </w:t>
      </w:r>
      <w:r w:rsidRPr="00B849DC" w:rsidR="00CF3AA6">
        <w:rPr>
          <w:rFonts w:eastAsiaTheme="majorEastAsia"/>
          <w:lang w:val="en-US"/>
        </w:rPr>
        <w:t>24</w:t>
      </w:r>
      <w:r w:rsidRPr="00B849DC" w:rsidR="00BD2DFC">
        <w:rPr>
          <w:rFonts w:eastAsiaTheme="majorEastAsia"/>
          <w:lang w:val="en-US"/>
        </w:rPr>
        <w:t>(</w:t>
      </w:r>
      <w:r w:rsidRPr="00B849DC" w:rsidR="00CF3AA6">
        <w:rPr>
          <w:rFonts w:eastAsiaTheme="majorEastAsia"/>
          <w:lang w:val="en-US"/>
        </w:rPr>
        <w:t>2</w:t>
      </w:r>
      <w:r w:rsidRPr="00B849DC" w:rsidR="00BD2DFC">
        <w:rPr>
          <w:rFonts w:eastAsiaTheme="majorEastAsia"/>
          <w:lang w:val="en-US"/>
        </w:rPr>
        <w:t>)</w:t>
      </w:r>
      <w:r w:rsidRPr="00B849DC" w:rsidR="00CF3AA6">
        <w:rPr>
          <w:rFonts w:eastAsiaTheme="majorEastAsia"/>
          <w:lang w:val="en-US"/>
        </w:rPr>
        <w:t xml:space="preserve">) and any major transaction </w:t>
      </w:r>
      <w:r w:rsidRPr="00B849DC" w:rsidR="004A1FAD">
        <w:rPr>
          <w:rFonts w:eastAsiaTheme="majorEastAsia"/>
          <w:lang w:val="en-US"/>
        </w:rPr>
        <w:t xml:space="preserve">by </w:t>
      </w:r>
      <w:r w:rsidRPr="00B849DC" w:rsidR="00CF3AA6">
        <w:rPr>
          <w:rFonts w:eastAsiaTheme="majorEastAsia"/>
          <w:lang w:val="en-US"/>
        </w:rPr>
        <w:t xml:space="preserve">the </w:t>
      </w:r>
      <w:r w:rsidRPr="00B849DC" w:rsidR="004A1FAD">
        <w:rPr>
          <w:rFonts w:eastAsiaTheme="majorEastAsia"/>
          <w:lang w:val="en-US"/>
        </w:rPr>
        <w:t xml:space="preserve">company </w:t>
      </w:r>
      <w:r w:rsidRPr="00B849DC" w:rsidR="00CF3AA6">
        <w:rPr>
          <w:rFonts w:eastAsiaTheme="majorEastAsia"/>
          <w:i/>
          <w:lang w:val="en-US"/>
        </w:rPr>
        <w:t>(</w:t>
      </w:r>
      <w:r w:rsidRPr="00B849DC" w:rsidR="00CF3AA6">
        <w:rPr>
          <w:rFonts w:eastAsiaTheme="majorEastAsia"/>
          <w:i/>
          <w:lang w:val="ru-RU"/>
        </w:rPr>
        <w:t>крупная</w:t>
      </w:r>
      <w:r w:rsidRPr="00B849DC" w:rsidR="00CF3AA6">
        <w:rPr>
          <w:rFonts w:eastAsiaTheme="majorEastAsia"/>
          <w:i/>
          <w:lang w:val="en-US"/>
        </w:rPr>
        <w:t xml:space="preserve"> </w:t>
      </w:r>
      <w:r w:rsidRPr="00B849DC" w:rsidR="00CF3AA6">
        <w:rPr>
          <w:rFonts w:eastAsiaTheme="majorEastAsia"/>
          <w:i/>
          <w:lang w:val="ru-RU"/>
        </w:rPr>
        <w:t>сделка</w:t>
      </w:r>
      <w:r w:rsidRPr="00B849DC" w:rsidR="00CF3AA6">
        <w:rPr>
          <w:rFonts w:eastAsiaTheme="majorEastAsia"/>
          <w:i/>
          <w:lang w:val="en-US"/>
        </w:rPr>
        <w:t xml:space="preserve">), </w:t>
      </w:r>
      <w:r w:rsidRPr="00B849DC" w:rsidR="004A1FAD">
        <w:rPr>
          <w:rFonts w:eastAsiaTheme="majorEastAsia"/>
          <w:lang w:val="en-US"/>
        </w:rPr>
        <w:t>which involves</w:t>
      </w:r>
      <w:r w:rsidRPr="00B849DC" w:rsidR="00CF3AA6">
        <w:rPr>
          <w:rFonts w:eastAsiaTheme="majorEastAsia"/>
          <w:lang w:val="en-US"/>
        </w:rPr>
        <w:t xml:space="preserve"> assets of </w:t>
      </w:r>
      <w:r w:rsidRPr="00B849DC" w:rsidR="004A1FAD">
        <w:rPr>
          <w:rFonts w:eastAsiaTheme="majorEastAsia"/>
          <w:lang w:val="en-US"/>
        </w:rPr>
        <w:t xml:space="preserve">a </w:t>
      </w:r>
      <w:r w:rsidRPr="00B849DC" w:rsidR="00CF3AA6">
        <w:rPr>
          <w:rFonts w:eastAsiaTheme="majorEastAsia"/>
          <w:lang w:val="en-US"/>
        </w:rPr>
        <w:t>value exceeding</w:t>
      </w:r>
      <w:r w:rsidRPr="00B849DC" w:rsidR="00CF3AA6">
        <w:rPr>
          <w:rFonts w:eastAsiaTheme="majorEastAsia"/>
          <w:i/>
          <w:lang w:val="en-US"/>
        </w:rPr>
        <w:t xml:space="preserve"> </w:t>
      </w:r>
      <w:r w:rsidRPr="00B849DC" w:rsidR="00CF3AA6">
        <w:rPr>
          <w:rFonts w:eastAsiaTheme="majorEastAsia"/>
          <w:lang w:val="en-US"/>
        </w:rPr>
        <w:t xml:space="preserve">ten per cent of </w:t>
      </w:r>
      <w:r w:rsidRPr="00B849DC" w:rsidR="00F21AED">
        <w:rPr>
          <w:rFonts w:eastAsiaTheme="majorEastAsia"/>
          <w:lang w:val="en-US"/>
        </w:rPr>
        <w:t>its</w:t>
      </w:r>
      <w:r w:rsidRPr="00B849DC" w:rsidR="00CF3AA6">
        <w:rPr>
          <w:rFonts w:eastAsiaTheme="majorEastAsia"/>
          <w:lang w:val="en-US"/>
        </w:rPr>
        <w:t xml:space="preserve"> authorized </w:t>
      </w:r>
      <w:r w:rsidRPr="00B849DC" w:rsidR="004A1FAD">
        <w:rPr>
          <w:rFonts w:eastAsiaTheme="majorEastAsia"/>
          <w:lang w:val="en-US"/>
        </w:rPr>
        <w:t xml:space="preserve">capital </w:t>
      </w:r>
      <w:r w:rsidRPr="00B849DC" w:rsidR="00CF3AA6">
        <w:rPr>
          <w:rFonts w:eastAsiaTheme="majorEastAsia"/>
          <w:lang w:val="en-US"/>
        </w:rPr>
        <w:t xml:space="preserve">or 50,000 </w:t>
      </w:r>
      <w:r w:rsidRPr="00B849DC" w:rsidR="007B055A">
        <w:rPr>
          <w:rFonts w:eastAsiaTheme="majorEastAsia"/>
          <w:lang w:val="en-US"/>
        </w:rPr>
        <w:t xml:space="preserve">times the </w:t>
      </w:r>
      <w:r w:rsidRPr="00B849DC" w:rsidR="00CF3AA6">
        <w:rPr>
          <w:rFonts w:eastAsiaTheme="majorEastAsia"/>
          <w:lang w:val="en-US"/>
        </w:rPr>
        <w:t xml:space="preserve">minimum monthly wage established by law </w:t>
      </w:r>
      <w:r w:rsidRPr="00B849DC" w:rsidR="00BD2DFC">
        <w:rPr>
          <w:rFonts w:eastAsiaTheme="majorEastAsia"/>
          <w:lang w:val="en-US"/>
        </w:rPr>
        <w:t>(section</w:t>
      </w:r>
      <w:r w:rsidRPr="00B849DC" w:rsidR="00A13211">
        <w:rPr>
          <w:rFonts w:eastAsiaTheme="majorEastAsia"/>
          <w:lang w:val="en-US"/>
        </w:rPr>
        <w:t xml:space="preserve"> </w:t>
      </w:r>
      <w:r w:rsidRPr="00B849DC" w:rsidR="00CF3AA6">
        <w:rPr>
          <w:rFonts w:eastAsiaTheme="majorEastAsia"/>
          <w:lang w:val="en-US"/>
        </w:rPr>
        <w:t>23</w:t>
      </w:r>
      <w:r w:rsidRPr="00B849DC" w:rsidR="00BD2DFC">
        <w:rPr>
          <w:rFonts w:eastAsiaTheme="majorEastAsia"/>
          <w:lang w:val="en-US"/>
        </w:rPr>
        <w:t>(</w:t>
      </w:r>
      <w:r w:rsidRPr="00B849DC" w:rsidR="00CF3AA6">
        <w:rPr>
          <w:rFonts w:eastAsiaTheme="majorEastAsia"/>
          <w:lang w:val="en-US"/>
        </w:rPr>
        <w:t>1</w:t>
      </w:r>
      <w:r w:rsidRPr="00B849DC" w:rsidR="00BD2DFC">
        <w:rPr>
          <w:rFonts w:eastAsiaTheme="majorEastAsia"/>
          <w:lang w:val="en-US"/>
        </w:rPr>
        <w:t>)</w:t>
      </w:r>
      <w:r w:rsidRPr="00B849DC" w:rsidR="00CF3AA6">
        <w:rPr>
          <w:rFonts w:eastAsiaTheme="majorEastAsia"/>
          <w:lang w:val="en-US"/>
        </w:rPr>
        <w:t xml:space="preserve"> and </w:t>
      </w:r>
      <w:r w:rsidRPr="00B849DC" w:rsidR="00BD2DFC">
        <w:rPr>
          <w:rFonts w:eastAsiaTheme="majorEastAsia"/>
          <w:lang w:val="en-US"/>
        </w:rPr>
        <w:t>(</w:t>
      </w:r>
      <w:r w:rsidRPr="00B849DC" w:rsidR="00CF3AA6">
        <w:rPr>
          <w:rFonts w:eastAsiaTheme="majorEastAsia"/>
          <w:lang w:val="en-US"/>
        </w:rPr>
        <w:t>3</w:t>
      </w:r>
      <w:r w:rsidRPr="00B849DC" w:rsidR="00BD2DFC">
        <w:rPr>
          <w:rFonts w:eastAsiaTheme="majorEastAsia"/>
          <w:lang w:val="en-US"/>
        </w:rPr>
        <w:t>)</w:t>
      </w:r>
      <w:r w:rsidRPr="00B849DC" w:rsidR="00CF3AA6">
        <w:rPr>
          <w:rFonts w:eastAsiaTheme="majorEastAsia"/>
          <w:lang w:val="en-US"/>
        </w:rPr>
        <w:t xml:space="preserve"> of the Act).</w:t>
      </w:r>
    </w:p>
    <w:p w:rsidRPr="00B849DC" w:rsidR="00CA087B" w:rsidP="00B849DC" w:rsidRDefault="00830685">
      <w:pPr>
        <w:pStyle w:val="ECHRPara"/>
        <w:rPr>
          <w:rFonts w:eastAsiaTheme="majorEastAsia"/>
          <w:lang w:val="en-US"/>
        </w:rPr>
      </w:pPr>
      <w:r w:rsidRPr="00B849DC">
        <w:rPr>
          <w:rFonts w:eastAsiaTheme="majorEastAsia"/>
          <w:lang w:val="en-US"/>
        </w:rPr>
        <w:fldChar w:fldCharType="begin"/>
      </w:r>
      <w:r w:rsidRPr="00B849DC">
        <w:rPr>
          <w:rFonts w:eastAsiaTheme="majorEastAsia"/>
          <w:lang w:val="en-US"/>
        </w:rPr>
        <w:instrText xml:space="preserve"> SEQ level0 \*arabic </w:instrText>
      </w:r>
      <w:r w:rsidRPr="00B849DC">
        <w:rPr>
          <w:rFonts w:eastAsiaTheme="majorEastAsia"/>
          <w:lang w:val="en-US"/>
        </w:rPr>
        <w:fldChar w:fldCharType="separate"/>
      </w:r>
      <w:r w:rsidRPr="00B849DC" w:rsidR="00B849DC">
        <w:rPr>
          <w:rFonts w:eastAsiaTheme="majorEastAsia"/>
          <w:noProof/>
          <w:lang w:val="en-US"/>
        </w:rPr>
        <w:t>72</w:t>
      </w:r>
      <w:r w:rsidRPr="00B849DC">
        <w:rPr>
          <w:rFonts w:eastAsiaTheme="majorEastAsia"/>
          <w:lang w:val="en-US"/>
        </w:rPr>
        <w:fldChar w:fldCharType="end"/>
      </w:r>
      <w:r w:rsidRPr="00B849DC">
        <w:rPr>
          <w:rFonts w:eastAsiaTheme="majorEastAsia"/>
          <w:lang w:val="en-US"/>
        </w:rPr>
        <w:t>.  </w:t>
      </w:r>
      <w:r w:rsidRPr="00B849DC" w:rsidR="00C01BE1">
        <w:rPr>
          <w:rFonts w:eastAsiaTheme="majorEastAsia"/>
          <w:lang w:val="en-US"/>
        </w:rPr>
        <w:t xml:space="preserve">The </w:t>
      </w:r>
      <w:r w:rsidRPr="00B849DC" w:rsidR="004A1FAD">
        <w:rPr>
          <w:rFonts w:eastAsiaTheme="majorEastAsia"/>
          <w:lang w:val="en-US"/>
        </w:rPr>
        <w:t>company</w:t>
      </w:r>
      <w:r w:rsidRPr="00B849DC" w:rsidR="00B849DC">
        <w:rPr>
          <w:rFonts w:eastAsiaTheme="majorEastAsia"/>
          <w:lang w:val="en-US"/>
        </w:rPr>
        <w:t>’</w:t>
      </w:r>
      <w:r w:rsidRPr="00B849DC" w:rsidR="004A1FAD">
        <w:rPr>
          <w:rFonts w:eastAsiaTheme="majorEastAsia"/>
          <w:lang w:val="en-US"/>
        </w:rPr>
        <w:t>s</w:t>
      </w:r>
      <w:r w:rsidRPr="00B849DC" w:rsidR="00416D89">
        <w:rPr>
          <w:rFonts w:eastAsiaTheme="majorEastAsia"/>
          <w:lang w:val="en-US"/>
        </w:rPr>
        <w:t xml:space="preserve"> financial documents are subject to </w:t>
      </w:r>
      <w:r w:rsidRPr="00B849DC" w:rsidR="004A1FAD">
        <w:rPr>
          <w:rFonts w:eastAsiaTheme="majorEastAsia"/>
          <w:lang w:val="en-US"/>
        </w:rPr>
        <w:t xml:space="preserve">a </w:t>
      </w:r>
      <w:r w:rsidRPr="00B849DC" w:rsidR="00416D89">
        <w:rPr>
          <w:rFonts w:eastAsiaTheme="majorEastAsia"/>
          <w:lang w:val="en-US"/>
        </w:rPr>
        <w:t>compulsory annual audit</w:t>
      </w:r>
      <w:r w:rsidRPr="00B849DC" w:rsidR="00AF70CB">
        <w:rPr>
          <w:rFonts w:eastAsiaTheme="majorEastAsia"/>
          <w:lang w:val="en-US"/>
        </w:rPr>
        <w:t xml:space="preserve"> and </w:t>
      </w:r>
      <w:r w:rsidRPr="00B849DC" w:rsidR="004A1FAD">
        <w:rPr>
          <w:rFonts w:eastAsiaTheme="majorEastAsia"/>
          <w:lang w:val="en-US"/>
        </w:rPr>
        <w:t xml:space="preserve">must </w:t>
      </w:r>
      <w:r w:rsidRPr="00B849DC" w:rsidR="00AF70CB">
        <w:rPr>
          <w:rFonts w:eastAsiaTheme="majorEastAsia"/>
          <w:lang w:val="en-US"/>
        </w:rPr>
        <w:t>be</w:t>
      </w:r>
      <w:r w:rsidRPr="00B849DC" w:rsidR="00361634">
        <w:rPr>
          <w:rFonts w:eastAsiaTheme="majorEastAsia"/>
          <w:lang w:val="en-US"/>
        </w:rPr>
        <w:t xml:space="preserve"> forwarded to the competent State and mu</w:t>
      </w:r>
      <w:r w:rsidRPr="00B849DC" w:rsidR="00F34B9B">
        <w:rPr>
          <w:rFonts w:eastAsiaTheme="majorEastAsia"/>
          <w:lang w:val="en-US"/>
        </w:rPr>
        <w:t>nicipal authorities (</w:t>
      </w:r>
      <w:r w:rsidRPr="00B849DC" w:rsidR="00A13211">
        <w:rPr>
          <w:rFonts w:eastAsiaTheme="majorEastAsia"/>
          <w:lang w:val="en-US"/>
        </w:rPr>
        <w:t xml:space="preserve">section </w:t>
      </w:r>
      <w:r w:rsidRPr="00B849DC" w:rsidR="00F34B9B">
        <w:rPr>
          <w:rFonts w:eastAsiaTheme="majorEastAsia"/>
          <w:lang w:val="en-US"/>
        </w:rPr>
        <w:t>26</w:t>
      </w:r>
      <w:r w:rsidRPr="00B849DC" w:rsidR="00361634">
        <w:rPr>
          <w:rFonts w:eastAsiaTheme="majorEastAsia"/>
          <w:lang w:val="en-US"/>
        </w:rPr>
        <w:t xml:space="preserve"> of the</w:t>
      </w:r>
      <w:r w:rsidRPr="00B849DC" w:rsidR="00F34B9B">
        <w:rPr>
          <w:rFonts w:eastAsiaTheme="majorEastAsia"/>
          <w:lang w:val="en-US"/>
        </w:rPr>
        <w:t xml:space="preserve"> Unitary Enterprises</w:t>
      </w:r>
      <w:r w:rsidRPr="00B849DC" w:rsidR="00361634">
        <w:rPr>
          <w:rFonts w:eastAsiaTheme="majorEastAsia"/>
          <w:lang w:val="en-US"/>
        </w:rPr>
        <w:t xml:space="preserve"> Act).</w:t>
      </w:r>
    </w:p>
    <w:p w:rsidRPr="00B849DC" w:rsidR="00CA087B" w:rsidP="00B849DC" w:rsidRDefault="00CF3AA6">
      <w:pPr>
        <w:pStyle w:val="ECHRPara"/>
        <w:rPr>
          <w:rFonts w:eastAsiaTheme="majorEastAsia"/>
          <w:lang w:val="en-US"/>
        </w:rPr>
      </w:pPr>
      <w:r w:rsidRPr="00B849DC">
        <w:rPr>
          <w:rFonts w:eastAsiaTheme="majorEastAsia"/>
          <w:lang w:val="en-US"/>
        </w:rPr>
        <w:fldChar w:fldCharType="begin"/>
      </w:r>
      <w:r w:rsidRPr="00B849DC">
        <w:rPr>
          <w:rFonts w:eastAsiaTheme="majorEastAsia"/>
          <w:lang w:val="en-US"/>
        </w:rPr>
        <w:instrText xml:space="preserve"> SEQ level0 \*arabic </w:instrText>
      </w:r>
      <w:r w:rsidRPr="00B849DC">
        <w:rPr>
          <w:rFonts w:eastAsiaTheme="majorEastAsia"/>
          <w:lang w:val="en-US"/>
        </w:rPr>
        <w:fldChar w:fldCharType="separate"/>
      </w:r>
      <w:r w:rsidRPr="00B849DC" w:rsidR="00B849DC">
        <w:rPr>
          <w:rFonts w:eastAsiaTheme="majorEastAsia"/>
          <w:noProof/>
          <w:lang w:val="en-US"/>
        </w:rPr>
        <w:t>73</w:t>
      </w:r>
      <w:r w:rsidRPr="00B849DC">
        <w:rPr>
          <w:rFonts w:eastAsiaTheme="majorEastAsia"/>
          <w:lang w:val="en-US"/>
        </w:rPr>
        <w:fldChar w:fldCharType="end"/>
      </w:r>
      <w:r w:rsidRPr="00B849DC">
        <w:rPr>
          <w:rFonts w:eastAsiaTheme="majorEastAsia"/>
          <w:lang w:val="en-US"/>
        </w:rPr>
        <w:t>.  </w:t>
      </w:r>
      <w:r w:rsidRPr="00B849DC" w:rsidR="00416D89">
        <w:rPr>
          <w:rFonts w:eastAsiaTheme="majorEastAsia"/>
          <w:lang w:val="en-US"/>
        </w:rPr>
        <w:t xml:space="preserve">The owner </w:t>
      </w:r>
      <w:r w:rsidRPr="00B849DC" w:rsidR="00241304">
        <w:rPr>
          <w:rFonts w:eastAsiaTheme="majorEastAsia"/>
          <w:lang w:val="en-US"/>
        </w:rPr>
        <w:t>sets the company</w:t>
      </w:r>
      <w:r w:rsidRPr="00B849DC" w:rsidR="00B849DC">
        <w:rPr>
          <w:rFonts w:eastAsiaTheme="majorEastAsia"/>
          <w:lang w:val="en-US"/>
        </w:rPr>
        <w:t>’</w:t>
      </w:r>
      <w:r w:rsidRPr="00B849DC" w:rsidR="00241304">
        <w:rPr>
          <w:rFonts w:eastAsiaTheme="majorEastAsia"/>
          <w:lang w:val="en-US"/>
        </w:rPr>
        <w:t>s</w:t>
      </w:r>
      <w:r w:rsidRPr="00B849DC" w:rsidR="00C230C6">
        <w:rPr>
          <w:rFonts w:eastAsiaTheme="majorEastAsia"/>
          <w:lang w:val="en-US"/>
        </w:rPr>
        <w:t xml:space="preserve"> </w:t>
      </w:r>
      <w:r w:rsidRPr="00B849DC" w:rsidR="00416D89">
        <w:rPr>
          <w:rFonts w:eastAsiaTheme="majorEastAsia"/>
          <w:lang w:val="en-US"/>
        </w:rPr>
        <w:t xml:space="preserve">the economic </w:t>
      </w:r>
      <w:r w:rsidRPr="00B849DC" w:rsidR="00C230C6">
        <w:rPr>
          <w:rFonts w:eastAsiaTheme="majorEastAsia"/>
          <w:lang w:val="en-US"/>
        </w:rPr>
        <w:t xml:space="preserve">performance </w:t>
      </w:r>
      <w:r w:rsidRPr="00B849DC" w:rsidR="00241304">
        <w:rPr>
          <w:rFonts w:eastAsiaTheme="majorEastAsia"/>
          <w:lang w:val="en-US"/>
        </w:rPr>
        <w:t>targets</w:t>
      </w:r>
      <w:r w:rsidRPr="00B849DC" w:rsidR="00416D89">
        <w:rPr>
          <w:rFonts w:eastAsiaTheme="majorEastAsia"/>
          <w:lang w:val="en-US"/>
        </w:rPr>
        <w:t xml:space="preserve"> and </w:t>
      </w:r>
      <w:r w:rsidRPr="00B849DC" w:rsidR="00C27866">
        <w:rPr>
          <w:rFonts w:eastAsiaTheme="majorEastAsia"/>
          <w:lang w:val="en-US"/>
        </w:rPr>
        <w:t xml:space="preserve">oversees its </w:t>
      </w:r>
      <w:r w:rsidRPr="00B849DC" w:rsidR="00241304">
        <w:rPr>
          <w:rFonts w:eastAsiaTheme="majorEastAsia"/>
          <w:lang w:val="en-US"/>
        </w:rPr>
        <w:t>achievement</w:t>
      </w:r>
      <w:r w:rsidRPr="00B849DC" w:rsidR="00416D89">
        <w:rPr>
          <w:rFonts w:eastAsiaTheme="majorEastAsia"/>
          <w:lang w:val="en-US"/>
        </w:rPr>
        <w:t xml:space="preserve"> </w:t>
      </w:r>
      <w:r w:rsidRPr="00B849DC" w:rsidR="00241304">
        <w:rPr>
          <w:rFonts w:eastAsiaTheme="majorEastAsia"/>
          <w:lang w:val="en-US"/>
        </w:rPr>
        <w:t xml:space="preserve">of </w:t>
      </w:r>
      <w:r w:rsidRPr="00B849DC" w:rsidR="00416D89">
        <w:rPr>
          <w:rFonts w:eastAsiaTheme="majorEastAsia"/>
          <w:lang w:val="en-US"/>
        </w:rPr>
        <w:t xml:space="preserve">those </w:t>
      </w:r>
      <w:r w:rsidRPr="00B849DC" w:rsidR="00241304">
        <w:rPr>
          <w:rFonts w:eastAsiaTheme="majorEastAsia"/>
          <w:lang w:val="en-US"/>
        </w:rPr>
        <w:t xml:space="preserve">targets </w:t>
      </w:r>
      <w:r w:rsidRPr="00B849DC" w:rsidR="00361634">
        <w:rPr>
          <w:rFonts w:eastAsiaTheme="majorEastAsia"/>
          <w:lang w:val="en-US"/>
        </w:rPr>
        <w:t>(</w:t>
      </w:r>
      <w:r w:rsidRPr="00B849DC" w:rsidR="00A13211">
        <w:rPr>
          <w:rFonts w:eastAsiaTheme="majorEastAsia"/>
          <w:lang w:val="en-US"/>
        </w:rPr>
        <w:t xml:space="preserve">section </w:t>
      </w:r>
      <w:r w:rsidRPr="00B849DC" w:rsidR="00361634">
        <w:rPr>
          <w:rFonts w:eastAsiaTheme="majorEastAsia"/>
          <w:lang w:val="en-US"/>
        </w:rPr>
        <w:t>20 of the Act)</w:t>
      </w:r>
      <w:r w:rsidRPr="00B849DC" w:rsidR="00416D89">
        <w:rPr>
          <w:rFonts w:eastAsiaTheme="majorEastAsia"/>
          <w:lang w:val="en-US"/>
        </w:rPr>
        <w:t>.</w:t>
      </w:r>
    </w:p>
    <w:p w:rsidRPr="00B849DC" w:rsidR="00410128" w:rsidP="00B849DC" w:rsidRDefault="00410128">
      <w:pPr>
        <w:pStyle w:val="ECHRPara"/>
        <w:rPr>
          <w:rFonts w:eastAsiaTheme="majorEastAsia"/>
          <w:lang w:val="en-US"/>
        </w:rPr>
      </w:pPr>
      <w:r w:rsidRPr="00B849DC">
        <w:rPr>
          <w:rFonts w:eastAsiaTheme="majorEastAsia"/>
          <w:lang w:val="ru-RU"/>
        </w:rPr>
        <w:fldChar w:fldCharType="begin"/>
      </w:r>
      <w:r w:rsidRPr="00B849DC">
        <w:rPr>
          <w:rFonts w:eastAsiaTheme="majorEastAsia"/>
          <w:lang w:val="en-US"/>
        </w:rPr>
        <w:instrText xml:space="preserve"> SEQ level0 \*arabic </w:instrText>
      </w:r>
      <w:r w:rsidRPr="00B849DC">
        <w:rPr>
          <w:rFonts w:eastAsiaTheme="majorEastAsia"/>
          <w:lang w:val="ru-RU"/>
        </w:rPr>
        <w:fldChar w:fldCharType="separate"/>
      </w:r>
      <w:r w:rsidRPr="00B849DC" w:rsidR="00B849DC">
        <w:rPr>
          <w:rFonts w:eastAsiaTheme="majorEastAsia"/>
          <w:noProof/>
          <w:lang w:val="en-US"/>
        </w:rPr>
        <w:t>74</w:t>
      </w:r>
      <w:r w:rsidRPr="00B849DC">
        <w:rPr>
          <w:rFonts w:eastAsiaTheme="majorEastAsia"/>
          <w:lang w:val="ru-RU"/>
        </w:rPr>
        <w:fldChar w:fldCharType="end"/>
      </w:r>
      <w:r w:rsidRPr="00B849DC">
        <w:rPr>
          <w:rFonts w:eastAsiaTheme="majorEastAsia"/>
          <w:lang w:val="en-US"/>
        </w:rPr>
        <w:t>.  </w:t>
      </w:r>
      <w:r w:rsidRPr="00B849DC" w:rsidR="004A1FAD">
        <w:rPr>
          <w:rFonts w:eastAsiaTheme="majorEastAsia"/>
          <w:lang w:val="en-US"/>
        </w:rPr>
        <w:t>The gains</w:t>
      </w:r>
      <w:r w:rsidRPr="00B849DC">
        <w:rPr>
          <w:rFonts w:eastAsiaTheme="majorEastAsia"/>
          <w:lang w:val="en-US"/>
        </w:rPr>
        <w:t xml:space="preserve">, products and </w:t>
      </w:r>
      <w:r w:rsidRPr="00B849DC" w:rsidR="00F37503">
        <w:rPr>
          <w:rFonts w:eastAsiaTheme="majorEastAsia"/>
          <w:lang w:val="en-US"/>
        </w:rPr>
        <w:t xml:space="preserve">profits generated by </w:t>
      </w:r>
      <w:r w:rsidRPr="00B849DC">
        <w:rPr>
          <w:rFonts w:eastAsiaTheme="majorEastAsia"/>
          <w:lang w:val="en-US"/>
        </w:rPr>
        <w:t xml:space="preserve">the use of the property under the economic control of a unitary enterprise, as well as property acquired by the enterprise under a contract or on </w:t>
      </w:r>
      <w:r w:rsidRPr="00B849DC" w:rsidR="005A3197">
        <w:rPr>
          <w:rFonts w:eastAsiaTheme="majorEastAsia"/>
          <w:lang w:val="en-US"/>
        </w:rPr>
        <w:t>another basis</w:t>
      </w:r>
      <w:r w:rsidRPr="00B849DC">
        <w:rPr>
          <w:rFonts w:eastAsiaTheme="majorEastAsia"/>
          <w:lang w:val="en-US"/>
        </w:rPr>
        <w:t xml:space="preserve">, </w:t>
      </w:r>
      <w:r w:rsidRPr="00B849DC" w:rsidR="00C46F08">
        <w:rPr>
          <w:rFonts w:eastAsiaTheme="majorEastAsia"/>
          <w:lang w:val="en-US"/>
        </w:rPr>
        <w:t>are</w:t>
      </w:r>
      <w:r w:rsidRPr="00B849DC">
        <w:rPr>
          <w:rFonts w:eastAsiaTheme="majorEastAsia"/>
          <w:lang w:val="en-US"/>
        </w:rPr>
        <w:t xml:space="preserve"> </w:t>
      </w:r>
      <w:r w:rsidRPr="00B849DC" w:rsidR="004A1FAD">
        <w:rPr>
          <w:rFonts w:eastAsiaTheme="majorEastAsia"/>
          <w:lang w:val="en-US"/>
        </w:rPr>
        <w:t xml:space="preserve">placed </w:t>
      </w:r>
      <w:r w:rsidRPr="00B849DC">
        <w:rPr>
          <w:rFonts w:eastAsiaTheme="majorEastAsia"/>
          <w:lang w:val="en-US"/>
        </w:rPr>
        <w:t xml:space="preserve">under the economic control of the enterprise in accordance with the </w:t>
      </w:r>
      <w:r w:rsidRPr="00B849DC" w:rsidR="004A1FAD">
        <w:rPr>
          <w:rFonts w:eastAsiaTheme="majorEastAsia"/>
          <w:lang w:val="en-US"/>
        </w:rPr>
        <w:t xml:space="preserve">provisions of the </w:t>
      </w:r>
      <w:r w:rsidRPr="00B849DC">
        <w:rPr>
          <w:rFonts w:eastAsiaTheme="majorEastAsia"/>
          <w:lang w:val="en-US"/>
        </w:rPr>
        <w:t>Code and other laws (</w:t>
      </w:r>
      <w:r w:rsidRPr="00B849DC">
        <w:rPr>
          <w:rFonts w:eastAsiaTheme="majorEastAsia"/>
          <w:lang w:val="en-GB"/>
        </w:rPr>
        <w:t>Article</w:t>
      </w:r>
      <w:r w:rsidRPr="00B849DC">
        <w:rPr>
          <w:lang w:val="en-US"/>
        </w:rPr>
        <w:t> 299 § 2 of the Civil Code)</w:t>
      </w:r>
      <w:r w:rsidRPr="00B849DC" w:rsidR="003A49AF">
        <w:rPr>
          <w:lang w:val="en-US"/>
        </w:rPr>
        <w:t>.</w:t>
      </w:r>
    </w:p>
    <w:p w:rsidRPr="00B849DC" w:rsidR="00CA087B" w:rsidP="00B849DC" w:rsidRDefault="003A58B8">
      <w:pPr>
        <w:pStyle w:val="ECHRPara"/>
        <w:rPr>
          <w:lang w:val="en-US"/>
        </w:rPr>
      </w:pPr>
      <w:r w:rsidRPr="00B849DC">
        <w:rPr>
          <w:rFonts w:eastAsiaTheme="majorEastAsia"/>
          <w:lang w:val="ru-RU"/>
        </w:rPr>
        <w:fldChar w:fldCharType="begin"/>
      </w:r>
      <w:r w:rsidRPr="00B849DC">
        <w:rPr>
          <w:rFonts w:eastAsiaTheme="majorEastAsia"/>
          <w:lang w:val="en-US"/>
        </w:rPr>
        <w:instrText xml:space="preserve"> SEQ level0 \*arabic </w:instrText>
      </w:r>
      <w:r w:rsidRPr="00B849DC">
        <w:rPr>
          <w:rFonts w:eastAsiaTheme="majorEastAsia"/>
          <w:lang w:val="ru-RU"/>
        </w:rPr>
        <w:fldChar w:fldCharType="separate"/>
      </w:r>
      <w:r w:rsidRPr="00B849DC" w:rsidR="00B849DC">
        <w:rPr>
          <w:rFonts w:eastAsiaTheme="majorEastAsia"/>
          <w:noProof/>
          <w:lang w:val="en-US"/>
        </w:rPr>
        <w:t>75</w:t>
      </w:r>
      <w:r w:rsidRPr="00B849DC">
        <w:rPr>
          <w:rFonts w:eastAsiaTheme="majorEastAsia"/>
          <w:lang w:val="ru-RU"/>
        </w:rPr>
        <w:fldChar w:fldCharType="end"/>
      </w:r>
      <w:r w:rsidRPr="00B849DC">
        <w:rPr>
          <w:rFonts w:eastAsiaTheme="majorEastAsia"/>
          <w:lang w:val="en-US"/>
        </w:rPr>
        <w:t>.  </w:t>
      </w:r>
      <w:r w:rsidRPr="00B849DC" w:rsidR="00DD6F74">
        <w:rPr>
          <w:rFonts w:eastAsiaTheme="majorEastAsia"/>
          <w:lang w:val="en-GB"/>
        </w:rPr>
        <w:t>The</w:t>
      </w:r>
      <w:r w:rsidRPr="00B849DC" w:rsidR="00DD6F74">
        <w:rPr>
          <w:rFonts w:eastAsiaTheme="majorEastAsia"/>
          <w:lang w:val="en-US"/>
        </w:rPr>
        <w:t xml:space="preserve"> </w:t>
      </w:r>
      <w:r w:rsidRPr="00B849DC" w:rsidR="00DD6F74">
        <w:rPr>
          <w:rFonts w:eastAsiaTheme="majorEastAsia"/>
          <w:lang w:val="en-GB"/>
        </w:rPr>
        <w:t>right</w:t>
      </w:r>
      <w:r w:rsidRPr="00B849DC" w:rsidR="00DD6F74">
        <w:rPr>
          <w:rFonts w:eastAsiaTheme="majorEastAsia"/>
          <w:lang w:val="en-US"/>
        </w:rPr>
        <w:t xml:space="preserve"> </w:t>
      </w:r>
      <w:r w:rsidRPr="00B849DC" w:rsidR="00DD6F74">
        <w:rPr>
          <w:rFonts w:eastAsiaTheme="majorEastAsia"/>
          <w:lang w:val="en-GB"/>
        </w:rPr>
        <w:t>of</w:t>
      </w:r>
      <w:r w:rsidRPr="00B849DC" w:rsidR="00DD6F74">
        <w:rPr>
          <w:rFonts w:eastAsiaTheme="majorEastAsia"/>
          <w:lang w:val="en-US"/>
        </w:rPr>
        <w:t xml:space="preserve"> </w:t>
      </w:r>
      <w:r w:rsidRPr="00B849DC" w:rsidR="00DD6F74">
        <w:rPr>
          <w:rFonts w:eastAsiaTheme="majorEastAsia"/>
          <w:lang w:val="en-GB"/>
        </w:rPr>
        <w:t>economic</w:t>
      </w:r>
      <w:r w:rsidRPr="00B849DC" w:rsidR="00DD6F74">
        <w:rPr>
          <w:rFonts w:eastAsiaTheme="majorEastAsia"/>
          <w:lang w:val="en-US"/>
        </w:rPr>
        <w:t xml:space="preserve"> </w:t>
      </w:r>
      <w:r w:rsidRPr="00B849DC" w:rsidR="00DD6F74">
        <w:rPr>
          <w:rFonts w:eastAsiaTheme="majorEastAsia"/>
          <w:lang w:val="en-GB"/>
        </w:rPr>
        <w:t>control</w:t>
      </w:r>
      <w:r w:rsidRPr="00B849DC" w:rsidR="00DD6F74">
        <w:rPr>
          <w:rFonts w:eastAsiaTheme="majorEastAsia"/>
          <w:lang w:val="en-US"/>
        </w:rPr>
        <w:t xml:space="preserve"> </w:t>
      </w:r>
      <w:r w:rsidRPr="00B849DC" w:rsidR="008B7DDD">
        <w:rPr>
          <w:rFonts w:eastAsiaTheme="majorEastAsia"/>
          <w:lang w:val="en-GB"/>
        </w:rPr>
        <w:t>can be terminated</w:t>
      </w:r>
      <w:r w:rsidRPr="00B849DC" w:rsidR="008B7DDD">
        <w:rPr>
          <w:rFonts w:eastAsiaTheme="majorEastAsia"/>
          <w:lang w:val="en-US"/>
        </w:rPr>
        <w:t xml:space="preserve"> </w:t>
      </w:r>
      <w:r w:rsidRPr="00B849DC" w:rsidR="00DD6F74">
        <w:rPr>
          <w:rFonts w:eastAsiaTheme="majorEastAsia"/>
          <w:lang w:val="en-GB"/>
        </w:rPr>
        <w:t>on</w:t>
      </w:r>
      <w:r w:rsidRPr="00B849DC" w:rsidR="00DD6F74">
        <w:rPr>
          <w:rFonts w:eastAsiaTheme="majorEastAsia"/>
          <w:lang w:val="en-US"/>
        </w:rPr>
        <w:t xml:space="preserve"> </w:t>
      </w:r>
      <w:r w:rsidRPr="00B849DC" w:rsidR="00DD6F74">
        <w:rPr>
          <w:rFonts w:eastAsiaTheme="majorEastAsia"/>
          <w:lang w:val="en-GB"/>
        </w:rPr>
        <w:t>the</w:t>
      </w:r>
      <w:r w:rsidRPr="00B849DC" w:rsidR="00DD6F74">
        <w:rPr>
          <w:rFonts w:eastAsiaTheme="majorEastAsia"/>
          <w:lang w:val="en-US"/>
        </w:rPr>
        <w:t xml:space="preserve"> </w:t>
      </w:r>
      <w:r w:rsidRPr="00B849DC" w:rsidR="00DD6F74">
        <w:rPr>
          <w:rFonts w:eastAsiaTheme="majorEastAsia"/>
          <w:lang w:val="en-GB"/>
        </w:rPr>
        <w:t>same</w:t>
      </w:r>
      <w:r w:rsidRPr="00B849DC" w:rsidR="00DD6F74">
        <w:rPr>
          <w:rFonts w:eastAsiaTheme="majorEastAsia"/>
          <w:lang w:val="en-US"/>
        </w:rPr>
        <w:t xml:space="preserve"> </w:t>
      </w:r>
      <w:r w:rsidRPr="00B849DC" w:rsidR="00DD6F74">
        <w:rPr>
          <w:rFonts w:eastAsiaTheme="majorEastAsia"/>
          <w:lang w:val="en-GB"/>
        </w:rPr>
        <w:t>grounds</w:t>
      </w:r>
      <w:r w:rsidRPr="00B849DC" w:rsidR="00DD6F74">
        <w:rPr>
          <w:rFonts w:eastAsiaTheme="majorEastAsia"/>
          <w:lang w:val="en-US"/>
        </w:rPr>
        <w:t xml:space="preserve"> </w:t>
      </w:r>
      <w:r w:rsidRPr="00B849DC" w:rsidR="005A3197">
        <w:rPr>
          <w:rFonts w:eastAsiaTheme="majorEastAsia"/>
          <w:lang w:val="en-US"/>
        </w:rPr>
        <w:t xml:space="preserve">and according to the procedure </w:t>
      </w:r>
      <w:r w:rsidRPr="00B849DC" w:rsidR="005A3197">
        <w:rPr>
          <w:rFonts w:eastAsiaTheme="majorEastAsia"/>
          <w:lang w:val="en-GB"/>
        </w:rPr>
        <w:t>set out in the laws on the termination of</w:t>
      </w:r>
      <w:r w:rsidRPr="00B849DC" w:rsidR="005A3197">
        <w:rPr>
          <w:rFonts w:eastAsiaTheme="majorEastAsia"/>
          <w:lang w:val="en-US"/>
        </w:rPr>
        <w:t xml:space="preserve"> </w:t>
      </w:r>
      <w:r w:rsidRPr="00B849DC" w:rsidR="00DD6F74">
        <w:rPr>
          <w:rFonts w:eastAsiaTheme="majorEastAsia"/>
          <w:lang w:val="en-GB"/>
        </w:rPr>
        <w:t>property</w:t>
      </w:r>
      <w:r w:rsidRPr="00B849DC" w:rsidR="00DD6F74">
        <w:rPr>
          <w:rFonts w:eastAsiaTheme="majorEastAsia"/>
          <w:lang w:val="en-US"/>
        </w:rPr>
        <w:t xml:space="preserve"> </w:t>
      </w:r>
      <w:r w:rsidRPr="00B849DC" w:rsidR="00DD6F74">
        <w:rPr>
          <w:rFonts w:eastAsiaTheme="majorEastAsia"/>
          <w:lang w:val="en-GB"/>
        </w:rPr>
        <w:t>rights</w:t>
      </w:r>
      <w:r w:rsidRPr="00B849DC" w:rsidR="00DD6F74">
        <w:rPr>
          <w:rFonts w:eastAsiaTheme="majorEastAsia"/>
          <w:lang w:val="en-US"/>
        </w:rPr>
        <w:t xml:space="preserve">, </w:t>
      </w:r>
      <w:r w:rsidRPr="00B849DC" w:rsidR="00DD6F74">
        <w:rPr>
          <w:rFonts w:eastAsiaTheme="majorEastAsia"/>
          <w:lang w:val="en-GB"/>
        </w:rPr>
        <w:t>as</w:t>
      </w:r>
      <w:r w:rsidRPr="00B849DC" w:rsidR="00DD6F74">
        <w:rPr>
          <w:rFonts w:eastAsiaTheme="majorEastAsia"/>
          <w:lang w:val="en-US"/>
        </w:rPr>
        <w:t xml:space="preserve"> </w:t>
      </w:r>
      <w:r w:rsidRPr="00B849DC" w:rsidR="00DD6F74">
        <w:rPr>
          <w:rFonts w:eastAsiaTheme="majorEastAsia"/>
          <w:lang w:val="en-GB"/>
        </w:rPr>
        <w:t>well</w:t>
      </w:r>
      <w:r w:rsidRPr="00B849DC" w:rsidR="00DD6F74">
        <w:rPr>
          <w:rFonts w:eastAsiaTheme="majorEastAsia"/>
          <w:lang w:val="en-US"/>
        </w:rPr>
        <w:t xml:space="preserve"> </w:t>
      </w:r>
      <w:r w:rsidRPr="00B849DC" w:rsidR="00DD6F74">
        <w:rPr>
          <w:rFonts w:eastAsiaTheme="majorEastAsia"/>
          <w:lang w:val="en-GB"/>
        </w:rPr>
        <w:t>as</w:t>
      </w:r>
      <w:r w:rsidRPr="00B849DC" w:rsidR="00DD6F74">
        <w:rPr>
          <w:rFonts w:eastAsiaTheme="majorEastAsia"/>
          <w:lang w:val="en-US"/>
        </w:rPr>
        <w:t xml:space="preserve"> </w:t>
      </w:r>
      <w:r w:rsidRPr="00B849DC" w:rsidR="00DD6F74">
        <w:rPr>
          <w:rFonts w:eastAsiaTheme="majorEastAsia"/>
          <w:lang w:val="en-GB"/>
        </w:rPr>
        <w:t>in</w:t>
      </w:r>
      <w:r w:rsidRPr="00B849DC" w:rsidR="00DD6F74">
        <w:rPr>
          <w:rFonts w:eastAsiaTheme="majorEastAsia"/>
          <w:lang w:val="en-US"/>
        </w:rPr>
        <w:t xml:space="preserve"> </w:t>
      </w:r>
      <w:r w:rsidRPr="00B849DC" w:rsidR="00DD6F74">
        <w:rPr>
          <w:rFonts w:eastAsiaTheme="majorEastAsia"/>
          <w:lang w:val="en-GB"/>
        </w:rPr>
        <w:t>cases</w:t>
      </w:r>
      <w:r w:rsidRPr="00B849DC" w:rsidR="00DD6F74">
        <w:rPr>
          <w:rFonts w:eastAsiaTheme="majorEastAsia"/>
          <w:lang w:val="en-US"/>
        </w:rPr>
        <w:t xml:space="preserve"> </w:t>
      </w:r>
      <w:r w:rsidRPr="00B849DC" w:rsidR="00DD6F74">
        <w:rPr>
          <w:rFonts w:eastAsiaTheme="majorEastAsia"/>
          <w:lang w:val="en-GB"/>
        </w:rPr>
        <w:t xml:space="preserve">where the owner legitimately seizes assets from the </w:t>
      </w:r>
      <w:r w:rsidRPr="00B849DC" w:rsidR="003456AE">
        <w:rPr>
          <w:rFonts w:eastAsiaTheme="majorEastAsia"/>
          <w:lang w:val="en-GB"/>
        </w:rPr>
        <w:t xml:space="preserve">unitary </w:t>
      </w:r>
      <w:r w:rsidRPr="00B849DC" w:rsidR="00DD6F74">
        <w:rPr>
          <w:rFonts w:eastAsiaTheme="majorEastAsia"/>
          <w:lang w:val="en-GB"/>
        </w:rPr>
        <w:t>enterprise (Article</w:t>
      </w:r>
      <w:r w:rsidRPr="00B849DC" w:rsidR="00CA293F">
        <w:rPr>
          <w:rFonts w:eastAsiaTheme="majorEastAsia"/>
          <w:lang w:val="en-US"/>
        </w:rPr>
        <w:t> </w:t>
      </w:r>
      <w:r w:rsidRPr="00B849DC" w:rsidR="00DD6F74">
        <w:rPr>
          <w:rFonts w:eastAsiaTheme="majorEastAsia"/>
          <w:lang w:val="en-US"/>
        </w:rPr>
        <w:t>299</w:t>
      </w:r>
      <w:r w:rsidRPr="00B849DC" w:rsidR="00DD6F74">
        <w:rPr>
          <w:rFonts w:eastAsiaTheme="majorEastAsia"/>
          <w:lang w:val="en-GB"/>
        </w:rPr>
        <w:t> </w:t>
      </w:r>
      <w:r w:rsidRPr="00B849DC" w:rsidR="00DD6F74">
        <w:rPr>
          <w:rFonts w:eastAsiaTheme="majorEastAsia"/>
          <w:lang w:val="en-US"/>
        </w:rPr>
        <w:t>§</w:t>
      </w:r>
      <w:r w:rsidRPr="00B849DC" w:rsidR="00DD6F74">
        <w:rPr>
          <w:rFonts w:eastAsiaTheme="majorEastAsia"/>
          <w:lang w:val="en-GB"/>
        </w:rPr>
        <w:t> </w:t>
      </w:r>
      <w:r w:rsidRPr="00B849DC" w:rsidR="00DD6F74">
        <w:rPr>
          <w:rFonts w:eastAsiaTheme="majorEastAsia"/>
          <w:lang w:val="en-US"/>
        </w:rPr>
        <w:t xml:space="preserve">3 </w:t>
      </w:r>
      <w:r w:rsidRPr="00B849DC" w:rsidR="00DD6F74">
        <w:rPr>
          <w:rFonts w:eastAsiaTheme="majorEastAsia"/>
          <w:lang w:val="en-GB"/>
        </w:rPr>
        <w:t>of</w:t>
      </w:r>
      <w:r w:rsidRPr="00B849DC" w:rsidR="00DD6F74">
        <w:rPr>
          <w:rFonts w:eastAsiaTheme="majorEastAsia"/>
          <w:lang w:val="en-US"/>
        </w:rPr>
        <w:t xml:space="preserve"> </w:t>
      </w:r>
      <w:r w:rsidRPr="00B849DC" w:rsidR="00DD6F74">
        <w:rPr>
          <w:rFonts w:eastAsiaTheme="majorEastAsia"/>
          <w:lang w:val="en-GB"/>
        </w:rPr>
        <w:t>the</w:t>
      </w:r>
      <w:r w:rsidRPr="00B849DC" w:rsidR="00DD6F74">
        <w:rPr>
          <w:rFonts w:eastAsiaTheme="majorEastAsia"/>
          <w:lang w:val="en-US"/>
        </w:rPr>
        <w:t xml:space="preserve"> </w:t>
      </w:r>
      <w:r w:rsidRPr="00B849DC" w:rsidR="00DD6F74">
        <w:rPr>
          <w:rFonts w:eastAsiaTheme="majorEastAsia"/>
          <w:lang w:val="en-GB"/>
        </w:rPr>
        <w:t>Civil</w:t>
      </w:r>
      <w:r w:rsidRPr="00B849DC" w:rsidR="00DD6F74">
        <w:rPr>
          <w:rFonts w:eastAsiaTheme="majorEastAsia"/>
          <w:lang w:val="en-US"/>
        </w:rPr>
        <w:t xml:space="preserve"> </w:t>
      </w:r>
      <w:r w:rsidRPr="00B849DC" w:rsidR="00DD6F74">
        <w:rPr>
          <w:rFonts w:eastAsiaTheme="majorEastAsia"/>
          <w:lang w:val="en-GB"/>
        </w:rPr>
        <w:t xml:space="preserve">Code). </w:t>
      </w:r>
      <w:r w:rsidRPr="00B849DC" w:rsidR="00E33E22">
        <w:rPr>
          <w:rFonts w:eastAsiaTheme="majorEastAsia"/>
          <w:lang w:val="en-GB"/>
        </w:rPr>
        <w:t>The company</w:t>
      </w:r>
      <w:r w:rsidRPr="00B849DC" w:rsidR="00B849DC">
        <w:rPr>
          <w:rFonts w:eastAsiaTheme="majorEastAsia"/>
          <w:lang w:val="en-GB"/>
        </w:rPr>
        <w:t>’</w:t>
      </w:r>
      <w:r w:rsidRPr="00B849DC" w:rsidR="00E33E22">
        <w:rPr>
          <w:rFonts w:eastAsiaTheme="majorEastAsia"/>
          <w:lang w:val="en-GB"/>
        </w:rPr>
        <w:t xml:space="preserve">s right </w:t>
      </w:r>
      <w:r w:rsidRPr="00B849DC" w:rsidR="00DD6F74">
        <w:rPr>
          <w:rFonts w:eastAsiaTheme="majorEastAsia"/>
          <w:lang w:val="en-GB"/>
        </w:rPr>
        <w:t xml:space="preserve">to property may be </w:t>
      </w:r>
      <w:r w:rsidRPr="00B849DC" w:rsidR="00F32EE7">
        <w:rPr>
          <w:rFonts w:eastAsiaTheme="majorEastAsia"/>
          <w:lang w:val="en-GB"/>
        </w:rPr>
        <w:t>extinguished</w:t>
      </w:r>
      <w:r w:rsidRPr="00B849DC" w:rsidR="00DD6F74">
        <w:rPr>
          <w:rFonts w:eastAsiaTheme="majorEastAsia"/>
          <w:lang w:val="en-GB"/>
        </w:rPr>
        <w:t xml:space="preserve">, in particular, </w:t>
      </w:r>
      <w:r w:rsidRPr="00B849DC" w:rsidR="00F32EE7">
        <w:rPr>
          <w:rFonts w:eastAsiaTheme="majorEastAsia"/>
          <w:lang w:val="en-GB"/>
        </w:rPr>
        <w:t>where</w:t>
      </w:r>
      <w:r w:rsidRPr="00B849DC" w:rsidR="00DD6F74">
        <w:rPr>
          <w:rFonts w:eastAsiaTheme="majorEastAsia"/>
          <w:lang w:val="en-GB"/>
        </w:rPr>
        <w:t xml:space="preserve"> the owner </w:t>
      </w:r>
      <w:r w:rsidRPr="00B849DC" w:rsidR="00C27866">
        <w:rPr>
          <w:rFonts w:eastAsiaTheme="majorEastAsia"/>
          <w:lang w:val="en-GB"/>
        </w:rPr>
        <w:t xml:space="preserve">renounces </w:t>
      </w:r>
      <w:r w:rsidRPr="00B849DC" w:rsidR="003456AE">
        <w:rPr>
          <w:rFonts w:eastAsiaTheme="majorEastAsia"/>
          <w:lang w:val="en-GB"/>
        </w:rPr>
        <w:t xml:space="preserve">that right </w:t>
      </w:r>
      <w:r w:rsidRPr="00B849DC" w:rsidR="00DD6F74">
        <w:rPr>
          <w:rFonts w:eastAsiaTheme="majorEastAsia"/>
          <w:lang w:val="en-GB"/>
        </w:rPr>
        <w:t>(Article</w:t>
      </w:r>
      <w:r w:rsidRPr="00B849DC" w:rsidR="0016692A">
        <w:rPr>
          <w:rFonts w:eastAsiaTheme="majorEastAsia"/>
          <w:lang w:val="en-GB"/>
        </w:rPr>
        <w:t>s</w:t>
      </w:r>
      <w:r w:rsidRPr="00B849DC" w:rsidR="00DD6F74">
        <w:rPr>
          <w:rFonts w:eastAsiaTheme="majorEastAsia"/>
          <w:lang w:val="en-GB"/>
        </w:rPr>
        <w:t> </w:t>
      </w:r>
      <w:r w:rsidRPr="00B849DC" w:rsidR="00DD6F74">
        <w:rPr>
          <w:rFonts w:eastAsiaTheme="majorEastAsia"/>
          <w:lang w:val="en-US"/>
        </w:rPr>
        <w:t>235</w:t>
      </w:r>
      <w:r w:rsidRPr="00B849DC" w:rsidR="00DD6F74">
        <w:rPr>
          <w:lang w:val="en-US"/>
        </w:rPr>
        <w:t xml:space="preserve"> § 1 </w:t>
      </w:r>
      <w:r w:rsidRPr="00B849DC" w:rsidR="002E0235">
        <w:rPr>
          <w:lang w:val="en-US"/>
        </w:rPr>
        <w:t>and </w:t>
      </w:r>
      <w:r w:rsidRPr="00B849DC" w:rsidR="0016692A">
        <w:rPr>
          <w:lang w:val="en-US"/>
        </w:rPr>
        <w:t xml:space="preserve">236 </w:t>
      </w:r>
      <w:r w:rsidRPr="00B849DC" w:rsidR="00DD6F74">
        <w:rPr>
          <w:lang w:val="en-US"/>
        </w:rPr>
        <w:t>of the Code).</w:t>
      </w:r>
    </w:p>
    <w:p w:rsidRPr="00B849DC" w:rsidR="00CA087B" w:rsidP="00B849DC" w:rsidRDefault="007B3D32">
      <w:pPr>
        <w:pStyle w:val="ECHRHeading4"/>
        <w:rPr>
          <w:lang w:val="en-US"/>
        </w:rPr>
      </w:pPr>
      <w:r w:rsidRPr="00B849DC">
        <w:rPr>
          <w:lang w:val="en-US"/>
        </w:rPr>
        <w:t>(</w:t>
      </w:r>
      <w:r w:rsidRPr="00B849DC" w:rsidR="00FD4A1F">
        <w:rPr>
          <w:lang w:val="en-US"/>
        </w:rPr>
        <w:t>b</w:t>
      </w:r>
      <w:r w:rsidRPr="00B849DC">
        <w:rPr>
          <w:lang w:val="en-US"/>
        </w:rPr>
        <w:t>)  Relevant case-law</w:t>
      </w:r>
    </w:p>
    <w:p w:rsidRPr="00B849DC" w:rsidR="00E40E2A" w:rsidP="00B849DC" w:rsidRDefault="00E40E2A">
      <w:pPr>
        <w:pStyle w:val="ECHRHeading5"/>
        <w:rPr>
          <w:lang w:val="en-US"/>
        </w:rPr>
      </w:pPr>
      <w:r w:rsidRPr="00B849DC">
        <w:rPr>
          <w:lang w:val="en-US"/>
        </w:rPr>
        <w:t>(i)  Binding clarifications by the Supreme Court and the Supreme Commercial Court of Russia</w:t>
      </w:r>
    </w:p>
    <w:p w:rsidRPr="00B849DC" w:rsidR="00E276E8" w:rsidP="00B849DC" w:rsidRDefault="00243354">
      <w:pPr>
        <w:pStyle w:val="ECHRHeading6"/>
        <w:rPr>
          <w:lang w:val="en-US"/>
        </w:rPr>
      </w:pPr>
      <w:r w:rsidRPr="00B849DC">
        <w:rPr>
          <w:rFonts w:cstheme="majorHAnsi"/>
          <w:lang w:val="en-US"/>
        </w:rPr>
        <w:t>(</w:t>
      </w:r>
      <w:r w:rsidRPr="00B849DC" w:rsidR="00E276E8">
        <w:rPr>
          <w:rFonts w:cstheme="majorHAnsi"/>
        </w:rPr>
        <w:t>α</w:t>
      </w:r>
      <w:r w:rsidRPr="00B849DC">
        <w:rPr>
          <w:rFonts w:cstheme="majorHAnsi"/>
          <w:lang w:val="en-US"/>
        </w:rPr>
        <w:t>)</w:t>
      </w:r>
      <w:r w:rsidRPr="00B849DC" w:rsidR="00E276E8">
        <w:rPr>
          <w:rFonts w:cstheme="majorHAnsi"/>
          <w:lang w:val="en-US"/>
        </w:rPr>
        <w:t>  </w:t>
      </w:r>
      <w:r w:rsidRPr="00B849DC" w:rsidR="00DB3ACD">
        <w:rPr>
          <w:rFonts w:cstheme="majorHAnsi"/>
          <w:lang w:val="en-US"/>
        </w:rPr>
        <w:t xml:space="preserve">Invalidity of </w:t>
      </w:r>
      <w:r w:rsidRPr="00B849DC" w:rsidR="004775E3">
        <w:rPr>
          <w:rFonts w:cstheme="majorHAnsi"/>
          <w:lang w:val="en-US"/>
        </w:rPr>
        <w:t xml:space="preserve">certain transactions made by </w:t>
      </w:r>
      <w:r w:rsidRPr="00B849DC" w:rsidR="00DB3ACD">
        <w:rPr>
          <w:rFonts w:cstheme="majorHAnsi"/>
          <w:lang w:val="en-US"/>
        </w:rPr>
        <w:t xml:space="preserve">the owner </w:t>
      </w:r>
      <w:r w:rsidRPr="00B849DC" w:rsidR="001D34FC">
        <w:rPr>
          <w:rFonts w:cstheme="majorHAnsi"/>
          <w:lang w:val="en-US"/>
        </w:rPr>
        <w:t xml:space="preserve">involving </w:t>
      </w:r>
      <w:r w:rsidRPr="00B849DC" w:rsidR="00DB3ACD">
        <w:rPr>
          <w:rFonts w:cstheme="majorHAnsi"/>
          <w:lang w:val="en-US"/>
        </w:rPr>
        <w:t xml:space="preserve">the assets </w:t>
      </w:r>
      <w:r w:rsidRPr="00B849DC" w:rsidR="003456AE">
        <w:rPr>
          <w:rFonts w:cstheme="majorHAnsi"/>
          <w:lang w:val="en-US"/>
        </w:rPr>
        <w:t>placed</w:t>
      </w:r>
      <w:r w:rsidRPr="00B849DC" w:rsidR="00522D77">
        <w:rPr>
          <w:rFonts w:cstheme="majorHAnsi"/>
          <w:lang w:val="en-US"/>
        </w:rPr>
        <w:t xml:space="preserve"> </w:t>
      </w:r>
      <w:r w:rsidRPr="00B849DC" w:rsidR="00DB3ACD">
        <w:rPr>
          <w:rFonts w:cstheme="majorHAnsi"/>
          <w:lang w:val="en-US"/>
        </w:rPr>
        <w:t>under the enterprise</w:t>
      </w:r>
      <w:r w:rsidRPr="00B849DC" w:rsidR="00B849DC">
        <w:rPr>
          <w:rFonts w:cstheme="majorHAnsi"/>
          <w:lang w:val="en-US"/>
        </w:rPr>
        <w:t>’</w:t>
      </w:r>
      <w:r w:rsidRPr="00B849DC" w:rsidR="00DB3ACD">
        <w:rPr>
          <w:rFonts w:cstheme="majorHAnsi"/>
          <w:lang w:val="en-US"/>
        </w:rPr>
        <w:t>s economic control</w:t>
      </w:r>
    </w:p>
    <w:p w:rsidRPr="00B849DC" w:rsidR="00E276E8" w:rsidP="00B849DC" w:rsidRDefault="00E276E8">
      <w:pPr>
        <w:pStyle w:val="ECHRPara"/>
        <w:rPr>
          <w:lang w:val="en-US"/>
        </w:rPr>
      </w:pPr>
      <w:r w:rsidRPr="00B849DC">
        <w:fldChar w:fldCharType="begin"/>
      </w:r>
      <w:r w:rsidRPr="00B849DC">
        <w:rPr>
          <w:lang w:val="en-US"/>
        </w:rPr>
        <w:instrText xml:space="preserve"> SEQ level0 \*arabic </w:instrText>
      </w:r>
      <w:r w:rsidRPr="00B849DC">
        <w:fldChar w:fldCharType="separate"/>
      </w:r>
      <w:r w:rsidRPr="00B849DC" w:rsidR="00B849DC">
        <w:rPr>
          <w:noProof/>
          <w:lang w:val="en-US"/>
        </w:rPr>
        <w:t>76</w:t>
      </w:r>
      <w:r w:rsidRPr="00B849DC">
        <w:fldChar w:fldCharType="end"/>
      </w:r>
      <w:r w:rsidRPr="00B849DC">
        <w:rPr>
          <w:lang w:val="en-US"/>
        </w:rPr>
        <w:t>.  By Ruling no. 6/8 of 1 July 1996 the Plenary Session of the Supreme Court and the Supreme Commercial Court of Russia reiterated that the owner</w:t>
      </w:r>
      <w:r w:rsidRPr="00B849DC" w:rsidR="00B849DC">
        <w:rPr>
          <w:lang w:val="en-US"/>
        </w:rPr>
        <w:t>’</w:t>
      </w:r>
      <w:r w:rsidRPr="00B849DC">
        <w:rPr>
          <w:lang w:val="en-US"/>
        </w:rPr>
        <w:t xml:space="preserve">s rights in respect of the assets allocated to a state or municipal unitary company under the right of economic control </w:t>
      </w:r>
      <w:r w:rsidRPr="00B849DC" w:rsidR="00F21AED">
        <w:rPr>
          <w:lang w:val="en-US"/>
        </w:rPr>
        <w:t xml:space="preserve">were </w:t>
      </w:r>
      <w:r w:rsidRPr="00B849DC">
        <w:rPr>
          <w:lang w:val="en-US"/>
        </w:rPr>
        <w:t>listed in Article 295 § 2 of the Civil Code and</w:t>
      </w:r>
      <w:r w:rsidRPr="00B849DC">
        <w:rPr>
          <w:lang w:val="en-GB"/>
        </w:rPr>
        <w:t xml:space="preserve"> emphasised</w:t>
      </w:r>
      <w:r w:rsidRPr="00B849DC">
        <w:rPr>
          <w:lang w:val="en-US"/>
        </w:rPr>
        <w:t xml:space="preserve"> that the owner </w:t>
      </w:r>
      <w:r w:rsidRPr="00B849DC" w:rsidR="00F21AED">
        <w:rPr>
          <w:lang w:val="en-US"/>
        </w:rPr>
        <w:t xml:space="preserve">was </w:t>
      </w:r>
      <w:r w:rsidRPr="00B849DC">
        <w:rPr>
          <w:lang w:val="en-US"/>
        </w:rPr>
        <w:t xml:space="preserve">not entitled to seize, lease or otherwise dispose of such assets. </w:t>
      </w:r>
      <w:r w:rsidRPr="00B849DC" w:rsidR="00A03491">
        <w:rPr>
          <w:lang w:val="en-US"/>
        </w:rPr>
        <w:t xml:space="preserve">Acts of disposal </w:t>
      </w:r>
      <w:r w:rsidRPr="00B849DC" w:rsidR="00FB6BAF">
        <w:rPr>
          <w:lang w:val="en-US"/>
        </w:rPr>
        <w:t>by t</w:t>
      </w:r>
      <w:r w:rsidRPr="00B849DC">
        <w:rPr>
          <w:lang w:val="en-US"/>
        </w:rPr>
        <w:t xml:space="preserve">he State and local authorities </w:t>
      </w:r>
      <w:r w:rsidRPr="00B849DC" w:rsidR="00A03491">
        <w:rPr>
          <w:lang w:val="en-US"/>
        </w:rPr>
        <w:t>of the</w:t>
      </w:r>
      <w:r w:rsidRPr="00B849DC">
        <w:rPr>
          <w:lang w:val="en-US"/>
        </w:rPr>
        <w:t xml:space="preserve"> assets allocated </w:t>
      </w:r>
      <w:r w:rsidRPr="00B849DC" w:rsidR="00FB6BAF">
        <w:rPr>
          <w:lang w:val="en-US"/>
        </w:rPr>
        <w:t xml:space="preserve">to the unitary enterprise </w:t>
      </w:r>
      <w:r w:rsidRPr="00B849DC">
        <w:rPr>
          <w:lang w:val="en-US"/>
        </w:rPr>
        <w:t xml:space="preserve">under </w:t>
      </w:r>
      <w:r w:rsidRPr="00B849DC" w:rsidR="00FB6BAF">
        <w:rPr>
          <w:lang w:val="en-US"/>
        </w:rPr>
        <w:t>its</w:t>
      </w:r>
      <w:r w:rsidRPr="00B849DC">
        <w:rPr>
          <w:lang w:val="en-US"/>
        </w:rPr>
        <w:t xml:space="preserve"> economic control </w:t>
      </w:r>
      <w:r w:rsidRPr="00B849DC" w:rsidR="00F21AED">
        <w:rPr>
          <w:lang w:val="en-US"/>
        </w:rPr>
        <w:t xml:space="preserve">had to </w:t>
      </w:r>
      <w:r w:rsidRPr="00B849DC">
        <w:rPr>
          <w:lang w:val="en-US"/>
        </w:rPr>
        <w:t xml:space="preserve">be declared invalid </w:t>
      </w:r>
      <w:r w:rsidRPr="00B849DC" w:rsidR="00F21AED">
        <w:rPr>
          <w:lang w:val="en-US"/>
        </w:rPr>
        <w:t>pursuant to a</w:t>
      </w:r>
      <w:r w:rsidRPr="00B849DC" w:rsidR="00B9299F">
        <w:rPr>
          <w:lang w:val="en-US"/>
        </w:rPr>
        <w:t xml:space="preserve"> claim</w:t>
      </w:r>
      <w:r w:rsidRPr="00B849DC" w:rsidR="00F21AED">
        <w:rPr>
          <w:lang w:val="en-US"/>
        </w:rPr>
        <w:t xml:space="preserve"> by the respective enterprise</w:t>
      </w:r>
      <w:r w:rsidRPr="00B849DC" w:rsidR="00B9299F">
        <w:rPr>
          <w:lang w:val="en-US"/>
        </w:rPr>
        <w:t xml:space="preserve"> </w:t>
      </w:r>
      <w:r w:rsidRPr="00B849DC">
        <w:rPr>
          <w:lang w:val="en-US"/>
        </w:rPr>
        <w:t xml:space="preserve">(§ 40 of the Ruling). According to Ruling </w:t>
      </w:r>
      <w:r w:rsidRPr="00B849DC" w:rsidR="00AF70CB">
        <w:rPr>
          <w:lang w:val="en-US"/>
        </w:rPr>
        <w:t>no. 10/22 of 29 April 2010 (cited in paragraph </w:t>
      </w:r>
      <w:r w:rsidRPr="00B849DC" w:rsidR="005E13C9">
        <w:rPr>
          <w:lang w:val="en-US"/>
        </w:rPr>
        <w:t>68</w:t>
      </w:r>
      <w:r w:rsidRPr="00B849DC" w:rsidR="00AF70CB">
        <w:rPr>
          <w:lang w:val="en-US"/>
        </w:rPr>
        <w:t xml:space="preserve"> above)</w:t>
      </w:r>
      <w:r w:rsidRPr="00B849DC">
        <w:rPr>
          <w:lang w:val="en-US"/>
        </w:rPr>
        <w:t xml:space="preserve">, </w:t>
      </w:r>
      <w:r w:rsidRPr="00B849DC">
        <w:rPr>
          <w:lang w:val="en-GB"/>
        </w:rPr>
        <w:t xml:space="preserve">the owner </w:t>
      </w:r>
      <w:r w:rsidRPr="00B849DC" w:rsidR="00A03491">
        <w:rPr>
          <w:lang w:val="en-GB"/>
        </w:rPr>
        <w:t xml:space="preserve">cannot </w:t>
      </w:r>
      <w:r w:rsidRPr="00B849DC">
        <w:rPr>
          <w:lang w:val="en-GB"/>
        </w:rPr>
        <w:t xml:space="preserve">dispose of </w:t>
      </w:r>
      <w:r w:rsidRPr="00B849DC" w:rsidR="00E35810">
        <w:rPr>
          <w:lang w:val="en-GB"/>
        </w:rPr>
        <w:t>such assets</w:t>
      </w:r>
      <w:r w:rsidRPr="00B849DC">
        <w:rPr>
          <w:lang w:val="en-US"/>
        </w:rPr>
        <w:t xml:space="preserve"> irrespective of the consent of the enterprise (§ 5 of the Ruling).</w:t>
      </w:r>
    </w:p>
    <w:p w:rsidRPr="00B849DC" w:rsidR="00E276E8" w:rsidP="00B849DC" w:rsidRDefault="00243354">
      <w:pPr>
        <w:pStyle w:val="ECHRHeading6"/>
        <w:rPr>
          <w:lang w:val="en-US"/>
        </w:rPr>
      </w:pPr>
      <w:r w:rsidRPr="00B849DC">
        <w:rPr>
          <w:rFonts w:cstheme="minorHAnsi"/>
          <w:lang w:val="en-US"/>
        </w:rPr>
        <w:t>(</w:t>
      </w:r>
      <w:r w:rsidRPr="00B849DC" w:rsidR="00E276E8">
        <w:rPr>
          <w:rFonts w:cstheme="minorHAnsi"/>
        </w:rPr>
        <w:t>β</w:t>
      </w:r>
      <w:r w:rsidRPr="00B849DC">
        <w:rPr>
          <w:rFonts w:cstheme="minorHAnsi"/>
          <w:lang w:val="en-US"/>
        </w:rPr>
        <w:t>)</w:t>
      </w:r>
      <w:r w:rsidRPr="00B849DC" w:rsidR="00E276E8">
        <w:rPr>
          <w:lang w:val="en-US"/>
        </w:rPr>
        <w:t>  </w:t>
      </w:r>
      <w:r w:rsidRPr="00B849DC" w:rsidR="00DB3ACD">
        <w:rPr>
          <w:lang w:val="en-US"/>
        </w:rPr>
        <w:t>The enterprise</w:t>
      </w:r>
      <w:r w:rsidRPr="00B849DC" w:rsidR="00B849DC">
        <w:rPr>
          <w:lang w:val="en-US"/>
        </w:rPr>
        <w:t>’</w:t>
      </w:r>
      <w:r w:rsidRPr="00B849DC" w:rsidR="00DB3ACD">
        <w:rPr>
          <w:lang w:val="en-US"/>
        </w:rPr>
        <w:t>s right to bring proceedings against the owner</w:t>
      </w:r>
    </w:p>
    <w:p w:rsidRPr="00B849DC" w:rsidR="00CA087B" w:rsidP="00B849DC" w:rsidRDefault="00E276E8">
      <w:pPr>
        <w:pStyle w:val="ECHRPara"/>
        <w:rPr>
          <w:lang w:val="en-US"/>
        </w:rPr>
      </w:pPr>
      <w:r w:rsidRPr="00B849DC">
        <w:rPr>
          <w:lang w:val="en-US"/>
        </w:rPr>
        <w:fldChar w:fldCharType="begin"/>
      </w:r>
      <w:r w:rsidRPr="00B849DC">
        <w:rPr>
          <w:lang w:val="en-US"/>
        </w:rPr>
        <w:instrText xml:space="preserve"> SEQ level0 \*arabic </w:instrText>
      </w:r>
      <w:r w:rsidRPr="00B849DC">
        <w:rPr>
          <w:lang w:val="en-US"/>
        </w:rPr>
        <w:fldChar w:fldCharType="separate"/>
      </w:r>
      <w:r w:rsidRPr="00B849DC" w:rsidR="00B849DC">
        <w:rPr>
          <w:noProof/>
          <w:lang w:val="en-US"/>
        </w:rPr>
        <w:t>77</w:t>
      </w:r>
      <w:r w:rsidRPr="00B849DC">
        <w:rPr>
          <w:lang w:val="en-US"/>
        </w:rPr>
        <w:fldChar w:fldCharType="end"/>
      </w:r>
      <w:r w:rsidRPr="00B849DC">
        <w:rPr>
          <w:lang w:val="en-US"/>
        </w:rPr>
        <w:t>.  </w:t>
      </w:r>
      <w:proofErr w:type="gramStart"/>
      <w:r w:rsidRPr="00B849DC">
        <w:rPr>
          <w:lang w:val="en-US"/>
        </w:rPr>
        <w:t xml:space="preserve">By </w:t>
      </w:r>
      <w:r w:rsidRPr="00B849DC" w:rsidR="00E35810">
        <w:rPr>
          <w:lang w:val="en-US"/>
        </w:rPr>
        <w:t>Ruling</w:t>
      </w:r>
      <w:r w:rsidRPr="00B849DC" w:rsidR="003B69D7">
        <w:rPr>
          <w:lang w:val="en-US"/>
        </w:rPr>
        <w:t>s</w:t>
      </w:r>
      <w:r w:rsidRPr="00B849DC" w:rsidR="00E35810">
        <w:rPr>
          <w:lang w:val="en-US"/>
        </w:rPr>
        <w:t xml:space="preserve"> no.</w:t>
      </w:r>
      <w:proofErr w:type="gramEnd"/>
      <w:r w:rsidRPr="00B849DC" w:rsidR="00E35810">
        <w:rPr>
          <w:lang w:val="en-US"/>
        </w:rPr>
        <w:t> 8-O of 25 </w:t>
      </w:r>
      <w:r w:rsidRPr="00B849DC" w:rsidR="00DB3ACD">
        <w:rPr>
          <w:lang w:val="en-US"/>
        </w:rPr>
        <w:t xml:space="preserve">February 1998 </w:t>
      </w:r>
      <w:r w:rsidRPr="00B849DC" w:rsidR="003B69D7">
        <w:rPr>
          <w:lang w:val="en-US"/>
        </w:rPr>
        <w:t xml:space="preserve">and no. 10/22 of 29 April 2010 </w:t>
      </w:r>
      <w:r w:rsidRPr="00B849DC" w:rsidR="00DB3ACD">
        <w:rPr>
          <w:lang w:val="en-US"/>
        </w:rPr>
        <w:t>the Plenary Supreme Commercial Court</w:t>
      </w:r>
      <w:r w:rsidRPr="00B849DC" w:rsidR="00DB3ACD">
        <w:rPr>
          <w:lang w:val="en-GB"/>
        </w:rPr>
        <w:t xml:space="preserve"> emphasised</w:t>
      </w:r>
      <w:r w:rsidRPr="00B849DC" w:rsidR="00DB3ACD">
        <w:rPr>
          <w:lang w:val="en-US"/>
        </w:rPr>
        <w:t xml:space="preserve"> that unitary enterprises enjoy</w:t>
      </w:r>
      <w:r w:rsidRPr="00B849DC" w:rsidR="00F21AED">
        <w:rPr>
          <w:lang w:val="en-US"/>
        </w:rPr>
        <w:t>ed</w:t>
      </w:r>
      <w:r w:rsidRPr="00B849DC" w:rsidR="00DB3ACD">
        <w:rPr>
          <w:lang w:val="en-US"/>
        </w:rPr>
        <w:t xml:space="preserve"> </w:t>
      </w:r>
      <w:r w:rsidRPr="00B849DC" w:rsidR="00FB6BAF">
        <w:rPr>
          <w:lang w:val="en-US"/>
        </w:rPr>
        <w:t xml:space="preserve">the same </w:t>
      </w:r>
      <w:r w:rsidRPr="00B849DC" w:rsidR="00DB3ACD">
        <w:rPr>
          <w:lang w:val="en-US"/>
        </w:rPr>
        <w:t xml:space="preserve">rights </w:t>
      </w:r>
      <w:r w:rsidRPr="00B849DC" w:rsidR="00FB6BAF">
        <w:rPr>
          <w:lang w:val="en-US"/>
        </w:rPr>
        <w:t>as</w:t>
      </w:r>
      <w:r w:rsidRPr="00B849DC" w:rsidR="00DB3ACD">
        <w:rPr>
          <w:lang w:val="en-US"/>
        </w:rPr>
        <w:t xml:space="preserve"> </w:t>
      </w:r>
      <w:r w:rsidRPr="00B849DC" w:rsidR="00F21AED">
        <w:rPr>
          <w:lang w:val="en-US"/>
        </w:rPr>
        <w:t xml:space="preserve">the </w:t>
      </w:r>
      <w:r w:rsidRPr="00B849DC" w:rsidR="00DB3ACD">
        <w:rPr>
          <w:lang w:val="en-US"/>
        </w:rPr>
        <w:t>owner</w:t>
      </w:r>
      <w:r w:rsidRPr="00B849DC" w:rsidR="00F21AED">
        <w:rPr>
          <w:lang w:val="en-US"/>
        </w:rPr>
        <w:t>s</w:t>
      </w:r>
      <w:r w:rsidRPr="00B849DC" w:rsidR="00DB3ACD">
        <w:rPr>
          <w:lang w:val="en-US"/>
        </w:rPr>
        <w:t xml:space="preserve"> to seek court protection of the assets </w:t>
      </w:r>
      <w:r w:rsidRPr="00B849DC" w:rsidR="00FB6BAF">
        <w:rPr>
          <w:lang w:val="en-US"/>
        </w:rPr>
        <w:t xml:space="preserve">placed </w:t>
      </w:r>
      <w:r w:rsidRPr="00B849DC" w:rsidR="00DB3ACD">
        <w:rPr>
          <w:lang w:val="en-US"/>
        </w:rPr>
        <w:t xml:space="preserve">under </w:t>
      </w:r>
      <w:r w:rsidRPr="00B849DC" w:rsidR="00F21AED">
        <w:rPr>
          <w:lang w:val="en-US"/>
        </w:rPr>
        <w:t xml:space="preserve">their </w:t>
      </w:r>
      <w:r w:rsidRPr="00B849DC" w:rsidR="00DB3ACD">
        <w:rPr>
          <w:lang w:val="en-US"/>
        </w:rPr>
        <w:t>economic control, including the right to bring a vindicatory or</w:t>
      </w:r>
      <w:r w:rsidRPr="00B849DC" w:rsidR="00DB3ACD">
        <w:rPr>
          <w:lang w:val="en-GB"/>
        </w:rPr>
        <w:t xml:space="preserve"> negatory</w:t>
      </w:r>
      <w:r w:rsidRPr="00B849DC" w:rsidR="00DB3ACD">
        <w:rPr>
          <w:lang w:val="en-US"/>
        </w:rPr>
        <w:t xml:space="preserve"> action (</w:t>
      </w:r>
      <w:r w:rsidRPr="00B849DC" w:rsidR="00DB3ACD">
        <w:rPr>
          <w:i/>
          <w:lang w:val="en-US"/>
        </w:rPr>
        <w:t>actio negatoria</w:t>
      </w:r>
      <w:r w:rsidRPr="00B849DC" w:rsidR="00DB3ACD">
        <w:rPr>
          <w:lang w:val="en-US"/>
        </w:rPr>
        <w:t>) against the owner.</w:t>
      </w:r>
    </w:p>
    <w:p w:rsidRPr="00B849DC" w:rsidR="00E40E2A" w:rsidP="00B849DC" w:rsidRDefault="00E40E2A">
      <w:pPr>
        <w:pStyle w:val="ECHRHeading5"/>
        <w:rPr>
          <w:lang w:val="en-US"/>
        </w:rPr>
      </w:pPr>
      <w:r w:rsidRPr="00B849DC">
        <w:rPr>
          <w:lang w:val="en-US"/>
        </w:rPr>
        <w:t>(ii)  Case-law of the commercial courts</w:t>
      </w:r>
    </w:p>
    <w:p w:rsidRPr="00B849DC" w:rsidR="00B72552" w:rsidP="00B849DC" w:rsidRDefault="00243354">
      <w:pPr>
        <w:pStyle w:val="ECHRHeading6"/>
        <w:rPr>
          <w:lang w:val="en-US"/>
        </w:rPr>
      </w:pPr>
      <w:r w:rsidRPr="00B849DC">
        <w:rPr>
          <w:rFonts w:cstheme="minorHAnsi"/>
          <w:lang w:val="en-US"/>
        </w:rPr>
        <w:t>(</w:t>
      </w:r>
      <w:r w:rsidRPr="00B849DC" w:rsidR="00B72552">
        <w:rPr>
          <w:rFonts w:cstheme="minorHAnsi"/>
        </w:rPr>
        <w:t>α</w:t>
      </w:r>
      <w:r w:rsidRPr="00B849DC">
        <w:rPr>
          <w:rFonts w:cstheme="minorHAnsi"/>
          <w:lang w:val="en-US"/>
        </w:rPr>
        <w:t>)</w:t>
      </w:r>
      <w:r w:rsidRPr="00B849DC" w:rsidR="00B72552">
        <w:rPr>
          <w:lang w:val="en-US"/>
        </w:rPr>
        <w:t>  </w:t>
      </w:r>
      <w:r w:rsidRPr="00B849DC" w:rsidR="006D7E56">
        <w:rPr>
          <w:lang w:val="en-US"/>
        </w:rPr>
        <w:t>Different approaches to the m</w:t>
      </w:r>
      <w:r w:rsidRPr="00B849DC" w:rsidR="00B72552">
        <w:rPr>
          <w:lang w:val="en-US"/>
        </w:rPr>
        <w:t xml:space="preserve">anagement of assets acquired as a result of the </w:t>
      </w:r>
      <w:r w:rsidRPr="00B849DC" w:rsidR="00F925E7">
        <w:rPr>
          <w:lang w:val="en-US"/>
        </w:rPr>
        <w:t>company</w:t>
      </w:r>
      <w:r w:rsidRPr="00B849DC" w:rsidR="00B849DC">
        <w:rPr>
          <w:lang w:val="en-US"/>
        </w:rPr>
        <w:t>’</w:t>
      </w:r>
      <w:r w:rsidRPr="00B849DC" w:rsidR="00F925E7">
        <w:rPr>
          <w:lang w:val="en-US"/>
        </w:rPr>
        <w:t xml:space="preserve">s </w:t>
      </w:r>
      <w:r w:rsidRPr="00B849DC" w:rsidR="00B72552">
        <w:rPr>
          <w:lang w:val="en-US"/>
        </w:rPr>
        <w:t>commercial activity</w:t>
      </w:r>
    </w:p>
    <w:p w:rsidRPr="00B849DC" w:rsidR="00CA087B" w:rsidP="00B849DC" w:rsidRDefault="00B72552">
      <w:pPr>
        <w:pStyle w:val="ECHRPara"/>
        <w:rPr>
          <w:lang w:val="en-US" w:bidi="en-US"/>
        </w:rPr>
      </w:pPr>
      <w:r w:rsidRPr="00B849DC">
        <w:rPr>
          <w:lang w:val="en-US" w:bidi="en-US"/>
        </w:rPr>
        <w:fldChar w:fldCharType="begin"/>
      </w:r>
      <w:r w:rsidRPr="00B849DC">
        <w:rPr>
          <w:lang w:val="en-US" w:bidi="en-US"/>
        </w:rPr>
        <w:instrText xml:space="preserve"> SEQ level0 \*arabic </w:instrText>
      </w:r>
      <w:r w:rsidRPr="00B849DC">
        <w:rPr>
          <w:lang w:val="en-US" w:bidi="en-US"/>
        </w:rPr>
        <w:fldChar w:fldCharType="separate"/>
      </w:r>
      <w:r w:rsidRPr="00B849DC" w:rsidR="00B849DC">
        <w:rPr>
          <w:noProof/>
          <w:lang w:val="en-US" w:bidi="en-US"/>
        </w:rPr>
        <w:t>78</w:t>
      </w:r>
      <w:r w:rsidRPr="00B849DC">
        <w:rPr>
          <w:lang w:val="en-US" w:bidi="en-US"/>
        </w:rPr>
        <w:fldChar w:fldCharType="end"/>
      </w:r>
      <w:r w:rsidRPr="00B849DC">
        <w:rPr>
          <w:lang w:val="en-US" w:bidi="en-US"/>
        </w:rPr>
        <w:t>.  </w:t>
      </w:r>
      <w:r w:rsidRPr="00B849DC" w:rsidR="006D7E56">
        <w:rPr>
          <w:lang w:val="en-US" w:bidi="en-US"/>
        </w:rPr>
        <w:t>By judgment no. 6709/97 of 21 April 1998</w:t>
      </w:r>
      <w:r w:rsidRPr="00B849DC">
        <w:rPr>
          <w:lang w:val="en-US" w:bidi="en-US"/>
        </w:rPr>
        <w:t xml:space="preserve"> the Presidium of the Supreme Commercial Court</w:t>
      </w:r>
      <w:r w:rsidRPr="00B849DC" w:rsidR="006D7E56">
        <w:rPr>
          <w:lang w:val="en-US" w:bidi="en-US"/>
        </w:rPr>
        <w:t xml:space="preserve"> found that </w:t>
      </w:r>
      <w:r w:rsidRPr="00B849DC">
        <w:rPr>
          <w:lang w:val="en-US" w:bidi="en-US"/>
        </w:rPr>
        <w:t xml:space="preserve">where real estate is acquired by </w:t>
      </w:r>
      <w:r w:rsidRPr="00B849DC" w:rsidR="00F925E7">
        <w:rPr>
          <w:lang w:val="en-US" w:bidi="en-US"/>
        </w:rPr>
        <w:t xml:space="preserve">a </w:t>
      </w:r>
      <w:r w:rsidRPr="00B849DC">
        <w:rPr>
          <w:lang w:val="en-US" w:bidi="en-US"/>
        </w:rPr>
        <w:t>unitary enterprise as a result of its economic activity, the owner</w:t>
      </w:r>
      <w:r w:rsidRPr="00B849DC" w:rsidR="00B849DC">
        <w:rPr>
          <w:lang w:val="en-US" w:bidi="en-US"/>
        </w:rPr>
        <w:t>’</w:t>
      </w:r>
      <w:r w:rsidRPr="00B849DC">
        <w:rPr>
          <w:lang w:val="en-US" w:bidi="en-US"/>
        </w:rPr>
        <w:t xml:space="preserve">s consent </w:t>
      </w:r>
      <w:r w:rsidRPr="00B849DC" w:rsidR="00C27866">
        <w:rPr>
          <w:lang w:val="en-US" w:bidi="en-US"/>
        </w:rPr>
        <w:t xml:space="preserve">to </w:t>
      </w:r>
      <w:r w:rsidRPr="00B849DC">
        <w:rPr>
          <w:lang w:val="en-US" w:bidi="en-US"/>
        </w:rPr>
        <w:t xml:space="preserve">a transaction involving </w:t>
      </w:r>
      <w:r w:rsidRPr="00B849DC" w:rsidR="00F925E7">
        <w:rPr>
          <w:lang w:val="en-US" w:bidi="en-US"/>
        </w:rPr>
        <w:t xml:space="preserve">that real </w:t>
      </w:r>
      <w:r w:rsidRPr="00B849DC">
        <w:rPr>
          <w:lang w:val="en-US" w:bidi="en-US"/>
        </w:rPr>
        <w:t>estate is not required.</w:t>
      </w:r>
    </w:p>
    <w:p w:rsidRPr="00B849DC" w:rsidR="00CA087B" w:rsidP="00B849DC" w:rsidRDefault="00B72552">
      <w:pPr>
        <w:pStyle w:val="ECHRPara"/>
        <w:rPr>
          <w:lang w:val="en-US"/>
        </w:rPr>
      </w:pPr>
      <w:r w:rsidRPr="00B849DC">
        <w:rPr>
          <w:lang w:val="en-US" w:bidi="en-US"/>
        </w:rPr>
        <w:fldChar w:fldCharType="begin"/>
      </w:r>
      <w:r w:rsidRPr="00B849DC">
        <w:rPr>
          <w:lang w:val="en-US" w:bidi="en-US"/>
        </w:rPr>
        <w:instrText xml:space="preserve"> SEQ level0 \*arabic </w:instrText>
      </w:r>
      <w:r w:rsidRPr="00B849DC">
        <w:rPr>
          <w:lang w:val="en-US" w:bidi="en-US"/>
        </w:rPr>
        <w:fldChar w:fldCharType="separate"/>
      </w:r>
      <w:r w:rsidRPr="00B849DC" w:rsidR="00B849DC">
        <w:rPr>
          <w:noProof/>
          <w:lang w:val="en-US" w:bidi="en-US"/>
        </w:rPr>
        <w:t>79</w:t>
      </w:r>
      <w:r w:rsidRPr="00B849DC">
        <w:rPr>
          <w:lang w:val="en-US" w:bidi="en-US"/>
        </w:rPr>
        <w:fldChar w:fldCharType="end"/>
      </w:r>
      <w:r w:rsidRPr="00B849DC" w:rsidR="003E695A">
        <w:rPr>
          <w:lang w:val="en-US" w:bidi="en-US"/>
        </w:rPr>
        <w:t>.  </w:t>
      </w:r>
      <w:proofErr w:type="gramStart"/>
      <w:r w:rsidRPr="00B849DC" w:rsidR="0076377E">
        <w:rPr>
          <w:lang w:val="en-US" w:bidi="en-US"/>
        </w:rPr>
        <w:t xml:space="preserve">In case </w:t>
      </w:r>
      <w:r w:rsidRPr="00B849DC" w:rsidR="00DD60F8">
        <w:rPr>
          <w:bCs/>
          <w:lang w:val="en-US" w:bidi="en-US"/>
        </w:rPr>
        <w:t>no.</w:t>
      </w:r>
      <w:proofErr w:type="gramEnd"/>
      <w:r w:rsidRPr="00B849DC" w:rsidR="00DD60F8">
        <w:rPr>
          <w:bCs/>
          <w:lang w:val="en-US" w:bidi="en-US"/>
        </w:rPr>
        <w:t> </w:t>
      </w:r>
      <w:r w:rsidRPr="00B849DC" w:rsidR="00DD60F8">
        <w:rPr>
          <w:bCs/>
          <w:lang w:val="ru-RU" w:bidi="en-US"/>
        </w:rPr>
        <w:t>Ф</w:t>
      </w:r>
      <w:r w:rsidRPr="00B849DC" w:rsidR="00DD60F8">
        <w:rPr>
          <w:bCs/>
          <w:lang w:val="en-US" w:bidi="en-US"/>
        </w:rPr>
        <w:t>08-1332/2002 m</w:t>
      </w:r>
      <w:r w:rsidRPr="00B849DC">
        <w:rPr>
          <w:lang w:val="en-US" w:bidi="en-US"/>
        </w:rPr>
        <w:t xml:space="preserve">unicipal unitary enterprise O. sold </w:t>
      </w:r>
      <w:r w:rsidRPr="00B849DC" w:rsidR="007B055A">
        <w:rPr>
          <w:lang w:val="en-US" w:bidi="en-US"/>
        </w:rPr>
        <w:t xml:space="preserve">unfinished </w:t>
      </w:r>
      <w:r w:rsidRPr="00B849DC">
        <w:rPr>
          <w:lang w:val="en-US" w:bidi="en-US"/>
        </w:rPr>
        <w:t xml:space="preserve">premises to a private company. The administration of district K., the owner of the </w:t>
      </w:r>
      <w:r w:rsidRPr="00B849DC" w:rsidR="00F925E7">
        <w:rPr>
          <w:lang w:val="en-US" w:bidi="en-US"/>
        </w:rPr>
        <w:t>company</w:t>
      </w:r>
      <w:r w:rsidRPr="00B849DC" w:rsidR="00B849DC">
        <w:rPr>
          <w:lang w:val="en-US" w:bidi="en-US"/>
        </w:rPr>
        <w:t>’</w:t>
      </w:r>
      <w:r w:rsidRPr="00B849DC" w:rsidR="00F925E7">
        <w:rPr>
          <w:lang w:val="en-US" w:bidi="en-US"/>
        </w:rPr>
        <w:t xml:space="preserve">s </w:t>
      </w:r>
      <w:r w:rsidRPr="00B849DC">
        <w:rPr>
          <w:lang w:val="en-US" w:bidi="en-US"/>
        </w:rPr>
        <w:t>property, challenged the validity of the contract since it had not been approved by the owner. The lower courts rejected the action, stating that the company had built the premises at its own expense and co</w:t>
      </w:r>
      <w:r w:rsidRPr="00B849DC" w:rsidR="000D168D">
        <w:rPr>
          <w:lang w:val="en-US" w:bidi="en-US"/>
        </w:rPr>
        <w:t xml:space="preserve">uld </w:t>
      </w:r>
      <w:r w:rsidRPr="00B849DC" w:rsidR="00F925E7">
        <w:rPr>
          <w:lang w:val="en-US" w:bidi="en-US"/>
        </w:rPr>
        <w:t xml:space="preserve">therefore </w:t>
      </w:r>
      <w:r w:rsidRPr="00B849DC" w:rsidR="000D168D">
        <w:rPr>
          <w:lang w:val="en-US" w:bidi="en-US"/>
        </w:rPr>
        <w:t xml:space="preserve">dispose of </w:t>
      </w:r>
      <w:r w:rsidRPr="00B849DC" w:rsidR="00F925E7">
        <w:rPr>
          <w:lang w:val="en-US" w:bidi="en-US"/>
        </w:rPr>
        <w:t xml:space="preserve">them </w:t>
      </w:r>
      <w:r w:rsidRPr="00B849DC" w:rsidR="000D168D">
        <w:rPr>
          <w:lang w:val="en-US" w:bidi="en-US"/>
        </w:rPr>
        <w:t>irrespective</w:t>
      </w:r>
      <w:r w:rsidRPr="00B849DC">
        <w:rPr>
          <w:lang w:val="en-US" w:bidi="en-US"/>
        </w:rPr>
        <w:t xml:space="preserve"> of the owner</w:t>
      </w:r>
      <w:r w:rsidRPr="00B849DC" w:rsidR="00B849DC">
        <w:rPr>
          <w:lang w:val="en-US" w:bidi="en-US"/>
        </w:rPr>
        <w:t>’</w:t>
      </w:r>
      <w:r w:rsidRPr="00B849DC">
        <w:rPr>
          <w:lang w:val="en-US" w:bidi="en-US"/>
        </w:rPr>
        <w:t xml:space="preserve">s consent. </w:t>
      </w:r>
      <w:proofErr w:type="gramStart"/>
      <w:r w:rsidRPr="00B849DC">
        <w:rPr>
          <w:lang w:val="en-US" w:bidi="en-US"/>
        </w:rPr>
        <w:t xml:space="preserve">By final judgment </w:t>
      </w:r>
      <w:r w:rsidRPr="00B849DC" w:rsidR="00F925E7">
        <w:rPr>
          <w:bCs/>
          <w:lang w:val="en-US" w:bidi="en-US"/>
        </w:rPr>
        <w:t>no.</w:t>
      </w:r>
      <w:proofErr w:type="gramEnd"/>
      <w:r w:rsidRPr="00B849DC" w:rsidR="00F925E7">
        <w:rPr>
          <w:bCs/>
          <w:lang w:val="en-US" w:bidi="en-US"/>
        </w:rPr>
        <w:t> </w:t>
      </w:r>
      <w:proofErr w:type="gramStart"/>
      <w:r w:rsidRPr="00B849DC" w:rsidR="00F925E7">
        <w:rPr>
          <w:bCs/>
          <w:lang w:val="ru-RU" w:bidi="en-US"/>
        </w:rPr>
        <w:t>Ф</w:t>
      </w:r>
      <w:r w:rsidRPr="00B849DC" w:rsidR="00F925E7">
        <w:rPr>
          <w:bCs/>
          <w:lang w:val="en-US" w:bidi="en-US"/>
        </w:rPr>
        <w:t xml:space="preserve">08-1332/2002 </w:t>
      </w:r>
      <w:r w:rsidRPr="00B849DC">
        <w:rPr>
          <w:lang w:val="en-US" w:bidi="en-US"/>
        </w:rPr>
        <w:t xml:space="preserve">of 30 April 2002 </w:t>
      </w:r>
      <w:r w:rsidRPr="00B849DC">
        <w:rPr>
          <w:bCs/>
          <w:lang w:val="en-US" w:bidi="en-US"/>
        </w:rPr>
        <w:t>the Federal Commercial Court of the North-Caucasus Circuit quashed the lower court</w:t>
      </w:r>
      <w:r w:rsidRPr="00B849DC" w:rsidR="00B849DC">
        <w:rPr>
          <w:bCs/>
          <w:lang w:val="en-US" w:bidi="en-US"/>
        </w:rPr>
        <w:t>’</w:t>
      </w:r>
      <w:r w:rsidRPr="00B849DC">
        <w:rPr>
          <w:bCs/>
          <w:lang w:val="en-US" w:bidi="en-US"/>
        </w:rPr>
        <w:t>s findings with reference to Article </w:t>
      </w:r>
      <w:r w:rsidRPr="00B849DC">
        <w:rPr>
          <w:lang w:val="en-US"/>
        </w:rPr>
        <w:t xml:space="preserve">299 § 2 </w:t>
      </w:r>
      <w:r w:rsidRPr="00B849DC" w:rsidR="00F925E7">
        <w:rPr>
          <w:lang w:val="en-US"/>
        </w:rPr>
        <w:t xml:space="preserve">of the Civil Code </w:t>
      </w:r>
      <w:r w:rsidRPr="00B849DC">
        <w:rPr>
          <w:lang w:val="en-US"/>
        </w:rPr>
        <w:t>(see paragraph </w:t>
      </w:r>
      <w:r w:rsidRPr="00B849DC" w:rsidR="005E13C9">
        <w:rPr>
          <w:lang w:val="en-US"/>
        </w:rPr>
        <w:t>74</w:t>
      </w:r>
      <w:r w:rsidRPr="00B849DC">
        <w:rPr>
          <w:lang w:val="en-US"/>
        </w:rPr>
        <w:t xml:space="preserve"> above), </w:t>
      </w:r>
      <w:r w:rsidRPr="00B849DC">
        <w:rPr>
          <w:bCs/>
          <w:lang w:val="en-US" w:bidi="en-US"/>
        </w:rPr>
        <w:t xml:space="preserve">having found, </w:t>
      </w:r>
      <w:r w:rsidRPr="00B849DC">
        <w:rPr>
          <w:bCs/>
          <w:i/>
          <w:lang w:val="en-US" w:bidi="en-US"/>
        </w:rPr>
        <w:t>inter alia</w:t>
      </w:r>
      <w:r w:rsidRPr="00B849DC">
        <w:rPr>
          <w:bCs/>
          <w:lang w:val="en-US" w:bidi="en-US"/>
        </w:rPr>
        <w:t xml:space="preserve">, that the </w:t>
      </w:r>
      <w:r w:rsidRPr="00B849DC" w:rsidR="00F925E7">
        <w:rPr>
          <w:bCs/>
          <w:lang w:val="en-US" w:bidi="en-US"/>
        </w:rPr>
        <w:t>gains</w:t>
      </w:r>
      <w:r w:rsidRPr="00B849DC">
        <w:rPr>
          <w:bCs/>
          <w:lang w:val="en-US" w:bidi="en-US"/>
        </w:rPr>
        <w:t>, products and profit</w:t>
      </w:r>
      <w:r w:rsidRPr="00B849DC" w:rsidR="00F925E7">
        <w:rPr>
          <w:bCs/>
          <w:lang w:val="en-US" w:bidi="en-US"/>
        </w:rPr>
        <w:t>s</w:t>
      </w:r>
      <w:r w:rsidRPr="00B849DC">
        <w:rPr>
          <w:bCs/>
          <w:lang w:val="en-US" w:bidi="en-US"/>
        </w:rPr>
        <w:t xml:space="preserve"> </w:t>
      </w:r>
      <w:r w:rsidRPr="00B849DC" w:rsidR="00F925E7">
        <w:rPr>
          <w:bCs/>
          <w:lang w:val="en-US" w:bidi="en-US"/>
        </w:rPr>
        <w:t xml:space="preserve">generated by a municipal unitary enterprise </w:t>
      </w:r>
      <w:r w:rsidRPr="00B849DC">
        <w:rPr>
          <w:bCs/>
          <w:lang w:val="en-US" w:bidi="en-US"/>
        </w:rPr>
        <w:t xml:space="preserve">as a result of </w:t>
      </w:r>
      <w:r w:rsidRPr="00B849DC" w:rsidR="00F925E7">
        <w:rPr>
          <w:bCs/>
          <w:lang w:val="en-US" w:bidi="en-US"/>
        </w:rPr>
        <w:t xml:space="preserve">its </w:t>
      </w:r>
      <w:r w:rsidRPr="00B849DC">
        <w:rPr>
          <w:bCs/>
          <w:lang w:val="en-US" w:bidi="en-US"/>
        </w:rPr>
        <w:t xml:space="preserve">use of the assets </w:t>
      </w:r>
      <w:r w:rsidRPr="00B849DC" w:rsidR="00BA7E16">
        <w:rPr>
          <w:bCs/>
          <w:lang w:val="en-US" w:bidi="en-US"/>
        </w:rPr>
        <w:t>placed</w:t>
      </w:r>
      <w:proofErr w:type="gramEnd"/>
      <w:r w:rsidRPr="00B849DC" w:rsidR="00BA7E16">
        <w:rPr>
          <w:bCs/>
          <w:lang w:val="en-US" w:bidi="en-US"/>
        </w:rPr>
        <w:t xml:space="preserve"> </w:t>
      </w:r>
      <w:r w:rsidRPr="00B849DC">
        <w:rPr>
          <w:bCs/>
          <w:lang w:val="en-US" w:bidi="en-US"/>
        </w:rPr>
        <w:t xml:space="preserve">under </w:t>
      </w:r>
      <w:r w:rsidRPr="00B849DC" w:rsidR="00F925E7">
        <w:rPr>
          <w:bCs/>
          <w:lang w:val="en-US" w:bidi="en-US"/>
        </w:rPr>
        <w:t xml:space="preserve">its </w:t>
      </w:r>
      <w:r w:rsidRPr="00B849DC">
        <w:rPr>
          <w:bCs/>
          <w:lang w:val="en-US" w:bidi="en-US"/>
        </w:rPr>
        <w:t xml:space="preserve">economic control should, in turn, also </w:t>
      </w:r>
      <w:r w:rsidRPr="00B849DC" w:rsidR="00BA7E16">
        <w:rPr>
          <w:bCs/>
          <w:lang w:val="en-US" w:bidi="en-US"/>
        </w:rPr>
        <w:t>be placed</w:t>
      </w:r>
      <w:r w:rsidRPr="00B849DC">
        <w:rPr>
          <w:bCs/>
          <w:lang w:val="en-US" w:bidi="en-US"/>
        </w:rPr>
        <w:t xml:space="preserve"> under the economic </w:t>
      </w:r>
      <w:r w:rsidRPr="00B849DC" w:rsidR="000051F2">
        <w:rPr>
          <w:bCs/>
          <w:lang w:val="en-US" w:bidi="en-US"/>
        </w:rPr>
        <w:t>control</w:t>
      </w:r>
      <w:r w:rsidRPr="00B849DC" w:rsidR="00F925E7">
        <w:rPr>
          <w:bCs/>
          <w:lang w:val="en-US" w:bidi="en-US"/>
        </w:rPr>
        <w:t xml:space="preserve"> of that </w:t>
      </w:r>
      <w:r w:rsidRPr="00B849DC">
        <w:rPr>
          <w:bCs/>
          <w:lang w:val="en-US" w:bidi="en-US"/>
        </w:rPr>
        <w:t xml:space="preserve">enterprise, and thus are </w:t>
      </w:r>
      <w:r w:rsidRPr="00B849DC" w:rsidR="006D7E56">
        <w:rPr>
          <w:bCs/>
          <w:lang w:val="en-US" w:bidi="en-US"/>
        </w:rPr>
        <w:t xml:space="preserve">also </w:t>
      </w:r>
      <w:r w:rsidRPr="00B849DC">
        <w:rPr>
          <w:bCs/>
          <w:lang w:val="en-US" w:bidi="en-US"/>
        </w:rPr>
        <w:t>governed by Article</w:t>
      </w:r>
      <w:r w:rsidRPr="00B849DC" w:rsidR="000D168D">
        <w:rPr>
          <w:bCs/>
          <w:lang w:val="en-US" w:bidi="en-US"/>
        </w:rPr>
        <w:t> </w:t>
      </w:r>
      <w:r w:rsidRPr="00B849DC">
        <w:rPr>
          <w:lang w:val="en-US"/>
        </w:rPr>
        <w:t>295 § 2 of the Civil Code</w:t>
      </w:r>
      <w:r w:rsidRPr="00B849DC" w:rsidR="00F21AED">
        <w:rPr>
          <w:lang w:val="en-US"/>
        </w:rPr>
        <w:t>,</w:t>
      </w:r>
      <w:r w:rsidRPr="00B849DC">
        <w:rPr>
          <w:lang w:val="en-US"/>
        </w:rPr>
        <w:t xml:space="preserve"> </w:t>
      </w:r>
      <w:r w:rsidRPr="00B849DC" w:rsidR="00F925E7">
        <w:rPr>
          <w:lang w:val="en-US"/>
        </w:rPr>
        <w:t xml:space="preserve">which </w:t>
      </w:r>
      <w:r w:rsidRPr="00B849DC">
        <w:rPr>
          <w:lang w:val="en-US"/>
        </w:rPr>
        <w:t xml:space="preserve">explicitly </w:t>
      </w:r>
      <w:r w:rsidRPr="00B849DC" w:rsidR="00F925E7">
        <w:rPr>
          <w:lang w:val="en-US"/>
        </w:rPr>
        <w:t xml:space="preserve">prohibits </w:t>
      </w:r>
      <w:r w:rsidRPr="00B849DC">
        <w:rPr>
          <w:lang w:val="en-US"/>
        </w:rPr>
        <w:t xml:space="preserve">any transactions </w:t>
      </w:r>
      <w:r w:rsidRPr="00B849DC" w:rsidR="00F925E7">
        <w:rPr>
          <w:lang w:val="en-US"/>
        </w:rPr>
        <w:t xml:space="preserve">involving </w:t>
      </w:r>
      <w:r w:rsidRPr="00B849DC">
        <w:rPr>
          <w:lang w:val="en-US"/>
        </w:rPr>
        <w:t>real estate in the absence of the owner</w:t>
      </w:r>
      <w:r w:rsidRPr="00B849DC" w:rsidR="00B849DC">
        <w:rPr>
          <w:lang w:val="en-US"/>
        </w:rPr>
        <w:t>’</w:t>
      </w:r>
      <w:r w:rsidRPr="00B849DC">
        <w:rPr>
          <w:lang w:val="en-US"/>
        </w:rPr>
        <w:t xml:space="preserve">s </w:t>
      </w:r>
      <w:r w:rsidRPr="00B849DC" w:rsidR="00F925E7">
        <w:rPr>
          <w:lang w:val="en-US"/>
        </w:rPr>
        <w:t>consent</w:t>
      </w:r>
      <w:r w:rsidRPr="00B849DC">
        <w:rPr>
          <w:lang w:val="en-US"/>
        </w:rPr>
        <w:t>.</w:t>
      </w:r>
    </w:p>
    <w:p w:rsidRPr="00B849DC" w:rsidR="00B72552" w:rsidP="00B849DC" w:rsidRDefault="00243354">
      <w:pPr>
        <w:pStyle w:val="ECHRHeading6"/>
        <w:rPr>
          <w:lang w:val="en-US"/>
        </w:rPr>
      </w:pPr>
      <w:r w:rsidRPr="00B849DC">
        <w:rPr>
          <w:rFonts w:cstheme="majorHAnsi"/>
          <w:lang w:val="en-US"/>
        </w:rPr>
        <w:t>(</w:t>
      </w:r>
      <w:r w:rsidRPr="00B849DC" w:rsidR="00B72552">
        <w:rPr>
          <w:rFonts w:cstheme="majorHAnsi"/>
        </w:rPr>
        <w:t>β</w:t>
      </w:r>
      <w:r w:rsidRPr="00B849DC">
        <w:rPr>
          <w:rFonts w:cstheme="majorHAnsi"/>
          <w:lang w:val="en-US"/>
        </w:rPr>
        <w:t>)</w:t>
      </w:r>
      <w:r w:rsidRPr="00B849DC" w:rsidR="00B72552">
        <w:rPr>
          <w:lang w:val="en-US"/>
        </w:rPr>
        <w:t>  </w:t>
      </w:r>
      <w:r w:rsidRPr="00B849DC" w:rsidR="00874609">
        <w:rPr>
          <w:lang w:val="en-US"/>
        </w:rPr>
        <w:t>Evolution of the domestic court</w:t>
      </w:r>
      <w:r w:rsidRPr="00B849DC" w:rsidR="00B849DC">
        <w:rPr>
          <w:lang w:val="en-US"/>
        </w:rPr>
        <w:t>’</w:t>
      </w:r>
      <w:r w:rsidRPr="00B849DC" w:rsidR="00874609">
        <w:rPr>
          <w:lang w:val="en-US"/>
        </w:rPr>
        <w:t>s approach</w:t>
      </w:r>
      <w:r w:rsidRPr="00B849DC" w:rsidR="006D7E56">
        <w:rPr>
          <w:lang w:val="en-US"/>
        </w:rPr>
        <w:t xml:space="preserve"> </w:t>
      </w:r>
      <w:r w:rsidRPr="00B849DC" w:rsidR="00874609">
        <w:rPr>
          <w:lang w:val="en-US"/>
        </w:rPr>
        <w:t>to</w:t>
      </w:r>
      <w:r w:rsidRPr="00B849DC" w:rsidR="006D7E56">
        <w:rPr>
          <w:lang w:val="en-US"/>
        </w:rPr>
        <w:t xml:space="preserve"> w</w:t>
      </w:r>
      <w:r w:rsidRPr="00B849DC" w:rsidR="00B72552">
        <w:rPr>
          <w:lang w:val="en-US"/>
        </w:rPr>
        <w:t>ithdrawal and transfer of assets by the owner</w:t>
      </w:r>
    </w:p>
    <w:p w:rsidRPr="00B849DC" w:rsidR="00CA087B" w:rsidP="00B849DC" w:rsidRDefault="00C162F4">
      <w:pPr>
        <w:pStyle w:val="ECHRPara"/>
        <w:rPr>
          <w:lang w:val="en-US"/>
        </w:rPr>
      </w:pPr>
      <w:r w:rsidRPr="00B849DC">
        <w:rPr>
          <w:lang w:val="en-GB"/>
        </w:rPr>
        <w:fldChar w:fldCharType="begin"/>
      </w:r>
      <w:r w:rsidRPr="00B849DC">
        <w:rPr>
          <w:lang w:val="en-GB"/>
        </w:rPr>
        <w:instrText xml:space="preserve"> SEQ level0 \*arabic </w:instrText>
      </w:r>
      <w:r w:rsidRPr="00B849DC">
        <w:rPr>
          <w:lang w:val="en-GB"/>
        </w:rPr>
        <w:fldChar w:fldCharType="separate"/>
      </w:r>
      <w:r w:rsidRPr="00B849DC" w:rsidR="00B849DC">
        <w:rPr>
          <w:noProof/>
          <w:lang w:val="en-GB"/>
        </w:rPr>
        <w:t>80</w:t>
      </w:r>
      <w:r w:rsidRPr="00B849DC">
        <w:rPr>
          <w:lang w:val="en-GB"/>
        </w:rPr>
        <w:fldChar w:fldCharType="end"/>
      </w:r>
      <w:r w:rsidRPr="00B849DC">
        <w:rPr>
          <w:lang w:val="en-GB"/>
        </w:rPr>
        <w:t>.  </w:t>
      </w:r>
      <w:r w:rsidRPr="00B849DC" w:rsidR="00523824">
        <w:rPr>
          <w:lang w:val="en-GB"/>
        </w:rPr>
        <w:t xml:space="preserve">On the one hand, </w:t>
      </w:r>
      <w:r w:rsidRPr="00B849DC" w:rsidR="00CB219C">
        <w:rPr>
          <w:lang w:val="en-GB"/>
        </w:rPr>
        <w:t xml:space="preserve">until 2008 </w:t>
      </w:r>
      <w:r w:rsidRPr="00B849DC" w:rsidR="00874609">
        <w:rPr>
          <w:lang w:val="en-GB"/>
        </w:rPr>
        <w:t>it ha</w:t>
      </w:r>
      <w:r w:rsidRPr="00B849DC" w:rsidR="00CB219C">
        <w:rPr>
          <w:lang w:val="en-GB"/>
        </w:rPr>
        <w:t>d</w:t>
      </w:r>
      <w:r w:rsidRPr="00B849DC" w:rsidR="00874609">
        <w:rPr>
          <w:lang w:val="en-GB"/>
        </w:rPr>
        <w:t xml:space="preserve"> not been uncommon for the domestic commercial courts </w:t>
      </w:r>
      <w:r w:rsidRPr="00B849DC" w:rsidR="00874609">
        <w:rPr>
          <w:lang w:val="en-US"/>
        </w:rPr>
        <w:t>to accept an enterprise</w:t>
      </w:r>
      <w:r w:rsidRPr="00B849DC" w:rsidR="00B849DC">
        <w:rPr>
          <w:lang w:val="en-US"/>
        </w:rPr>
        <w:t>’</w:t>
      </w:r>
      <w:r w:rsidRPr="00B849DC" w:rsidR="00874609">
        <w:rPr>
          <w:lang w:val="en-US"/>
        </w:rPr>
        <w:t xml:space="preserve">s renouncement of assets as a lawful ground for their removal. For instance, </w:t>
      </w:r>
      <w:r w:rsidRPr="00B849DC" w:rsidR="00874609">
        <w:rPr>
          <w:lang w:val="en-GB"/>
        </w:rPr>
        <w:t>by final judgment no. </w:t>
      </w:r>
      <w:proofErr w:type="gramStart"/>
      <w:r w:rsidRPr="00B849DC" w:rsidR="00874609">
        <w:rPr>
          <w:lang w:val="ru-RU"/>
        </w:rPr>
        <w:t>Ф</w:t>
      </w:r>
      <w:r w:rsidRPr="00B849DC" w:rsidR="00243354">
        <w:rPr>
          <w:lang w:val="en-US"/>
        </w:rPr>
        <w:noBreakHyphen/>
      </w:r>
      <w:r w:rsidRPr="00B849DC" w:rsidR="00874609">
        <w:rPr>
          <w:lang w:val="en-US"/>
        </w:rPr>
        <w:t xml:space="preserve">1893/08-C06 </w:t>
      </w:r>
      <w:r w:rsidRPr="00B849DC" w:rsidR="00874609">
        <w:rPr>
          <w:lang w:val="en-GB"/>
        </w:rPr>
        <w:t xml:space="preserve">of 25 March 2008 </w:t>
      </w:r>
      <w:r w:rsidRPr="00B849DC" w:rsidR="00874609">
        <w:rPr>
          <w:lang w:val="en-US"/>
        </w:rPr>
        <w:t>the Federal Commercial Court of the Ural Circuit summarised the lawful grounds for the removal of assets as follows: (a)</w:t>
      </w:r>
      <w:r w:rsidRPr="00B849DC" w:rsidR="00243354">
        <w:rPr>
          <w:lang w:val="en-US"/>
        </w:rPr>
        <w:t> the liquidation or (b) </w:t>
      </w:r>
      <w:r w:rsidRPr="00B849DC" w:rsidR="00874609">
        <w:rPr>
          <w:lang w:val="en-US"/>
        </w:rPr>
        <w:t>the restructuring of a unitary enterprise with the</w:t>
      </w:r>
      <w:r w:rsidRPr="00B849DC" w:rsidR="00243354">
        <w:rPr>
          <w:lang w:val="en-US"/>
        </w:rPr>
        <w:t xml:space="preserve"> right of economic control, (c) the use of the assets in non</w:t>
      </w:r>
      <w:r w:rsidRPr="00B849DC" w:rsidR="00243354">
        <w:rPr>
          <w:lang w:val="en-US"/>
        </w:rPr>
        <w:noBreakHyphen/>
      </w:r>
      <w:r w:rsidRPr="00B849DC" w:rsidR="00874609">
        <w:rPr>
          <w:lang w:val="en-US"/>
        </w:rPr>
        <w:t>compliance with the unitary enterprise</w:t>
      </w:r>
      <w:r w:rsidRPr="00B849DC" w:rsidR="00B849DC">
        <w:rPr>
          <w:lang w:val="en-US"/>
        </w:rPr>
        <w:t>’</w:t>
      </w:r>
      <w:r w:rsidRPr="00B849DC" w:rsidR="00874609">
        <w:rPr>
          <w:lang w:val="en-US"/>
        </w:rPr>
        <w:t>s st</w:t>
      </w:r>
      <w:r w:rsidRPr="00B849DC" w:rsidR="00243354">
        <w:rPr>
          <w:lang w:val="en-US"/>
        </w:rPr>
        <w:t>atutory purpose and aims or</w:t>
      </w:r>
      <w:proofErr w:type="gramEnd"/>
      <w:r w:rsidRPr="00B849DC" w:rsidR="00243354">
        <w:rPr>
          <w:lang w:val="en-US"/>
        </w:rPr>
        <w:t xml:space="preserve"> (d) </w:t>
      </w:r>
      <w:proofErr w:type="gramStart"/>
      <w:r w:rsidRPr="00B849DC" w:rsidR="00874609">
        <w:rPr>
          <w:lang w:val="en-US"/>
        </w:rPr>
        <w:t>the</w:t>
      </w:r>
      <w:proofErr w:type="gramEnd"/>
      <w:r w:rsidRPr="00B849DC" w:rsidR="00874609">
        <w:rPr>
          <w:lang w:val="en-US"/>
        </w:rPr>
        <w:t xml:space="preserve"> unitary enterprise</w:t>
      </w:r>
      <w:r w:rsidRPr="00B849DC" w:rsidR="00B849DC">
        <w:rPr>
          <w:lang w:val="en-US"/>
        </w:rPr>
        <w:t>’</w:t>
      </w:r>
      <w:r w:rsidRPr="00B849DC" w:rsidR="00874609">
        <w:rPr>
          <w:lang w:val="en-US"/>
        </w:rPr>
        <w:t xml:space="preserve">s renouncement of the assets. In that case, the court </w:t>
      </w:r>
      <w:r w:rsidRPr="00B849DC" w:rsidR="00874609">
        <w:rPr>
          <w:lang w:val="en-GB"/>
        </w:rPr>
        <w:t>disallowed the liquidator</w:t>
      </w:r>
      <w:r w:rsidRPr="00B849DC" w:rsidR="00B849DC">
        <w:rPr>
          <w:lang w:val="en-GB"/>
        </w:rPr>
        <w:t>’</w:t>
      </w:r>
      <w:r w:rsidRPr="00B849DC" w:rsidR="00874609">
        <w:rPr>
          <w:lang w:val="en-GB"/>
        </w:rPr>
        <w:t>s action lodged within the insolvency proceedings in respect of municipal unitary enterprise N. challenging the owner</w:t>
      </w:r>
      <w:r w:rsidRPr="00B849DC" w:rsidR="00B849DC">
        <w:rPr>
          <w:lang w:val="en-GB"/>
        </w:rPr>
        <w:t>’</w:t>
      </w:r>
      <w:r w:rsidRPr="00B849DC" w:rsidR="00874609">
        <w:rPr>
          <w:lang w:val="en-GB"/>
        </w:rPr>
        <w:t xml:space="preserve">s decision to restructure the company and to transfer its assets to a different unitary company. The court noted that the company itself had requested the assets to be withdrawn from its economic control, and therefore the owner had lawfully decided to transfer the assets within the meaning of Article 299 of the Civil Code taken in conjunction with Article 236 (see paragraph 75 above). </w:t>
      </w:r>
      <w:r w:rsidRPr="00B849DC" w:rsidR="00874609">
        <w:rPr>
          <w:lang w:val="en-US"/>
        </w:rPr>
        <w:t>T</w:t>
      </w:r>
      <w:r w:rsidRPr="00B849DC" w:rsidR="00874609">
        <w:rPr>
          <w:lang w:val="en-GB"/>
        </w:rPr>
        <w:t>he same test was also applied by the Federal Commercial Court of the East-Siberian Circuit in case no. </w:t>
      </w:r>
      <w:r w:rsidRPr="00B849DC" w:rsidR="00243354">
        <w:rPr>
          <w:lang w:val="en-US"/>
        </w:rPr>
        <w:t>69</w:t>
      </w:r>
      <w:r w:rsidRPr="00B849DC" w:rsidR="00243354">
        <w:rPr>
          <w:lang w:val="en-US"/>
        </w:rPr>
        <w:noBreakHyphen/>
      </w:r>
      <w:r w:rsidRPr="00B849DC" w:rsidR="00874609">
        <w:rPr>
          <w:lang w:val="en-US"/>
        </w:rPr>
        <w:t>576/08-</w:t>
      </w:r>
      <w:r w:rsidRPr="00B849DC" w:rsidR="00874609">
        <w:rPr>
          <w:lang w:val="ru-RU"/>
        </w:rPr>
        <w:t>Ф</w:t>
      </w:r>
      <w:r w:rsidRPr="00B849DC" w:rsidR="00874609">
        <w:rPr>
          <w:lang w:val="en-US"/>
        </w:rPr>
        <w:t>02-847/2009 concerning m</w:t>
      </w:r>
      <w:r w:rsidRPr="00B849DC" w:rsidR="00A87A48">
        <w:rPr>
          <w:lang w:val="en-US"/>
        </w:rPr>
        <w:t>unicipal unitary company “Hotel </w:t>
      </w:r>
      <w:r w:rsidRPr="00B849DC" w:rsidR="00874609">
        <w:rPr>
          <w:lang w:val="en-US"/>
        </w:rPr>
        <w:t>K.”</w:t>
      </w:r>
      <w:r w:rsidRPr="00B849DC" w:rsidR="00B849DC">
        <w:rPr>
          <w:lang w:val="en-US"/>
        </w:rPr>
        <w:t>‘</w:t>
      </w:r>
      <w:proofErr w:type="gramStart"/>
      <w:r w:rsidRPr="00B849DC" w:rsidR="00874609">
        <w:rPr>
          <w:lang w:val="en-US"/>
        </w:rPr>
        <w:t>s</w:t>
      </w:r>
      <w:proofErr w:type="gramEnd"/>
      <w:r w:rsidRPr="00B849DC" w:rsidR="00874609">
        <w:rPr>
          <w:lang w:val="en-US"/>
        </w:rPr>
        <w:t xml:space="preserve"> challenge of a lease agreement concluded by the owner and a private company in respect of property placed under the hotel</w:t>
      </w:r>
      <w:r w:rsidRPr="00B849DC" w:rsidR="00B849DC">
        <w:rPr>
          <w:lang w:val="en-US"/>
        </w:rPr>
        <w:t>’</w:t>
      </w:r>
      <w:r w:rsidRPr="00B849DC" w:rsidR="00874609">
        <w:rPr>
          <w:lang w:val="en-US"/>
        </w:rPr>
        <w:t>s economic control, although in that later case the court found no evidence of the company</w:t>
      </w:r>
      <w:r w:rsidRPr="00B849DC" w:rsidR="00B849DC">
        <w:rPr>
          <w:lang w:val="en-US"/>
        </w:rPr>
        <w:t>’</w:t>
      </w:r>
      <w:r w:rsidRPr="00B849DC" w:rsidR="00874609">
        <w:rPr>
          <w:lang w:val="en-US"/>
        </w:rPr>
        <w:t>s renouncement of the assets, and found that the owner had not been competent to enter into the agreement in question.</w:t>
      </w:r>
    </w:p>
    <w:p w:rsidRPr="00B849DC" w:rsidR="00874609" w:rsidP="00B849DC" w:rsidRDefault="00523824">
      <w:pPr>
        <w:pStyle w:val="ECHRPara"/>
        <w:rPr>
          <w:lang w:val="en-GB"/>
        </w:rPr>
      </w:pPr>
      <w:r w:rsidRPr="00B849DC">
        <w:rPr>
          <w:lang w:val="en-GB"/>
        </w:rPr>
        <w:fldChar w:fldCharType="begin"/>
      </w:r>
      <w:r w:rsidRPr="00B849DC">
        <w:rPr>
          <w:lang w:val="en-GB"/>
        </w:rPr>
        <w:instrText xml:space="preserve"> SEQ level0 \*arabic </w:instrText>
      </w:r>
      <w:r w:rsidRPr="00B849DC">
        <w:rPr>
          <w:lang w:val="en-GB"/>
        </w:rPr>
        <w:fldChar w:fldCharType="separate"/>
      </w:r>
      <w:r w:rsidRPr="00B849DC" w:rsidR="00B849DC">
        <w:rPr>
          <w:noProof/>
          <w:lang w:val="en-GB"/>
        </w:rPr>
        <w:t>81</w:t>
      </w:r>
      <w:r w:rsidRPr="00B849DC">
        <w:rPr>
          <w:lang w:val="en-GB"/>
        </w:rPr>
        <w:fldChar w:fldCharType="end"/>
      </w:r>
      <w:r w:rsidRPr="00B849DC">
        <w:rPr>
          <w:lang w:val="en-GB"/>
        </w:rPr>
        <w:t>.  </w:t>
      </w:r>
      <w:r w:rsidRPr="00B849DC" w:rsidR="00693A1E">
        <w:rPr>
          <w:lang w:val="en-GB"/>
        </w:rPr>
        <w:t xml:space="preserve">Since late 2008 domestic </w:t>
      </w:r>
      <w:r w:rsidRPr="00B849DC" w:rsidR="00CB219C">
        <w:rPr>
          <w:lang w:val="en-GB"/>
        </w:rPr>
        <w:t xml:space="preserve">commercial </w:t>
      </w:r>
      <w:r w:rsidRPr="00B849DC" w:rsidR="00693A1E">
        <w:rPr>
          <w:lang w:val="en-GB"/>
        </w:rPr>
        <w:t xml:space="preserve">courts took a different approach </w:t>
      </w:r>
      <w:r w:rsidRPr="00B849DC" w:rsidR="004C63B8">
        <w:rPr>
          <w:lang w:val="en-GB"/>
        </w:rPr>
        <w:t xml:space="preserve">regarding </w:t>
      </w:r>
      <w:r w:rsidRPr="00B849DC" w:rsidR="00BA3944">
        <w:rPr>
          <w:lang w:val="en-GB"/>
        </w:rPr>
        <w:t xml:space="preserve">the </w:t>
      </w:r>
      <w:r w:rsidRPr="00B849DC" w:rsidR="00CB219C">
        <w:rPr>
          <w:lang w:val="en-GB"/>
        </w:rPr>
        <w:t xml:space="preserve">validity of the transactions involving </w:t>
      </w:r>
      <w:r w:rsidRPr="00B849DC" w:rsidR="004C63B8">
        <w:rPr>
          <w:lang w:val="en-GB"/>
        </w:rPr>
        <w:t xml:space="preserve">the </w:t>
      </w:r>
      <w:r w:rsidRPr="00B849DC" w:rsidR="00F61249">
        <w:rPr>
          <w:lang w:val="en-GB"/>
        </w:rPr>
        <w:t xml:space="preserve">withdrawal and </w:t>
      </w:r>
      <w:r w:rsidRPr="00B849DC" w:rsidR="004C63B8">
        <w:rPr>
          <w:lang w:val="en-GB"/>
        </w:rPr>
        <w:t>transfer of the assets</w:t>
      </w:r>
      <w:r w:rsidRPr="00B849DC" w:rsidR="00693A1E">
        <w:rPr>
          <w:lang w:val="en-GB"/>
        </w:rPr>
        <w:t xml:space="preserve">. </w:t>
      </w:r>
      <w:r w:rsidRPr="00B849DC" w:rsidR="00CB219C">
        <w:rPr>
          <w:lang w:val="en-GB"/>
        </w:rPr>
        <w:t>First, neither the Civil Code nor the Unitary Enterprises Act provided for the owner</w:t>
      </w:r>
      <w:r w:rsidRPr="00B849DC" w:rsidR="00B849DC">
        <w:rPr>
          <w:lang w:val="en-GB"/>
        </w:rPr>
        <w:t>’</w:t>
      </w:r>
      <w:r w:rsidRPr="00B849DC" w:rsidR="00CB219C">
        <w:rPr>
          <w:lang w:val="en-GB"/>
        </w:rPr>
        <w:t xml:space="preserve">s right to withdraw the assets. Second, section 18(3) of the Unitary Enterprises Act prohibited a unitary enterprise with a right of economic control to renounce title to assets since as a result of such a renouncement and the ensuing removal of the assets the company would no longer be able to perform its statutory activities in compliance with its designated purpose and aims. </w:t>
      </w:r>
      <w:r w:rsidRPr="00B849DC" w:rsidR="00693A1E">
        <w:rPr>
          <w:lang w:val="en-GB"/>
        </w:rPr>
        <w:t>For instance, in case no. </w:t>
      </w:r>
      <w:r w:rsidRPr="00B849DC" w:rsidR="00CB219C">
        <w:rPr>
          <w:lang w:val="en-US"/>
        </w:rPr>
        <w:t>32-4047/2008-4/99</w:t>
      </w:r>
      <w:r w:rsidRPr="00B849DC" w:rsidR="00693A1E">
        <w:rPr>
          <w:lang w:val="en-US"/>
        </w:rPr>
        <w:t xml:space="preserve"> </w:t>
      </w:r>
      <w:r w:rsidRPr="00B849DC" w:rsidR="002750F1">
        <w:rPr>
          <w:lang w:val="en-US"/>
        </w:rPr>
        <w:t>a liquidator</w:t>
      </w:r>
      <w:r w:rsidRPr="00B849DC" w:rsidR="00B427CD">
        <w:rPr>
          <w:lang w:val="en-US"/>
        </w:rPr>
        <w:t xml:space="preserve"> of a</w:t>
      </w:r>
      <w:r w:rsidRPr="00B849DC" w:rsidR="00693A1E">
        <w:rPr>
          <w:lang w:val="en-US"/>
        </w:rPr>
        <w:t xml:space="preserve"> </w:t>
      </w:r>
      <w:r w:rsidRPr="00B849DC" w:rsidR="00CB219C">
        <w:rPr>
          <w:lang w:val="en-US"/>
        </w:rPr>
        <w:t>municipal</w:t>
      </w:r>
      <w:r w:rsidRPr="00B849DC" w:rsidR="00693A1E">
        <w:rPr>
          <w:lang w:val="en-US"/>
        </w:rPr>
        <w:t xml:space="preserve"> unitary </w:t>
      </w:r>
      <w:r w:rsidRPr="00B849DC" w:rsidR="00C606FB">
        <w:rPr>
          <w:lang w:val="en-US"/>
        </w:rPr>
        <w:t>company</w:t>
      </w:r>
      <w:r w:rsidRPr="00B849DC" w:rsidR="00CB219C">
        <w:rPr>
          <w:lang w:val="en-US"/>
        </w:rPr>
        <w:t xml:space="preserve"> in charge of water supply for the area</w:t>
      </w:r>
      <w:r w:rsidRPr="00B849DC" w:rsidR="00693A1E">
        <w:rPr>
          <w:lang w:val="en-US"/>
        </w:rPr>
        <w:t xml:space="preserve"> </w:t>
      </w:r>
      <w:r w:rsidRPr="00B849DC" w:rsidR="00693A1E">
        <w:rPr>
          <w:lang w:val="en-GB"/>
        </w:rPr>
        <w:t>requested that the owner</w:t>
      </w:r>
      <w:r w:rsidRPr="00B849DC" w:rsidR="00B849DC">
        <w:rPr>
          <w:lang w:val="en-GB"/>
        </w:rPr>
        <w:t>’</w:t>
      </w:r>
      <w:r w:rsidRPr="00B849DC" w:rsidR="00693A1E">
        <w:rPr>
          <w:lang w:val="en-GB"/>
        </w:rPr>
        <w:t xml:space="preserve">s decision </w:t>
      </w:r>
      <w:r w:rsidRPr="00B849DC" w:rsidR="009F0C92">
        <w:rPr>
          <w:lang w:val="en-GB"/>
        </w:rPr>
        <w:t>of 200</w:t>
      </w:r>
      <w:r w:rsidRPr="00B849DC" w:rsidR="00CB219C">
        <w:rPr>
          <w:lang w:val="en-GB"/>
        </w:rPr>
        <w:t>6</w:t>
      </w:r>
      <w:r w:rsidRPr="00B849DC" w:rsidR="009F0C92">
        <w:rPr>
          <w:lang w:val="en-GB"/>
        </w:rPr>
        <w:t xml:space="preserve"> </w:t>
      </w:r>
      <w:r w:rsidRPr="00B849DC" w:rsidR="00693A1E">
        <w:rPr>
          <w:lang w:val="en-GB"/>
        </w:rPr>
        <w:t>to withdraw</w:t>
      </w:r>
      <w:r w:rsidRPr="00B849DC" w:rsidR="009F0C92">
        <w:rPr>
          <w:lang w:val="en-GB"/>
        </w:rPr>
        <w:t xml:space="preserve"> the company</w:t>
      </w:r>
      <w:r w:rsidRPr="00B849DC" w:rsidR="00B849DC">
        <w:rPr>
          <w:lang w:val="en-GB"/>
        </w:rPr>
        <w:t>’</w:t>
      </w:r>
      <w:r w:rsidRPr="00B849DC" w:rsidR="009F0C92">
        <w:rPr>
          <w:lang w:val="en-GB"/>
        </w:rPr>
        <w:t xml:space="preserve">s assets </w:t>
      </w:r>
      <w:proofErr w:type="gramStart"/>
      <w:r w:rsidRPr="00B849DC" w:rsidR="00693A1E">
        <w:rPr>
          <w:lang w:val="en-GB"/>
        </w:rPr>
        <w:t>be</w:t>
      </w:r>
      <w:proofErr w:type="gramEnd"/>
      <w:r w:rsidRPr="00B849DC" w:rsidR="00693A1E">
        <w:rPr>
          <w:lang w:val="en-GB"/>
        </w:rPr>
        <w:t xml:space="preserve"> declared invalid. The </w:t>
      </w:r>
      <w:r w:rsidRPr="00B849DC" w:rsidR="00BA3944">
        <w:rPr>
          <w:lang w:val="en-GB"/>
        </w:rPr>
        <w:t>first</w:t>
      </w:r>
      <w:r w:rsidRPr="00B849DC" w:rsidR="00BA3944">
        <w:rPr>
          <w:lang w:val="en-GB"/>
        </w:rPr>
        <w:noBreakHyphen/>
      </w:r>
      <w:r w:rsidRPr="00B849DC" w:rsidR="00CB219C">
        <w:rPr>
          <w:lang w:val="en-GB"/>
        </w:rPr>
        <w:t>instance court</w:t>
      </w:r>
      <w:r w:rsidRPr="00B849DC" w:rsidR="00693A1E">
        <w:rPr>
          <w:lang w:val="en-GB"/>
        </w:rPr>
        <w:t xml:space="preserve"> rejected the action on the ground that the transfer had taken place pursuant to the company</w:t>
      </w:r>
      <w:r w:rsidRPr="00B849DC" w:rsidR="00B849DC">
        <w:rPr>
          <w:lang w:val="en-GB"/>
        </w:rPr>
        <w:t>’</w:t>
      </w:r>
      <w:r w:rsidRPr="00B849DC" w:rsidR="00693A1E">
        <w:rPr>
          <w:lang w:val="en-GB"/>
        </w:rPr>
        <w:t xml:space="preserve">s own request and had therefore been lawful within the meaning of Article 299 </w:t>
      </w:r>
      <w:r w:rsidRPr="00B849DC" w:rsidR="00B427CD">
        <w:rPr>
          <w:lang w:val="en-GB"/>
        </w:rPr>
        <w:t xml:space="preserve">in conjunction with Article 235 § 1 </w:t>
      </w:r>
      <w:r w:rsidRPr="00B849DC" w:rsidR="00693A1E">
        <w:rPr>
          <w:lang w:val="en-GB"/>
        </w:rPr>
        <w:t>of the Civil Code (see paragraph 75 above).</w:t>
      </w:r>
      <w:r w:rsidRPr="00B849DC" w:rsidR="004C63B8">
        <w:rPr>
          <w:lang w:val="en-GB"/>
        </w:rPr>
        <w:t xml:space="preserve"> </w:t>
      </w:r>
      <w:r w:rsidRPr="00B849DC" w:rsidR="00CB219C">
        <w:rPr>
          <w:lang w:val="en-GB"/>
        </w:rPr>
        <w:t xml:space="preserve">However, the appeal court – and </w:t>
      </w:r>
      <w:r w:rsidRPr="00B849DC" w:rsidR="003C7961">
        <w:rPr>
          <w:lang w:val="en-GB"/>
        </w:rPr>
        <w:t>subsequently</w:t>
      </w:r>
      <w:r w:rsidRPr="00B849DC" w:rsidR="00CB219C">
        <w:rPr>
          <w:lang w:val="en-GB"/>
        </w:rPr>
        <w:t xml:space="preserve"> the </w:t>
      </w:r>
      <w:r w:rsidRPr="00B849DC" w:rsidR="00693A1E">
        <w:rPr>
          <w:lang w:val="en-US"/>
        </w:rPr>
        <w:t xml:space="preserve">Federal Commercial Court of the </w:t>
      </w:r>
      <w:r w:rsidRPr="00B849DC" w:rsidR="00CB219C">
        <w:rPr>
          <w:lang w:val="en-US"/>
        </w:rPr>
        <w:t>North Caucasus</w:t>
      </w:r>
      <w:r w:rsidRPr="00B849DC" w:rsidR="00693A1E">
        <w:rPr>
          <w:lang w:val="en-US"/>
        </w:rPr>
        <w:t xml:space="preserve"> Circuit</w:t>
      </w:r>
      <w:r w:rsidRPr="00B849DC" w:rsidR="00C606FB">
        <w:rPr>
          <w:lang w:val="en-US"/>
        </w:rPr>
        <w:t xml:space="preserve"> </w:t>
      </w:r>
      <w:r w:rsidRPr="00B849DC" w:rsidR="00CB219C">
        <w:rPr>
          <w:lang w:val="en-US"/>
        </w:rPr>
        <w:t>acting as a cassation instance</w:t>
      </w:r>
      <w:r w:rsidRPr="00B849DC" w:rsidR="00CB219C">
        <w:rPr>
          <w:lang w:val="en-GB"/>
        </w:rPr>
        <w:t xml:space="preserve"> – </w:t>
      </w:r>
      <w:r w:rsidRPr="00B849DC" w:rsidR="00693A1E">
        <w:rPr>
          <w:lang w:val="en-US"/>
        </w:rPr>
        <w:t xml:space="preserve">granted the </w:t>
      </w:r>
      <w:r w:rsidRPr="00B849DC" w:rsidR="004C63B8">
        <w:rPr>
          <w:lang w:val="en-US"/>
        </w:rPr>
        <w:t>company</w:t>
      </w:r>
      <w:r w:rsidRPr="00B849DC" w:rsidR="00B849DC">
        <w:rPr>
          <w:lang w:val="en-US"/>
        </w:rPr>
        <w:t>’</w:t>
      </w:r>
      <w:r w:rsidRPr="00B849DC" w:rsidR="004C63B8">
        <w:rPr>
          <w:lang w:val="en-US"/>
        </w:rPr>
        <w:t>s claim</w:t>
      </w:r>
      <w:r w:rsidRPr="00B849DC" w:rsidR="00CB219C">
        <w:rPr>
          <w:lang w:val="en-US"/>
        </w:rPr>
        <w:t xml:space="preserve"> and declared the withdrawal unlawful s</w:t>
      </w:r>
      <w:r w:rsidRPr="00B849DC" w:rsidR="00BA3944">
        <w:rPr>
          <w:lang w:val="en-US"/>
        </w:rPr>
        <w:t>ince it precluded the company fro</w:t>
      </w:r>
      <w:r w:rsidRPr="00B849DC" w:rsidR="00CB219C">
        <w:rPr>
          <w:lang w:val="en-US"/>
        </w:rPr>
        <w:t xml:space="preserve">m a possibility to further perform its statutory activities </w:t>
      </w:r>
      <w:r w:rsidRPr="00B849DC" w:rsidR="00CB219C">
        <w:rPr>
          <w:lang w:val="en-GB"/>
        </w:rPr>
        <w:t>(</w:t>
      </w:r>
      <w:r w:rsidRPr="00B849DC" w:rsidR="003C7961">
        <w:rPr>
          <w:lang w:val="en-GB"/>
        </w:rPr>
        <w:t xml:space="preserve">cassation </w:t>
      </w:r>
      <w:r w:rsidRPr="00B849DC" w:rsidR="00CB219C">
        <w:rPr>
          <w:lang w:val="en-GB"/>
        </w:rPr>
        <w:t>judgment no.</w:t>
      </w:r>
      <w:r w:rsidRPr="00B849DC" w:rsidR="00A87A48">
        <w:rPr>
          <w:lang w:val="en-US"/>
        </w:rPr>
        <w:t xml:space="preserve"> </w:t>
      </w:r>
      <w:proofErr w:type="gramStart"/>
      <w:r w:rsidRPr="00B849DC" w:rsidR="00CB219C">
        <w:rPr>
          <w:lang w:val="ru-RU"/>
        </w:rPr>
        <w:t>Ф</w:t>
      </w:r>
      <w:r w:rsidRPr="00B849DC" w:rsidR="00CB219C">
        <w:rPr>
          <w:lang w:val="en-US"/>
        </w:rPr>
        <w:t xml:space="preserve">08-2397/2009 </w:t>
      </w:r>
      <w:r w:rsidRPr="00B849DC" w:rsidR="00A87A48">
        <w:rPr>
          <w:lang w:val="en-US"/>
        </w:rPr>
        <w:t xml:space="preserve">of 9 </w:t>
      </w:r>
      <w:r w:rsidRPr="00B849DC" w:rsidR="00CB219C">
        <w:rPr>
          <w:lang w:val="en-US"/>
        </w:rPr>
        <w:t>June 2009)</w:t>
      </w:r>
      <w:r w:rsidRPr="00B849DC" w:rsidR="00CB219C">
        <w:rPr>
          <w:lang w:val="en-GB"/>
        </w:rPr>
        <w:t>.</w:t>
      </w:r>
      <w:proofErr w:type="gramEnd"/>
      <w:r w:rsidRPr="00B849DC" w:rsidR="00CB219C">
        <w:rPr>
          <w:lang w:val="en-GB"/>
        </w:rPr>
        <w:t xml:space="preserve"> </w:t>
      </w:r>
      <w:r w:rsidRPr="00B849DC" w:rsidR="004C63B8">
        <w:rPr>
          <w:lang w:val="en-GB"/>
        </w:rPr>
        <w:t>By decision no. </w:t>
      </w:r>
      <w:r w:rsidRPr="00B849DC" w:rsidR="004C63B8">
        <w:rPr>
          <w:lang w:val="ru-RU"/>
        </w:rPr>
        <w:t>ВАС</w:t>
      </w:r>
      <w:r w:rsidRPr="00B849DC" w:rsidR="00BA3944">
        <w:rPr>
          <w:lang w:val="en-US"/>
        </w:rPr>
        <w:noBreakHyphen/>
      </w:r>
      <w:r w:rsidRPr="00B849DC" w:rsidR="00CB219C">
        <w:rPr>
          <w:lang w:val="en-GB"/>
        </w:rPr>
        <w:t>11340/09</w:t>
      </w:r>
      <w:r w:rsidRPr="00B849DC" w:rsidR="004C63B8">
        <w:rPr>
          <w:lang w:val="en-GB"/>
        </w:rPr>
        <w:t xml:space="preserve"> of 16 </w:t>
      </w:r>
      <w:r w:rsidRPr="00B849DC" w:rsidR="00CB219C">
        <w:rPr>
          <w:lang w:val="en-GB"/>
        </w:rPr>
        <w:t>September 2009</w:t>
      </w:r>
      <w:r w:rsidRPr="00B849DC" w:rsidR="004C63B8">
        <w:rPr>
          <w:lang w:val="en-GB"/>
        </w:rPr>
        <w:t xml:space="preserve"> the Supreme Commercial Court rejected the owner</w:t>
      </w:r>
      <w:r w:rsidRPr="00B849DC" w:rsidR="00B849DC">
        <w:rPr>
          <w:lang w:val="en-GB"/>
        </w:rPr>
        <w:t>’</w:t>
      </w:r>
      <w:r w:rsidRPr="00B849DC" w:rsidR="004C63B8">
        <w:rPr>
          <w:lang w:val="en-GB"/>
        </w:rPr>
        <w:t>s application for supervisory review</w:t>
      </w:r>
      <w:r w:rsidRPr="00B849DC" w:rsidR="00C606FB">
        <w:rPr>
          <w:lang w:val="en-GB"/>
        </w:rPr>
        <w:t xml:space="preserve">, having found the </w:t>
      </w:r>
      <w:r w:rsidRPr="00B849DC" w:rsidR="00711490">
        <w:rPr>
          <w:lang w:val="en-GB"/>
        </w:rPr>
        <w:t>cassation court</w:t>
      </w:r>
      <w:r w:rsidRPr="00B849DC" w:rsidR="00B849DC">
        <w:rPr>
          <w:lang w:val="en-GB"/>
        </w:rPr>
        <w:t>’</w:t>
      </w:r>
      <w:r w:rsidRPr="00B849DC" w:rsidR="00711490">
        <w:rPr>
          <w:lang w:val="en-GB"/>
        </w:rPr>
        <w:t xml:space="preserve">s </w:t>
      </w:r>
      <w:r w:rsidRPr="00B849DC" w:rsidR="00C606FB">
        <w:rPr>
          <w:lang w:val="en-GB"/>
        </w:rPr>
        <w:t>interpretation to be both correct and consistent with the Supreme Commercial Court</w:t>
      </w:r>
      <w:r w:rsidRPr="00B849DC" w:rsidR="00B849DC">
        <w:rPr>
          <w:lang w:val="en-GB"/>
        </w:rPr>
        <w:t>’</w:t>
      </w:r>
      <w:r w:rsidRPr="00B849DC" w:rsidR="00C606FB">
        <w:rPr>
          <w:lang w:val="en-GB"/>
        </w:rPr>
        <w:t xml:space="preserve">s </w:t>
      </w:r>
      <w:r w:rsidRPr="00B849DC" w:rsidR="003C7961">
        <w:rPr>
          <w:lang w:val="en-GB"/>
        </w:rPr>
        <w:t>recent</w:t>
      </w:r>
      <w:r w:rsidRPr="00B849DC" w:rsidR="00C606FB">
        <w:rPr>
          <w:lang w:val="en-GB"/>
        </w:rPr>
        <w:t xml:space="preserve"> </w:t>
      </w:r>
      <w:r w:rsidRPr="00B849DC" w:rsidR="00B73ACA">
        <w:rPr>
          <w:lang w:val="en-GB"/>
        </w:rPr>
        <w:t>case-law</w:t>
      </w:r>
      <w:r w:rsidRPr="00B849DC" w:rsidR="004C63B8">
        <w:rPr>
          <w:lang w:val="en-GB"/>
        </w:rPr>
        <w:t>.</w:t>
      </w:r>
      <w:r w:rsidRPr="00B849DC" w:rsidR="00F61249">
        <w:rPr>
          <w:lang w:val="en-GB"/>
        </w:rPr>
        <w:t xml:space="preserve"> </w:t>
      </w:r>
      <w:r w:rsidRPr="00B849DC" w:rsidR="00711490">
        <w:rPr>
          <w:lang w:val="en-GB"/>
        </w:rPr>
        <w:t>Similar</w:t>
      </w:r>
      <w:r w:rsidRPr="00B849DC" w:rsidR="00874609">
        <w:rPr>
          <w:lang w:val="en-GB"/>
        </w:rPr>
        <w:t xml:space="preserve"> reasoning was applied by the Supreme Commercial Court in a number of subsequent cases (</w:t>
      </w:r>
      <w:r w:rsidRPr="00B849DC" w:rsidR="00C606FB">
        <w:rPr>
          <w:lang w:val="en-GB"/>
        </w:rPr>
        <w:t xml:space="preserve">see, </w:t>
      </w:r>
      <w:r w:rsidRPr="00B849DC" w:rsidR="00874609">
        <w:rPr>
          <w:lang w:val="en-GB"/>
        </w:rPr>
        <w:t xml:space="preserve">for instance, </w:t>
      </w:r>
      <w:r w:rsidRPr="00B849DC" w:rsidR="004C63B8">
        <w:rPr>
          <w:lang w:val="en-GB"/>
        </w:rPr>
        <w:t>decision</w:t>
      </w:r>
      <w:r w:rsidRPr="00B849DC" w:rsidR="00CB219C">
        <w:rPr>
          <w:lang w:val="en-GB"/>
        </w:rPr>
        <w:t>s no. </w:t>
      </w:r>
      <w:r w:rsidRPr="00B849DC" w:rsidR="00CB219C">
        <w:rPr>
          <w:lang w:val="ru-RU"/>
        </w:rPr>
        <w:t>ВАС</w:t>
      </w:r>
      <w:r w:rsidRPr="00B849DC" w:rsidR="00CB219C">
        <w:rPr>
          <w:lang w:val="en-US"/>
        </w:rPr>
        <w:t>-</w:t>
      </w:r>
      <w:r w:rsidRPr="00B849DC" w:rsidR="00CB219C">
        <w:rPr>
          <w:lang w:val="en-GB"/>
        </w:rPr>
        <w:t>6841/11 of 16 June 2011 and</w:t>
      </w:r>
      <w:r w:rsidRPr="00B849DC" w:rsidR="004C63B8">
        <w:rPr>
          <w:lang w:val="en-GB"/>
        </w:rPr>
        <w:t xml:space="preserve"> </w:t>
      </w:r>
      <w:r w:rsidRPr="00B849DC" w:rsidR="00874609">
        <w:rPr>
          <w:lang w:val="en-GB"/>
        </w:rPr>
        <w:t>no. </w:t>
      </w:r>
      <w:proofErr w:type="gramStart"/>
      <w:r w:rsidRPr="00B849DC" w:rsidR="00874609">
        <w:rPr>
          <w:lang w:val="ru-RU"/>
        </w:rPr>
        <w:t>ВАС</w:t>
      </w:r>
      <w:r w:rsidRPr="00B849DC" w:rsidR="00A1600C">
        <w:rPr>
          <w:lang w:val="en-US"/>
        </w:rPr>
        <w:t>-</w:t>
      </w:r>
      <w:r w:rsidRPr="00B849DC" w:rsidR="00874609">
        <w:rPr>
          <w:lang w:val="en-GB"/>
        </w:rPr>
        <w:t>7685/11 of 30 June 2011 rejecting app</w:t>
      </w:r>
      <w:r w:rsidRPr="00B849DC" w:rsidR="00C606FB">
        <w:rPr>
          <w:lang w:val="en-GB"/>
        </w:rPr>
        <w:t>lication</w:t>
      </w:r>
      <w:r w:rsidRPr="00B849DC" w:rsidR="00F90024">
        <w:rPr>
          <w:lang w:val="en-GB"/>
        </w:rPr>
        <w:t>s</w:t>
      </w:r>
      <w:r w:rsidRPr="00B849DC" w:rsidR="00C606FB">
        <w:rPr>
          <w:lang w:val="en-GB"/>
        </w:rPr>
        <w:t xml:space="preserve"> for supervisory review,</w:t>
      </w:r>
      <w:r w:rsidRPr="00B849DC" w:rsidR="00874609">
        <w:rPr>
          <w:lang w:val="en-US"/>
        </w:rPr>
        <w:t xml:space="preserve"> </w:t>
      </w:r>
      <w:r w:rsidRPr="00B849DC" w:rsidR="00874609">
        <w:rPr>
          <w:lang w:val="en-GB"/>
        </w:rPr>
        <w:t>and several other cases).</w:t>
      </w:r>
      <w:proofErr w:type="gramEnd"/>
    </w:p>
    <w:p w:rsidRPr="00B849DC" w:rsidR="00E636F0" w:rsidP="00B849DC" w:rsidRDefault="00E636F0">
      <w:pPr>
        <w:pStyle w:val="ECHRHeading5"/>
        <w:rPr>
          <w:lang w:val="en-US"/>
        </w:rPr>
      </w:pPr>
      <w:r w:rsidRPr="00B849DC">
        <w:rPr>
          <w:lang w:val="en-US"/>
        </w:rPr>
        <w:t>(ii</w:t>
      </w:r>
      <w:r w:rsidRPr="00B849DC" w:rsidR="00E40E2A">
        <w:rPr>
          <w:lang w:val="en-US"/>
        </w:rPr>
        <w:t>i</w:t>
      </w:r>
      <w:r w:rsidRPr="00B849DC" w:rsidR="00874A57">
        <w:rPr>
          <w:lang w:val="en-US"/>
        </w:rPr>
        <w:t>)  Prosecutor</w:t>
      </w:r>
      <w:r w:rsidRPr="00B849DC" w:rsidR="00B849DC">
        <w:rPr>
          <w:lang w:val="en-US"/>
        </w:rPr>
        <w:t>’</w:t>
      </w:r>
      <w:r w:rsidRPr="00B849DC" w:rsidR="00874A57">
        <w:rPr>
          <w:lang w:val="en-US"/>
        </w:rPr>
        <w:t>s complaint</w:t>
      </w:r>
    </w:p>
    <w:p w:rsidRPr="00B849DC" w:rsidR="00CA087B" w:rsidP="00B849DC" w:rsidRDefault="00AC69C1">
      <w:pPr>
        <w:pStyle w:val="ECHRPara"/>
        <w:rPr>
          <w:rStyle w:val="JuParaChar"/>
          <w:lang w:val="en-US"/>
        </w:rPr>
      </w:pPr>
      <w:r w:rsidRPr="00B849DC">
        <w:rPr>
          <w:rStyle w:val="JuParaChar"/>
        </w:rPr>
        <w:fldChar w:fldCharType="begin"/>
      </w:r>
      <w:r w:rsidRPr="00B849DC">
        <w:rPr>
          <w:rStyle w:val="JuParaChar"/>
          <w:lang w:val="en-US"/>
        </w:rPr>
        <w:instrText xml:space="preserve"> SEQ level0 \*arabic </w:instrText>
      </w:r>
      <w:r w:rsidRPr="00B849DC">
        <w:rPr>
          <w:rStyle w:val="JuParaChar"/>
        </w:rPr>
        <w:fldChar w:fldCharType="separate"/>
      </w:r>
      <w:r w:rsidRPr="00B849DC" w:rsidR="00B849DC">
        <w:rPr>
          <w:rStyle w:val="JuParaChar"/>
          <w:noProof/>
          <w:lang w:val="en-US"/>
        </w:rPr>
        <w:t>82</w:t>
      </w:r>
      <w:r w:rsidRPr="00B849DC">
        <w:rPr>
          <w:rStyle w:val="JuParaChar"/>
        </w:rPr>
        <w:fldChar w:fldCharType="end"/>
      </w:r>
      <w:r w:rsidRPr="00B849DC">
        <w:rPr>
          <w:rStyle w:val="JuParaChar"/>
          <w:lang w:val="en-US"/>
        </w:rPr>
        <w:t xml:space="preserve">.  In a limited number of cases, a prosecutor acting on behalf of the employees </w:t>
      </w:r>
      <w:r w:rsidRPr="00B849DC" w:rsidR="00E636F0">
        <w:rPr>
          <w:rStyle w:val="JuParaChar"/>
          <w:lang w:val="en-US"/>
        </w:rPr>
        <w:t xml:space="preserve">of a municipal unitary company </w:t>
      </w:r>
      <w:r w:rsidRPr="00B849DC" w:rsidR="00085E99">
        <w:rPr>
          <w:rStyle w:val="JuParaChar"/>
          <w:lang w:val="en-US"/>
        </w:rPr>
        <w:t>requested that</w:t>
      </w:r>
      <w:r w:rsidRPr="00B849DC">
        <w:rPr>
          <w:rStyle w:val="JuParaChar"/>
          <w:lang w:val="en-US"/>
        </w:rPr>
        <w:t xml:space="preserve"> </w:t>
      </w:r>
      <w:r w:rsidRPr="00B849DC" w:rsidR="00605AAD">
        <w:rPr>
          <w:rStyle w:val="JuParaChar"/>
          <w:lang w:val="en-US"/>
        </w:rPr>
        <w:t>the owners</w:t>
      </w:r>
      <w:r w:rsidRPr="00B849DC" w:rsidR="00B849DC">
        <w:rPr>
          <w:rStyle w:val="JuParaChar"/>
          <w:lang w:val="en-US"/>
        </w:rPr>
        <w:t>’</w:t>
      </w:r>
      <w:r w:rsidRPr="00B849DC" w:rsidR="00605AAD">
        <w:rPr>
          <w:rStyle w:val="JuParaChar"/>
          <w:lang w:val="en-US"/>
        </w:rPr>
        <w:t xml:space="preserve"> orders </w:t>
      </w:r>
      <w:r w:rsidRPr="00B849DC" w:rsidR="007B2B2E">
        <w:rPr>
          <w:rStyle w:val="JuParaChar"/>
          <w:lang w:val="en-US"/>
        </w:rPr>
        <w:t>to</w:t>
      </w:r>
      <w:r w:rsidRPr="00B849DC" w:rsidR="00605AAD">
        <w:rPr>
          <w:rStyle w:val="JuParaChar"/>
          <w:lang w:val="en-US"/>
        </w:rPr>
        <w:t xml:space="preserve"> </w:t>
      </w:r>
      <w:r w:rsidRPr="00B849DC" w:rsidR="0036526B">
        <w:rPr>
          <w:rStyle w:val="JuParaChar"/>
          <w:lang w:val="en-US"/>
        </w:rPr>
        <w:t xml:space="preserve">transfer </w:t>
      </w:r>
      <w:r w:rsidRPr="00B849DC" w:rsidR="00605AAD">
        <w:rPr>
          <w:rStyle w:val="JuParaChar"/>
          <w:lang w:val="en-US"/>
        </w:rPr>
        <w:t>assets and dismiss personnel</w:t>
      </w:r>
      <w:r w:rsidRPr="00B849DC" w:rsidR="00085E99">
        <w:rPr>
          <w:rStyle w:val="JuParaChar"/>
          <w:lang w:val="en-US"/>
        </w:rPr>
        <w:t xml:space="preserve"> be declared unlawful</w:t>
      </w:r>
      <w:r w:rsidRPr="00B849DC" w:rsidR="00605AAD">
        <w:rPr>
          <w:rStyle w:val="JuParaChar"/>
          <w:lang w:val="en-US"/>
        </w:rPr>
        <w:t xml:space="preserve">. Such </w:t>
      </w:r>
      <w:r w:rsidRPr="00B849DC" w:rsidR="0036526B">
        <w:rPr>
          <w:rStyle w:val="JuParaChar"/>
          <w:lang w:val="en-US"/>
        </w:rPr>
        <w:t xml:space="preserve">an </w:t>
      </w:r>
      <w:r w:rsidRPr="00B849DC" w:rsidR="00605AAD">
        <w:rPr>
          <w:rStyle w:val="JuParaChar"/>
          <w:lang w:val="en-US"/>
        </w:rPr>
        <w:t xml:space="preserve">action was granted, for instance, on 13 October 2010 by the Regional Court of the </w:t>
      </w:r>
      <w:r w:rsidRPr="00B849DC" w:rsidR="00C32A05">
        <w:rPr>
          <w:rStyle w:val="JuParaChar"/>
          <w:lang w:val="en-US"/>
        </w:rPr>
        <w:t>Yevreyskaya</w:t>
      </w:r>
      <w:r w:rsidRPr="00B849DC" w:rsidR="00605AAD">
        <w:rPr>
          <w:rStyle w:val="JuParaChar"/>
          <w:lang w:val="en-US"/>
        </w:rPr>
        <w:t xml:space="preserve"> Autonomous Region.</w:t>
      </w:r>
      <w:r w:rsidRPr="00B849DC" w:rsidR="008D32E2">
        <w:rPr>
          <w:rStyle w:val="JuParaChar"/>
          <w:lang w:val="en-US"/>
        </w:rPr>
        <w:t xml:space="preserve"> The case concerned a municipal water supply </w:t>
      </w:r>
      <w:r w:rsidRPr="00B849DC" w:rsidR="0036526B">
        <w:rPr>
          <w:rStyle w:val="JuParaChar"/>
          <w:lang w:val="en-US"/>
        </w:rPr>
        <w:t>company</w:t>
      </w:r>
      <w:r w:rsidRPr="00B849DC" w:rsidR="008D32E2">
        <w:rPr>
          <w:rStyle w:val="JuParaChar"/>
          <w:lang w:val="en-US"/>
        </w:rPr>
        <w:t xml:space="preserve">. </w:t>
      </w:r>
      <w:r w:rsidRPr="00B849DC" w:rsidR="007B2B2E">
        <w:rPr>
          <w:rStyle w:val="JuParaChar"/>
          <w:lang w:val="en-US"/>
        </w:rPr>
        <w:t>Referring to the company</w:t>
      </w:r>
      <w:r w:rsidRPr="00B849DC" w:rsidR="00B849DC">
        <w:rPr>
          <w:rStyle w:val="JuParaChar"/>
          <w:lang w:val="en-US"/>
        </w:rPr>
        <w:t>’</w:t>
      </w:r>
      <w:r w:rsidRPr="00B849DC" w:rsidR="007B2B2E">
        <w:rPr>
          <w:rStyle w:val="JuParaChar"/>
          <w:lang w:val="en-US"/>
        </w:rPr>
        <w:t xml:space="preserve">s financial difficulties, the </w:t>
      </w:r>
      <w:r w:rsidRPr="00B849DC" w:rsidR="008D32E2">
        <w:rPr>
          <w:rStyle w:val="JuParaChar"/>
          <w:lang w:val="en-US"/>
        </w:rPr>
        <w:t xml:space="preserve">owner ordered </w:t>
      </w:r>
      <w:r w:rsidRPr="00B849DC" w:rsidR="0042129F">
        <w:rPr>
          <w:rStyle w:val="JuParaChar"/>
          <w:lang w:val="en-US"/>
        </w:rPr>
        <w:t xml:space="preserve">that all its assets be </w:t>
      </w:r>
      <w:r w:rsidRPr="00B849DC" w:rsidR="00836486">
        <w:rPr>
          <w:rStyle w:val="JuParaChar"/>
          <w:lang w:val="en-US"/>
        </w:rPr>
        <w:t>remove</w:t>
      </w:r>
      <w:r w:rsidRPr="00B849DC" w:rsidR="0042129F">
        <w:rPr>
          <w:rStyle w:val="JuParaChar"/>
          <w:lang w:val="en-US"/>
        </w:rPr>
        <w:t>d</w:t>
      </w:r>
      <w:r w:rsidRPr="00B849DC" w:rsidR="008D32E2">
        <w:rPr>
          <w:rStyle w:val="JuParaChar"/>
          <w:lang w:val="en-US"/>
        </w:rPr>
        <w:t xml:space="preserve"> </w:t>
      </w:r>
      <w:r w:rsidRPr="00B849DC" w:rsidR="00C32A05">
        <w:rPr>
          <w:rStyle w:val="JuParaChar"/>
          <w:lang w:val="en-US"/>
        </w:rPr>
        <w:t>for</w:t>
      </w:r>
      <w:r w:rsidRPr="00B849DC" w:rsidR="00D409B8">
        <w:rPr>
          <w:rStyle w:val="JuParaChar"/>
          <w:lang w:val="en-US"/>
        </w:rPr>
        <w:t xml:space="preserve"> further transfer to a different legal entity, </w:t>
      </w:r>
      <w:r w:rsidRPr="00B849DC" w:rsidR="008D32E2">
        <w:rPr>
          <w:rStyle w:val="JuParaChar"/>
          <w:lang w:val="en-US"/>
        </w:rPr>
        <w:t>and instructed the head</w:t>
      </w:r>
      <w:r w:rsidRPr="00B849DC" w:rsidR="00D409B8">
        <w:rPr>
          <w:rStyle w:val="JuParaChar"/>
          <w:lang w:val="en-US"/>
        </w:rPr>
        <w:t xml:space="preserve"> of the enterprise</w:t>
      </w:r>
      <w:r w:rsidRPr="00B849DC" w:rsidR="008D32E2">
        <w:rPr>
          <w:rStyle w:val="JuParaChar"/>
          <w:lang w:val="en-US"/>
        </w:rPr>
        <w:t xml:space="preserve"> “to prepare orders</w:t>
      </w:r>
      <w:r w:rsidRPr="00B849DC" w:rsidR="003B69D7">
        <w:rPr>
          <w:rStyle w:val="JuParaChar"/>
          <w:lang w:val="en-US"/>
        </w:rPr>
        <w:t xml:space="preserve"> for the employees</w:t>
      </w:r>
      <w:r w:rsidRPr="00B849DC" w:rsidR="00B849DC">
        <w:rPr>
          <w:rStyle w:val="JuParaChar"/>
          <w:lang w:val="en-US"/>
        </w:rPr>
        <w:t>’</w:t>
      </w:r>
      <w:r w:rsidRPr="00B849DC" w:rsidR="003B69D7">
        <w:rPr>
          <w:rStyle w:val="JuParaChar"/>
          <w:lang w:val="en-US"/>
        </w:rPr>
        <w:t xml:space="preserve"> dismissal”</w:t>
      </w:r>
      <w:r w:rsidRPr="00B849DC" w:rsidR="008D32E2">
        <w:rPr>
          <w:rStyle w:val="JuParaChar"/>
          <w:lang w:val="en-US"/>
        </w:rPr>
        <w:t>. The court rejected that argument</w:t>
      </w:r>
      <w:r w:rsidRPr="00B849DC" w:rsidR="00DA4385">
        <w:rPr>
          <w:rStyle w:val="JuParaChar"/>
          <w:lang w:val="en-US"/>
        </w:rPr>
        <w:t xml:space="preserve"> and set aside the owner</w:t>
      </w:r>
      <w:r w:rsidRPr="00B849DC" w:rsidR="00B849DC">
        <w:rPr>
          <w:rStyle w:val="JuParaChar"/>
          <w:lang w:val="en-US"/>
        </w:rPr>
        <w:t>’</w:t>
      </w:r>
      <w:r w:rsidRPr="00B849DC" w:rsidR="00DA4385">
        <w:rPr>
          <w:rStyle w:val="JuParaChar"/>
          <w:lang w:val="en-US"/>
        </w:rPr>
        <w:t>s order</w:t>
      </w:r>
      <w:r w:rsidRPr="00B849DC" w:rsidR="008D32E2">
        <w:rPr>
          <w:rStyle w:val="JuParaChar"/>
          <w:lang w:val="en-US"/>
        </w:rPr>
        <w:t xml:space="preserve">, </w:t>
      </w:r>
      <w:r w:rsidRPr="00B849DC" w:rsidR="003E695A">
        <w:rPr>
          <w:rStyle w:val="JuParaChar"/>
          <w:lang w:val="en-US"/>
        </w:rPr>
        <w:t>since it</w:t>
      </w:r>
      <w:r w:rsidRPr="00B849DC" w:rsidR="008D32E2">
        <w:rPr>
          <w:rStyle w:val="JuParaChar"/>
          <w:lang w:val="en-US"/>
        </w:rPr>
        <w:t xml:space="preserve"> </w:t>
      </w:r>
      <w:r w:rsidRPr="00B849DC" w:rsidR="0042129F">
        <w:rPr>
          <w:rStyle w:val="JuParaChar"/>
          <w:lang w:val="en-US"/>
        </w:rPr>
        <w:t xml:space="preserve">had </w:t>
      </w:r>
      <w:r w:rsidRPr="00B849DC" w:rsidR="008D32E2">
        <w:rPr>
          <w:rStyle w:val="JuParaChar"/>
          <w:lang w:val="en-US"/>
        </w:rPr>
        <w:t xml:space="preserve">not </w:t>
      </w:r>
      <w:r w:rsidRPr="00B849DC" w:rsidR="0042129F">
        <w:rPr>
          <w:rStyle w:val="JuParaChar"/>
          <w:lang w:val="en-US"/>
        </w:rPr>
        <w:t xml:space="preserve">been </w:t>
      </w:r>
      <w:r w:rsidRPr="00B849DC" w:rsidR="008D32E2">
        <w:rPr>
          <w:rStyle w:val="JuParaChar"/>
          <w:lang w:val="en-US"/>
        </w:rPr>
        <w:t>demonstrated that the company</w:t>
      </w:r>
      <w:r w:rsidRPr="00B849DC" w:rsidR="00B849DC">
        <w:rPr>
          <w:rStyle w:val="JuParaChar"/>
          <w:lang w:val="en-US"/>
        </w:rPr>
        <w:t>’</w:t>
      </w:r>
      <w:r w:rsidRPr="00B849DC" w:rsidR="00836486">
        <w:rPr>
          <w:rStyle w:val="JuParaChar"/>
          <w:lang w:val="en-US"/>
        </w:rPr>
        <w:t xml:space="preserve">s management of the assets had not been </w:t>
      </w:r>
      <w:r w:rsidRPr="00B849DC" w:rsidR="007B2B2E">
        <w:rPr>
          <w:rStyle w:val="JuParaChar"/>
          <w:lang w:val="en-US"/>
        </w:rPr>
        <w:t xml:space="preserve">economically </w:t>
      </w:r>
      <w:r w:rsidRPr="00B849DC" w:rsidR="00836486">
        <w:rPr>
          <w:rStyle w:val="JuParaChar"/>
          <w:lang w:val="en-US"/>
        </w:rPr>
        <w:t>rational, or that it</w:t>
      </w:r>
      <w:r w:rsidRPr="00B849DC" w:rsidR="008D32E2">
        <w:rPr>
          <w:rStyle w:val="JuParaChar"/>
          <w:lang w:val="en-US"/>
        </w:rPr>
        <w:t xml:space="preserve"> had failed to </w:t>
      </w:r>
      <w:r w:rsidRPr="00B849DC" w:rsidR="00241304">
        <w:rPr>
          <w:rStyle w:val="JuParaChar"/>
          <w:lang w:val="en-US"/>
        </w:rPr>
        <w:t>meet</w:t>
      </w:r>
      <w:r w:rsidRPr="00B849DC" w:rsidR="008D32E2">
        <w:rPr>
          <w:rStyle w:val="JuParaChar"/>
          <w:lang w:val="en-US"/>
        </w:rPr>
        <w:t xml:space="preserve"> its statutory goals. </w:t>
      </w:r>
      <w:r w:rsidRPr="00B849DC" w:rsidR="00150B52">
        <w:rPr>
          <w:rStyle w:val="JuParaChar"/>
          <w:lang w:val="en-US"/>
        </w:rPr>
        <w:t>The withdrawal prevented the company from further performing its statutory activities and</w:t>
      </w:r>
      <w:r w:rsidRPr="00B849DC" w:rsidR="00DA4385">
        <w:rPr>
          <w:rStyle w:val="JuParaChar"/>
          <w:lang w:val="en-US"/>
        </w:rPr>
        <w:t xml:space="preserve"> </w:t>
      </w:r>
      <w:r w:rsidRPr="00B849DC" w:rsidR="00150B52">
        <w:rPr>
          <w:rStyle w:val="JuParaChar"/>
          <w:lang w:val="en-US"/>
        </w:rPr>
        <w:t xml:space="preserve">resulted in </w:t>
      </w:r>
      <w:r w:rsidRPr="00B849DC" w:rsidR="0042129F">
        <w:rPr>
          <w:rStyle w:val="JuParaChar"/>
          <w:lang w:val="en-US"/>
        </w:rPr>
        <w:t xml:space="preserve">the </w:t>
      </w:r>
      <w:r w:rsidRPr="00B849DC" w:rsidR="00150B52">
        <w:rPr>
          <w:rStyle w:val="JuParaChar"/>
          <w:lang w:val="en-US"/>
        </w:rPr>
        <w:t xml:space="preserve">“mass dismissal” of employees </w:t>
      </w:r>
      <w:r w:rsidRPr="00B849DC" w:rsidR="00CF3AA6">
        <w:rPr>
          <w:rStyle w:val="JuParaChar"/>
          <w:lang w:val="en-US"/>
        </w:rPr>
        <w:t>in violation</w:t>
      </w:r>
      <w:r w:rsidRPr="00B849DC" w:rsidR="00150B52">
        <w:rPr>
          <w:rStyle w:val="JuParaChar"/>
          <w:lang w:val="en-US"/>
        </w:rPr>
        <w:t xml:space="preserve"> </w:t>
      </w:r>
      <w:r w:rsidRPr="00B849DC" w:rsidR="0042129F">
        <w:rPr>
          <w:rStyle w:val="JuParaChar"/>
          <w:lang w:val="en-US"/>
        </w:rPr>
        <w:t xml:space="preserve">of </w:t>
      </w:r>
      <w:r w:rsidRPr="00B849DC" w:rsidR="00150B52">
        <w:rPr>
          <w:rStyle w:val="JuParaChar"/>
          <w:lang w:val="en-US"/>
        </w:rPr>
        <w:t xml:space="preserve">their </w:t>
      </w:r>
      <w:r w:rsidRPr="00B849DC" w:rsidR="0042129F">
        <w:rPr>
          <w:rStyle w:val="JuParaChar"/>
          <w:lang w:val="en-US"/>
        </w:rPr>
        <w:t xml:space="preserve">employment </w:t>
      </w:r>
      <w:r w:rsidRPr="00B849DC" w:rsidR="00150B52">
        <w:rPr>
          <w:rStyle w:val="JuParaChar"/>
          <w:lang w:val="en-US"/>
        </w:rPr>
        <w:t>rights.</w:t>
      </w:r>
    </w:p>
    <w:p w:rsidRPr="00B849DC" w:rsidR="007763E3" w:rsidP="00B849DC" w:rsidRDefault="00FD4A1F">
      <w:pPr>
        <w:pStyle w:val="ECHRHeading2"/>
        <w:rPr>
          <w:lang w:val="en-US"/>
        </w:rPr>
      </w:pPr>
      <w:r w:rsidRPr="00B849DC">
        <w:rPr>
          <w:lang w:val="en-US"/>
        </w:rPr>
        <w:t>C</w:t>
      </w:r>
      <w:r w:rsidRPr="00B849DC" w:rsidR="004C5049">
        <w:rPr>
          <w:lang w:val="en-US"/>
        </w:rPr>
        <w:t>.  </w:t>
      </w:r>
      <w:r w:rsidRPr="00B849DC" w:rsidR="006A7789">
        <w:rPr>
          <w:lang w:val="en-US"/>
        </w:rPr>
        <w:t xml:space="preserve">The </w:t>
      </w:r>
      <w:r w:rsidRPr="00B849DC" w:rsidR="007825A3">
        <w:rPr>
          <w:lang w:val="en-US"/>
        </w:rPr>
        <w:t>director</w:t>
      </w:r>
      <w:r w:rsidRPr="00B849DC" w:rsidR="006A7789">
        <w:rPr>
          <w:lang w:val="en-US"/>
        </w:rPr>
        <w:t xml:space="preserve"> </w:t>
      </w:r>
      <w:r w:rsidRPr="00B849DC" w:rsidR="006B593C">
        <w:rPr>
          <w:lang w:val="en-US"/>
        </w:rPr>
        <w:t xml:space="preserve">of a </w:t>
      </w:r>
      <w:r w:rsidRPr="00B849DC" w:rsidR="006A7789">
        <w:rPr>
          <w:lang w:val="en-US"/>
        </w:rPr>
        <w:t>unitary enterprise</w:t>
      </w:r>
    </w:p>
    <w:p w:rsidRPr="00B849DC" w:rsidR="006A7789" w:rsidP="00B849DC" w:rsidRDefault="00FD4A1F">
      <w:pPr>
        <w:pStyle w:val="ECHRHeading3"/>
        <w:rPr>
          <w:lang w:val="en-US"/>
        </w:rPr>
      </w:pPr>
      <w:r w:rsidRPr="00B849DC">
        <w:rPr>
          <w:lang w:val="en-US"/>
        </w:rPr>
        <w:t>1.</w:t>
      </w:r>
      <w:r w:rsidRPr="00B849DC" w:rsidR="006A7789">
        <w:rPr>
          <w:lang w:val="en-US"/>
        </w:rPr>
        <w:t>  </w:t>
      </w:r>
      <w:r w:rsidRPr="00B849DC" w:rsidR="0023328B">
        <w:rPr>
          <w:lang w:val="en-US"/>
        </w:rPr>
        <w:t>Appointment</w:t>
      </w:r>
      <w:r w:rsidRPr="00B849DC" w:rsidR="006A7789">
        <w:rPr>
          <w:lang w:val="en-US"/>
        </w:rPr>
        <w:t xml:space="preserve"> and liability</w:t>
      </w:r>
    </w:p>
    <w:p w:rsidRPr="00B849DC" w:rsidR="007825A3" w:rsidP="00B849DC" w:rsidRDefault="006E6C90">
      <w:pPr>
        <w:pStyle w:val="ECHRPara"/>
        <w:rPr>
          <w:lang w:val="en-US"/>
        </w:rPr>
      </w:pPr>
      <w:r w:rsidRPr="00B849DC">
        <w:rPr>
          <w:lang w:val="en-US"/>
        </w:rPr>
        <w:fldChar w:fldCharType="begin"/>
      </w:r>
      <w:r w:rsidRPr="00B849DC">
        <w:rPr>
          <w:lang w:val="en-US"/>
        </w:rPr>
        <w:instrText xml:space="preserve"> SEQ level0 \*arabic </w:instrText>
      </w:r>
      <w:r w:rsidRPr="00B849DC">
        <w:rPr>
          <w:lang w:val="en-US"/>
        </w:rPr>
        <w:fldChar w:fldCharType="separate"/>
      </w:r>
      <w:r w:rsidRPr="00B849DC" w:rsidR="00B849DC">
        <w:rPr>
          <w:noProof/>
          <w:lang w:val="en-US"/>
        </w:rPr>
        <w:t>83</w:t>
      </w:r>
      <w:r w:rsidRPr="00B849DC">
        <w:rPr>
          <w:lang w:val="en-US"/>
        </w:rPr>
        <w:fldChar w:fldCharType="end"/>
      </w:r>
      <w:r w:rsidRPr="00B849DC">
        <w:rPr>
          <w:lang w:val="en-US"/>
        </w:rPr>
        <w:t>.  </w:t>
      </w:r>
      <w:r w:rsidRPr="00B849DC" w:rsidR="009B1031">
        <w:rPr>
          <w:lang w:val="en-US"/>
        </w:rPr>
        <w:t xml:space="preserve">The </w:t>
      </w:r>
      <w:r w:rsidRPr="00B849DC" w:rsidR="0042129F">
        <w:rPr>
          <w:lang w:val="en-US"/>
        </w:rPr>
        <w:t xml:space="preserve">director </w:t>
      </w:r>
      <w:r w:rsidRPr="00B849DC" w:rsidR="009B1031">
        <w:rPr>
          <w:lang w:val="en-US"/>
        </w:rPr>
        <w:t>of a unitary enterprise is appointed by, and reports to, the property owner (Article 113 § 4 of the Civil Code</w:t>
      </w:r>
      <w:r w:rsidRPr="00B849DC" w:rsidR="0042129F">
        <w:rPr>
          <w:lang w:val="en-US"/>
        </w:rPr>
        <w:t xml:space="preserve"> and</w:t>
      </w:r>
      <w:r w:rsidRPr="00B849DC" w:rsidR="009B1031">
        <w:rPr>
          <w:lang w:val="en-US"/>
        </w:rPr>
        <w:t xml:space="preserve"> </w:t>
      </w:r>
      <w:r w:rsidRPr="00B849DC" w:rsidR="00BD2DFC">
        <w:rPr>
          <w:lang w:val="en-US"/>
        </w:rPr>
        <w:t>section </w:t>
      </w:r>
      <w:r w:rsidRPr="00B849DC" w:rsidR="009B1031">
        <w:rPr>
          <w:lang w:val="en-US"/>
        </w:rPr>
        <w:t xml:space="preserve">21 of the Unitary </w:t>
      </w:r>
      <w:r w:rsidRPr="00B849DC" w:rsidR="007825A3">
        <w:rPr>
          <w:lang w:val="en-US"/>
        </w:rPr>
        <w:t>Enterprises Act</w:t>
      </w:r>
      <w:r w:rsidRPr="00B849DC" w:rsidR="009B1031">
        <w:rPr>
          <w:lang w:val="en-US"/>
        </w:rPr>
        <w:t xml:space="preserve">). </w:t>
      </w:r>
      <w:r w:rsidRPr="00B849DC" w:rsidR="007825A3">
        <w:rPr>
          <w:lang w:val="en-US"/>
        </w:rPr>
        <w:t xml:space="preserve">The owner may sue the </w:t>
      </w:r>
      <w:r w:rsidRPr="00B849DC" w:rsidR="0042129F">
        <w:rPr>
          <w:lang w:val="en-US"/>
        </w:rPr>
        <w:t xml:space="preserve">director </w:t>
      </w:r>
      <w:r w:rsidRPr="00B849DC" w:rsidR="007825A3">
        <w:rPr>
          <w:lang w:val="en-US"/>
        </w:rPr>
        <w:t>for damage caused to the enterprise (</w:t>
      </w:r>
      <w:r w:rsidRPr="00B849DC" w:rsidR="00BD2DFC">
        <w:rPr>
          <w:lang w:val="en-US"/>
        </w:rPr>
        <w:t>section </w:t>
      </w:r>
      <w:r w:rsidRPr="00B849DC" w:rsidR="007825A3">
        <w:rPr>
          <w:lang w:val="en-US"/>
        </w:rPr>
        <w:t>25 of the Unitary Enterprises Act).</w:t>
      </w:r>
    </w:p>
    <w:p w:rsidRPr="00B849DC" w:rsidR="006A7789" w:rsidP="00B849DC" w:rsidRDefault="00FD4A1F">
      <w:pPr>
        <w:pStyle w:val="ECHRHeading3"/>
        <w:rPr>
          <w:lang w:val="en-US"/>
        </w:rPr>
      </w:pPr>
      <w:r w:rsidRPr="00B849DC">
        <w:rPr>
          <w:lang w:val="en-US"/>
        </w:rPr>
        <w:t>2.</w:t>
      </w:r>
      <w:r w:rsidRPr="00B849DC" w:rsidR="006A7789">
        <w:rPr>
          <w:lang w:val="en-US"/>
        </w:rPr>
        <w:t xml:space="preserve">  Relevant provisions on </w:t>
      </w:r>
      <w:r w:rsidRPr="00B849DC" w:rsidR="00874A57">
        <w:rPr>
          <w:lang w:val="en-US"/>
        </w:rPr>
        <w:t xml:space="preserve">the </w:t>
      </w:r>
      <w:r w:rsidRPr="00B849DC" w:rsidR="0042129F">
        <w:rPr>
          <w:lang w:val="en-US"/>
        </w:rPr>
        <w:t>director</w:t>
      </w:r>
      <w:r w:rsidRPr="00B849DC" w:rsidR="00B849DC">
        <w:rPr>
          <w:lang w:val="en-US"/>
        </w:rPr>
        <w:t>’</w:t>
      </w:r>
      <w:r w:rsidRPr="00B849DC" w:rsidR="0042129F">
        <w:rPr>
          <w:lang w:val="en-US"/>
        </w:rPr>
        <w:t xml:space="preserve">s </w:t>
      </w:r>
      <w:r w:rsidRPr="00B849DC" w:rsidR="00874A57">
        <w:rPr>
          <w:lang w:val="en-US"/>
        </w:rPr>
        <w:t>dismissal</w:t>
      </w:r>
    </w:p>
    <w:p w:rsidRPr="00B849DC" w:rsidR="00CA087B" w:rsidP="00B849DC" w:rsidRDefault="009B1031">
      <w:pPr>
        <w:pStyle w:val="ECHRPara"/>
        <w:rPr>
          <w:lang w:val="en-US"/>
        </w:rPr>
      </w:pPr>
      <w:r w:rsidRPr="00B849DC">
        <w:rPr>
          <w:lang w:val="en-US"/>
        </w:rPr>
        <w:fldChar w:fldCharType="begin"/>
      </w:r>
      <w:r w:rsidRPr="00B849DC">
        <w:rPr>
          <w:lang w:val="en-US"/>
        </w:rPr>
        <w:instrText xml:space="preserve"> SEQ level0 \*arabic </w:instrText>
      </w:r>
      <w:r w:rsidRPr="00B849DC">
        <w:rPr>
          <w:lang w:val="en-US"/>
        </w:rPr>
        <w:fldChar w:fldCharType="separate"/>
      </w:r>
      <w:r w:rsidRPr="00B849DC" w:rsidR="00B849DC">
        <w:rPr>
          <w:noProof/>
          <w:lang w:val="en-US"/>
        </w:rPr>
        <w:t>84</w:t>
      </w:r>
      <w:r w:rsidRPr="00B849DC">
        <w:rPr>
          <w:lang w:val="en-US"/>
        </w:rPr>
        <w:fldChar w:fldCharType="end"/>
      </w:r>
      <w:r w:rsidRPr="00B849DC">
        <w:rPr>
          <w:lang w:val="en-US"/>
        </w:rPr>
        <w:t>.  </w:t>
      </w:r>
      <w:r w:rsidRPr="00B849DC" w:rsidR="00D028EF">
        <w:rPr>
          <w:lang w:val="en-US"/>
        </w:rPr>
        <w:t xml:space="preserve">Article 278 of the Labour Code of the Russian Federation, as amended on 30 June 2006, </w:t>
      </w:r>
      <w:r w:rsidRPr="00B849DC" w:rsidR="002D595D">
        <w:rPr>
          <w:lang w:val="en-US"/>
        </w:rPr>
        <w:t>provides</w:t>
      </w:r>
      <w:r w:rsidRPr="00B849DC" w:rsidR="00900CBE">
        <w:rPr>
          <w:lang w:val="en-US"/>
        </w:rPr>
        <w:t xml:space="preserve"> that </w:t>
      </w:r>
      <w:r w:rsidRPr="00B849DC" w:rsidR="002D595D">
        <w:rPr>
          <w:lang w:val="en-US"/>
        </w:rPr>
        <w:t xml:space="preserve">the </w:t>
      </w:r>
      <w:r w:rsidRPr="00B849DC" w:rsidR="0042129F">
        <w:rPr>
          <w:lang w:val="en-US"/>
        </w:rPr>
        <w:t xml:space="preserve">employment </w:t>
      </w:r>
      <w:r w:rsidRPr="00B849DC" w:rsidR="002D595D">
        <w:rPr>
          <w:lang w:val="en-US"/>
        </w:rPr>
        <w:t xml:space="preserve">contract </w:t>
      </w:r>
      <w:r w:rsidRPr="00B849DC" w:rsidR="0042129F">
        <w:rPr>
          <w:lang w:val="en-US"/>
        </w:rPr>
        <w:t xml:space="preserve">of </w:t>
      </w:r>
      <w:r w:rsidRPr="00B849DC" w:rsidR="00D028EF">
        <w:rPr>
          <w:lang w:val="en-US"/>
        </w:rPr>
        <w:t xml:space="preserve">a </w:t>
      </w:r>
      <w:r w:rsidRPr="00B849DC" w:rsidR="0042129F">
        <w:rPr>
          <w:lang w:val="en-US"/>
        </w:rPr>
        <w:t xml:space="preserve">director </w:t>
      </w:r>
      <w:r w:rsidRPr="00B849DC" w:rsidR="00D028EF">
        <w:rPr>
          <w:lang w:val="en-US"/>
        </w:rPr>
        <w:t xml:space="preserve">of an organisation </w:t>
      </w:r>
      <w:r w:rsidRPr="00B849DC" w:rsidR="00900CBE">
        <w:rPr>
          <w:lang w:val="en-US"/>
        </w:rPr>
        <w:t xml:space="preserve">may be </w:t>
      </w:r>
      <w:r w:rsidRPr="00B849DC" w:rsidR="0042129F">
        <w:rPr>
          <w:lang w:val="en-US"/>
        </w:rPr>
        <w:t xml:space="preserve">terminated </w:t>
      </w:r>
      <w:r w:rsidRPr="00B849DC" w:rsidR="002D595D">
        <w:rPr>
          <w:lang w:val="en-US"/>
        </w:rPr>
        <w:t>by the owner</w:t>
      </w:r>
      <w:r w:rsidRPr="00B849DC" w:rsidR="00B849DC">
        <w:rPr>
          <w:lang w:val="en-US"/>
        </w:rPr>
        <w:t>’</w:t>
      </w:r>
      <w:r w:rsidRPr="00B849DC" w:rsidR="002D595D">
        <w:rPr>
          <w:lang w:val="en-US"/>
        </w:rPr>
        <w:t>s decision</w:t>
      </w:r>
      <w:r w:rsidRPr="00B849DC" w:rsidR="00900CBE">
        <w:rPr>
          <w:lang w:val="en-US"/>
        </w:rPr>
        <w:t xml:space="preserve">. </w:t>
      </w:r>
      <w:r w:rsidRPr="00B849DC" w:rsidR="0042129F">
        <w:rPr>
          <w:lang w:val="en-US"/>
        </w:rPr>
        <w:t xml:space="preserve">A </w:t>
      </w:r>
      <w:r w:rsidRPr="00B849DC" w:rsidR="00D028EF">
        <w:rPr>
          <w:lang w:val="en-US"/>
        </w:rPr>
        <w:t xml:space="preserve">decision to dismiss the </w:t>
      </w:r>
      <w:r w:rsidRPr="00B849DC" w:rsidR="0042129F">
        <w:rPr>
          <w:lang w:val="en-US"/>
        </w:rPr>
        <w:t xml:space="preserve">director </w:t>
      </w:r>
      <w:r w:rsidRPr="00B849DC" w:rsidR="00D028EF">
        <w:rPr>
          <w:lang w:val="en-US"/>
        </w:rPr>
        <w:t xml:space="preserve">of a unitary enterprise </w:t>
      </w:r>
      <w:r w:rsidRPr="00B849DC" w:rsidR="0042129F">
        <w:rPr>
          <w:lang w:val="en-US"/>
        </w:rPr>
        <w:t xml:space="preserve">must be </w:t>
      </w:r>
      <w:r w:rsidRPr="00B849DC" w:rsidR="00D028EF">
        <w:rPr>
          <w:lang w:val="en-US"/>
        </w:rPr>
        <w:t>taken in accordance with the procedure established by the Government of the Russian Federation.</w:t>
      </w:r>
    </w:p>
    <w:p w:rsidRPr="00B849DC" w:rsidR="00CA087B" w:rsidP="00B849DC" w:rsidRDefault="006E6C90">
      <w:pPr>
        <w:pStyle w:val="ECHRPara"/>
        <w:rPr>
          <w:lang w:val="en-US"/>
        </w:rPr>
      </w:pPr>
      <w:r w:rsidRPr="00B849DC">
        <w:rPr>
          <w:lang w:val="en-US"/>
        </w:rPr>
        <w:fldChar w:fldCharType="begin"/>
      </w:r>
      <w:r w:rsidRPr="00B849DC">
        <w:rPr>
          <w:lang w:val="en-US"/>
        </w:rPr>
        <w:instrText xml:space="preserve"> SEQ level0 \*arabic </w:instrText>
      </w:r>
      <w:r w:rsidRPr="00B849DC">
        <w:rPr>
          <w:lang w:val="en-US"/>
        </w:rPr>
        <w:fldChar w:fldCharType="separate"/>
      </w:r>
      <w:r w:rsidRPr="00B849DC" w:rsidR="00B849DC">
        <w:rPr>
          <w:noProof/>
          <w:lang w:val="en-US"/>
        </w:rPr>
        <w:t>85</w:t>
      </w:r>
      <w:r w:rsidRPr="00B849DC">
        <w:rPr>
          <w:lang w:val="en-US"/>
        </w:rPr>
        <w:fldChar w:fldCharType="end"/>
      </w:r>
      <w:r w:rsidRPr="00B849DC">
        <w:rPr>
          <w:lang w:val="en-US"/>
        </w:rPr>
        <w:t>.  </w:t>
      </w:r>
      <w:r w:rsidRPr="00B849DC" w:rsidR="006B593C">
        <w:rPr>
          <w:lang w:val="en-US"/>
        </w:rPr>
        <w:t>Decree of the Government of the Russian Federation No. 234 of 16 March 2000, as amended on 4 October 2002</w:t>
      </w:r>
      <w:r w:rsidRPr="00B849DC" w:rsidR="0042129F">
        <w:rPr>
          <w:lang w:val="en-US"/>
        </w:rPr>
        <w:t>,</w:t>
      </w:r>
      <w:r w:rsidRPr="00B849DC" w:rsidR="006B593C">
        <w:rPr>
          <w:lang w:val="en-US"/>
        </w:rPr>
        <w:t xml:space="preserve"> </w:t>
      </w:r>
      <w:r w:rsidRPr="00B849DC" w:rsidR="0042129F">
        <w:rPr>
          <w:lang w:val="en-US"/>
        </w:rPr>
        <w:t>governs</w:t>
      </w:r>
      <w:r w:rsidRPr="00B849DC" w:rsidR="006B593C">
        <w:rPr>
          <w:lang w:val="en-US"/>
        </w:rPr>
        <w:t xml:space="preserve"> </w:t>
      </w:r>
      <w:r w:rsidRPr="00B849DC" w:rsidR="0042129F">
        <w:rPr>
          <w:lang w:val="en-US"/>
        </w:rPr>
        <w:t>the employment</w:t>
      </w:r>
      <w:r w:rsidRPr="00B849DC" w:rsidR="006B593C">
        <w:rPr>
          <w:lang w:val="en-US"/>
        </w:rPr>
        <w:t xml:space="preserve"> contract</w:t>
      </w:r>
      <w:r w:rsidRPr="00B849DC" w:rsidR="0042129F">
        <w:rPr>
          <w:lang w:val="en-US"/>
        </w:rPr>
        <w:t>s</w:t>
      </w:r>
      <w:r w:rsidRPr="00B849DC" w:rsidR="006B593C">
        <w:rPr>
          <w:lang w:val="en-US"/>
        </w:rPr>
        <w:t xml:space="preserve"> and </w:t>
      </w:r>
      <w:r w:rsidRPr="00B849DC" w:rsidR="009B1031">
        <w:rPr>
          <w:lang w:val="en-US"/>
        </w:rPr>
        <w:t>appraisal</w:t>
      </w:r>
      <w:r w:rsidRPr="00B849DC" w:rsidR="006B593C">
        <w:rPr>
          <w:lang w:val="en-US"/>
        </w:rPr>
        <w:t xml:space="preserve"> of the </w:t>
      </w:r>
      <w:r w:rsidRPr="00B849DC" w:rsidR="0042129F">
        <w:rPr>
          <w:lang w:val="en-US"/>
        </w:rPr>
        <w:t xml:space="preserve">directors </w:t>
      </w:r>
      <w:r w:rsidRPr="00B849DC" w:rsidR="006B593C">
        <w:rPr>
          <w:lang w:val="en-US"/>
        </w:rPr>
        <w:t xml:space="preserve">of federal state unitary </w:t>
      </w:r>
      <w:r w:rsidRPr="00B849DC" w:rsidR="009B1031">
        <w:rPr>
          <w:lang w:val="en-US"/>
        </w:rPr>
        <w:t>enterprises.</w:t>
      </w:r>
      <w:r w:rsidRPr="00B849DC" w:rsidR="006B593C">
        <w:rPr>
          <w:lang w:val="en-US"/>
        </w:rPr>
        <w:t xml:space="preserve"> Section 2 of the Decree provides for the following specific grounds for dismissal of </w:t>
      </w:r>
      <w:r w:rsidRPr="00B849DC" w:rsidR="0042129F">
        <w:rPr>
          <w:lang w:val="en-US"/>
        </w:rPr>
        <w:t>a director</w:t>
      </w:r>
      <w:r w:rsidRPr="00B849DC" w:rsidR="006B593C">
        <w:rPr>
          <w:lang w:val="en-US"/>
        </w:rPr>
        <w:t xml:space="preserve"> of </w:t>
      </w:r>
      <w:r w:rsidRPr="00B849DC" w:rsidR="0042129F">
        <w:rPr>
          <w:lang w:val="en-US"/>
        </w:rPr>
        <w:t xml:space="preserve">a </w:t>
      </w:r>
      <w:r w:rsidRPr="00B849DC" w:rsidR="007711D6">
        <w:rPr>
          <w:lang w:val="en-US"/>
        </w:rPr>
        <w:t xml:space="preserve">State </w:t>
      </w:r>
      <w:r w:rsidRPr="00B849DC" w:rsidR="006B593C">
        <w:rPr>
          <w:lang w:val="en-US"/>
        </w:rPr>
        <w:t>unitary enterprise:</w:t>
      </w:r>
      <w:r w:rsidRPr="00B849DC" w:rsidR="007711D6">
        <w:rPr>
          <w:lang w:val="en-US"/>
        </w:rPr>
        <w:t xml:space="preserve"> </w:t>
      </w:r>
      <w:r w:rsidRPr="00B849DC" w:rsidR="006B593C">
        <w:rPr>
          <w:lang w:val="en-US"/>
        </w:rPr>
        <w:t xml:space="preserve">failure to </w:t>
      </w:r>
      <w:r w:rsidRPr="00B849DC" w:rsidR="006B3270">
        <w:rPr>
          <w:lang w:val="en-US"/>
        </w:rPr>
        <w:t>meet its</w:t>
      </w:r>
      <w:r w:rsidRPr="00B849DC" w:rsidR="006B593C">
        <w:rPr>
          <w:lang w:val="en-US"/>
        </w:rPr>
        <w:t xml:space="preserve"> economic </w:t>
      </w:r>
      <w:r w:rsidRPr="00B849DC" w:rsidR="006B3270">
        <w:rPr>
          <w:lang w:val="en-US"/>
        </w:rPr>
        <w:t>targets</w:t>
      </w:r>
      <w:r w:rsidRPr="00B849DC" w:rsidR="006B593C">
        <w:rPr>
          <w:lang w:val="en-US"/>
        </w:rPr>
        <w:t xml:space="preserve">, perform </w:t>
      </w:r>
      <w:r w:rsidRPr="00B849DC" w:rsidR="007711D6">
        <w:rPr>
          <w:lang w:val="en-US"/>
        </w:rPr>
        <w:t>the</w:t>
      </w:r>
      <w:r w:rsidRPr="00B849DC" w:rsidR="00C27866">
        <w:rPr>
          <w:lang w:val="en-US"/>
        </w:rPr>
        <w:t xml:space="preserve"> company</w:t>
      </w:r>
      <w:r w:rsidRPr="00B849DC" w:rsidR="007711D6">
        <w:rPr>
          <w:lang w:val="en-US"/>
        </w:rPr>
        <w:t xml:space="preserve"> </w:t>
      </w:r>
      <w:r w:rsidRPr="00B849DC" w:rsidR="006B593C">
        <w:rPr>
          <w:lang w:val="en-US"/>
        </w:rPr>
        <w:t xml:space="preserve">audit </w:t>
      </w:r>
      <w:r w:rsidRPr="00B849DC">
        <w:rPr>
          <w:lang w:val="en-US"/>
        </w:rPr>
        <w:t>in a timely manner or</w:t>
      </w:r>
      <w:r w:rsidRPr="00B849DC" w:rsidR="006B593C">
        <w:rPr>
          <w:lang w:val="en-US"/>
        </w:rPr>
        <w:t xml:space="preserve"> comply with the decisions of the Government; making transactions </w:t>
      </w:r>
      <w:r w:rsidRPr="00B849DC" w:rsidR="0042129F">
        <w:rPr>
          <w:lang w:val="en-US"/>
        </w:rPr>
        <w:t xml:space="preserve">involving </w:t>
      </w:r>
      <w:r w:rsidRPr="00B849DC" w:rsidR="006B593C">
        <w:rPr>
          <w:lang w:val="en-US"/>
        </w:rPr>
        <w:t xml:space="preserve">the </w:t>
      </w:r>
      <w:r w:rsidRPr="00B849DC" w:rsidR="0042129F">
        <w:rPr>
          <w:lang w:val="en-US"/>
        </w:rPr>
        <w:t xml:space="preserve">assets </w:t>
      </w:r>
      <w:r w:rsidRPr="00B849DC" w:rsidR="006B593C">
        <w:rPr>
          <w:lang w:val="en-US"/>
        </w:rPr>
        <w:t xml:space="preserve">under </w:t>
      </w:r>
      <w:r w:rsidRPr="00B849DC" w:rsidR="0042129F">
        <w:rPr>
          <w:lang w:val="en-US"/>
        </w:rPr>
        <w:t xml:space="preserve">the </w:t>
      </w:r>
      <w:r w:rsidRPr="00B849DC" w:rsidR="006B593C">
        <w:rPr>
          <w:lang w:val="en-US"/>
        </w:rPr>
        <w:t xml:space="preserve">economic control of the </w:t>
      </w:r>
      <w:r w:rsidRPr="00B849DC" w:rsidR="00C27866">
        <w:rPr>
          <w:lang w:val="en-US"/>
        </w:rPr>
        <w:t xml:space="preserve">company </w:t>
      </w:r>
      <w:r w:rsidRPr="00B849DC" w:rsidR="006B593C">
        <w:rPr>
          <w:lang w:val="en-US"/>
        </w:rPr>
        <w:t xml:space="preserve">in violation of the laws or the special legal capacity of the </w:t>
      </w:r>
      <w:r w:rsidRPr="00B849DC" w:rsidR="00C27866">
        <w:rPr>
          <w:lang w:val="en-US"/>
        </w:rPr>
        <w:t xml:space="preserve">company </w:t>
      </w:r>
      <w:r w:rsidRPr="00B849DC" w:rsidR="006B593C">
        <w:rPr>
          <w:lang w:val="en-US"/>
        </w:rPr>
        <w:t xml:space="preserve">as established by its </w:t>
      </w:r>
      <w:r w:rsidRPr="00B849DC" w:rsidR="003B56E3">
        <w:rPr>
          <w:lang w:val="en-US"/>
        </w:rPr>
        <w:t>a</w:t>
      </w:r>
      <w:r w:rsidRPr="00B849DC" w:rsidR="0041041D">
        <w:rPr>
          <w:lang w:val="en-US"/>
        </w:rPr>
        <w:t xml:space="preserve">rticles of </w:t>
      </w:r>
      <w:r w:rsidRPr="00B849DC" w:rsidR="003B56E3">
        <w:rPr>
          <w:lang w:val="en-US"/>
        </w:rPr>
        <w:t>a</w:t>
      </w:r>
      <w:r w:rsidRPr="00B849DC" w:rsidR="0041041D">
        <w:rPr>
          <w:lang w:val="en-US"/>
        </w:rPr>
        <w:t>ssociation</w:t>
      </w:r>
      <w:r w:rsidRPr="00B849DC" w:rsidR="006B593C">
        <w:rPr>
          <w:lang w:val="en-US"/>
        </w:rPr>
        <w:t xml:space="preserve">; </w:t>
      </w:r>
      <w:r w:rsidRPr="00B849DC" w:rsidR="0041041D">
        <w:rPr>
          <w:lang w:val="en-US"/>
        </w:rPr>
        <w:t>and failure to pay salaries</w:t>
      </w:r>
      <w:r w:rsidRPr="00B849DC" w:rsidR="006B593C">
        <w:rPr>
          <w:lang w:val="en-US"/>
        </w:rPr>
        <w:t xml:space="preserve"> for </w:t>
      </w:r>
      <w:r w:rsidRPr="00B849DC" w:rsidR="0041041D">
        <w:rPr>
          <w:lang w:val="en-US"/>
        </w:rPr>
        <w:t xml:space="preserve">a </w:t>
      </w:r>
      <w:r w:rsidRPr="00B849DC" w:rsidR="006B593C">
        <w:rPr>
          <w:lang w:val="en-US"/>
        </w:rPr>
        <w:t xml:space="preserve">period of more than three months </w:t>
      </w:r>
      <w:r w:rsidRPr="00B849DC" w:rsidR="00C27866">
        <w:rPr>
          <w:lang w:val="en-US"/>
        </w:rPr>
        <w:t xml:space="preserve">where </w:t>
      </w:r>
      <w:r w:rsidRPr="00B849DC" w:rsidR="006B593C">
        <w:rPr>
          <w:lang w:val="en-US"/>
        </w:rPr>
        <w:t xml:space="preserve">the </w:t>
      </w:r>
      <w:r w:rsidRPr="00B849DC" w:rsidR="0041041D">
        <w:rPr>
          <w:lang w:val="en-US"/>
        </w:rPr>
        <w:t xml:space="preserve">fault </w:t>
      </w:r>
      <w:r w:rsidRPr="00B849DC" w:rsidR="00C27866">
        <w:rPr>
          <w:lang w:val="en-US"/>
        </w:rPr>
        <w:t>lies with</w:t>
      </w:r>
      <w:r w:rsidRPr="00B849DC" w:rsidR="0041041D">
        <w:rPr>
          <w:lang w:val="en-US"/>
        </w:rPr>
        <w:t xml:space="preserve"> the director</w:t>
      </w:r>
      <w:r w:rsidRPr="00B849DC" w:rsidR="006B593C">
        <w:rPr>
          <w:lang w:val="en-US"/>
        </w:rPr>
        <w:t xml:space="preserve">. </w:t>
      </w:r>
      <w:r w:rsidRPr="00B849DC" w:rsidR="0041041D">
        <w:rPr>
          <w:lang w:val="en-US"/>
        </w:rPr>
        <w:t>The s</w:t>
      </w:r>
      <w:r w:rsidRPr="00B849DC" w:rsidR="009B1031">
        <w:rPr>
          <w:lang w:val="en-US"/>
        </w:rPr>
        <w:t xml:space="preserve">pecific conditions of employment and appraisal of the </w:t>
      </w:r>
      <w:r w:rsidRPr="00B849DC" w:rsidR="0041041D">
        <w:rPr>
          <w:lang w:val="en-US"/>
        </w:rPr>
        <w:t xml:space="preserve">directors </w:t>
      </w:r>
      <w:r w:rsidRPr="00B849DC" w:rsidR="009B1031">
        <w:rPr>
          <w:lang w:val="en-US"/>
        </w:rPr>
        <w:t xml:space="preserve">of municipal unitary companies are defined by the </w:t>
      </w:r>
      <w:r w:rsidRPr="00B849DC" w:rsidR="00830685">
        <w:rPr>
          <w:lang w:val="en-US"/>
        </w:rPr>
        <w:t xml:space="preserve">respective </w:t>
      </w:r>
      <w:r w:rsidRPr="00B849DC" w:rsidR="009B1031">
        <w:rPr>
          <w:lang w:val="en-US"/>
        </w:rPr>
        <w:t>municipal authorities.</w:t>
      </w:r>
    </w:p>
    <w:p w:rsidRPr="00B849DC" w:rsidR="00817B35" w:rsidP="00B849DC" w:rsidRDefault="00081478">
      <w:pPr>
        <w:pStyle w:val="ECHRHeading2"/>
        <w:rPr>
          <w:lang w:val="en-US"/>
        </w:rPr>
      </w:pPr>
      <w:r w:rsidRPr="00B849DC">
        <w:rPr>
          <w:lang w:val="en-US"/>
        </w:rPr>
        <w:t>D</w:t>
      </w:r>
      <w:r w:rsidRPr="00B849DC" w:rsidR="00817B35">
        <w:rPr>
          <w:lang w:val="en-US"/>
        </w:rPr>
        <w:t>.  </w:t>
      </w:r>
      <w:r w:rsidRPr="00B849DC" w:rsidR="00F732B2">
        <w:rPr>
          <w:lang w:val="en-US"/>
        </w:rPr>
        <w:t>I</w:t>
      </w:r>
      <w:r w:rsidRPr="00B849DC" w:rsidR="0010720D">
        <w:rPr>
          <w:lang w:val="en-US"/>
        </w:rPr>
        <w:t xml:space="preserve">nsolvency of </w:t>
      </w:r>
      <w:r w:rsidRPr="00B849DC" w:rsidR="00D4597E">
        <w:rPr>
          <w:lang w:val="en-US"/>
        </w:rPr>
        <w:t>S</w:t>
      </w:r>
      <w:r w:rsidRPr="00B849DC" w:rsidR="0010720D">
        <w:rPr>
          <w:lang w:val="en-US"/>
        </w:rPr>
        <w:t xml:space="preserve">tate and municipal unitary companies </w:t>
      </w:r>
      <w:r w:rsidRPr="00B849DC" w:rsidR="00D4597E">
        <w:rPr>
          <w:lang w:val="en-US"/>
        </w:rPr>
        <w:t xml:space="preserve">with </w:t>
      </w:r>
      <w:r w:rsidRPr="00B849DC" w:rsidR="0010720D">
        <w:rPr>
          <w:lang w:val="en-US"/>
        </w:rPr>
        <w:t>the right of economic control</w:t>
      </w:r>
    </w:p>
    <w:p w:rsidRPr="00B849DC" w:rsidR="00CA087B" w:rsidP="00B849DC" w:rsidRDefault="00FD4A1F">
      <w:pPr>
        <w:pStyle w:val="ECHRHeading3"/>
        <w:rPr>
          <w:lang w:val="en-US"/>
        </w:rPr>
      </w:pPr>
      <w:bookmarkStart w:name="gernprov2" w:id="3"/>
      <w:bookmarkEnd w:id="3"/>
      <w:r w:rsidRPr="00B849DC">
        <w:rPr>
          <w:lang w:val="en-US"/>
        </w:rPr>
        <w:t>1.</w:t>
      </w:r>
      <w:r w:rsidRPr="00B849DC" w:rsidR="00903261">
        <w:rPr>
          <w:lang w:val="en-US"/>
        </w:rPr>
        <w:t>  </w:t>
      </w:r>
      <w:r w:rsidRPr="00B849DC" w:rsidR="00BE74DC">
        <w:rPr>
          <w:lang w:val="en-US"/>
        </w:rPr>
        <w:t>Insolvency procedure</w:t>
      </w:r>
    </w:p>
    <w:p w:rsidRPr="00B849DC" w:rsidR="004700B6" w:rsidP="00B849DC" w:rsidRDefault="006F6EC3">
      <w:pPr>
        <w:pStyle w:val="ECHRPara"/>
        <w:rPr>
          <w:lang w:val="en-GB"/>
        </w:rPr>
      </w:pPr>
      <w:r w:rsidRPr="00B849DC">
        <w:rPr>
          <w:lang w:val="en-GB"/>
        </w:rPr>
        <w:fldChar w:fldCharType="begin"/>
      </w:r>
      <w:r w:rsidRPr="00B849DC">
        <w:rPr>
          <w:lang w:val="en-GB"/>
        </w:rPr>
        <w:instrText xml:space="preserve"> SEQ level0 \*arabic </w:instrText>
      </w:r>
      <w:proofErr w:type="gramStart"/>
      <w:r w:rsidRPr="00B849DC">
        <w:rPr>
          <w:lang w:val="en-GB"/>
        </w:rPr>
        <w:fldChar w:fldCharType="separate"/>
      </w:r>
      <w:r w:rsidRPr="00B849DC" w:rsidR="00B849DC">
        <w:rPr>
          <w:noProof/>
          <w:lang w:val="en-GB"/>
        </w:rPr>
        <w:t>86</w:t>
      </w:r>
      <w:r w:rsidRPr="00B849DC">
        <w:rPr>
          <w:lang w:val="en-GB"/>
        </w:rPr>
        <w:fldChar w:fldCharType="end"/>
      </w:r>
      <w:r w:rsidRPr="00B849DC">
        <w:rPr>
          <w:lang w:val="en-GB"/>
        </w:rPr>
        <w:t>.</w:t>
      </w:r>
      <w:proofErr w:type="gramEnd"/>
      <w:r w:rsidRPr="00B849DC">
        <w:rPr>
          <w:lang w:val="en-GB"/>
        </w:rPr>
        <w:t>  </w:t>
      </w:r>
      <w:r w:rsidRPr="00B849DC" w:rsidR="00D4597E">
        <w:rPr>
          <w:lang w:val="en-GB"/>
        </w:rPr>
        <w:t>The u</w:t>
      </w:r>
      <w:r w:rsidRPr="00B849DC" w:rsidR="00464449">
        <w:rPr>
          <w:lang w:val="en-GB"/>
        </w:rPr>
        <w:t xml:space="preserve">nitary enterprises </w:t>
      </w:r>
      <w:r w:rsidRPr="00B849DC" w:rsidR="003E695A">
        <w:rPr>
          <w:lang w:val="en-GB"/>
        </w:rPr>
        <w:t xml:space="preserve">in question </w:t>
      </w:r>
      <w:r w:rsidRPr="00B849DC" w:rsidR="00464449">
        <w:rPr>
          <w:lang w:val="en-GB"/>
        </w:rPr>
        <w:t>may be declared insolvent in accordance with the insolvency procedure applicable to private companies. T</w:t>
      </w:r>
      <w:r w:rsidRPr="00B849DC" w:rsidR="003E695A">
        <w:rPr>
          <w:lang w:val="en-US"/>
        </w:rPr>
        <w:t>hat</w:t>
      </w:r>
      <w:r w:rsidRPr="00B849DC" w:rsidR="00464449">
        <w:rPr>
          <w:lang w:val="en-US"/>
        </w:rPr>
        <w:t xml:space="preserve"> procedure is established by the relevant provisions of </w:t>
      </w:r>
      <w:r w:rsidRPr="00B849DC" w:rsidR="00464449">
        <w:rPr>
          <w:rFonts w:asciiTheme="majorHAnsi" w:hAnsiTheme="majorHAnsi" w:eastAsiaTheme="minorHAnsi" w:cstheme="majorHAnsi"/>
          <w:color w:val="292526"/>
          <w:szCs w:val="24"/>
          <w:lang w:val="en-US"/>
        </w:rPr>
        <w:t xml:space="preserve">Federal Law </w:t>
      </w:r>
      <w:r w:rsidRPr="00B849DC" w:rsidR="00D4597E">
        <w:rPr>
          <w:lang w:val="en-GB"/>
        </w:rPr>
        <w:t xml:space="preserve">no. 127-FZ of 26 October 2002 </w:t>
      </w:r>
      <w:r w:rsidRPr="00B849DC" w:rsidR="00464449">
        <w:rPr>
          <w:rFonts w:asciiTheme="majorHAnsi" w:hAnsiTheme="majorHAnsi" w:eastAsiaTheme="minorHAnsi" w:cstheme="majorHAnsi"/>
          <w:color w:val="292526"/>
          <w:szCs w:val="24"/>
          <w:lang w:val="en-US"/>
        </w:rPr>
        <w:t xml:space="preserve">On Insolvency (Bankruptcy) </w:t>
      </w:r>
      <w:r w:rsidRPr="00B849DC" w:rsidR="00D4597E">
        <w:rPr>
          <w:lang w:val="en-GB"/>
        </w:rPr>
        <w:t>(</w:t>
      </w:r>
      <w:r w:rsidRPr="00B849DC" w:rsidR="00464449">
        <w:rPr>
          <w:lang w:val="en-GB"/>
        </w:rPr>
        <w:t>“the Insolvency Act”</w:t>
      </w:r>
      <w:r w:rsidRPr="00B849DC" w:rsidR="00D4597E">
        <w:rPr>
          <w:lang w:val="en-GB"/>
        </w:rPr>
        <w:t>)</w:t>
      </w:r>
      <w:r w:rsidRPr="00B849DC" w:rsidR="00464449">
        <w:rPr>
          <w:lang w:val="en-GB"/>
        </w:rPr>
        <w:t xml:space="preserve"> </w:t>
      </w:r>
      <w:r w:rsidRPr="00B849DC" w:rsidR="00D4597E">
        <w:rPr>
          <w:lang w:val="en-GB"/>
        </w:rPr>
        <w:t xml:space="preserve">which replaced </w:t>
      </w:r>
      <w:r w:rsidRPr="00B849DC" w:rsidR="00464449">
        <w:rPr>
          <w:lang w:val="en-GB"/>
        </w:rPr>
        <w:t>the earlier Insolvency Act of 8 January 1998</w:t>
      </w:r>
      <w:r w:rsidRPr="00B849DC" w:rsidR="004700B6">
        <w:rPr>
          <w:lang w:val="en-GB"/>
        </w:rPr>
        <w:t xml:space="preserve"> (see, for a summary of the </w:t>
      </w:r>
      <w:r w:rsidRPr="00B849DC" w:rsidR="00D07257">
        <w:rPr>
          <w:lang w:val="en-GB"/>
        </w:rPr>
        <w:t xml:space="preserve">provisions of the 2002 </w:t>
      </w:r>
      <w:r w:rsidRPr="00B849DC" w:rsidR="004700B6">
        <w:rPr>
          <w:lang w:val="en-GB"/>
        </w:rPr>
        <w:t xml:space="preserve">Insolvency Act governing the definition of the state of insolvency, an insolvency petition and </w:t>
      </w:r>
      <w:r w:rsidRPr="00B849DC" w:rsidR="00C27866">
        <w:rPr>
          <w:lang w:val="en-GB"/>
        </w:rPr>
        <w:t xml:space="preserve">the </w:t>
      </w:r>
      <w:r w:rsidRPr="00B849DC" w:rsidR="004700B6">
        <w:rPr>
          <w:lang w:val="en-US"/>
        </w:rPr>
        <w:t>various solutions available to a court in resolving a bankruptcy case</w:t>
      </w:r>
      <w:r w:rsidRPr="00B849DC" w:rsidR="004700B6">
        <w:rPr>
          <w:lang w:val="en-GB"/>
        </w:rPr>
        <w:t xml:space="preserve">, </w:t>
      </w:r>
      <w:r w:rsidRPr="00B849DC" w:rsidR="0087244D">
        <w:rPr>
          <w:i/>
          <w:lang w:val="en-GB"/>
        </w:rPr>
        <w:t>OAO </w:t>
      </w:r>
      <w:r w:rsidRPr="00B849DC" w:rsidR="004700B6">
        <w:rPr>
          <w:i/>
          <w:lang w:val="en-GB"/>
        </w:rPr>
        <w:t>Neftyanaya Kompaniya Yukos v. Russia</w:t>
      </w:r>
      <w:r w:rsidRPr="00B849DC" w:rsidR="006B625F">
        <w:rPr>
          <w:lang w:val="en-GB"/>
        </w:rPr>
        <w:t xml:space="preserve"> (dec.), </w:t>
      </w:r>
      <w:r w:rsidRPr="00B849DC" w:rsidR="004700B6">
        <w:rPr>
          <w:lang w:val="en-GB"/>
        </w:rPr>
        <w:t>no. 14902/04</w:t>
      </w:r>
      <w:r w:rsidRPr="00B849DC" w:rsidR="004700B6">
        <w:rPr>
          <w:snapToGrid w:val="0"/>
          <w:szCs w:val="24"/>
          <w:lang w:val="en-GB"/>
        </w:rPr>
        <w:t xml:space="preserve">, </w:t>
      </w:r>
      <w:r w:rsidRPr="00B849DC" w:rsidR="00C27866">
        <w:rPr>
          <w:rFonts w:cstheme="minorHAnsi"/>
          <w:snapToGrid w:val="0"/>
          <w:szCs w:val="24"/>
          <w:lang w:val="en-GB"/>
        </w:rPr>
        <w:t>§</w:t>
      </w:r>
      <w:r w:rsidRPr="00B849DC" w:rsidR="004700B6">
        <w:rPr>
          <w:snapToGrid w:val="0"/>
          <w:szCs w:val="24"/>
          <w:lang w:val="en-GB"/>
        </w:rPr>
        <w:t>§</w:t>
      </w:r>
      <w:r w:rsidRPr="00B849DC" w:rsidR="00080442">
        <w:rPr>
          <w:snapToGrid w:val="0"/>
          <w:szCs w:val="24"/>
          <w:lang w:val="en-GB"/>
        </w:rPr>
        <w:t xml:space="preserve"> 413, 416 and </w:t>
      </w:r>
      <w:r w:rsidRPr="00B849DC" w:rsidR="0087244D">
        <w:rPr>
          <w:snapToGrid w:val="0"/>
          <w:szCs w:val="24"/>
          <w:lang w:val="en-GB"/>
        </w:rPr>
        <w:t>419-</w:t>
      </w:r>
      <w:r w:rsidRPr="00B849DC" w:rsidR="004700B6">
        <w:rPr>
          <w:snapToGrid w:val="0"/>
          <w:szCs w:val="24"/>
          <w:lang w:val="en-GB"/>
        </w:rPr>
        <w:t xml:space="preserve">26, </w:t>
      </w:r>
      <w:r w:rsidRPr="00B849DC" w:rsidR="006B625F">
        <w:rPr>
          <w:snapToGrid w:val="0"/>
          <w:szCs w:val="24"/>
          <w:lang w:val="en-GB"/>
        </w:rPr>
        <w:t>29 January 2009</w:t>
      </w:r>
      <w:r w:rsidRPr="00B849DC" w:rsidR="004700B6">
        <w:rPr>
          <w:snapToGrid w:val="0"/>
          <w:szCs w:val="24"/>
          <w:lang w:val="en-GB"/>
        </w:rPr>
        <w:t>).</w:t>
      </w:r>
    </w:p>
    <w:p w:rsidRPr="00B849DC" w:rsidR="00CA087B" w:rsidP="00B849DC" w:rsidRDefault="004700B6">
      <w:pPr>
        <w:pStyle w:val="ECHRPara"/>
        <w:rPr>
          <w:lang w:val="en-US"/>
        </w:rPr>
      </w:pPr>
      <w:r w:rsidRPr="00B849DC">
        <w:rPr>
          <w:lang w:val="en-US"/>
        </w:rPr>
        <w:fldChar w:fldCharType="begin"/>
      </w:r>
      <w:r w:rsidRPr="00B849DC">
        <w:rPr>
          <w:lang w:val="en-US"/>
        </w:rPr>
        <w:instrText xml:space="preserve"> SEQ level0 \*arabic </w:instrText>
      </w:r>
      <w:r w:rsidRPr="00B849DC">
        <w:rPr>
          <w:lang w:val="en-US"/>
        </w:rPr>
        <w:fldChar w:fldCharType="separate"/>
      </w:r>
      <w:r w:rsidRPr="00B849DC" w:rsidR="00B849DC">
        <w:rPr>
          <w:noProof/>
          <w:lang w:val="en-US"/>
        </w:rPr>
        <w:t>87</w:t>
      </w:r>
      <w:r w:rsidRPr="00B849DC">
        <w:rPr>
          <w:lang w:val="en-US"/>
        </w:rPr>
        <w:fldChar w:fldCharType="end"/>
      </w:r>
      <w:r w:rsidRPr="00B849DC">
        <w:rPr>
          <w:lang w:val="en-US"/>
        </w:rPr>
        <w:t xml:space="preserve">.  Under </w:t>
      </w:r>
      <w:r w:rsidRPr="00B849DC" w:rsidR="00BD2DFC">
        <w:rPr>
          <w:lang w:val="en-US"/>
        </w:rPr>
        <w:t>section </w:t>
      </w:r>
      <w:r w:rsidRPr="00B849DC">
        <w:rPr>
          <w:lang w:val="en-US"/>
        </w:rPr>
        <w:t>142</w:t>
      </w:r>
      <w:r w:rsidRPr="00B849DC" w:rsidR="00BD2DFC">
        <w:rPr>
          <w:lang w:val="en-US"/>
        </w:rPr>
        <w:t>(</w:t>
      </w:r>
      <w:r w:rsidRPr="00B849DC">
        <w:rPr>
          <w:lang w:val="en-US"/>
        </w:rPr>
        <w:t>1</w:t>
      </w:r>
      <w:r w:rsidRPr="00B849DC" w:rsidR="00BD2DFC">
        <w:rPr>
          <w:lang w:val="en-US"/>
        </w:rPr>
        <w:t>)</w:t>
      </w:r>
      <w:r w:rsidRPr="00B849DC">
        <w:rPr>
          <w:lang w:val="en-US"/>
        </w:rPr>
        <w:t xml:space="preserve"> of the Insolvency Act, the liquidator or the persons entitled to discharge the debtor</w:t>
      </w:r>
      <w:r w:rsidRPr="00B849DC" w:rsidR="00B849DC">
        <w:rPr>
          <w:lang w:val="en-US"/>
        </w:rPr>
        <w:t>’</w:t>
      </w:r>
      <w:r w:rsidRPr="00B849DC" w:rsidR="00770BB7">
        <w:rPr>
          <w:lang w:val="en-US"/>
        </w:rPr>
        <w:t>s obligations</w:t>
      </w:r>
      <w:r w:rsidRPr="00B849DC">
        <w:rPr>
          <w:lang w:val="en-US"/>
        </w:rPr>
        <w:t xml:space="preserve"> </w:t>
      </w:r>
      <w:r w:rsidRPr="00B849DC" w:rsidR="005D1CC5">
        <w:rPr>
          <w:lang w:val="en-US"/>
        </w:rPr>
        <w:t>must settle the claims</w:t>
      </w:r>
      <w:r w:rsidRPr="00B849DC">
        <w:rPr>
          <w:lang w:val="en-US"/>
        </w:rPr>
        <w:t xml:space="preserve"> </w:t>
      </w:r>
      <w:r w:rsidRPr="00B849DC" w:rsidR="005D1CC5">
        <w:rPr>
          <w:lang w:val="en-US"/>
        </w:rPr>
        <w:t>of</w:t>
      </w:r>
      <w:r w:rsidRPr="00B849DC" w:rsidR="000B1DC7">
        <w:rPr>
          <w:lang w:val="en-US"/>
        </w:rPr>
        <w:t xml:space="preserve"> </w:t>
      </w:r>
      <w:r w:rsidRPr="00B849DC">
        <w:rPr>
          <w:lang w:val="en-US"/>
        </w:rPr>
        <w:t>creditors in compliance with the register of creditors</w:t>
      </w:r>
      <w:r w:rsidRPr="00B849DC" w:rsidR="00B849DC">
        <w:rPr>
          <w:lang w:val="en-US"/>
        </w:rPr>
        <w:t>’</w:t>
      </w:r>
      <w:r w:rsidRPr="00B849DC">
        <w:rPr>
          <w:lang w:val="en-US"/>
        </w:rPr>
        <w:t xml:space="preserve"> claims. The amount of </w:t>
      </w:r>
      <w:r w:rsidRPr="00B849DC" w:rsidR="005D1CC5">
        <w:rPr>
          <w:lang w:val="en-US"/>
        </w:rPr>
        <w:t>those</w:t>
      </w:r>
      <w:r w:rsidRPr="00B849DC">
        <w:rPr>
          <w:lang w:val="en-US"/>
        </w:rPr>
        <w:t xml:space="preserve"> claims </w:t>
      </w:r>
      <w:r w:rsidRPr="00B849DC" w:rsidR="00D4597E">
        <w:rPr>
          <w:lang w:val="en-US"/>
        </w:rPr>
        <w:t xml:space="preserve">must </w:t>
      </w:r>
      <w:r w:rsidRPr="00B849DC">
        <w:rPr>
          <w:lang w:val="en-US"/>
        </w:rPr>
        <w:t>be determined in the manner set out in the Act. The register of creditors</w:t>
      </w:r>
      <w:r w:rsidRPr="00B849DC" w:rsidR="00B849DC">
        <w:rPr>
          <w:lang w:val="en-US"/>
        </w:rPr>
        <w:t>’</w:t>
      </w:r>
      <w:r w:rsidRPr="00B849DC">
        <w:rPr>
          <w:lang w:val="en-US"/>
        </w:rPr>
        <w:t xml:space="preserve"> claims should be closed two months after the publication of information on the debtor</w:t>
      </w:r>
      <w:r w:rsidRPr="00B849DC" w:rsidR="00B849DC">
        <w:rPr>
          <w:lang w:val="en-US"/>
        </w:rPr>
        <w:t>’</w:t>
      </w:r>
      <w:r w:rsidRPr="00B849DC">
        <w:rPr>
          <w:lang w:val="en-US"/>
        </w:rPr>
        <w:t xml:space="preserve">s having been declared </w:t>
      </w:r>
      <w:r w:rsidRPr="00B849DC" w:rsidR="000B1DC7">
        <w:rPr>
          <w:lang w:val="en-US"/>
        </w:rPr>
        <w:t>insolvent</w:t>
      </w:r>
      <w:r w:rsidRPr="00B849DC">
        <w:rPr>
          <w:lang w:val="en-US"/>
        </w:rPr>
        <w:t xml:space="preserve"> and </w:t>
      </w:r>
      <w:r w:rsidRPr="00B849DC" w:rsidR="000B1DC7">
        <w:rPr>
          <w:lang w:val="en-US"/>
        </w:rPr>
        <w:t xml:space="preserve">the beginning of the </w:t>
      </w:r>
      <w:r w:rsidRPr="00B849DC">
        <w:rPr>
          <w:lang w:val="en-US"/>
        </w:rPr>
        <w:t>liquidation procedure.</w:t>
      </w:r>
      <w:r w:rsidRPr="00B849DC" w:rsidR="006B625F">
        <w:rPr>
          <w:lang w:val="en-US"/>
        </w:rPr>
        <w:t xml:space="preserve"> </w:t>
      </w:r>
      <w:r w:rsidRPr="00B849DC">
        <w:rPr>
          <w:lang w:val="en-US"/>
        </w:rPr>
        <w:t>Creditors</w:t>
      </w:r>
      <w:r w:rsidRPr="00B849DC" w:rsidR="00B849DC">
        <w:rPr>
          <w:lang w:val="en-US"/>
        </w:rPr>
        <w:t>’</w:t>
      </w:r>
      <w:r w:rsidRPr="00B849DC">
        <w:rPr>
          <w:lang w:val="en-US"/>
        </w:rPr>
        <w:t xml:space="preserve"> claims should be met in accordance with the priority ranking set out in </w:t>
      </w:r>
      <w:r w:rsidRPr="00B849DC" w:rsidR="00BD2DFC">
        <w:rPr>
          <w:lang w:val="en-US"/>
        </w:rPr>
        <w:t>section </w:t>
      </w:r>
      <w:r w:rsidRPr="00B849DC">
        <w:rPr>
          <w:lang w:val="en-US"/>
        </w:rPr>
        <w:t>134 of the Act.</w:t>
      </w:r>
    </w:p>
    <w:p w:rsidRPr="00B849DC" w:rsidR="004700B6" w:rsidP="00B849DC" w:rsidRDefault="006B625F">
      <w:pPr>
        <w:pStyle w:val="ECHRPara"/>
        <w:rPr>
          <w:lang w:val="en-US"/>
        </w:rPr>
      </w:pPr>
      <w:r w:rsidRPr="00B849DC">
        <w:rPr>
          <w:lang w:val="en-US"/>
        </w:rPr>
        <w:fldChar w:fldCharType="begin"/>
      </w:r>
      <w:r w:rsidRPr="00B849DC">
        <w:rPr>
          <w:lang w:val="en-US"/>
        </w:rPr>
        <w:instrText xml:space="preserve"> SEQ level0 \*arabic </w:instrText>
      </w:r>
      <w:r w:rsidRPr="00B849DC">
        <w:rPr>
          <w:lang w:val="en-US"/>
        </w:rPr>
        <w:fldChar w:fldCharType="separate"/>
      </w:r>
      <w:r w:rsidRPr="00B849DC" w:rsidR="00B849DC">
        <w:rPr>
          <w:noProof/>
          <w:lang w:val="en-US"/>
        </w:rPr>
        <w:t>88</w:t>
      </w:r>
      <w:r w:rsidRPr="00B849DC">
        <w:rPr>
          <w:lang w:val="en-US"/>
        </w:rPr>
        <w:fldChar w:fldCharType="end"/>
      </w:r>
      <w:r w:rsidRPr="00B849DC">
        <w:rPr>
          <w:lang w:val="en-US"/>
        </w:rPr>
        <w:t>.  </w:t>
      </w:r>
      <w:r w:rsidRPr="00B849DC" w:rsidR="00BD2DFC">
        <w:rPr>
          <w:lang w:val="en-US"/>
        </w:rPr>
        <w:t>Section </w:t>
      </w:r>
      <w:r w:rsidRPr="00B849DC" w:rsidR="004700B6">
        <w:rPr>
          <w:lang w:val="en-US"/>
        </w:rPr>
        <w:t>142</w:t>
      </w:r>
      <w:r w:rsidRPr="00B849DC" w:rsidR="00BD2DFC">
        <w:rPr>
          <w:lang w:val="en-US"/>
        </w:rPr>
        <w:t>(</w:t>
      </w:r>
      <w:r w:rsidRPr="00B849DC" w:rsidR="004700B6">
        <w:rPr>
          <w:lang w:val="en-US"/>
        </w:rPr>
        <w:t>9</w:t>
      </w:r>
      <w:r w:rsidRPr="00B849DC" w:rsidR="00BD2DFC">
        <w:rPr>
          <w:lang w:val="en-US"/>
        </w:rPr>
        <w:t>)</w:t>
      </w:r>
      <w:r w:rsidRPr="00B849DC" w:rsidR="004700B6">
        <w:rPr>
          <w:lang w:val="en-US"/>
        </w:rPr>
        <w:t xml:space="preserve"> of the Act stipulates that </w:t>
      </w:r>
      <w:r w:rsidRPr="00B849DC" w:rsidR="00D4597E">
        <w:rPr>
          <w:lang w:val="en-US"/>
        </w:rPr>
        <w:t>creditors</w:t>
      </w:r>
      <w:r w:rsidRPr="00B849DC" w:rsidR="00B849DC">
        <w:rPr>
          <w:lang w:val="en-US"/>
        </w:rPr>
        <w:t>’</w:t>
      </w:r>
      <w:r w:rsidRPr="00B849DC" w:rsidDel="00D4597E" w:rsidR="00D4597E">
        <w:rPr>
          <w:lang w:val="en-US"/>
        </w:rPr>
        <w:t xml:space="preserve"> </w:t>
      </w:r>
      <w:r w:rsidRPr="00B849DC" w:rsidR="004700B6">
        <w:rPr>
          <w:lang w:val="en-US"/>
        </w:rPr>
        <w:t xml:space="preserve">claims </w:t>
      </w:r>
      <w:r w:rsidRPr="00B849DC" w:rsidR="00D4597E">
        <w:rPr>
          <w:lang w:val="en-US"/>
        </w:rPr>
        <w:t>which cannot be</w:t>
      </w:r>
      <w:r w:rsidRPr="00B849DC" w:rsidR="004700B6">
        <w:rPr>
          <w:lang w:val="en-US"/>
        </w:rPr>
        <w:t xml:space="preserve"> settled </w:t>
      </w:r>
      <w:r w:rsidRPr="00B849DC" w:rsidR="00D4597E">
        <w:rPr>
          <w:lang w:val="en-US"/>
        </w:rPr>
        <w:t xml:space="preserve">owing </w:t>
      </w:r>
      <w:r w:rsidRPr="00B849DC" w:rsidR="004700B6">
        <w:rPr>
          <w:lang w:val="en-US"/>
        </w:rPr>
        <w:t xml:space="preserve">to </w:t>
      </w:r>
      <w:r w:rsidRPr="00B849DC" w:rsidR="00C45C63">
        <w:rPr>
          <w:lang w:val="en-US"/>
        </w:rPr>
        <w:t xml:space="preserve">the </w:t>
      </w:r>
      <w:r w:rsidRPr="00B849DC" w:rsidR="004700B6">
        <w:rPr>
          <w:lang w:val="en-US"/>
        </w:rPr>
        <w:t>insufficiency of the debtor</w:t>
      </w:r>
      <w:r w:rsidRPr="00B849DC" w:rsidR="00B849DC">
        <w:rPr>
          <w:lang w:val="en-US"/>
        </w:rPr>
        <w:t>’</w:t>
      </w:r>
      <w:r w:rsidRPr="00B849DC" w:rsidR="004700B6">
        <w:rPr>
          <w:lang w:val="en-US"/>
        </w:rPr>
        <w:t xml:space="preserve">s assets should be deemed settled. </w:t>
      </w:r>
      <w:r w:rsidRPr="00B849DC" w:rsidR="00D4597E">
        <w:rPr>
          <w:lang w:val="en-US"/>
        </w:rPr>
        <w:t>Creditors</w:t>
      </w:r>
      <w:r w:rsidRPr="00B849DC" w:rsidR="00B849DC">
        <w:rPr>
          <w:lang w:val="en-US"/>
        </w:rPr>
        <w:t>’</w:t>
      </w:r>
      <w:r w:rsidRPr="00B849DC" w:rsidR="00D4597E">
        <w:rPr>
          <w:lang w:val="en-US"/>
        </w:rPr>
        <w:t xml:space="preserve"> </w:t>
      </w:r>
      <w:r w:rsidRPr="00B849DC" w:rsidR="004700B6">
        <w:rPr>
          <w:lang w:val="en-US"/>
        </w:rPr>
        <w:t>claims</w:t>
      </w:r>
      <w:r w:rsidRPr="00B849DC" w:rsidR="00D4597E">
        <w:rPr>
          <w:lang w:val="en-US"/>
        </w:rPr>
        <w:t xml:space="preserve"> </w:t>
      </w:r>
      <w:r w:rsidRPr="00B849DC" w:rsidR="004700B6">
        <w:rPr>
          <w:lang w:val="en-US"/>
        </w:rPr>
        <w:t xml:space="preserve">which were not acknowledged by the liquidator should also be deemed settled if the creditor has not applied to a commercial court or if such claims have been declared unfounded by </w:t>
      </w:r>
      <w:r w:rsidRPr="00B849DC" w:rsidR="000B1DC7">
        <w:rPr>
          <w:lang w:val="en-US"/>
        </w:rPr>
        <w:t xml:space="preserve">the </w:t>
      </w:r>
      <w:r w:rsidRPr="00B849DC" w:rsidR="004700B6">
        <w:rPr>
          <w:lang w:val="en-US"/>
        </w:rPr>
        <w:t>court.</w:t>
      </w:r>
    </w:p>
    <w:p w:rsidRPr="00B849DC" w:rsidR="006F6EC3" w:rsidP="00B849DC" w:rsidRDefault="00F55184">
      <w:pPr>
        <w:pStyle w:val="ECHRPara"/>
        <w:rPr>
          <w:lang w:val="en-GB"/>
        </w:rPr>
      </w:pPr>
      <w:r w:rsidRPr="00B849DC">
        <w:rPr>
          <w:lang w:val="en-US"/>
        </w:rPr>
        <w:fldChar w:fldCharType="begin"/>
      </w:r>
      <w:r w:rsidRPr="00B849DC">
        <w:rPr>
          <w:lang w:val="en-US"/>
        </w:rPr>
        <w:instrText xml:space="preserve"> SEQ level0 \*arabic </w:instrText>
      </w:r>
      <w:r w:rsidRPr="00B849DC">
        <w:rPr>
          <w:lang w:val="en-US"/>
        </w:rPr>
        <w:fldChar w:fldCharType="separate"/>
      </w:r>
      <w:r w:rsidRPr="00B849DC" w:rsidR="00B849DC">
        <w:rPr>
          <w:noProof/>
          <w:lang w:val="en-US"/>
        </w:rPr>
        <w:t>89</w:t>
      </w:r>
      <w:r w:rsidRPr="00B849DC">
        <w:rPr>
          <w:lang w:val="en-US"/>
        </w:rPr>
        <w:fldChar w:fldCharType="end"/>
      </w:r>
      <w:r w:rsidRPr="00B849DC">
        <w:rPr>
          <w:lang w:val="en-US"/>
        </w:rPr>
        <w:t>.  </w:t>
      </w:r>
      <w:r w:rsidRPr="00B849DC" w:rsidR="006F6EC3">
        <w:rPr>
          <w:lang w:val="en-US"/>
        </w:rPr>
        <w:t>In the event of liquidation the legal person ceases to exist without succession (</w:t>
      </w:r>
      <w:bookmarkStart w:name="HIT7" w:id="4"/>
      <w:bookmarkEnd w:id="4"/>
      <w:r w:rsidRPr="00B849DC" w:rsidR="006F6EC3">
        <w:rPr>
          <w:lang w:val="en-US"/>
        </w:rPr>
        <w:t>Article</w:t>
      </w:r>
      <w:bookmarkStart w:name="HIT8" w:id="5"/>
      <w:bookmarkEnd w:id="5"/>
      <w:r w:rsidRPr="00B849DC" w:rsidR="006F6EC3">
        <w:rPr>
          <w:lang w:val="en-US"/>
        </w:rPr>
        <w:t xml:space="preserve"> 61 of the </w:t>
      </w:r>
      <w:r w:rsidRPr="00B849DC" w:rsidR="000B1DC7">
        <w:rPr>
          <w:lang w:val="en-US"/>
        </w:rPr>
        <w:t xml:space="preserve">Civil </w:t>
      </w:r>
      <w:r w:rsidRPr="00B849DC" w:rsidR="006F6EC3">
        <w:rPr>
          <w:lang w:val="en-US"/>
        </w:rPr>
        <w:t>Code</w:t>
      </w:r>
      <w:r w:rsidRPr="00B849DC" w:rsidR="00D4597E">
        <w:rPr>
          <w:lang w:val="en-US"/>
        </w:rPr>
        <w:t xml:space="preserve"> and</w:t>
      </w:r>
      <w:r w:rsidRPr="00B849DC" w:rsidR="006F6EC3">
        <w:rPr>
          <w:lang w:val="en-US"/>
        </w:rPr>
        <w:t xml:space="preserve"> </w:t>
      </w:r>
      <w:r w:rsidRPr="00B849DC" w:rsidR="00BD2DFC">
        <w:rPr>
          <w:lang w:val="en-US"/>
        </w:rPr>
        <w:t>section </w:t>
      </w:r>
      <w:r w:rsidRPr="00B849DC" w:rsidR="006F6EC3">
        <w:rPr>
          <w:lang w:val="en-US"/>
        </w:rPr>
        <w:t>35</w:t>
      </w:r>
      <w:r w:rsidRPr="00B849DC" w:rsidR="00BD2DFC">
        <w:rPr>
          <w:lang w:val="en-US"/>
        </w:rPr>
        <w:t>(</w:t>
      </w:r>
      <w:r w:rsidRPr="00B849DC" w:rsidR="006F6EC3">
        <w:rPr>
          <w:lang w:val="en-US"/>
        </w:rPr>
        <w:t>3</w:t>
      </w:r>
      <w:r w:rsidRPr="00B849DC" w:rsidR="00BD2DFC">
        <w:rPr>
          <w:lang w:val="en-US"/>
        </w:rPr>
        <w:t>)</w:t>
      </w:r>
      <w:r w:rsidRPr="00B849DC" w:rsidR="006F6EC3">
        <w:rPr>
          <w:lang w:val="en-US"/>
        </w:rPr>
        <w:t xml:space="preserve"> of the Unitary Enterprises Act).</w:t>
      </w:r>
    </w:p>
    <w:p w:rsidRPr="00B849DC" w:rsidR="00F732B2" w:rsidP="00B849DC" w:rsidRDefault="00F732B2">
      <w:pPr>
        <w:pStyle w:val="ECHRHeading3"/>
        <w:rPr>
          <w:lang w:val="en-US"/>
        </w:rPr>
      </w:pPr>
      <w:r w:rsidRPr="00B849DC">
        <w:rPr>
          <w:lang w:val="en-US"/>
        </w:rPr>
        <w:t>2.  Provisions on “current payments”</w:t>
      </w:r>
    </w:p>
    <w:p w:rsidRPr="00B849DC" w:rsidR="00CA087B" w:rsidP="00B849DC" w:rsidRDefault="00F732B2">
      <w:pPr>
        <w:pStyle w:val="ECHRPara"/>
        <w:rPr>
          <w:lang w:val="en-US"/>
        </w:rPr>
      </w:pPr>
      <w:r w:rsidRPr="00B849DC">
        <w:fldChar w:fldCharType="begin"/>
      </w:r>
      <w:r w:rsidRPr="00B849DC">
        <w:rPr>
          <w:lang w:val="en-US"/>
        </w:rPr>
        <w:instrText xml:space="preserve"> SEQ level0 \*arabic </w:instrText>
      </w:r>
      <w:r w:rsidRPr="00B849DC">
        <w:fldChar w:fldCharType="separate"/>
      </w:r>
      <w:r w:rsidRPr="00B849DC" w:rsidR="00B849DC">
        <w:rPr>
          <w:noProof/>
          <w:lang w:val="en-US"/>
        </w:rPr>
        <w:t>90</w:t>
      </w:r>
      <w:r w:rsidRPr="00B849DC">
        <w:fldChar w:fldCharType="end"/>
      </w:r>
      <w:r w:rsidRPr="00B849DC">
        <w:rPr>
          <w:lang w:val="en-US"/>
        </w:rPr>
        <w:t>.  </w:t>
      </w:r>
      <w:r w:rsidRPr="00B849DC" w:rsidR="00902B4F">
        <w:rPr>
          <w:lang w:val="en-US"/>
        </w:rPr>
        <w:t xml:space="preserve">“Current payments” are </w:t>
      </w:r>
      <w:r w:rsidRPr="00B849DC" w:rsidR="004D45F0">
        <w:rPr>
          <w:lang w:val="en-US"/>
        </w:rPr>
        <w:t xml:space="preserve">monetary obligations and mandatory payments that have occurred after the acceptance of an application </w:t>
      </w:r>
      <w:r w:rsidRPr="00B849DC" w:rsidR="00C45C63">
        <w:rPr>
          <w:lang w:val="en-US"/>
        </w:rPr>
        <w:t xml:space="preserve">to declare </w:t>
      </w:r>
      <w:r w:rsidRPr="00B849DC" w:rsidR="004D45F0">
        <w:rPr>
          <w:lang w:val="en-US"/>
        </w:rPr>
        <w:t xml:space="preserve">a debtor bankrupt and monetary obligations and mandatory payments with </w:t>
      </w:r>
      <w:r w:rsidRPr="00B849DC" w:rsidR="0032437A">
        <w:rPr>
          <w:lang w:val="en-US"/>
        </w:rPr>
        <w:t xml:space="preserve">a </w:t>
      </w:r>
      <w:r w:rsidRPr="00B849DC" w:rsidR="004D45F0">
        <w:rPr>
          <w:lang w:val="en-US"/>
        </w:rPr>
        <w:t xml:space="preserve">due date </w:t>
      </w:r>
      <w:r w:rsidRPr="00B849DC" w:rsidR="0032437A">
        <w:rPr>
          <w:lang w:val="en-US"/>
        </w:rPr>
        <w:t xml:space="preserve">which falls </w:t>
      </w:r>
      <w:r w:rsidRPr="00B849DC" w:rsidR="004D45F0">
        <w:rPr>
          <w:lang w:val="en-US"/>
        </w:rPr>
        <w:t xml:space="preserve">after the </w:t>
      </w:r>
      <w:r w:rsidRPr="00B849DC" w:rsidR="00C45C63">
        <w:rPr>
          <w:lang w:val="en-US"/>
        </w:rPr>
        <w:t xml:space="preserve">date of </w:t>
      </w:r>
      <w:r w:rsidRPr="00B849DC" w:rsidR="004D45F0">
        <w:rPr>
          <w:lang w:val="en-US"/>
        </w:rPr>
        <w:t xml:space="preserve">institution of </w:t>
      </w:r>
      <w:r w:rsidRPr="00B849DC" w:rsidR="0032437A">
        <w:rPr>
          <w:lang w:val="en-US"/>
        </w:rPr>
        <w:t xml:space="preserve">the </w:t>
      </w:r>
      <w:r w:rsidRPr="00B849DC" w:rsidR="00902B4F">
        <w:rPr>
          <w:lang w:val="en-US"/>
        </w:rPr>
        <w:t>bankruptcy proceeding</w:t>
      </w:r>
      <w:r w:rsidRPr="00B849DC" w:rsidR="0032437A">
        <w:rPr>
          <w:lang w:val="en-US"/>
        </w:rPr>
        <w:t>s</w:t>
      </w:r>
      <w:r w:rsidRPr="00B849DC" w:rsidR="00902B4F">
        <w:rPr>
          <w:lang w:val="en-US"/>
        </w:rPr>
        <w:t xml:space="preserve"> (</w:t>
      </w:r>
      <w:r w:rsidRPr="00B849DC" w:rsidR="00BD2DFC">
        <w:rPr>
          <w:lang w:val="en-US"/>
        </w:rPr>
        <w:t>section </w:t>
      </w:r>
      <w:r w:rsidRPr="00B849DC" w:rsidR="00902B4F">
        <w:rPr>
          <w:lang w:val="en-US"/>
        </w:rPr>
        <w:t>5</w:t>
      </w:r>
      <w:r w:rsidRPr="00B849DC" w:rsidR="00BD2DFC">
        <w:rPr>
          <w:lang w:val="en-US"/>
        </w:rPr>
        <w:t>(</w:t>
      </w:r>
      <w:r w:rsidRPr="00B849DC" w:rsidR="00902B4F">
        <w:rPr>
          <w:lang w:val="en-US"/>
        </w:rPr>
        <w:t>1</w:t>
      </w:r>
      <w:r w:rsidRPr="00B849DC" w:rsidR="00BD2DFC">
        <w:rPr>
          <w:lang w:val="en-US"/>
        </w:rPr>
        <w:t>)</w:t>
      </w:r>
      <w:r w:rsidRPr="00B849DC" w:rsidR="00902B4F">
        <w:rPr>
          <w:lang w:val="en-US"/>
        </w:rPr>
        <w:t xml:space="preserve"> of the Insolvency Act). </w:t>
      </w:r>
      <w:r w:rsidRPr="00B849DC" w:rsidR="004D45F0">
        <w:rPr>
          <w:lang w:val="en-US"/>
        </w:rPr>
        <w:t>Creditors</w:t>
      </w:r>
      <w:r w:rsidRPr="00B849DC" w:rsidR="00B849DC">
        <w:rPr>
          <w:lang w:val="en-US"/>
        </w:rPr>
        <w:t>’</w:t>
      </w:r>
      <w:r w:rsidRPr="00B849DC" w:rsidR="004D45F0">
        <w:rPr>
          <w:lang w:val="en-US"/>
        </w:rPr>
        <w:t xml:space="preserve"> claims for current payments shall not be includ</w:t>
      </w:r>
      <w:r w:rsidRPr="00B849DC" w:rsidR="00902B4F">
        <w:rPr>
          <w:lang w:val="en-US"/>
        </w:rPr>
        <w:t>ed in the register of creditors</w:t>
      </w:r>
      <w:r w:rsidRPr="00B849DC" w:rsidR="00B849DC">
        <w:rPr>
          <w:lang w:val="en-US"/>
        </w:rPr>
        <w:t>’</w:t>
      </w:r>
      <w:r w:rsidRPr="00B849DC" w:rsidR="004D45F0">
        <w:rPr>
          <w:lang w:val="en-US"/>
        </w:rPr>
        <w:t xml:space="preserve"> claims. Current payments creditors </w:t>
      </w:r>
      <w:r w:rsidRPr="00B849DC" w:rsidR="0079398A">
        <w:rPr>
          <w:lang w:val="en-US"/>
        </w:rPr>
        <w:t>cannot be</w:t>
      </w:r>
      <w:r w:rsidRPr="00B849DC" w:rsidR="000B1DC7">
        <w:rPr>
          <w:lang w:val="en-US"/>
        </w:rPr>
        <w:t xml:space="preserve"> parties</w:t>
      </w:r>
      <w:r w:rsidRPr="00B849DC" w:rsidR="004D45F0">
        <w:rPr>
          <w:lang w:val="en-US"/>
        </w:rPr>
        <w:t xml:space="preserve"> to the </w:t>
      </w:r>
      <w:r w:rsidRPr="00B849DC" w:rsidR="00203CFE">
        <w:rPr>
          <w:lang w:val="en-US"/>
        </w:rPr>
        <w:t>insolvency</w:t>
      </w:r>
      <w:r w:rsidRPr="00B849DC" w:rsidR="004D45F0">
        <w:rPr>
          <w:lang w:val="en-US"/>
        </w:rPr>
        <w:t xml:space="preserve"> </w:t>
      </w:r>
      <w:r w:rsidRPr="00B849DC" w:rsidR="0032437A">
        <w:rPr>
          <w:lang w:val="en-US"/>
        </w:rPr>
        <w:t xml:space="preserve">proceedings </w:t>
      </w:r>
      <w:r w:rsidRPr="00B849DC" w:rsidR="00902B4F">
        <w:rPr>
          <w:lang w:val="en-US"/>
        </w:rPr>
        <w:t>(</w:t>
      </w:r>
      <w:r w:rsidRPr="00B849DC" w:rsidR="00BD2DFC">
        <w:rPr>
          <w:lang w:val="en-US"/>
        </w:rPr>
        <w:t>section </w:t>
      </w:r>
      <w:r w:rsidRPr="00B849DC" w:rsidR="00902B4F">
        <w:rPr>
          <w:lang w:val="en-US"/>
        </w:rPr>
        <w:t>5</w:t>
      </w:r>
      <w:r w:rsidRPr="00B849DC" w:rsidR="00BD2DFC">
        <w:rPr>
          <w:lang w:val="en-US"/>
        </w:rPr>
        <w:t>(</w:t>
      </w:r>
      <w:r w:rsidRPr="00B849DC" w:rsidR="00902B4F">
        <w:rPr>
          <w:lang w:val="en-US"/>
        </w:rPr>
        <w:t>2</w:t>
      </w:r>
      <w:r w:rsidRPr="00B849DC" w:rsidR="00BD2DFC">
        <w:rPr>
          <w:lang w:val="en-US"/>
        </w:rPr>
        <w:t>)</w:t>
      </w:r>
      <w:r w:rsidRPr="00B849DC" w:rsidR="00902B4F">
        <w:rPr>
          <w:lang w:val="en-US"/>
        </w:rPr>
        <w:t xml:space="preserve"> of the Insolvency Act).</w:t>
      </w:r>
    </w:p>
    <w:p w:rsidRPr="00B849DC" w:rsidR="00902B4F" w:rsidP="00B849DC" w:rsidRDefault="00887104">
      <w:pPr>
        <w:pStyle w:val="ECHRPara"/>
        <w:rPr>
          <w:lang w:val="en-US"/>
        </w:rPr>
      </w:pPr>
      <w:r w:rsidRPr="00B849DC">
        <w:rPr>
          <w:lang w:val="en-US"/>
        </w:rPr>
        <w:fldChar w:fldCharType="begin"/>
      </w:r>
      <w:r w:rsidRPr="00B849DC">
        <w:rPr>
          <w:lang w:val="en-US"/>
        </w:rPr>
        <w:instrText xml:space="preserve"> SEQ level0 \*arabic </w:instrText>
      </w:r>
      <w:r w:rsidRPr="00B849DC">
        <w:rPr>
          <w:lang w:val="en-US"/>
        </w:rPr>
        <w:fldChar w:fldCharType="separate"/>
      </w:r>
      <w:r w:rsidRPr="00B849DC" w:rsidR="00B849DC">
        <w:rPr>
          <w:noProof/>
          <w:lang w:val="en-US"/>
        </w:rPr>
        <w:t>91</w:t>
      </w:r>
      <w:r w:rsidRPr="00B849DC">
        <w:rPr>
          <w:lang w:val="en-US"/>
        </w:rPr>
        <w:fldChar w:fldCharType="end"/>
      </w:r>
      <w:r w:rsidRPr="00B849DC">
        <w:rPr>
          <w:lang w:val="en-US"/>
        </w:rPr>
        <w:t>.  </w:t>
      </w:r>
      <w:r w:rsidRPr="00B849DC" w:rsidR="00BD2DFC">
        <w:rPr>
          <w:lang w:val="en-US"/>
        </w:rPr>
        <w:t>Section </w:t>
      </w:r>
      <w:r w:rsidRPr="00B849DC" w:rsidR="008044A3">
        <w:rPr>
          <w:lang w:val="en-US"/>
        </w:rPr>
        <w:t>134</w:t>
      </w:r>
      <w:r w:rsidRPr="00B849DC" w:rsidR="00BD2DFC">
        <w:rPr>
          <w:lang w:val="en-US"/>
        </w:rPr>
        <w:t>(</w:t>
      </w:r>
      <w:r w:rsidRPr="00B849DC" w:rsidR="008044A3">
        <w:rPr>
          <w:lang w:val="en-US"/>
        </w:rPr>
        <w:t>1</w:t>
      </w:r>
      <w:r w:rsidRPr="00B849DC" w:rsidR="00BD2DFC">
        <w:rPr>
          <w:lang w:val="en-US"/>
        </w:rPr>
        <w:t>)</w:t>
      </w:r>
      <w:r w:rsidRPr="00B849DC" w:rsidR="008044A3">
        <w:rPr>
          <w:lang w:val="en-US"/>
        </w:rPr>
        <w:t xml:space="preserve"> of the Insolvency Act provides that creditors</w:t>
      </w:r>
      <w:r w:rsidRPr="00B849DC" w:rsidR="00B849DC">
        <w:rPr>
          <w:lang w:val="en-US"/>
        </w:rPr>
        <w:t>’</w:t>
      </w:r>
      <w:r w:rsidRPr="00B849DC" w:rsidR="008044A3">
        <w:rPr>
          <w:lang w:val="en-US"/>
        </w:rPr>
        <w:t xml:space="preserve"> claims in respect of current payments should be settled from the insolvency estate as a priority </w:t>
      </w:r>
      <w:r w:rsidRPr="00B849DC" w:rsidR="004F2146">
        <w:rPr>
          <w:lang w:val="en-US"/>
        </w:rPr>
        <w:t>over</w:t>
      </w:r>
      <w:r w:rsidRPr="00B849DC" w:rsidR="008044A3">
        <w:rPr>
          <w:lang w:val="en-US"/>
        </w:rPr>
        <w:t xml:space="preserve"> claims which had </w:t>
      </w:r>
      <w:r w:rsidRPr="00B849DC" w:rsidR="000B1DC7">
        <w:rPr>
          <w:lang w:val="en-US"/>
        </w:rPr>
        <w:t>arisen</w:t>
      </w:r>
      <w:r w:rsidRPr="00B849DC" w:rsidR="008044A3">
        <w:rPr>
          <w:lang w:val="en-US"/>
        </w:rPr>
        <w:t xml:space="preserve"> before the debtor entity was declared insolvent. </w:t>
      </w:r>
      <w:r w:rsidRPr="00B849DC" w:rsidR="00BD2DFC">
        <w:rPr>
          <w:lang w:val="en-US"/>
        </w:rPr>
        <w:t>Section </w:t>
      </w:r>
      <w:r w:rsidRPr="00B849DC" w:rsidR="00902B4F">
        <w:rPr>
          <w:lang w:val="en-US"/>
        </w:rPr>
        <w:t>134</w:t>
      </w:r>
      <w:r w:rsidRPr="00B849DC" w:rsidR="00BD2DFC">
        <w:rPr>
          <w:lang w:val="en-US"/>
        </w:rPr>
        <w:t>(</w:t>
      </w:r>
      <w:r w:rsidRPr="00B849DC" w:rsidR="00902B4F">
        <w:rPr>
          <w:lang w:val="en-US"/>
        </w:rPr>
        <w:t>4</w:t>
      </w:r>
      <w:r w:rsidRPr="00B849DC" w:rsidR="00BD2DFC">
        <w:rPr>
          <w:lang w:val="en-US"/>
        </w:rPr>
        <w:t>)</w:t>
      </w:r>
      <w:r w:rsidRPr="00B849DC" w:rsidR="00902B4F">
        <w:rPr>
          <w:lang w:val="en-US"/>
        </w:rPr>
        <w:t xml:space="preserve"> </w:t>
      </w:r>
      <w:r w:rsidRPr="00B849DC" w:rsidR="000B1DC7">
        <w:rPr>
          <w:lang w:val="en-US"/>
        </w:rPr>
        <w:t>provides for</w:t>
      </w:r>
      <w:r w:rsidRPr="00B849DC" w:rsidR="00902B4F">
        <w:rPr>
          <w:lang w:val="en-US"/>
        </w:rPr>
        <w:t xml:space="preserve"> the priority ranking </w:t>
      </w:r>
      <w:r w:rsidRPr="00B849DC" w:rsidR="00C45C63">
        <w:rPr>
          <w:lang w:val="en-US"/>
        </w:rPr>
        <w:t>of</w:t>
      </w:r>
      <w:r w:rsidRPr="00B849DC" w:rsidR="008044A3">
        <w:rPr>
          <w:lang w:val="en-US"/>
        </w:rPr>
        <w:t xml:space="preserve"> creditors</w:t>
      </w:r>
      <w:r w:rsidRPr="00B849DC" w:rsidR="00B849DC">
        <w:rPr>
          <w:lang w:val="en-US"/>
        </w:rPr>
        <w:t>’</w:t>
      </w:r>
      <w:r w:rsidRPr="00B849DC" w:rsidR="008044A3">
        <w:rPr>
          <w:lang w:val="en-US"/>
        </w:rPr>
        <w:t xml:space="preserve"> claims </w:t>
      </w:r>
      <w:r w:rsidRPr="00B849DC" w:rsidR="000B1DC7">
        <w:rPr>
          <w:lang w:val="en-US"/>
        </w:rPr>
        <w:t xml:space="preserve">in respect of </w:t>
      </w:r>
      <w:r w:rsidRPr="00B849DC" w:rsidR="008044A3">
        <w:rPr>
          <w:lang w:val="en-US"/>
        </w:rPr>
        <w:t xml:space="preserve">current payments. </w:t>
      </w:r>
      <w:r w:rsidRPr="00B849DC" w:rsidR="00902B4F">
        <w:rPr>
          <w:lang w:val="en-US"/>
        </w:rPr>
        <w:t xml:space="preserve">In particular, </w:t>
      </w:r>
      <w:r w:rsidRPr="00B849DC" w:rsidR="008044A3">
        <w:rPr>
          <w:lang w:val="en-US"/>
        </w:rPr>
        <w:t xml:space="preserve">claims </w:t>
      </w:r>
      <w:r w:rsidRPr="00B849DC" w:rsidR="00C51626">
        <w:rPr>
          <w:lang w:val="en-US"/>
        </w:rPr>
        <w:t>relating to disbursement of severance benefits and remun</w:t>
      </w:r>
      <w:r w:rsidRPr="00B849DC" w:rsidR="00AD3FDF">
        <w:rPr>
          <w:lang w:val="en-US"/>
        </w:rPr>
        <w:t xml:space="preserve">eration </w:t>
      </w:r>
      <w:r w:rsidRPr="00B849DC" w:rsidR="00C45C63">
        <w:rPr>
          <w:lang w:val="en-US"/>
        </w:rPr>
        <w:t>of</w:t>
      </w:r>
      <w:r w:rsidRPr="00B849DC" w:rsidR="00AD3FDF">
        <w:rPr>
          <w:lang w:val="en-US"/>
        </w:rPr>
        <w:t xml:space="preserve"> persons who are</w:t>
      </w:r>
      <w:r w:rsidRPr="00B849DC" w:rsidR="004F2146">
        <w:rPr>
          <w:lang w:val="en-US"/>
        </w:rPr>
        <w:t xml:space="preserve"> </w:t>
      </w:r>
      <w:r w:rsidRPr="00B849DC" w:rsidR="00DB7DD3">
        <w:rPr>
          <w:lang w:val="en-US"/>
        </w:rPr>
        <w:t xml:space="preserve">– </w:t>
      </w:r>
      <w:r w:rsidRPr="00B849DC" w:rsidR="00AD3FDF">
        <w:rPr>
          <w:lang w:val="en-US"/>
        </w:rPr>
        <w:t xml:space="preserve">or have been </w:t>
      </w:r>
      <w:r w:rsidRPr="00B849DC" w:rsidR="00DB7DD3">
        <w:rPr>
          <w:lang w:val="en-US"/>
        </w:rPr>
        <w:t>–</w:t>
      </w:r>
      <w:r w:rsidRPr="00B849DC" w:rsidR="00AD3FDF">
        <w:rPr>
          <w:lang w:val="en-US"/>
        </w:rPr>
        <w:t xml:space="preserve"> </w:t>
      </w:r>
      <w:r w:rsidRPr="00B849DC" w:rsidR="00DB7DD3">
        <w:rPr>
          <w:lang w:val="en-US"/>
        </w:rPr>
        <w:t>employed</w:t>
      </w:r>
      <w:r w:rsidRPr="00B849DC" w:rsidR="00C51626">
        <w:rPr>
          <w:lang w:val="en-US"/>
        </w:rPr>
        <w:t xml:space="preserve"> under a contract are to be satisfied as</w:t>
      </w:r>
      <w:r w:rsidRPr="00B849DC" w:rsidR="004F2146">
        <w:rPr>
          <w:lang w:val="en-US"/>
        </w:rPr>
        <w:t xml:space="preserve"> </w:t>
      </w:r>
      <w:r w:rsidRPr="00B849DC" w:rsidR="00C45C63">
        <w:rPr>
          <w:lang w:val="en-US"/>
        </w:rPr>
        <w:t xml:space="preserve">a </w:t>
      </w:r>
      <w:r w:rsidRPr="00B849DC" w:rsidR="00C51626">
        <w:rPr>
          <w:lang w:val="en-US"/>
        </w:rPr>
        <w:t>second priority.</w:t>
      </w:r>
    </w:p>
    <w:p w:rsidRPr="00B849DC" w:rsidR="003F2C8D" w:rsidP="00B849DC" w:rsidRDefault="00081478">
      <w:pPr>
        <w:pStyle w:val="ECHRHeading2"/>
        <w:rPr>
          <w:lang w:val="en-US"/>
        </w:rPr>
      </w:pPr>
      <w:r w:rsidRPr="00B849DC">
        <w:rPr>
          <w:lang w:val="en-US"/>
        </w:rPr>
        <w:t>E</w:t>
      </w:r>
      <w:r w:rsidRPr="00B849DC" w:rsidR="003F2C8D">
        <w:rPr>
          <w:lang w:val="en-US"/>
        </w:rPr>
        <w:t xml:space="preserve">.  Liability for the debts of </w:t>
      </w:r>
      <w:r w:rsidRPr="00B849DC" w:rsidR="004F2146">
        <w:rPr>
          <w:lang w:val="en-US"/>
        </w:rPr>
        <w:t>S</w:t>
      </w:r>
      <w:r w:rsidRPr="00B849DC" w:rsidR="003F2C8D">
        <w:rPr>
          <w:lang w:val="en-US"/>
        </w:rPr>
        <w:t xml:space="preserve">tate and municipal unitary companies </w:t>
      </w:r>
      <w:r w:rsidRPr="00B849DC" w:rsidR="004F2146">
        <w:rPr>
          <w:lang w:val="en-US"/>
        </w:rPr>
        <w:t xml:space="preserve">with </w:t>
      </w:r>
      <w:r w:rsidRPr="00B849DC" w:rsidR="003F2C8D">
        <w:rPr>
          <w:lang w:val="en-US"/>
        </w:rPr>
        <w:t>the right of economic control</w:t>
      </w:r>
    </w:p>
    <w:p w:rsidRPr="00B849DC" w:rsidR="003F2C8D" w:rsidP="00B849DC" w:rsidRDefault="003F2C8D">
      <w:pPr>
        <w:pStyle w:val="ECHRHeading3"/>
        <w:rPr>
          <w:lang w:val="en-US"/>
        </w:rPr>
      </w:pPr>
      <w:r w:rsidRPr="00B849DC">
        <w:rPr>
          <w:lang w:val="en-US"/>
        </w:rPr>
        <w:t>1.  </w:t>
      </w:r>
      <w:r w:rsidRPr="00B849DC" w:rsidR="00460AF2">
        <w:rPr>
          <w:lang w:val="en-US"/>
        </w:rPr>
        <w:t>Provisions of the Civil Code and the Unitary Enterprises Act</w:t>
      </w:r>
      <w:r w:rsidRPr="00B849DC" w:rsidR="00D67EFE">
        <w:rPr>
          <w:lang w:val="en-US"/>
        </w:rPr>
        <w:t xml:space="preserve"> on subsidiary liability</w:t>
      </w:r>
    </w:p>
    <w:p w:rsidRPr="00B849DC" w:rsidR="003F2C8D" w:rsidP="00B849DC" w:rsidRDefault="00887104">
      <w:pPr>
        <w:pStyle w:val="ECHRPara"/>
        <w:rPr>
          <w:lang w:val="en-US"/>
        </w:rPr>
      </w:pPr>
      <w:r w:rsidRPr="00B849DC">
        <w:rPr>
          <w:iCs/>
          <w:lang w:val="en-US"/>
        </w:rPr>
        <w:fldChar w:fldCharType="begin"/>
      </w:r>
      <w:r w:rsidRPr="00B849DC">
        <w:rPr>
          <w:iCs/>
          <w:lang w:val="en-US"/>
        </w:rPr>
        <w:instrText xml:space="preserve"> SEQ level0 \*arabic </w:instrText>
      </w:r>
      <w:r w:rsidRPr="00B849DC">
        <w:rPr>
          <w:iCs/>
          <w:lang w:val="en-US"/>
        </w:rPr>
        <w:fldChar w:fldCharType="separate"/>
      </w:r>
      <w:r w:rsidRPr="00B849DC" w:rsidR="00B849DC">
        <w:rPr>
          <w:iCs/>
          <w:noProof/>
          <w:lang w:val="en-US"/>
        </w:rPr>
        <w:t>92</w:t>
      </w:r>
      <w:r w:rsidRPr="00B849DC">
        <w:rPr>
          <w:iCs/>
          <w:lang w:val="en-US"/>
        </w:rPr>
        <w:fldChar w:fldCharType="end"/>
      </w:r>
      <w:r w:rsidRPr="00B849DC">
        <w:rPr>
          <w:iCs/>
          <w:lang w:val="en-US"/>
        </w:rPr>
        <w:t>. </w:t>
      </w:r>
      <w:r w:rsidRPr="00B849DC" w:rsidR="00C45C63">
        <w:rPr>
          <w:lang w:val="en-US"/>
        </w:rPr>
        <w:t>U</w:t>
      </w:r>
      <w:r w:rsidRPr="00B849DC" w:rsidR="003F2C8D">
        <w:rPr>
          <w:lang w:val="en-US"/>
        </w:rPr>
        <w:t>nitary enterprise</w:t>
      </w:r>
      <w:r w:rsidRPr="00B849DC" w:rsidR="00C45C63">
        <w:rPr>
          <w:lang w:val="en-US"/>
        </w:rPr>
        <w:t>s</w:t>
      </w:r>
      <w:r w:rsidRPr="00B849DC" w:rsidR="003F2C8D">
        <w:rPr>
          <w:lang w:val="en-US"/>
        </w:rPr>
        <w:t xml:space="preserve"> </w:t>
      </w:r>
      <w:r w:rsidRPr="00B849DC" w:rsidR="00C45C63">
        <w:rPr>
          <w:lang w:val="en-US"/>
        </w:rPr>
        <w:t xml:space="preserve">are </w:t>
      </w:r>
      <w:r w:rsidRPr="00B849DC" w:rsidR="003F2C8D">
        <w:rPr>
          <w:lang w:val="en-US"/>
        </w:rPr>
        <w:t xml:space="preserve">liable for </w:t>
      </w:r>
      <w:r w:rsidRPr="00B849DC" w:rsidR="00C45C63">
        <w:rPr>
          <w:lang w:val="en-US"/>
        </w:rPr>
        <w:t xml:space="preserve">their </w:t>
      </w:r>
      <w:r w:rsidRPr="00B849DC" w:rsidR="003F2C8D">
        <w:rPr>
          <w:lang w:val="en-US"/>
        </w:rPr>
        <w:t>debts</w:t>
      </w:r>
      <w:r w:rsidRPr="00B849DC" w:rsidR="0079398A">
        <w:rPr>
          <w:lang w:val="en-US"/>
        </w:rPr>
        <w:t>,</w:t>
      </w:r>
      <w:r w:rsidRPr="00B849DC" w:rsidR="003F2C8D">
        <w:rPr>
          <w:lang w:val="en-US"/>
        </w:rPr>
        <w:t xml:space="preserve"> </w:t>
      </w:r>
      <w:r w:rsidRPr="00B849DC" w:rsidR="0079398A">
        <w:rPr>
          <w:lang w:val="en-US"/>
        </w:rPr>
        <w:t>and all the</w:t>
      </w:r>
      <w:r w:rsidRPr="00B849DC" w:rsidR="003F2C8D">
        <w:rPr>
          <w:lang w:val="en-US"/>
        </w:rPr>
        <w:t xml:space="preserve"> property in </w:t>
      </w:r>
      <w:r w:rsidRPr="00B849DC" w:rsidR="00C45C63">
        <w:rPr>
          <w:lang w:val="en-US"/>
        </w:rPr>
        <w:t xml:space="preserve">their </w:t>
      </w:r>
      <w:r w:rsidRPr="00B849DC" w:rsidR="003F2C8D">
        <w:rPr>
          <w:lang w:val="en-US"/>
        </w:rPr>
        <w:t>possession</w:t>
      </w:r>
      <w:r w:rsidRPr="00B849DC" w:rsidR="0079398A">
        <w:rPr>
          <w:lang w:val="en-US"/>
        </w:rPr>
        <w:t xml:space="preserve"> may be used to satisfy the creditors</w:t>
      </w:r>
      <w:r w:rsidRPr="00B849DC" w:rsidR="00B849DC">
        <w:rPr>
          <w:lang w:val="en-US"/>
        </w:rPr>
        <w:t>’</w:t>
      </w:r>
      <w:r w:rsidRPr="00B849DC" w:rsidR="0079398A">
        <w:rPr>
          <w:lang w:val="en-US"/>
        </w:rPr>
        <w:t xml:space="preserve"> claims</w:t>
      </w:r>
      <w:r w:rsidRPr="00B849DC" w:rsidR="003F2C8D">
        <w:rPr>
          <w:lang w:val="en-US"/>
        </w:rPr>
        <w:t xml:space="preserve">. </w:t>
      </w:r>
      <w:r w:rsidRPr="00B849DC" w:rsidR="00C45C63">
        <w:rPr>
          <w:lang w:val="en-US"/>
        </w:rPr>
        <w:t>U</w:t>
      </w:r>
      <w:r w:rsidRPr="00B849DC" w:rsidR="003F2C8D">
        <w:rPr>
          <w:lang w:val="en-US"/>
        </w:rPr>
        <w:t>nitary enterprise</w:t>
      </w:r>
      <w:r w:rsidRPr="00B849DC" w:rsidR="00C45C63">
        <w:rPr>
          <w:lang w:val="en-US"/>
        </w:rPr>
        <w:t>s</w:t>
      </w:r>
      <w:r w:rsidRPr="00B849DC" w:rsidR="003F2C8D">
        <w:rPr>
          <w:lang w:val="en-US"/>
        </w:rPr>
        <w:t xml:space="preserve"> </w:t>
      </w:r>
      <w:r w:rsidRPr="00B849DC" w:rsidR="00C45C63">
        <w:rPr>
          <w:lang w:val="en-US"/>
        </w:rPr>
        <w:t xml:space="preserve">are </w:t>
      </w:r>
      <w:r w:rsidRPr="00B849DC" w:rsidR="003F2C8D">
        <w:rPr>
          <w:lang w:val="en-US"/>
        </w:rPr>
        <w:t xml:space="preserve">not liable for the obligations of the owner of </w:t>
      </w:r>
      <w:r w:rsidRPr="00B849DC" w:rsidR="0079398A">
        <w:rPr>
          <w:lang w:val="en-US"/>
        </w:rPr>
        <w:t xml:space="preserve">the </w:t>
      </w:r>
      <w:r w:rsidRPr="00B849DC" w:rsidR="003F2C8D">
        <w:rPr>
          <w:lang w:val="en-US"/>
        </w:rPr>
        <w:t xml:space="preserve">property </w:t>
      </w:r>
      <w:r w:rsidRPr="00B849DC" w:rsidR="0079398A">
        <w:rPr>
          <w:lang w:val="en-US"/>
        </w:rPr>
        <w:t xml:space="preserve">allocated to them </w:t>
      </w:r>
      <w:r w:rsidRPr="00B849DC" w:rsidR="003F2C8D">
        <w:rPr>
          <w:lang w:val="en-US"/>
        </w:rPr>
        <w:t xml:space="preserve">(Article 113 § 5 </w:t>
      </w:r>
      <w:r w:rsidRPr="00B849DC" w:rsidR="006D2E63">
        <w:rPr>
          <w:lang w:val="en-US"/>
        </w:rPr>
        <w:t xml:space="preserve">of the Civil Code </w:t>
      </w:r>
      <w:r w:rsidRPr="00B849DC" w:rsidR="003F2C8D">
        <w:rPr>
          <w:lang w:val="en-US"/>
        </w:rPr>
        <w:t xml:space="preserve">and </w:t>
      </w:r>
      <w:r w:rsidRPr="00B849DC" w:rsidR="00BD2DFC">
        <w:rPr>
          <w:lang w:val="en-US"/>
        </w:rPr>
        <w:t xml:space="preserve">section </w:t>
      </w:r>
      <w:r w:rsidRPr="00B849DC" w:rsidR="003F2C8D">
        <w:rPr>
          <w:lang w:val="en-US"/>
        </w:rPr>
        <w:t>7</w:t>
      </w:r>
      <w:r w:rsidRPr="00B849DC" w:rsidR="00BD2DFC">
        <w:rPr>
          <w:lang w:val="en-US"/>
        </w:rPr>
        <w:t>(</w:t>
      </w:r>
      <w:r w:rsidRPr="00B849DC" w:rsidR="003F2C8D">
        <w:rPr>
          <w:lang w:val="en-US"/>
        </w:rPr>
        <w:t>1</w:t>
      </w:r>
      <w:r w:rsidRPr="00B849DC" w:rsidR="00BD2DFC">
        <w:rPr>
          <w:lang w:val="en-US"/>
        </w:rPr>
        <w:t>)</w:t>
      </w:r>
      <w:r w:rsidRPr="00B849DC" w:rsidR="003F2C8D">
        <w:rPr>
          <w:lang w:val="en-US"/>
        </w:rPr>
        <w:t xml:space="preserve"> of the State Unitary Enterprises Act).</w:t>
      </w:r>
    </w:p>
    <w:p w:rsidRPr="00B849DC" w:rsidR="00CA087B" w:rsidP="00B849DC" w:rsidRDefault="003F2C8D">
      <w:pPr>
        <w:pStyle w:val="ECHRPara"/>
        <w:rPr>
          <w:lang w:val="en-US"/>
        </w:rPr>
      </w:pPr>
      <w:r w:rsidRPr="00B849DC">
        <w:fldChar w:fldCharType="begin"/>
      </w:r>
      <w:r w:rsidRPr="00B849DC">
        <w:rPr>
          <w:lang w:val="en-US"/>
        </w:rPr>
        <w:instrText xml:space="preserve"> SEQ level0 \*arabic </w:instrText>
      </w:r>
      <w:r w:rsidRPr="00B849DC">
        <w:fldChar w:fldCharType="separate"/>
      </w:r>
      <w:r w:rsidRPr="00B849DC" w:rsidR="00B849DC">
        <w:rPr>
          <w:noProof/>
          <w:lang w:val="en-US"/>
        </w:rPr>
        <w:t>93</w:t>
      </w:r>
      <w:r w:rsidRPr="00B849DC">
        <w:fldChar w:fldCharType="end"/>
      </w:r>
      <w:r w:rsidRPr="00B849DC">
        <w:rPr>
          <w:lang w:val="en-US"/>
        </w:rPr>
        <w:t xml:space="preserve">.  Article 114 § 7 of the Civil Code provides that </w:t>
      </w:r>
      <w:r w:rsidRPr="00B849DC" w:rsidR="006D2E63">
        <w:rPr>
          <w:lang w:val="en-US"/>
        </w:rPr>
        <w:t xml:space="preserve">an </w:t>
      </w:r>
      <w:r w:rsidRPr="00B849DC">
        <w:rPr>
          <w:lang w:val="en-US"/>
        </w:rPr>
        <w:t xml:space="preserve">owner </w:t>
      </w:r>
      <w:r w:rsidRPr="00B849DC" w:rsidR="006D2E63">
        <w:rPr>
          <w:lang w:val="en-US"/>
        </w:rPr>
        <w:t>of property placed under a unitary enterprise</w:t>
      </w:r>
      <w:r w:rsidRPr="00B849DC" w:rsidR="00B849DC">
        <w:rPr>
          <w:lang w:val="en-US"/>
        </w:rPr>
        <w:t>’</w:t>
      </w:r>
      <w:r w:rsidRPr="00B849DC" w:rsidR="006D2E63">
        <w:rPr>
          <w:lang w:val="en-US"/>
        </w:rPr>
        <w:t xml:space="preserve">s control </w:t>
      </w:r>
      <w:r w:rsidRPr="00B849DC">
        <w:rPr>
          <w:lang w:val="en-US"/>
        </w:rPr>
        <w:t xml:space="preserve">is not liable for </w:t>
      </w:r>
      <w:r w:rsidRPr="00B849DC" w:rsidR="00094561">
        <w:rPr>
          <w:lang w:val="en-US"/>
        </w:rPr>
        <w:t xml:space="preserve">the </w:t>
      </w:r>
      <w:r w:rsidRPr="00B849DC">
        <w:rPr>
          <w:lang w:val="en-US"/>
        </w:rPr>
        <w:t xml:space="preserve">debt of </w:t>
      </w:r>
      <w:r w:rsidRPr="00B849DC" w:rsidR="006D2E63">
        <w:rPr>
          <w:lang w:val="en-US"/>
        </w:rPr>
        <w:t xml:space="preserve">the </w:t>
      </w:r>
      <w:r w:rsidRPr="00B849DC">
        <w:rPr>
          <w:lang w:val="en-US"/>
        </w:rPr>
        <w:t xml:space="preserve">unitary enterprise except in </w:t>
      </w:r>
      <w:r w:rsidRPr="00B849DC" w:rsidR="006D2E63">
        <w:rPr>
          <w:lang w:val="en-US"/>
        </w:rPr>
        <w:t xml:space="preserve">the </w:t>
      </w:r>
      <w:r w:rsidRPr="00B849DC">
        <w:rPr>
          <w:lang w:val="en-US"/>
        </w:rPr>
        <w:t xml:space="preserve">cases stipulated </w:t>
      </w:r>
      <w:r w:rsidRPr="00B849DC" w:rsidR="006D2E63">
        <w:rPr>
          <w:lang w:val="en-US"/>
        </w:rPr>
        <w:t xml:space="preserve">by </w:t>
      </w:r>
      <w:r w:rsidRPr="00B849DC">
        <w:rPr>
          <w:lang w:val="en-US"/>
        </w:rPr>
        <w:t>Article 56 § 3 of the Code.</w:t>
      </w:r>
    </w:p>
    <w:p w:rsidRPr="00B849DC" w:rsidR="00CA087B" w:rsidP="00B849DC" w:rsidRDefault="005810B7">
      <w:pPr>
        <w:pStyle w:val="ECHRPara"/>
        <w:rPr>
          <w:lang w:val="en-US"/>
        </w:rPr>
      </w:pPr>
      <w:r w:rsidRPr="00B849DC">
        <w:rPr>
          <w:lang w:val="en-US"/>
        </w:rPr>
        <w:fldChar w:fldCharType="begin"/>
      </w:r>
      <w:r w:rsidRPr="00B849DC">
        <w:rPr>
          <w:lang w:val="en-US"/>
        </w:rPr>
        <w:instrText xml:space="preserve"> SEQ level0 \*arabic </w:instrText>
      </w:r>
      <w:r w:rsidRPr="00B849DC">
        <w:rPr>
          <w:lang w:val="en-US"/>
        </w:rPr>
        <w:fldChar w:fldCharType="separate"/>
      </w:r>
      <w:r w:rsidRPr="00B849DC" w:rsidR="00B849DC">
        <w:rPr>
          <w:noProof/>
          <w:lang w:val="en-US"/>
        </w:rPr>
        <w:t>94</w:t>
      </w:r>
      <w:r w:rsidRPr="00B849DC">
        <w:rPr>
          <w:lang w:val="en-US"/>
        </w:rPr>
        <w:fldChar w:fldCharType="end"/>
      </w:r>
      <w:r w:rsidRPr="00B849DC">
        <w:rPr>
          <w:lang w:val="en-US"/>
        </w:rPr>
        <w:t>.  </w:t>
      </w:r>
      <w:r w:rsidRPr="00B849DC" w:rsidR="006D2E63">
        <w:rPr>
          <w:lang w:val="en-US"/>
        </w:rPr>
        <w:t>Under</w:t>
      </w:r>
      <w:r w:rsidRPr="00B849DC" w:rsidR="003F2C8D">
        <w:rPr>
          <w:lang w:val="en-US"/>
        </w:rPr>
        <w:t xml:space="preserve"> </w:t>
      </w:r>
      <w:r w:rsidRPr="00B849DC" w:rsidR="00976827">
        <w:rPr>
          <w:lang w:val="en-US"/>
        </w:rPr>
        <w:t>Article 56 § 3 of the Code</w:t>
      </w:r>
      <w:r w:rsidRPr="00B849DC" w:rsidR="003F2C8D">
        <w:rPr>
          <w:lang w:val="en-US"/>
        </w:rPr>
        <w:t xml:space="preserve"> subsidiary liability </w:t>
      </w:r>
      <w:r w:rsidRPr="00B849DC" w:rsidR="00495670">
        <w:rPr>
          <w:lang w:val="en-US"/>
        </w:rPr>
        <w:t xml:space="preserve">for </w:t>
      </w:r>
      <w:r w:rsidRPr="00B849DC" w:rsidR="003F2C8D">
        <w:rPr>
          <w:lang w:val="en-US"/>
        </w:rPr>
        <w:t>the legal entity</w:t>
      </w:r>
      <w:r w:rsidRPr="00B849DC" w:rsidR="00B849DC">
        <w:rPr>
          <w:lang w:val="en-US"/>
        </w:rPr>
        <w:t>’</w:t>
      </w:r>
      <w:r w:rsidRPr="00B849DC" w:rsidR="003F2C8D">
        <w:rPr>
          <w:lang w:val="en-US"/>
        </w:rPr>
        <w:t>s obligations may be imposed upon the owner of the legal entity</w:t>
      </w:r>
      <w:r w:rsidRPr="00B849DC" w:rsidR="00B849DC">
        <w:rPr>
          <w:lang w:val="en-US"/>
        </w:rPr>
        <w:t>’</w:t>
      </w:r>
      <w:r w:rsidRPr="00B849DC" w:rsidR="003F2C8D">
        <w:rPr>
          <w:lang w:val="en-US"/>
        </w:rPr>
        <w:t xml:space="preserve">s property or by other persons who have the right to issue </w:t>
      </w:r>
      <w:r w:rsidRPr="00B849DC" w:rsidR="00495670">
        <w:rPr>
          <w:lang w:val="en-US"/>
        </w:rPr>
        <w:t>binding</w:t>
      </w:r>
      <w:r w:rsidRPr="00B849DC" w:rsidR="003F2C8D">
        <w:rPr>
          <w:lang w:val="en-US"/>
        </w:rPr>
        <w:t xml:space="preserve"> instructions </w:t>
      </w:r>
      <w:r w:rsidRPr="00B849DC" w:rsidR="00495670">
        <w:rPr>
          <w:lang w:val="en-US"/>
        </w:rPr>
        <w:t>to</w:t>
      </w:r>
      <w:r w:rsidRPr="00B849DC" w:rsidR="003F2C8D">
        <w:rPr>
          <w:lang w:val="en-US"/>
        </w:rPr>
        <w:t xml:space="preserve"> the given legal entity, or may determine its actions in any other way, if the insolvency of a legal entity has been caused by such persons, in </w:t>
      </w:r>
      <w:r w:rsidRPr="00B849DC" w:rsidR="00094561">
        <w:rPr>
          <w:lang w:val="en-US"/>
        </w:rPr>
        <w:t xml:space="preserve">the event that </w:t>
      </w:r>
      <w:r w:rsidRPr="00B849DC" w:rsidR="003F2C8D">
        <w:rPr>
          <w:lang w:val="en-US"/>
        </w:rPr>
        <w:t>the legal entity</w:t>
      </w:r>
      <w:r w:rsidRPr="00B849DC" w:rsidR="00B849DC">
        <w:rPr>
          <w:lang w:val="en-US"/>
        </w:rPr>
        <w:t>’</w:t>
      </w:r>
      <w:r w:rsidRPr="00B849DC" w:rsidR="003F2C8D">
        <w:rPr>
          <w:lang w:val="en-US"/>
        </w:rPr>
        <w:t xml:space="preserve">s </w:t>
      </w:r>
      <w:r w:rsidRPr="00B849DC" w:rsidR="00495670">
        <w:rPr>
          <w:lang w:val="en-US"/>
        </w:rPr>
        <w:t>assets prove</w:t>
      </w:r>
      <w:r w:rsidRPr="00B849DC" w:rsidR="003F2C8D">
        <w:rPr>
          <w:lang w:val="en-US"/>
        </w:rPr>
        <w:t xml:space="preserve"> to be insufficient</w:t>
      </w:r>
      <w:r w:rsidRPr="00B849DC">
        <w:rPr>
          <w:lang w:val="en-US"/>
        </w:rPr>
        <w:t xml:space="preserve">. </w:t>
      </w:r>
      <w:r w:rsidRPr="00B849DC" w:rsidR="00D67EFE">
        <w:rPr>
          <w:lang w:val="en-US"/>
        </w:rPr>
        <w:t>Similarly</w:t>
      </w:r>
      <w:r w:rsidRPr="00B849DC" w:rsidR="003F2C8D">
        <w:rPr>
          <w:lang w:val="en-US"/>
        </w:rPr>
        <w:t xml:space="preserve">, </w:t>
      </w:r>
      <w:r w:rsidRPr="00B849DC" w:rsidR="00FF2753">
        <w:rPr>
          <w:lang w:val="en-US"/>
        </w:rPr>
        <w:t>section </w:t>
      </w:r>
      <w:r w:rsidRPr="00B849DC" w:rsidR="003F2C8D">
        <w:rPr>
          <w:lang w:val="en-US"/>
        </w:rPr>
        <w:t>7</w:t>
      </w:r>
      <w:r w:rsidRPr="00B849DC" w:rsidR="00FF2753">
        <w:rPr>
          <w:lang w:val="en-US"/>
        </w:rPr>
        <w:t>(</w:t>
      </w:r>
      <w:r w:rsidRPr="00B849DC" w:rsidR="003F2C8D">
        <w:rPr>
          <w:lang w:val="en-US"/>
        </w:rPr>
        <w:t>2</w:t>
      </w:r>
      <w:r w:rsidRPr="00B849DC" w:rsidR="00FF2753">
        <w:rPr>
          <w:lang w:val="en-US"/>
        </w:rPr>
        <w:t>)</w:t>
      </w:r>
      <w:r w:rsidRPr="00B849DC" w:rsidR="003F2C8D">
        <w:rPr>
          <w:lang w:val="en-US"/>
        </w:rPr>
        <w:t xml:space="preserve"> of the Unitary Enterprises Act stipulates that </w:t>
      </w:r>
      <w:r w:rsidRPr="00B849DC" w:rsidR="00FF3E6A">
        <w:rPr>
          <w:lang w:val="en-US"/>
        </w:rPr>
        <w:t xml:space="preserve">the </w:t>
      </w:r>
      <w:r w:rsidRPr="00B849DC" w:rsidR="003F2C8D">
        <w:rPr>
          <w:lang w:val="en-US"/>
        </w:rPr>
        <w:t xml:space="preserve">owner </w:t>
      </w:r>
      <w:r w:rsidRPr="00B849DC" w:rsidR="006D2E63">
        <w:rPr>
          <w:lang w:val="en-US"/>
        </w:rPr>
        <w:t xml:space="preserve">of property under the economic control of a unitary enterprise </w:t>
      </w:r>
      <w:r w:rsidRPr="00B849DC" w:rsidR="003F2C8D">
        <w:rPr>
          <w:lang w:val="en-US"/>
        </w:rPr>
        <w:t xml:space="preserve">is not liable for </w:t>
      </w:r>
      <w:r w:rsidRPr="00B849DC" w:rsidR="00FF3E6A">
        <w:rPr>
          <w:lang w:val="en-US"/>
        </w:rPr>
        <w:t xml:space="preserve">the </w:t>
      </w:r>
      <w:r w:rsidRPr="00B849DC" w:rsidR="003F2C8D">
        <w:rPr>
          <w:lang w:val="en-US"/>
        </w:rPr>
        <w:t xml:space="preserve">debts of </w:t>
      </w:r>
      <w:r w:rsidRPr="00B849DC" w:rsidR="006D2E63">
        <w:rPr>
          <w:lang w:val="en-US"/>
        </w:rPr>
        <w:t xml:space="preserve">the </w:t>
      </w:r>
      <w:r w:rsidRPr="00B849DC" w:rsidR="003F2C8D">
        <w:rPr>
          <w:lang w:val="en-US"/>
        </w:rPr>
        <w:t xml:space="preserve">unitary enterprise </w:t>
      </w:r>
      <w:r w:rsidRPr="00B849DC" w:rsidR="00703F31">
        <w:rPr>
          <w:lang w:val="en-US"/>
        </w:rPr>
        <w:t>unless</w:t>
      </w:r>
      <w:r w:rsidRPr="00B849DC" w:rsidR="003F2C8D">
        <w:rPr>
          <w:lang w:val="en-US"/>
        </w:rPr>
        <w:t xml:space="preserve"> the insolvency of the enterprise has been caused by the owner</w:t>
      </w:r>
      <w:r w:rsidRPr="00B849DC" w:rsidR="00B849DC">
        <w:rPr>
          <w:lang w:val="en-US"/>
        </w:rPr>
        <w:t>’</w:t>
      </w:r>
      <w:r w:rsidRPr="00B849DC" w:rsidR="003F2C8D">
        <w:rPr>
          <w:lang w:val="en-US"/>
        </w:rPr>
        <w:t>s actions.</w:t>
      </w:r>
    </w:p>
    <w:p w:rsidRPr="00B849DC" w:rsidR="00460AF2" w:rsidP="00B849DC" w:rsidRDefault="00460AF2">
      <w:pPr>
        <w:pStyle w:val="ECHRHeading3"/>
        <w:rPr>
          <w:rFonts w:asciiTheme="minorHAnsi" w:hAnsiTheme="minorHAnsi" w:eastAsiaTheme="minorEastAsia" w:cstheme="majorHAnsi"/>
          <w:bCs w:val="0"/>
          <w:i w:val="0"/>
          <w:szCs w:val="24"/>
          <w:lang w:val="en-US"/>
        </w:rPr>
      </w:pPr>
      <w:r w:rsidRPr="00B849DC">
        <w:rPr>
          <w:rFonts w:cstheme="majorHAnsi"/>
          <w:szCs w:val="24"/>
          <w:lang w:val="en-US"/>
        </w:rPr>
        <w:t>2.  Insolvency Act</w:t>
      </w:r>
    </w:p>
    <w:p w:rsidRPr="00B849DC" w:rsidR="00703F31" w:rsidP="00B849DC" w:rsidRDefault="00703F31">
      <w:pPr>
        <w:pStyle w:val="ECHRPara"/>
        <w:rPr>
          <w:lang w:val="en-US"/>
        </w:rPr>
      </w:pPr>
      <w:r w:rsidRPr="00B849DC">
        <w:rPr>
          <w:lang w:val="en-US"/>
        </w:rPr>
        <w:fldChar w:fldCharType="begin"/>
      </w:r>
      <w:r w:rsidRPr="00B849DC">
        <w:rPr>
          <w:lang w:val="en-US"/>
        </w:rPr>
        <w:instrText xml:space="preserve"> SEQ level0 \*arabic </w:instrText>
      </w:r>
      <w:r w:rsidRPr="00B849DC">
        <w:rPr>
          <w:lang w:val="en-US"/>
        </w:rPr>
        <w:fldChar w:fldCharType="separate"/>
      </w:r>
      <w:r w:rsidRPr="00B849DC" w:rsidR="00B849DC">
        <w:rPr>
          <w:noProof/>
          <w:lang w:val="en-US"/>
        </w:rPr>
        <w:t>95</w:t>
      </w:r>
      <w:r w:rsidRPr="00B849DC">
        <w:rPr>
          <w:lang w:val="en-US"/>
        </w:rPr>
        <w:fldChar w:fldCharType="end"/>
      </w:r>
      <w:r w:rsidRPr="00B849DC">
        <w:rPr>
          <w:lang w:val="en-US"/>
        </w:rPr>
        <w:t xml:space="preserve">.  The State or municipal owner of the property may, but is not obliged to, pay </w:t>
      </w:r>
      <w:r w:rsidRPr="00B849DC" w:rsidR="00440EED">
        <w:rPr>
          <w:lang w:val="en-US"/>
        </w:rPr>
        <w:t xml:space="preserve">the </w:t>
      </w:r>
      <w:r w:rsidRPr="00B849DC">
        <w:rPr>
          <w:lang w:val="en-US"/>
        </w:rPr>
        <w:t xml:space="preserve">debts of the unitary enterprise </w:t>
      </w:r>
      <w:r w:rsidRPr="00B849DC" w:rsidR="00440EED">
        <w:rPr>
          <w:lang w:val="en-US"/>
        </w:rPr>
        <w:t>within</w:t>
      </w:r>
      <w:r w:rsidRPr="00B849DC">
        <w:rPr>
          <w:lang w:val="en-US"/>
        </w:rPr>
        <w:t xml:space="preserve"> the framework of insolvency proceedings (</w:t>
      </w:r>
      <w:r w:rsidRPr="00B849DC" w:rsidR="00FF2753">
        <w:rPr>
          <w:lang w:val="en-US"/>
        </w:rPr>
        <w:t>sections </w:t>
      </w:r>
      <w:r w:rsidRPr="00B849DC">
        <w:rPr>
          <w:lang w:val="en-US"/>
        </w:rPr>
        <w:t>113 and 125 of the Insolvency Act).</w:t>
      </w:r>
    </w:p>
    <w:p w:rsidRPr="00B849DC" w:rsidR="00460AF2" w:rsidP="00B849DC" w:rsidRDefault="00460AF2">
      <w:pPr>
        <w:pStyle w:val="ECHRHeading4"/>
        <w:rPr>
          <w:lang w:val="en-US"/>
        </w:rPr>
      </w:pPr>
      <w:r w:rsidRPr="00B849DC">
        <w:rPr>
          <w:rFonts w:cstheme="majorHAnsi"/>
          <w:lang w:val="en-US"/>
        </w:rPr>
        <w:t>(a)</w:t>
      </w:r>
      <w:r w:rsidRPr="00B849DC">
        <w:rPr>
          <w:lang w:val="en-US"/>
        </w:rPr>
        <w:t>  </w:t>
      </w:r>
      <w:r w:rsidRPr="00B849DC" w:rsidR="00703F31">
        <w:rPr>
          <w:lang w:val="en-US"/>
        </w:rPr>
        <w:t>Subsidiary liability under the provisions in force</w:t>
      </w:r>
      <w:r w:rsidRPr="00B849DC">
        <w:rPr>
          <w:lang w:val="en-US"/>
        </w:rPr>
        <w:t xml:space="preserve"> </w:t>
      </w:r>
      <w:r w:rsidRPr="00B849DC" w:rsidR="00703F31">
        <w:rPr>
          <w:lang w:val="en-US"/>
        </w:rPr>
        <w:t>until</w:t>
      </w:r>
      <w:r w:rsidRPr="00B849DC">
        <w:rPr>
          <w:lang w:val="en-US"/>
        </w:rPr>
        <w:t xml:space="preserve"> 5 June 2009</w:t>
      </w:r>
    </w:p>
    <w:p w:rsidRPr="00B849DC" w:rsidR="002A75FA" w:rsidP="00B849DC" w:rsidRDefault="004545A4">
      <w:pPr>
        <w:pStyle w:val="ECHRHeading5"/>
        <w:rPr>
          <w:lang w:val="en-US"/>
        </w:rPr>
      </w:pPr>
      <w:r w:rsidRPr="00B849DC">
        <w:rPr>
          <w:rFonts w:cstheme="minorHAnsi"/>
          <w:lang w:val="en-US"/>
        </w:rPr>
        <w:t>(i)</w:t>
      </w:r>
      <w:r w:rsidRPr="00B849DC" w:rsidR="002A75FA">
        <w:rPr>
          <w:lang w:val="en-US"/>
        </w:rPr>
        <w:t>  Substantive provisions</w:t>
      </w:r>
    </w:p>
    <w:p w:rsidRPr="00B849DC" w:rsidR="00976827" w:rsidP="00B849DC" w:rsidRDefault="00976827">
      <w:pPr>
        <w:pStyle w:val="ECHRPara"/>
        <w:rPr>
          <w:rFonts w:asciiTheme="majorHAnsi" w:hAnsiTheme="majorHAnsi" w:cstheme="majorHAnsi"/>
          <w:szCs w:val="24"/>
          <w:lang w:val="en-US"/>
        </w:rPr>
      </w:pPr>
      <w:r w:rsidRPr="00B849DC">
        <w:rPr>
          <w:rFonts w:asciiTheme="majorHAnsi" w:hAnsiTheme="majorHAnsi" w:cstheme="majorHAnsi"/>
          <w:szCs w:val="24"/>
          <w:lang w:val="en-US"/>
        </w:rPr>
        <w:fldChar w:fldCharType="begin"/>
      </w:r>
      <w:r w:rsidRPr="00B849DC">
        <w:rPr>
          <w:rFonts w:asciiTheme="majorHAnsi" w:hAnsiTheme="majorHAnsi" w:cstheme="majorHAnsi"/>
          <w:szCs w:val="24"/>
          <w:lang w:val="en-US"/>
        </w:rPr>
        <w:instrText xml:space="preserve"> SEQ level0 \*arabic </w:instrText>
      </w:r>
      <w:r w:rsidRPr="00B849DC">
        <w:rPr>
          <w:rFonts w:asciiTheme="majorHAnsi" w:hAnsiTheme="majorHAnsi" w:cstheme="majorHAnsi"/>
          <w:szCs w:val="24"/>
          <w:lang w:val="en-US"/>
        </w:rPr>
        <w:fldChar w:fldCharType="separate"/>
      </w:r>
      <w:r w:rsidRPr="00B849DC" w:rsidR="00B849DC">
        <w:rPr>
          <w:rFonts w:asciiTheme="majorHAnsi" w:hAnsiTheme="majorHAnsi" w:cstheme="majorHAnsi"/>
          <w:noProof/>
          <w:szCs w:val="24"/>
          <w:lang w:val="en-US"/>
        </w:rPr>
        <w:t>96</w:t>
      </w:r>
      <w:r w:rsidRPr="00B849DC">
        <w:rPr>
          <w:rFonts w:asciiTheme="majorHAnsi" w:hAnsiTheme="majorHAnsi" w:cstheme="majorHAnsi"/>
          <w:szCs w:val="24"/>
          <w:lang w:val="en-US"/>
        </w:rPr>
        <w:fldChar w:fldCharType="end"/>
      </w:r>
      <w:r w:rsidRPr="00B849DC">
        <w:rPr>
          <w:rFonts w:asciiTheme="majorHAnsi" w:hAnsiTheme="majorHAnsi" w:cstheme="majorHAnsi"/>
          <w:szCs w:val="24"/>
          <w:lang w:val="en-US"/>
        </w:rPr>
        <w:t>.  </w:t>
      </w:r>
      <w:r w:rsidRPr="00B849DC" w:rsidR="00FF2753">
        <w:rPr>
          <w:rFonts w:asciiTheme="majorHAnsi" w:hAnsiTheme="majorHAnsi" w:cstheme="majorHAnsi"/>
          <w:szCs w:val="24"/>
          <w:lang w:val="en-US"/>
        </w:rPr>
        <w:t>Section </w:t>
      </w:r>
      <w:r w:rsidRPr="00B849DC">
        <w:rPr>
          <w:rFonts w:asciiTheme="majorHAnsi" w:hAnsiTheme="majorHAnsi" w:cstheme="majorHAnsi"/>
          <w:szCs w:val="24"/>
          <w:lang w:val="en-US"/>
        </w:rPr>
        <w:t>10</w:t>
      </w:r>
      <w:r w:rsidRPr="00B849DC" w:rsidR="00FF2753">
        <w:rPr>
          <w:rFonts w:asciiTheme="majorHAnsi" w:hAnsiTheme="majorHAnsi" w:cstheme="majorHAnsi"/>
          <w:szCs w:val="24"/>
          <w:lang w:val="en-US"/>
        </w:rPr>
        <w:t>(</w:t>
      </w:r>
      <w:r w:rsidRPr="00B849DC">
        <w:rPr>
          <w:rFonts w:asciiTheme="majorHAnsi" w:hAnsiTheme="majorHAnsi" w:cstheme="majorHAnsi"/>
          <w:szCs w:val="24"/>
          <w:lang w:val="en-US"/>
        </w:rPr>
        <w:t>4</w:t>
      </w:r>
      <w:r w:rsidRPr="00B849DC" w:rsidR="00FF2753">
        <w:rPr>
          <w:rFonts w:asciiTheme="majorHAnsi" w:hAnsiTheme="majorHAnsi" w:cstheme="majorHAnsi"/>
          <w:szCs w:val="24"/>
          <w:lang w:val="en-US"/>
        </w:rPr>
        <w:t>)</w:t>
      </w:r>
      <w:r w:rsidRPr="00B849DC">
        <w:rPr>
          <w:rFonts w:asciiTheme="majorHAnsi" w:hAnsiTheme="majorHAnsi" w:cstheme="majorHAnsi"/>
          <w:szCs w:val="24"/>
          <w:lang w:val="en-US"/>
        </w:rPr>
        <w:t xml:space="preserve"> of the Insolvency Act as in force until 5 June 2009 provided that the owner of the assets allocated to a unitary enterprise </w:t>
      </w:r>
      <w:r w:rsidRPr="00B849DC" w:rsidR="00B279BC">
        <w:rPr>
          <w:rFonts w:asciiTheme="majorHAnsi" w:hAnsiTheme="majorHAnsi" w:cstheme="majorHAnsi"/>
          <w:szCs w:val="24"/>
          <w:lang w:val="en-US"/>
        </w:rPr>
        <w:t xml:space="preserve">could </w:t>
      </w:r>
      <w:r w:rsidRPr="00B849DC">
        <w:rPr>
          <w:rFonts w:asciiTheme="majorHAnsi" w:hAnsiTheme="majorHAnsi" w:cstheme="majorHAnsi"/>
          <w:szCs w:val="24"/>
          <w:lang w:val="en-US"/>
        </w:rPr>
        <w:t xml:space="preserve">be held liable in subsidiary liability proceedings for the debts of the </w:t>
      </w:r>
      <w:r w:rsidRPr="00B849DC" w:rsidR="0079398A">
        <w:rPr>
          <w:rFonts w:asciiTheme="majorHAnsi" w:hAnsiTheme="majorHAnsi" w:cstheme="majorHAnsi"/>
          <w:szCs w:val="24"/>
          <w:lang w:val="en-US"/>
        </w:rPr>
        <w:t xml:space="preserve">company </w:t>
      </w:r>
      <w:r w:rsidRPr="00B849DC" w:rsidR="00460AF2">
        <w:rPr>
          <w:rFonts w:asciiTheme="majorHAnsi" w:hAnsiTheme="majorHAnsi" w:cstheme="majorHAnsi"/>
          <w:szCs w:val="24"/>
          <w:lang w:val="en-US"/>
        </w:rPr>
        <w:t>where the debtor</w:t>
      </w:r>
      <w:r w:rsidRPr="00B849DC" w:rsidR="00B849DC">
        <w:rPr>
          <w:rFonts w:asciiTheme="majorHAnsi" w:hAnsiTheme="majorHAnsi" w:cstheme="majorHAnsi"/>
          <w:szCs w:val="24"/>
          <w:lang w:val="en-US"/>
        </w:rPr>
        <w:t>’</w:t>
      </w:r>
      <w:r w:rsidRPr="00B849DC" w:rsidR="00460AF2">
        <w:rPr>
          <w:rFonts w:asciiTheme="majorHAnsi" w:hAnsiTheme="majorHAnsi" w:cstheme="majorHAnsi"/>
          <w:szCs w:val="24"/>
          <w:lang w:val="en-US"/>
        </w:rPr>
        <w:t xml:space="preserve">s funds </w:t>
      </w:r>
      <w:r w:rsidRPr="00B849DC" w:rsidR="00B279BC">
        <w:rPr>
          <w:rFonts w:asciiTheme="majorHAnsi" w:hAnsiTheme="majorHAnsi" w:cstheme="majorHAnsi"/>
          <w:szCs w:val="24"/>
          <w:lang w:val="en-US"/>
        </w:rPr>
        <w:t xml:space="preserve">were </w:t>
      </w:r>
      <w:r w:rsidRPr="00B849DC" w:rsidR="00460AF2">
        <w:rPr>
          <w:rFonts w:asciiTheme="majorHAnsi" w:hAnsiTheme="majorHAnsi" w:cstheme="majorHAnsi"/>
          <w:szCs w:val="24"/>
          <w:lang w:val="en-US"/>
        </w:rPr>
        <w:t>insufficient and where the</w:t>
      </w:r>
      <w:r w:rsidRPr="00B849DC">
        <w:rPr>
          <w:rFonts w:asciiTheme="majorHAnsi" w:hAnsiTheme="majorHAnsi" w:cstheme="majorHAnsi"/>
          <w:szCs w:val="24"/>
          <w:lang w:val="en-US"/>
        </w:rPr>
        <w:t xml:space="preserve"> insolvency </w:t>
      </w:r>
      <w:r w:rsidRPr="00B849DC" w:rsidR="00B279BC">
        <w:rPr>
          <w:rFonts w:asciiTheme="majorHAnsi" w:hAnsiTheme="majorHAnsi" w:cstheme="majorHAnsi"/>
          <w:szCs w:val="24"/>
          <w:lang w:val="en-US"/>
        </w:rPr>
        <w:t xml:space="preserve">was </w:t>
      </w:r>
      <w:r w:rsidRPr="00B849DC" w:rsidR="00641DA8">
        <w:rPr>
          <w:rFonts w:asciiTheme="majorHAnsi" w:hAnsiTheme="majorHAnsi" w:cstheme="majorHAnsi"/>
          <w:szCs w:val="24"/>
          <w:lang w:val="en-US"/>
        </w:rPr>
        <w:t>“</w:t>
      </w:r>
      <w:r w:rsidRPr="00B849DC">
        <w:rPr>
          <w:rFonts w:asciiTheme="majorHAnsi" w:hAnsiTheme="majorHAnsi" w:cstheme="majorHAnsi"/>
          <w:szCs w:val="24"/>
          <w:lang w:val="en-US"/>
        </w:rPr>
        <w:t xml:space="preserve">the </w:t>
      </w:r>
      <w:r w:rsidRPr="00B849DC" w:rsidR="00B279BC">
        <w:rPr>
          <w:rFonts w:asciiTheme="majorHAnsi" w:hAnsiTheme="majorHAnsi" w:cstheme="majorHAnsi"/>
          <w:szCs w:val="24"/>
          <w:lang w:val="en-US"/>
        </w:rPr>
        <w:t xml:space="preserve">fault of the </w:t>
      </w:r>
      <w:r w:rsidRPr="00B849DC">
        <w:rPr>
          <w:rFonts w:asciiTheme="majorHAnsi" w:hAnsiTheme="majorHAnsi" w:cstheme="majorHAnsi"/>
          <w:szCs w:val="24"/>
          <w:lang w:val="en-US"/>
        </w:rPr>
        <w:t>owner</w:t>
      </w:r>
      <w:r w:rsidRPr="00B849DC" w:rsidR="00440EED">
        <w:rPr>
          <w:rFonts w:asciiTheme="majorHAnsi" w:hAnsiTheme="majorHAnsi" w:cstheme="majorHAnsi"/>
          <w:szCs w:val="24"/>
          <w:lang w:val="en-US"/>
        </w:rPr>
        <w:t>”</w:t>
      </w:r>
      <w:r w:rsidRPr="00B849DC" w:rsidR="00460AF2">
        <w:rPr>
          <w:rFonts w:asciiTheme="majorHAnsi" w:hAnsiTheme="majorHAnsi" w:cstheme="majorHAnsi"/>
          <w:szCs w:val="24"/>
          <w:lang w:val="en-US"/>
        </w:rPr>
        <w:t>.</w:t>
      </w:r>
    </w:p>
    <w:p w:rsidRPr="00B849DC" w:rsidR="002A75FA" w:rsidP="00B849DC" w:rsidRDefault="004545A4">
      <w:pPr>
        <w:pStyle w:val="ECHRHeading5"/>
        <w:rPr>
          <w:lang w:val="en-US"/>
        </w:rPr>
      </w:pPr>
      <w:r w:rsidRPr="00B849DC">
        <w:rPr>
          <w:rFonts w:cstheme="majorHAnsi"/>
          <w:lang w:val="en-US"/>
        </w:rPr>
        <w:t>(ii)</w:t>
      </w:r>
      <w:r w:rsidRPr="00B849DC" w:rsidR="002A75FA">
        <w:rPr>
          <w:lang w:val="en-US"/>
        </w:rPr>
        <w:t xml:space="preserve">  Binding clarifications on elements triggering </w:t>
      </w:r>
      <w:r w:rsidRPr="00B849DC" w:rsidR="00AF2540">
        <w:rPr>
          <w:lang w:val="en-US"/>
        </w:rPr>
        <w:t xml:space="preserve">the </w:t>
      </w:r>
      <w:r w:rsidRPr="00B849DC" w:rsidR="002A75FA">
        <w:rPr>
          <w:lang w:val="en-US"/>
        </w:rPr>
        <w:t>application of subsidiary liability</w:t>
      </w:r>
      <w:r w:rsidRPr="00B849DC" w:rsidR="00F65CA1">
        <w:rPr>
          <w:lang w:val="en-US"/>
        </w:rPr>
        <w:t xml:space="preserve">, </w:t>
      </w:r>
      <w:r w:rsidRPr="00B849DC" w:rsidR="0093043C">
        <w:rPr>
          <w:lang w:val="en-US"/>
        </w:rPr>
        <w:t xml:space="preserve">eligible </w:t>
      </w:r>
      <w:r w:rsidRPr="00B849DC" w:rsidR="00F65CA1">
        <w:rPr>
          <w:lang w:val="en-US"/>
        </w:rPr>
        <w:t>claimants and procedure</w:t>
      </w:r>
    </w:p>
    <w:p w:rsidRPr="00B849DC" w:rsidR="002A75FA" w:rsidP="00B849DC" w:rsidRDefault="002A75FA">
      <w:pPr>
        <w:pStyle w:val="ECHRPara"/>
        <w:rPr>
          <w:rFonts w:asciiTheme="majorHAnsi" w:hAnsiTheme="majorHAnsi" w:eastAsiaTheme="majorEastAsia" w:cstheme="majorBidi"/>
          <w:bCs/>
          <w:iCs/>
          <w:szCs w:val="24"/>
          <w:lang w:val="en-US" w:bidi="en-US"/>
        </w:rPr>
      </w:pPr>
      <w:r w:rsidRPr="00B849DC">
        <w:rPr>
          <w:rFonts w:asciiTheme="majorHAnsi" w:hAnsiTheme="majorHAnsi" w:eastAsiaTheme="majorEastAsia" w:cstheme="majorBidi"/>
          <w:bCs/>
          <w:iCs/>
          <w:szCs w:val="24"/>
          <w:lang w:val="en-US" w:bidi="en-US"/>
        </w:rPr>
        <w:fldChar w:fldCharType="begin"/>
      </w:r>
      <w:r w:rsidRPr="00B849DC">
        <w:rPr>
          <w:rFonts w:asciiTheme="majorHAnsi" w:hAnsiTheme="majorHAnsi" w:eastAsiaTheme="majorEastAsia" w:cstheme="majorBidi"/>
          <w:bCs/>
          <w:iCs/>
          <w:szCs w:val="24"/>
          <w:lang w:val="en-US" w:bidi="en-US"/>
        </w:rPr>
        <w:instrText xml:space="preserve"> SEQ level0 \*arabic </w:instrText>
      </w:r>
      <w:r w:rsidRPr="00B849DC">
        <w:rPr>
          <w:rFonts w:asciiTheme="majorHAnsi" w:hAnsiTheme="majorHAnsi" w:eastAsiaTheme="majorEastAsia" w:cstheme="majorBidi"/>
          <w:bCs/>
          <w:iCs/>
          <w:szCs w:val="24"/>
          <w:lang w:val="en-US" w:bidi="en-US"/>
        </w:rPr>
        <w:fldChar w:fldCharType="separate"/>
      </w:r>
      <w:r w:rsidRPr="00B849DC" w:rsidR="00B849DC">
        <w:rPr>
          <w:rFonts w:asciiTheme="majorHAnsi" w:hAnsiTheme="majorHAnsi" w:eastAsiaTheme="majorEastAsia" w:cstheme="majorBidi"/>
          <w:bCs/>
          <w:iCs/>
          <w:noProof/>
          <w:szCs w:val="24"/>
          <w:lang w:val="en-US" w:bidi="en-US"/>
        </w:rPr>
        <w:t>97</w:t>
      </w:r>
      <w:r w:rsidRPr="00B849DC">
        <w:rPr>
          <w:rFonts w:asciiTheme="majorHAnsi" w:hAnsiTheme="majorHAnsi" w:eastAsiaTheme="majorEastAsia" w:cstheme="majorBidi"/>
          <w:bCs/>
          <w:iCs/>
          <w:szCs w:val="24"/>
          <w:lang w:bidi="en-US"/>
        </w:rPr>
        <w:fldChar w:fldCharType="end"/>
      </w:r>
      <w:r w:rsidRPr="00B849DC">
        <w:rPr>
          <w:rFonts w:asciiTheme="majorHAnsi" w:hAnsiTheme="majorHAnsi" w:eastAsiaTheme="majorEastAsia" w:cstheme="majorBidi"/>
          <w:bCs/>
          <w:iCs/>
          <w:szCs w:val="24"/>
          <w:lang w:val="en-US" w:bidi="en-US"/>
        </w:rPr>
        <w:t xml:space="preserve">.  According to </w:t>
      </w:r>
      <w:r w:rsidRPr="00B849DC" w:rsidR="0017433A">
        <w:rPr>
          <w:rFonts w:asciiTheme="majorHAnsi" w:hAnsiTheme="majorHAnsi" w:eastAsiaTheme="majorEastAsia" w:cstheme="majorBidi"/>
          <w:bCs/>
          <w:iCs/>
          <w:szCs w:val="24"/>
          <w:lang w:val="en-US" w:bidi="en-US"/>
        </w:rPr>
        <w:t>Ruling no. </w:t>
      </w:r>
      <w:r w:rsidRPr="00B849DC">
        <w:rPr>
          <w:rFonts w:asciiTheme="majorHAnsi" w:hAnsiTheme="majorHAnsi" w:eastAsiaTheme="majorEastAsia" w:cstheme="majorBidi"/>
          <w:bCs/>
          <w:iCs/>
          <w:szCs w:val="24"/>
          <w:lang w:val="en-US" w:bidi="en-US"/>
        </w:rPr>
        <w:t>6/8 of 1 July 1996 (</w:t>
      </w:r>
      <w:r w:rsidRPr="00B849DC" w:rsidR="00087B0B">
        <w:rPr>
          <w:rFonts w:asciiTheme="majorHAnsi" w:hAnsiTheme="majorHAnsi" w:eastAsiaTheme="majorEastAsia" w:cstheme="majorBidi"/>
          <w:bCs/>
          <w:iCs/>
          <w:szCs w:val="24"/>
          <w:lang w:val="en-US" w:bidi="en-US"/>
        </w:rPr>
        <w:t>see</w:t>
      </w:r>
      <w:r w:rsidRPr="00B849DC">
        <w:rPr>
          <w:rFonts w:asciiTheme="majorHAnsi" w:hAnsiTheme="majorHAnsi" w:eastAsiaTheme="majorEastAsia" w:cstheme="majorBidi"/>
          <w:bCs/>
          <w:iCs/>
          <w:szCs w:val="24"/>
          <w:lang w:val="en-US" w:bidi="en-US"/>
        </w:rPr>
        <w:t xml:space="preserve"> paragraph </w:t>
      </w:r>
      <w:r w:rsidRPr="00B849DC" w:rsidR="002B7457">
        <w:rPr>
          <w:rFonts w:asciiTheme="majorHAnsi" w:hAnsiTheme="majorHAnsi" w:eastAsiaTheme="majorEastAsia" w:cstheme="majorBidi"/>
          <w:bCs/>
          <w:iCs/>
          <w:szCs w:val="24"/>
          <w:lang w:val="en-US" w:bidi="en-US"/>
        </w:rPr>
        <w:t>76</w:t>
      </w:r>
      <w:r w:rsidRPr="00B849DC">
        <w:rPr>
          <w:rFonts w:asciiTheme="majorHAnsi" w:hAnsiTheme="majorHAnsi" w:eastAsiaTheme="majorEastAsia" w:cstheme="majorBidi"/>
          <w:bCs/>
          <w:iCs/>
          <w:szCs w:val="24"/>
          <w:lang w:val="en-US" w:bidi="en-US"/>
        </w:rPr>
        <w:t xml:space="preserve"> above), </w:t>
      </w:r>
      <w:r w:rsidRPr="00B849DC" w:rsidR="00FF7AA1">
        <w:rPr>
          <w:rFonts w:asciiTheme="majorHAnsi" w:hAnsiTheme="majorHAnsi" w:eastAsiaTheme="majorEastAsia" w:cstheme="majorBidi"/>
          <w:bCs/>
          <w:iCs/>
          <w:szCs w:val="24"/>
          <w:lang w:val="en-US" w:bidi="en-US"/>
        </w:rPr>
        <w:t xml:space="preserve">it </w:t>
      </w:r>
      <w:r w:rsidRPr="00B849DC" w:rsidR="00845054">
        <w:rPr>
          <w:rFonts w:asciiTheme="majorHAnsi" w:hAnsiTheme="majorHAnsi" w:eastAsiaTheme="majorEastAsia" w:cstheme="majorBidi"/>
          <w:bCs/>
          <w:iCs/>
          <w:szCs w:val="24"/>
          <w:lang w:val="en-US" w:bidi="en-US"/>
        </w:rPr>
        <w:t xml:space="preserve">had </w:t>
      </w:r>
      <w:r w:rsidRPr="00B849DC">
        <w:rPr>
          <w:rFonts w:asciiTheme="majorHAnsi" w:hAnsiTheme="majorHAnsi" w:eastAsiaTheme="majorEastAsia" w:cstheme="majorBidi"/>
          <w:bCs/>
          <w:iCs/>
          <w:szCs w:val="24"/>
          <w:lang w:val="en-US" w:bidi="en-US"/>
        </w:rPr>
        <w:t xml:space="preserve">to be demonstrated that the insolvency </w:t>
      </w:r>
      <w:r w:rsidRPr="00B849DC" w:rsidR="00845054">
        <w:rPr>
          <w:rFonts w:asciiTheme="majorHAnsi" w:hAnsiTheme="majorHAnsi" w:eastAsiaTheme="majorEastAsia" w:cstheme="majorBidi"/>
          <w:bCs/>
          <w:iCs/>
          <w:szCs w:val="24"/>
          <w:lang w:val="en-US" w:bidi="en-US"/>
        </w:rPr>
        <w:t xml:space="preserve">had </w:t>
      </w:r>
      <w:r w:rsidRPr="00B849DC">
        <w:rPr>
          <w:rFonts w:asciiTheme="majorHAnsi" w:hAnsiTheme="majorHAnsi" w:eastAsiaTheme="majorEastAsia" w:cstheme="majorBidi"/>
          <w:bCs/>
          <w:iCs/>
          <w:szCs w:val="24"/>
          <w:lang w:val="en-US" w:bidi="en-US"/>
        </w:rPr>
        <w:t>actually been caused by the actions or instructions of the person</w:t>
      </w:r>
      <w:r w:rsidRPr="00B849DC" w:rsidR="007D1440">
        <w:rPr>
          <w:rFonts w:asciiTheme="majorHAnsi" w:hAnsiTheme="majorHAnsi" w:eastAsiaTheme="majorEastAsia" w:cstheme="majorBidi"/>
          <w:bCs/>
          <w:iCs/>
          <w:szCs w:val="24"/>
          <w:lang w:val="en-US" w:bidi="en-US"/>
        </w:rPr>
        <w:t xml:space="preserve"> </w:t>
      </w:r>
      <w:r w:rsidRPr="00B849DC" w:rsidR="000C1F21">
        <w:rPr>
          <w:rFonts w:asciiTheme="majorHAnsi" w:hAnsiTheme="majorHAnsi" w:eastAsiaTheme="majorEastAsia" w:cstheme="majorBidi"/>
          <w:bCs/>
          <w:iCs/>
          <w:szCs w:val="24"/>
          <w:lang w:val="en-US" w:bidi="en-US"/>
        </w:rPr>
        <w:t xml:space="preserve">or persons </w:t>
      </w:r>
      <w:r w:rsidRPr="00B849DC" w:rsidR="00641DA8">
        <w:rPr>
          <w:rFonts w:asciiTheme="majorHAnsi" w:hAnsiTheme="majorHAnsi" w:eastAsiaTheme="majorEastAsia" w:cstheme="majorBidi"/>
          <w:bCs/>
          <w:iCs/>
          <w:szCs w:val="24"/>
          <w:lang w:val="en-US" w:bidi="en-US"/>
        </w:rPr>
        <w:t xml:space="preserve">being </w:t>
      </w:r>
      <w:r w:rsidRPr="00B849DC" w:rsidR="007D1440">
        <w:rPr>
          <w:rFonts w:asciiTheme="majorHAnsi" w:hAnsiTheme="majorHAnsi" w:eastAsiaTheme="majorEastAsia" w:cstheme="majorBidi"/>
          <w:bCs/>
          <w:iCs/>
          <w:szCs w:val="24"/>
          <w:lang w:val="en-US" w:bidi="en-US"/>
        </w:rPr>
        <w:t>sued</w:t>
      </w:r>
      <w:r w:rsidRPr="00B849DC" w:rsidR="00201822">
        <w:rPr>
          <w:rFonts w:asciiTheme="majorHAnsi" w:hAnsiTheme="majorHAnsi" w:eastAsiaTheme="majorEastAsia" w:cstheme="majorBidi"/>
          <w:bCs/>
          <w:iCs/>
          <w:szCs w:val="24"/>
          <w:lang w:val="en-US" w:bidi="en-US"/>
        </w:rPr>
        <w:t xml:space="preserve">. </w:t>
      </w:r>
      <w:r w:rsidRPr="00B849DC" w:rsidR="00641DA8">
        <w:rPr>
          <w:rFonts w:asciiTheme="majorHAnsi" w:hAnsiTheme="majorHAnsi" w:eastAsiaTheme="majorEastAsia" w:cstheme="majorBidi"/>
          <w:bCs/>
          <w:iCs/>
          <w:szCs w:val="24"/>
          <w:lang w:val="en-US" w:bidi="en-US"/>
        </w:rPr>
        <w:t>Claims</w:t>
      </w:r>
      <w:r w:rsidRPr="00B849DC" w:rsidR="00201822">
        <w:rPr>
          <w:rFonts w:asciiTheme="majorHAnsi" w:hAnsiTheme="majorHAnsi" w:cstheme="majorHAnsi"/>
          <w:szCs w:val="24"/>
          <w:lang w:val="en-US"/>
        </w:rPr>
        <w:t xml:space="preserve"> for subsidiary liability </w:t>
      </w:r>
      <w:r w:rsidRPr="00B849DC" w:rsidR="00845054">
        <w:rPr>
          <w:rFonts w:asciiTheme="majorHAnsi" w:hAnsiTheme="majorHAnsi" w:cstheme="majorHAnsi"/>
          <w:szCs w:val="24"/>
          <w:lang w:val="en-US"/>
        </w:rPr>
        <w:t xml:space="preserve">had to </w:t>
      </w:r>
      <w:r w:rsidRPr="00B849DC" w:rsidR="00201822">
        <w:rPr>
          <w:rFonts w:asciiTheme="majorHAnsi" w:hAnsiTheme="majorHAnsi" w:cstheme="majorHAnsi"/>
          <w:szCs w:val="24"/>
          <w:lang w:val="en-US"/>
        </w:rPr>
        <w:t>be lodged by the liquidator</w:t>
      </w:r>
      <w:r w:rsidRPr="00B849DC" w:rsidR="00201822">
        <w:rPr>
          <w:rFonts w:asciiTheme="majorHAnsi" w:hAnsiTheme="majorHAnsi" w:eastAsiaTheme="majorEastAsia" w:cstheme="majorBidi"/>
          <w:bCs/>
          <w:iCs/>
          <w:szCs w:val="24"/>
          <w:lang w:val="en-US" w:bidi="en-US"/>
        </w:rPr>
        <w:t xml:space="preserve"> </w:t>
      </w:r>
      <w:r w:rsidRPr="00B849DC">
        <w:rPr>
          <w:rFonts w:asciiTheme="majorHAnsi" w:hAnsiTheme="majorHAnsi" w:eastAsiaTheme="majorEastAsia" w:cstheme="majorBidi"/>
          <w:bCs/>
          <w:iCs/>
          <w:szCs w:val="24"/>
          <w:lang w:val="en-US" w:bidi="en-US"/>
        </w:rPr>
        <w:t>(§ 22</w:t>
      </w:r>
      <w:r w:rsidRPr="00B849DC" w:rsidR="00087B0B">
        <w:rPr>
          <w:rFonts w:asciiTheme="majorHAnsi" w:hAnsiTheme="majorHAnsi" w:eastAsiaTheme="majorEastAsia" w:cstheme="majorBidi"/>
          <w:bCs/>
          <w:iCs/>
          <w:szCs w:val="24"/>
          <w:lang w:val="en-US" w:bidi="en-US"/>
        </w:rPr>
        <w:t>).</w:t>
      </w:r>
    </w:p>
    <w:p w:rsidRPr="00B849DC" w:rsidR="002A75FA" w:rsidP="00B849DC" w:rsidRDefault="00FF7AA1">
      <w:pPr>
        <w:pStyle w:val="ECHRPara"/>
        <w:rPr>
          <w:rFonts w:asciiTheme="majorHAnsi" w:hAnsiTheme="majorHAnsi" w:cstheme="majorHAnsi"/>
          <w:szCs w:val="24"/>
          <w:lang w:val="en-US"/>
        </w:rPr>
      </w:pPr>
      <w:r w:rsidRPr="00B849DC">
        <w:rPr>
          <w:rFonts w:asciiTheme="majorHAnsi" w:hAnsiTheme="majorHAnsi" w:cstheme="majorHAnsi"/>
          <w:szCs w:val="24"/>
          <w:lang w:val="en-US"/>
        </w:rPr>
        <w:fldChar w:fldCharType="begin"/>
      </w:r>
      <w:r w:rsidRPr="00B849DC">
        <w:rPr>
          <w:rFonts w:asciiTheme="majorHAnsi" w:hAnsiTheme="majorHAnsi" w:cstheme="majorHAnsi"/>
          <w:szCs w:val="24"/>
          <w:lang w:val="en-US"/>
        </w:rPr>
        <w:instrText xml:space="preserve"> SEQ level0 \*arabic </w:instrText>
      </w:r>
      <w:r w:rsidRPr="00B849DC">
        <w:rPr>
          <w:rFonts w:asciiTheme="majorHAnsi" w:hAnsiTheme="majorHAnsi" w:cstheme="majorHAnsi"/>
          <w:szCs w:val="24"/>
          <w:lang w:val="en-US"/>
        </w:rPr>
        <w:fldChar w:fldCharType="separate"/>
      </w:r>
      <w:r w:rsidRPr="00B849DC" w:rsidR="00B849DC">
        <w:rPr>
          <w:rFonts w:asciiTheme="majorHAnsi" w:hAnsiTheme="majorHAnsi" w:cstheme="majorHAnsi"/>
          <w:noProof/>
          <w:szCs w:val="24"/>
          <w:lang w:val="en-US"/>
        </w:rPr>
        <w:t>98</w:t>
      </w:r>
      <w:r w:rsidRPr="00B849DC">
        <w:rPr>
          <w:rFonts w:asciiTheme="majorHAnsi" w:hAnsiTheme="majorHAnsi" w:cstheme="majorHAnsi"/>
          <w:szCs w:val="24"/>
          <w:lang w:val="en-US"/>
        </w:rPr>
        <w:fldChar w:fldCharType="end"/>
      </w:r>
      <w:r w:rsidRPr="00B849DC">
        <w:rPr>
          <w:rFonts w:asciiTheme="majorHAnsi" w:hAnsiTheme="majorHAnsi" w:cstheme="majorHAnsi"/>
          <w:szCs w:val="24"/>
          <w:lang w:val="en-US"/>
        </w:rPr>
        <w:t>.  </w:t>
      </w:r>
      <w:r w:rsidRPr="00B849DC" w:rsidR="00597FCA">
        <w:rPr>
          <w:rFonts w:asciiTheme="majorHAnsi" w:hAnsiTheme="majorHAnsi" w:cstheme="majorHAnsi"/>
          <w:szCs w:val="24"/>
          <w:lang w:val="en-US"/>
        </w:rPr>
        <w:t>By R</w:t>
      </w:r>
      <w:r w:rsidRPr="00B849DC" w:rsidR="000C1F21">
        <w:rPr>
          <w:rFonts w:asciiTheme="majorHAnsi" w:hAnsiTheme="majorHAnsi" w:cstheme="majorHAnsi"/>
          <w:szCs w:val="24"/>
          <w:lang w:val="en-US"/>
        </w:rPr>
        <w:t>uling n</w:t>
      </w:r>
      <w:r w:rsidRPr="00B849DC" w:rsidR="002A75FA">
        <w:rPr>
          <w:rFonts w:asciiTheme="majorHAnsi" w:hAnsiTheme="majorHAnsi" w:cstheme="majorHAnsi"/>
          <w:szCs w:val="24"/>
          <w:lang w:val="en-US"/>
        </w:rPr>
        <w:t xml:space="preserve">o. 29 of 15 December 2004 </w:t>
      </w:r>
      <w:r w:rsidRPr="00B849DC" w:rsidR="00597FCA">
        <w:rPr>
          <w:rFonts w:asciiTheme="majorHAnsi" w:hAnsiTheme="majorHAnsi" w:cstheme="majorHAnsi"/>
          <w:bCs/>
          <w:szCs w:val="24"/>
          <w:lang w:val="en-US"/>
        </w:rPr>
        <w:t>“On Certain Issues Relating to Application of the Federal Law On Insolvency (Bankruptcy)</w:t>
      </w:r>
      <w:r w:rsidRPr="00B849DC" w:rsidR="00845054">
        <w:rPr>
          <w:rFonts w:asciiTheme="majorHAnsi" w:hAnsiTheme="majorHAnsi" w:cstheme="majorHAnsi"/>
          <w:bCs/>
          <w:szCs w:val="24"/>
          <w:lang w:val="en-US"/>
        </w:rPr>
        <w:t>,</w:t>
      </w:r>
      <w:r w:rsidRPr="00B849DC" w:rsidR="00597FCA">
        <w:rPr>
          <w:rFonts w:asciiTheme="majorHAnsi" w:hAnsiTheme="majorHAnsi" w:cstheme="majorHAnsi"/>
          <w:bCs/>
          <w:szCs w:val="24"/>
          <w:lang w:val="en-US"/>
        </w:rPr>
        <w:t>”</w:t>
      </w:r>
      <w:r w:rsidRPr="00B849DC" w:rsidR="00597FCA">
        <w:rPr>
          <w:rFonts w:asciiTheme="majorHAnsi" w:hAnsiTheme="majorHAnsi" w:cstheme="majorHAnsi"/>
          <w:szCs w:val="24"/>
          <w:lang w:val="en-US"/>
        </w:rPr>
        <w:t xml:space="preserve"> </w:t>
      </w:r>
      <w:r w:rsidRPr="00B849DC" w:rsidR="002B7457">
        <w:rPr>
          <w:rFonts w:asciiTheme="majorHAnsi" w:hAnsiTheme="majorHAnsi" w:cstheme="majorHAnsi"/>
          <w:bCs/>
          <w:szCs w:val="24"/>
          <w:lang w:val="en-US"/>
        </w:rPr>
        <w:t xml:space="preserve">the Plenary Supreme Commercial Court </w:t>
      </w:r>
      <w:r w:rsidRPr="00B849DC">
        <w:rPr>
          <w:rFonts w:asciiTheme="majorHAnsi" w:hAnsiTheme="majorHAnsi" w:cstheme="majorHAnsi"/>
          <w:szCs w:val="24"/>
          <w:lang w:val="en-US"/>
        </w:rPr>
        <w:t xml:space="preserve">reiterated that requirement and specified that where </w:t>
      </w:r>
      <w:r w:rsidRPr="00B849DC" w:rsidR="002A75FA">
        <w:rPr>
          <w:rFonts w:asciiTheme="majorHAnsi" w:hAnsiTheme="majorHAnsi" w:cstheme="majorHAnsi"/>
          <w:szCs w:val="24"/>
          <w:lang w:val="en-US"/>
        </w:rPr>
        <w:t xml:space="preserve">such </w:t>
      </w:r>
      <w:r w:rsidRPr="00B849DC" w:rsidR="00E6396A">
        <w:rPr>
          <w:rFonts w:asciiTheme="majorHAnsi" w:hAnsiTheme="majorHAnsi" w:cstheme="majorHAnsi"/>
          <w:szCs w:val="24"/>
          <w:lang w:val="en-US"/>
        </w:rPr>
        <w:t xml:space="preserve">a </w:t>
      </w:r>
      <w:r w:rsidRPr="00B849DC" w:rsidR="002A75FA">
        <w:rPr>
          <w:rFonts w:asciiTheme="majorHAnsi" w:hAnsiTheme="majorHAnsi" w:cstheme="majorHAnsi"/>
          <w:szCs w:val="24"/>
          <w:lang w:val="en-US"/>
        </w:rPr>
        <w:t>claim ha</w:t>
      </w:r>
      <w:r w:rsidRPr="00B849DC">
        <w:rPr>
          <w:rFonts w:asciiTheme="majorHAnsi" w:hAnsiTheme="majorHAnsi" w:cstheme="majorHAnsi"/>
          <w:szCs w:val="24"/>
          <w:lang w:val="en-US"/>
        </w:rPr>
        <w:t>d</w:t>
      </w:r>
      <w:r w:rsidRPr="00B849DC" w:rsidR="002A75FA">
        <w:rPr>
          <w:rFonts w:asciiTheme="majorHAnsi" w:hAnsiTheme="majorHAnsi" w:cstheme="majorHAnsi"/>
          <w:szCs w:val="24"/>
          <w:lang w:val="en-US"/>
        </w:rPr>
        <w:t xml:space="preserve"> not been lodged within the liquidation procedure, subsidiary liability proceedings could be brought by any creditor or competent authority</w:t>
      </w:r>
      <w:r w:rsidRPr="00B849DC" w:rsidR="00596798">
        <w:rPr>
          <w:rFonts w:asciiTheme="majorHAnsi" w:hAnsiTheme="majorHAnsi" w:cstheme="majorHAnsi"/>
          <w:szCs w:val="24"/>
          <w:lang w:val="en-US"/>
        </w:rPr>
        <w:t xml:space="preserve"> under Article</w:t>
      </w:r>
      <w:r w:rsidRPr="00B849DC" w:rsidR="00561D9C">
        <w:rPr>
          <w:rFonts w:asciiTheme="majorHAnsi" w:hAnsiTheme="majorHAnsi" w:cstheme="majorHAnsi"/>
          <w:szCs w:val="24"/>
          <w:lang w:val="en-US"/>
        </w:rPr>
        <w:t> </w:t>
      </w:r>
      <w:r w:rsidRPr="00B849DC" w:rsidR="00596798">
        <w:rPr>
          <w:lang w:val="en-US"/>
        </w:rPr>
        <w:t>56 § 3 of the Civil Code</w:t>
      </w:r>
      <w:r w:rsidRPr="00B849DC" w:rsidR="002A75FA">
        <w:rPr>
          <w:rFonts w:asciiTheme="majorHAnsi" w:hAnsiTheme="majorHAnsi" w:cstheme="majorHAnsi"/>
          <w:szCs w:val="24"/>
          <w:lang w:val="en-US"/>
        </w:rPr>
        <w:t xml:space="preserve"> (§ 7).</w:t>
      </w:r>
    </w:p>
    <w:p w:rsidRPr="00B849DC" w:rsidR="00460AF2" w:rsidP="00B849DC" w:rsidRDefault="00460AF2">
      <w:pPr>
        <w:pStyle w:val="ECHRHeading4"/>
        <w:rPr>
          <w:lang w:val="en-US"/>
        </w:rPr>
      </w:pPr>
      <w:r w:rsidRPr="00B849DC">
        <w:rPr>
          <w:rFonts w:cstheme="majorHAnsi"/>
          <w:lang w:val="en-US"/>
        </w:rPr>
        <w:t>(b)</w:t>
      </w:r>
      <w:r w:rsidRPr="00B849DC">
        <w:rPr>
          <w:lang w:val="en-US"/>
        </w:rPr>
        <w:t xml:space="preserve">  Amendments </w:t>
      </w:r>
      <w:r w:rsidRPr="00B849DC" w:rsidR="00845054">
        <w:rPr>
          <w:lang w:val="en-US"/>
        </w:rPr>
        <w:t>made to</w:t>
      </w:r>
      <w:r w:rsidRPr="00B849DC">
        <w:rPr>
          <w:lang w:val="en-US"/>
        </w:rPr>
        <w:t xml:space="preserve"> the Insolvency Act in 2009 on “persons controllin</w:t>
      </w:r>
      <w:r w:rsidRPr="00B849DC" w:rsidR="0087244D">
        <w:rPr>
          <w:lang w:val="en-US"/>
        </w:rPr>
        <w:t>g the debtor”</w:t>
      </w:r>
    </w:p>
    <w:p w:rsidRPr="00B849DC" w:rsidR="00A46F33" w:rsidP="00B849DC" w:rsidRDefault="00A46F33">
      <w:pPr>
        <w:pStyle w:val="ECHRPara"/>
        <w:rPr>
          <w:lang w:val="en-US"/>
        </w:rPr>
      </w:pPr>
      <w:r w:rsidRPr="00B849DC">
        <w:rPr>
          <w:lang w:val="en-US"/>
        </w:rPr>
        <w:fldChar w:fldCharType="begin"/>
      </w:r>
      <w:r w:rsidRPr="00B849DC">
        <w:rPr>
          <w:lang w:val="en-US"/>
        </w:rPr>
        <w:instrText xml:space="preserve"> SEQ level0 \*arabic </w:instrText>
      </w:r>
      <w:r w:rsidRPr="00B849DC">
        <w:rPr>
          <w:lang w:val="en-US"/>
        </w:rPr>
        <w:fldChar w:fldCharType="separate"/>
      </w:r>
      <w:r w:rsidRPr="00B849DC" w:rsidR="00B849DC">
        <w:rPr>
          <w:noProof/>
          <w:lang w:val="en-US"/>
        </w:rPr>
        <w:t>99</w:t>
      </w:r>
      <w:r w:rsidRPr="00B849DC">
        <w:rPr>
          <w:lang w:val="en-US"/>
        </w:rPr>
        <w:fldChar w:fldCharType="end"/>
      </w:r>
      <w:r w:rsidRPr="00B849DC">
        <w:rPr>
          <w:lang w:val="en-US"/>
        </w:rPr>
        <w:t xml:space="preserve">.  On 28 April 2009 the Insolvency Act was amended by Federal Law </w:t>
      </w:r>
      <w:r w:rsidRPr="00B849DC" w:rsidR="00845054">
        <w:rPr>
          <w:lang w:val="en-US"/>
        </w:rPr>
        <w:t>no</w:t>
      </w:r>
      <w:r w:rsidRPr="00B849DC" w:rsidR="0087244D">
        <w:rPr>
          <w:lang w:val="en-US"/>
        </w:rPr>
        <w:t>. </w:t>
      </w:r>
      <w:r w:rsidRPr="00B849DC">
        <w:rPr>
          <w:lang w:val="en-US"/>
        </w:rPr>
        <w:t xml:space="preserve">73-FZ </w:t>
      </w:r>
      <w:r w:rsidRPr="00B849DC" w:rsidR="00845054">
        <w:rPr>
          <w:lang w:val="en-US"/>
        </w:rPr>
        <w:t>“</w:t>
      </w:r>
      <w:r w:rsidRPr="00B849DC">
        <w:rPr>
          <w:lang w:val="en-US"/>
        </w:rPr>
        <w:t>On Amendment of Certain Legislative Acts of the Russian Federation, in force as of 5 June 2009 (hereinafter, “the 2009 amendments”).</w:t>
      </w:r>
    </w:p>
    <w:p w:rsidRPr="00B849DC" w:rsidR="004545A4" w:rsidP="00B849DC" w:rsidRDefault="004545A4">
      <w:pPr>
        <w:pStyle w:val="ECHRHeading5"/>
        <w:rPr>
          <w:lang w:val="en-US"/>
        </w:rPr>
      </w:pPr>
      <w:r w:rsidRPr="00B849DC">
        <w:rPr>
          <w:lang w:val="en-US"/>
        </w:rPr>
        <w:t>(i)  </w:t>
      </w:r>
      <w:r w:rsidRPr="00B849DC" w:rsidR="00420888">
        <w:rPr>
          <w:lang w:val="en-US"/>
        </w:rPr>
        <w:t>Provisions</w:t>
      </w:r>
      <w:r w:rsidRPr="00B849DC">
        <w:rPr>
          <w:lang w:val="en-US"/>
        </w:rPr>
        <w:t xml:space="preserve"> on controlling persons</w:t>
      </w:r>
    </w:p>
    <w:p w:rsidRPr="00B849DC" w:rsidR="00CA087B" w:rsidP="00B849DC" w:rsidRDefault="00CF3AA6">
      <w:pPr>
        <w:pStyle w:val="ECHRPara"/>
        <w:rPr>
          <w:rFonts w:asciiTheme="majorHAnsi" w:hAnsiTheme="majorHAnsi" w:cstheme="majorHAnsi"/>
          <w:szCs w:val="24"/>
          <w:lang w:val="en"/>
        </w:rPr>
      </w:pPr>
      <w:r w:rsidRPr="00B849DC">
        <w:rPr>
          <w:rFonts w:asciiTheme="majorHAnsi" w:hAnsiTheme="majorHAnsi" w:cstheme="majorHAnsi"/>
          <w:szCs w:val="24"/>
          <w:lang w:val="en-US"/>
        </w:rPr>
        <w:fldChar w:fldCharType="begin"/>
      </w:r>
      <w:r w:rsidRPr="00B849DC">
        <w:rPr>
          <w:rFonts w:asciiTheme="majorHAnsi" w:hAnsiTheme="majorHAnsi" w:cstheme="majorHAnsi"/>
          <w:szCs w:val="24"/>
          <w:lang w:val="en-US"/>
        </w:rPr>
        <w:instrText xml:space="preserve"> SEQ level0 \*arabic </w:instrText>
      </w:r>
      <w:r w:rsidRPr="00B849DC">
        <w:rPr>
          <w:rFonts w:asciiTheme="majorHAnsi" w:hAnsiTheme="majorHAnsi" w:cstheme="majorHAnsi"/>
          <w:szCs w:val="24"/>
          <w:lang w:val="en-US"/>
        </w:rPr>
        <w:fldChar w:fldCharType="separate"/>
      </w:r>
      <w:r w:rsidRPr="00B849DC" w:rsidR="00B849DC">
        <w:rPr>
          <w:rFonts w:asciiTheme="majorHAnsi" w:hAnsiTheme="majorHAnsi" w:cstheme="majorHAnsi"/>
          <w:noProof/>
          <w:szCs w:val="24"/>
          <w:lang w:val="en-US"/>
        </w:rPr>
        <w:t>100</w:t>
      </w:r>
      <w:r w:rsidRPr="00B849DC">
        <w:rPr>
          <w:rFonts w:asciiTheme="majorHAnsi" w:hAnsiTheme="majorHAnsi" w:cstheme="majorHAnsi"/>
          <w:szCs w:val="24"/>
          <w:lang w:val="en-US"/>
        </w:rPr>
        <w:fldChar w:fldCharType="end"/>
      </w:r>
      <w:r w:rsidRPr="00B849DC">
        <w:rPr>
          <w:rFonts w:asciiTheme="majorHAnsi" w:hAnsiTheme="majorHAnsi" w:cstheme="majorHAnsi"/>
          <w:szCs w:val="24"/>
          <w:lang w:val="en-US"/>
        </w:rPr>
        <w:t>.  </w:t>
      </w:r>
      <w:r w:rsidRPr="00B849DC" w:rsidR="00460AF2">
        <w:rPr>
          <w:rFonts w:asciiTheme="majorHAnsi" w:hAnsiTheme="majorHAnsi" w:cstheme="majorHAnsi"/>
          <w:szCs w:val="24"/>
          <w:lang w:val="en-US"/>
        </w:rPr>
        <w:t xml:space="preserve">In particular, the amendments extended the scope of </w:t>
      </w:r>
      <w:r w:rsidRPr="00B849DC" w:rsidR="00A46F33">
        <w:rPr>
          <w:rFonts w:asciiTheme="majorHAnsi" w:hAnsiTheme="majorHAnsi" w:cstheme="majorHAnsi"/>
          <w:szCs w:val="24"/>
          <w:lang w:val="en-US"/>
        </w:rPr>
        <w:t>subsidiary</w:t>
      </w:r>
      <w:r w:rsidRPr="00B849DC" w:rsidR="00460AF2">
        <w:rPr>
          <w:rFonts w:asciiTheme="majorHAnsi" w:hAnsiTheme="majorHAnsi" w:cstheme="majorHAnsi"/>
          <w:szCs w:val="24"/>
          <w:lang w:val="en-US"/>
        </w:rPr>
        <w:t xml:space="preserve"> liability to a new category of “controlling persons” (amended </w:t>
      </w:r>
      <w:r w:rsidRPr="00B849DC" w:rsidR="00FF2753">
        <w:rPr>
          <w:rFonts w:asciiTheme="majorHAnsi" w:hAnsiTheme="majorHAnsi" w:cstheme="majorHAnsi"/>
          <w:szCs w:val="24"/>
          <w:lang w:val="en-US"/>
        </w:rPr>
        <w:t>section </w:t>
      </w:r>
      <w:r w:rsidRPr="00B849DC" w:rsidR="00460AF2">
        <w:rPr>
          <w:rFonts w:asciiTheme="majorHAnsi" w:hAnsiTheme="majorHAnsi" w:cstheme="majorHAnsi"/>
          <w:szCs w:val="24"/>
          <w:lang w:val="en-US"/>
        </w:rPr>
        <w:t xml:space="preserve">10 of the Insolvency Act). </w:t>
      </w:r>
      <w:r w:rsidRPr="00B849DC" w:rsidR="00E6396A">
        <w:rPr>
          <w:rFonts w:asciiTheme="majorHAnsi" w:hAnsiTheme="majorHAnsi" w:cstheme="majorHAnsi"/>
          <w:szCs w:val="24"/>
          <w:lang w:val="en"/>
        </w:rPr>
        <w:t xml:space="preserve">A </w:t>
      </w:r>
      <w:r w:rsidRPr="00B849DC" w:rsidR="00460AF2">
        <w:rPr>
          <w:rFonts w:asciiTheme="majorHAnsi" w:hAnsiTheme="majorHAnsi" w:cstheme="majorHAnsi"/>
          <w:szCs w:val="24"/>
          <w:lang w:val="en"/>
        </w:rPr>
        <w:t xml:space="preserve">“controlling person” is any person who can, or could within two years prior to </w:t>
      </w:r>
      <w:r w:rsidRPr="00B849DC" w:rsidR="006B3270">
        <w:rPr>
          <w:rFonts w:asciiTheme="majorHAnsi" w:hAnsiTheme="majorHAnsi" w:cstheme="majorHAnsi"/>
          <w:szCs w:val="24"/>
          <w:lang w:val="en"/>
        </w:rPr>
        <w:t xml:space="preserve">the </w:t>
      </w:r>
      <w:r w:rsidRPr="00B849DC" w:rsidR="00460AF2">
        <w:rPr>
          <w:rFonts w:asciiTheme="majorHAnsi" w:hAnsiTheme="majorHAnsi" w:cstheme="majorHAnsi"/>
          <w:szCs w:val="24"/>
          <w:lang w:val="en"/>
        </w:rPr>
        <w:t xml:space="preserve">filing </w:t>
      </w:r>
      <w:r w:rsidRPr="00B849DC" w:rsidR="006B3270">
        <w:rPr>
          <w:rFonts w:asciiTheme="majorHAnsi" w:hAnsiTheme="majorHAnsi" w:cstheme="majorHAnsi"/>
          <w:szCs w:val="24"/>
          <w:lang w:val="en"/>
        </w:rPr>
        <w:t xml:space="preserve">of </w:t>
      </w:r>
      <w:r w:rsidRPr="00B849DC" w:rsidR="00460AF2">
        <w:rPr>
          <w:rFonts w:asciiTheme="majorHAnsi" w:hAnsiTheme="majorHAnsi" w:cstheme="majorHAnsi"/>
          <w:szCs w:val="24"/>
          <w:lang w:val="en"/>
        </w:rPr>
        <w:t>a petition for insolvency, give binding instructions to the debtor or otherwise affect the debtor</w:t>
      </w:r>
      <w:r w:rsidRPr="00B849DC" w:rsidR="00B849DC">
        <w:rPr>
          <w:rFonts w:asciiTheme="majorHAnsi" w:hAnsiTheme="majorHAnsi" w:cstheme="majorHAnsi"/>
          <w:szCs w:val="24"/>
          <w:lang w:val="en"/>
        </w:rPr>
        <w:t>’</w:t>
      </w:r>
      <w:r w:rsidRPr="00B849DC" w:rsidR="00460AF2">
        <w:rPr>
          <w:rFonts w:asciiTheme="majorHAnsi" w:hAnsiTheme="majorHAnsi" w:cstheme="majorHAnsi"/>
          <w:szCs w:val="24"/>
          <w:lang w:val="en"/>
        </w:rPr>
        <w:t>s activities (</w:t>
      </w:r>
      <w:r w:rsidRPr="00B849DC" w:rsidR="00FF2753">
        <w:rPr>
          <w:rFonts w:asciiTheme="majorHAnsi" w:hAnsiTheme="majorHAnsi" w:cstheme="majorHAnsi"/>
          <w:szCs w:val="24"/>
          <w:lang w:val="en"/>
        </w:rPr>
        <w:t>section </w:t>
      </w:r>
      <w:r w:rsidRPr="00B849DC" w:rsidR="00460AF2">
        <w:rPr>
          <w:rFonts w:asciiTheme="majorHAnsi" w:hAnsiTheme="majorHAnsi" w:cstheme="majorHAnsi"/>
          <w:szCs w:val="24"/>
          <w:lang w:val="en"/>
        </w:rPr>
        <w:t xml:space="preserve">2). </w:t>
      </w:r>
      <w:r w:rsidRPr="00B849DC" w:rsidR="00DA2EFA">
        <w:rPr>
          <w:rFonts w:asciiTheme="majorHAnsi" w:hAnsiTheme="majorHAnsi" w:cstheme="majorHAnsi"/>
          <w:szCs w:val="24"/>
          <w:lang w:val="en-US"/>
        </w:rPr>
        <w:t>If damages were inflicted on the creditors</w:t>
      </w:r>
      <w:r w:rsidRPr="00B849DC" w:rsidR="00B849DC">
        <w:rPr>
          <w:rFonts w:asciiTheme="majorHAnsi" w:hAnsiTheme="majorHAnsi" w:cstheme="majorHAnsi"/>
          <w:szCs w:val="24"/>
          <w:lang w:val="en-US"/>
        </w:rPr>
        <w:t>’</w:t>
      </w:r>
      <w:r w:rsidRPr="00B849DC" w:rsidR="00DA2EFA">
        <w:rPr>
          <w:rFonts w:asciiTheme="majorHAnsi" w:hAnsiTheme="majorHAnsi" w:cstheme="majorHAnsi"/>
          <w:szCs w:val="24"/>
          <w:lang w:val="en-US"/>
        </w:rPr>
        <w:t xml:space="preserve"> assets as a result of such instructions being carried out by the debtor, the controlling person bears subsidiary liability for monetary obligations of the debtor </w:t>
      </w:r>
      <w:r w:rsidRPr="00B849DC" w:rsidR="008E04B3">
        <w:rPr>
          <w:rFonts w:asciiTheme="majorHAnsi" w:hAnsiTheme="majorHAnsi" w:cstheme="majorHAnsi"/>
          <w:szCs w:val="24"/>
          <w:lang w:val="en-US"/>
        </w:rPr>
        <w:t>if the debtor</w:t>
      </w:r>
      <w:r w:rsidRPr="00B849DC" w:rsidR="00B849DC">
        <w:rPr>
          <w:rFonts w:asciiTheme="majorHAnsi" w:hAnsiTheme="majorHAnsi" w:cstheme="majorHAnsi"/>
          <w:szCs w:val="24"/>
          <w:lang w:val="en-US"/>
        </w:rPr>
        <w:t>’</w:t>
      </w:r>
      <w:r w:rsidRPr="00B849DC" w:rsidR="008E04B3">
        <w:rPr>
          <w:rFonts w:asciiTheme="majorHAnsi" w:hAnsiTheme="majorHAnsi" w:cstheme="majorHAnsi"/>
          <w:szCs w:val="24"/>
          <w:lang w:val="en-US"/>
        </w:rPr>
        <w:t>s assets are insufficient to satisfy all the creditors</w:t>
      </w:r>
      <w:r w:rsidRPr="00B849DC" w:rsidR="00B849DC">
        <w:rPr>
          <w:rFonts w:asciiTheme="majorHAnsi" w:hAnsiTheme="majorHAnsi" w:cstheme="majorHAnsi"/>
          <w:szCs w:val="24"/>
          <w:lang w:val="en-US"/>
        </w:rPr>
        <w:t>’</w:t>
      </w:r>
      <w:r w:rsidRPr="00B849DC" w:rsidR="008E04B3">
        <w:rPr>
          <w:rFonts w:asciiTheme="majorHAnsi" w:hAnsiTheme="majorHAnsi" w:cstheme="majorHAnsi"/>
          <w:szCs w:val="24"/>
          <w:lang w:val="en-US"/>
        </w:rPr>
        <w:t xml:space="preserve"> claims. </w:t>
      </w:r>
      <w:r w:rsidRPr="00B849DC" w:rsidR="00460AF2">
        <w:rPr>
          <w:rFonts w:asciiTheme="majorHAnsi" w:hAnsiTheme="majorHAnsi" w:cstheme="majorHAnsi"/>
          <w:szCs w:val="24"/>
          <w:lang w:val="en"/>
        </w:rPr>
        <w:t xml:space="preserve">However, the “controlling person” is not liable if </w:t>
      </w:r>
      <w:r w:rsidRPr="00B849DC" w:rsidR="00C231AC">
        <w:rPr>
          <w:rFonts w:asciiTheme="majorHAnsi" w:hAnsiTheme="majorHAnsi" w:cstheme="majorHAnsi"/>
          <w:szCs w:val="24"/>
          <w:lang w:val="en"/>
        </w:rPr>
        <w:t>it</w:t>
      </w:r>
      <w:r w:rsidRPr="00B849DC" w:rsidR="00460AF2">
        <w:rPr>
          <w:rFonts w:asciiTheme="majorHAnsi" w:hAnsiTheme="majorHAnsi" w:cstheme="majorHAnsi"/>
          <w:szCs w:val="24"/>
          <w:lang w:val="en"/>
        </w:rPr>
        <w:t xml:space="preserve"> can prove that </w:t>
      </w:r>
      <w:r w:rsidRPr="00B849DC" w:rsidR="00C231AC">
        <w:rPr>
          <w:rFonts w:asciiTheme="majorHAnsi" w:hAnsiTheme="majorHAnsi" w:cstheme="majorHAnsi"/>
          <w:szCs w:val="24"/>
          <w:lang w:val="en"/>
        </w:rPr>
        <w:t>it</w:t>
      </w:r>
      <w:r w:rsidRPr="00B849DC" w:rsidR="00460AF2">
        <w:rPr>
          <w:rFonts w:asciiTheme="majorHAnsi" w:hAnsiTheme="majorHAnsi" w:cstheme="majorHAnsi"/>
          <w:szCs w:val="24"/>
          <w:lang w:val="en"/>
        </w:rPr>
        <w:t xml:space="preserve"> acted </w:t>
      </w:r>
      <w:r w:rsidRPr="00B849DC" w:rsidR="00C231AC">
        <w:rPr>
          <w:rFonts w:asciiTheme="majorHAnsi" w:hAnsiTheme="majorHAnsi" w:cstheme="majorHAnsi"/>
          <w:szCs w:val="24"/>
          <w:lang w:val="en"/>
        </w:rPr>
        <w:t xml:space="preserve">reasonably and </w:t>
      </w:r>
      <w:r w:rsidRPr="00B849DC" w:rsidR="00460AF2">
        <w:rPr>
          <w:rFonts w:asciiTheme="majorHAnsi" w:hAnsiTheme="majorHAnsi" w:cstheme="majorHAnsi"/>
          <w:szCs w:val="24"/>
          <w:lang w:val="en"/>
        </w:rPr>
        <w:t>in good faith in the debtor</w:t>
      </w:r>
      <w:r w:rsidRPr="00B849DC" w:rsidR="00B849DC">
        <w:rPr>
          <w:rFonts w:asciiTheme="majorHAnsi" w:hAnsiTheme="majorHAnsi" w:cstheme="majorHAnsi"/>
          <w:szCs w:val="24"/>
          <w:lang w:val="en"/>
        </w:rPr>
        <w:t>’</w:t>
      </w:r>
      <w:r w:rsidRPr="00B849DC" w:rsidR="00460AF2">
        <w:rPr>
          <w:rFonts w:asciiTheme="majorHAnsi" w:hAnsiTheme="majorHAnsi" w:cstheme="majorHAnsi"/>
          <w:szCs w:val="24"/>
          <w:lang w:val="en"/>
        </w:rPr>
        <w:t>s interests</w:t>
      </w:r>
      <w:r w:rsidRPr="00B849DC" w:rsidR="00D3005B">
        <w:rPr>
          <w:rFonts w:asciiTheme="majorHAnsi" w:hAnsiTheme="majorHAnsi" w:cstheme="majorHAnsi"/>
          <w:szCs w:val="24"/>
          <w:lang w:val="en"/>
        </w:rPr>
        <w:t xml:space="preserve"> </w:t>
      </w:r>
      <w:r w:rsidRPr="00B849DC" w:rsidR="00460AF2">
        <w:rPr>
          <w:rFonts w:asciiTheme="majorHAnsi" w:hAnsiTheme="majorHAnsi" w:cstheme="majorHAnsi"/>
          <w:szCs w:val="24"/>
          <w:lang w:val="en"/>
        </w:rPr>
        <w:t>(</w:t>
      </w:r>
      <w:r w:rsidRPr="00B849DC" w:rsidR="00FF2753">
        <w:rPr>
          <w:rFonts w:asciiTheme="majorHAnsi" w:hAnsiTheme="majorHAnsi" w:cstheme="majorHAnsi"/>
          <w:szCs w:val="24"/>
          <w:lang w:val="en"/>
        </w:rPr>
        <w:t>section </w:t>
      </w:r>
      <w:r w:rsidRPr="00B849DC" w:rsidR="00460AF2">
        <w:rPr>
          <w:rFonts w:asciiTheme="majorHAnsi" w:hAnsiTheme="majorHAnsi" w:cstheme="majorHAnsi"/>
          <w:szCs w:val="24"/>
          <w:lang w:val="en"/>
        </w:rPr>
        <w:t>10</w:t>
      </w:r>
      <w:r w:rsidRPr="00B849DC" w:rsidR="00FF2753">
        <w:rPr>
          <w:rFonts w:asciiTheme="majorHAnsi" w:hAnsiTheme="majorHAnsi" w:cstheme="majorHAnsi"/>
          <w:szCs w:val="24"/>
          <w:lang w:val="en"/>
        </w:rPr>
        <w:t>(</w:t>
      </w:r>
      <w:r w:rsidRPr="00B849DC" w:rsidR="00460AF2">
        <w:rPr>
          <w:rFonts w:asciiTheme="majorHAnsi" w:hAnsiTheme="majorHAnsi" w:cstheme="majorHAnsi"/>
          <w:szCs w:val="24"/>
          <w:lang w:val="en"/>
        </w:rPr>
        <w:t>4</w:t>
      </w:r>
      <w:r w:rsidRPr="00B849DC" w:rsidR="00FF2753">
        <w:rPr>
          <w:rFonts w:asciiTheme="majorHAnsi" w:hAnsiTheme="majorHAnsi" w:cstheme="majorHAnsi"/>
          <w:szCs w:val="24"/>
          <w:lang w:val="en"/>
        </w:rPr>
        <w:t>)</w:t>
      </w:r>
      <w:r w:rsidRPr="00B849DC" w:rsidR="00460AF2">
        <w:rPr>
          <w:rFonts w:asciiTheme="majorHAnsi" w:hAnsiTheme="majorHAnsi" w:cstheme="majorHAnsi"/>
          <w:szCs w:val="24"/>
          <w:lang w:val="en"/>
        </w:rPr>
        <w:t xml:space="preserve"> of the Insolvency Act</w:t>
      </w:r>
      <w:r w:rsidRPr="00B849DC" w:rsidR="00A95534">
        <w:rPr>
          <w:rFonts w:asciiTheme="majorHAnsi" w:hAnsiTheme="majorHAnsi" w:cstheme="majorHAnsi"/>
          <w:szCs w:val="24"/>
          <w:lang w:val="en"/>
        </w:rPr>
        <w:t>, as in force at the material time</w:t>
      </w:r>
      <w:r w:rsidRPr="00B849DC" w:rsidR="00460AF2">
        <w:rPr>
          <w:rFonts w:asciiTheme="majorHAnsi" w:hAnsiTheme="majorHAnsi" w:cstheme="majorHAnsi"/>
          <w:szCs w:val="24"/>
          <w:lang w:val="en"/>
        </w:rPr>
        <w:t>.)</w:t>
      </w:r>
      <w:r w:rsidRPr="00B849DC">
        <w:rPr>
          <w:rFonts w:asciiTheme="majorHAnsi" w:hAnsiTheme="majorHAnsi" w:cstheme="majorHAnsi"/>
          <w:szCs w:val="24"/>
          <w:lang w:val="en"/>
        </w:rPr>
        <w:t xml:space="preserve">. </w:t>
      </w:r>
      <w:r w:rsidRPr="00B849DC" w:rsidR="00147E1A">
        <w:rPr>
          <w:rFonts w:asciiTheme="majorHAnsi" w:hAnsiTheme="majorHAnsi" w:cstheme="majorHAnsi"/>
          <w:szCs w:val="24"/>
          <w:lang w:val="en"/>
        </w:rPr>
        <w:t xml:space="preserve">The head of a legal entity </w:t>
      </w:r>
      <w:r w:rsidRPr="00B849DC" w:rsidR="00535ABA">
        <w:rPr>
          <w:rFonts w:asciiTheme="majorHAnsi" w:hAnsiTheme="majorHAnsi" w:cstheme="majorHAnsi"/>
          <w:szCs w:val="24"/>
          <w:lang w:val="en"/>
        </w:rPr>
        <w:t xml:space="preserve">has </w:t>
      </w:r>
      <w:r w:rsidRPr="00B849DC" w:rsidR="00147E1A">
        <w:rPr>
          <w:rFonts w:asciiTheme="majorHAnsi" w:hAnsiTheme="majorHAnsi" w:cstheme="majorHAnsi"/>
          <w:szCs w:val="24"/>
          <w:lang w:val="en"/>
        </w:rPr>
        <w:t>subsidiary liab</w:t>
      </w:r>
      <w:r w:rsidRPr="00B849DC" w:rsidR="00535ABA">
        <w:rPr>
          <w:rFonts w:asciiTheme="majorHAnsi" w:hAnsiTheme="majorHAnsi" w:cstheme="majorHAnsi"/>
          <w:szCs w:val="24"/>
          <w:lang w:val="en"/>
        </w:rPr>
        <w:t>ility</w:t>
      </w:r>
      <w:r w:rsidRPr="00B849DC" w:rsidR="00147E1A">
        <w:rPr>
          <w:rFonts w:asciiTheme="majorHAnsi" w:hAnsiTheme="majorHAnsi" w:cstheme="majorHAnsi"/>
          <w:szCs w:val="24"/>
          <w:lang w:val="en"/>
        </w:rPr>
        <w:t xml:space="preserve"> for the insolvent </w:t>
      </w:r>
      <w:r w:rsidRPr="00B849DC">
        <w:rPr>
          <w:rFonts w:asciiTheme="majorHAnsi" w:hAnsiTheme="majorHAnsi" w:cstheme="majorHAnsi"/>
          <w:szCs w:val="24"/>
          <w:lang w:val="en"/>
        </w:rPr>
        <w:t>entity</w:t>
      </w:r>
      <w:r w:rsidRPr="00B849DC" w:rsidR="00B849DC">
        <w:rPr>
          <w:rFonts w:asciiTheme="majorHAnsi" w:hAnsiTheme="majorHAnsi" w:cstheme="majorHAnsi"/>
          <w:szCs w:val="24"/>
          <w:lang w:val="en"/>
        </w:rPr>
        <w:t>’</w:t>
      </w:r>
      <w:r w:rsidRPr="00B849DC" w:rsidR="00147E1A">
        <w:rPr>
          <w:rFonts w:asciiTheme="majorHAnsi" w:hAnsiTheme="majorHAnsi" w:cstheme="majorHAnsi"/>
          <w:szCs w:val="24"/>
          <w:lang w:val="en"/>
        </w:rPr>
        <w:t xml:space="preserve">s debts if he or she fails in </w:t>
      </w:r>
      <w:r w:rsidRPr="00B849DC" w:rsidR="00CF46FF">
        <w:rPr>
          <w:rFonts w:asciiTheme="majorHAnsi" w:hAnsiTheme="majorHAnsi" w:cstheme="majorHAnsi"/>
          <w:szCs w:val="24"/>
          <w:lang w:val="en"/>
        </w:rPr>
        <w:t xml:space="preserve">his or her </w:t>
      </w:r>
      <w:r w:rsidRPr="00B849DC" w:rsidR="00147E1A">
        <w:rPr>
          <w:rFonts w:asciiTheme="majorHAnsi" w:hAnsiTheme="majorHAnsi" w:cstheme="majorHAnsi"/>
          <w:szCs w:val="24"/>
          <w:lang w:val="en"/>
        </w:rPr>
        <w:t>statutory duty to keep</w:t>
      </w:r>
      <w:r w:rsidRPr="00B849DC" w:rsidR="00EC1211">
        <w:rPr>
          <w:rFonts w:asciiTheme="majorHAnsi" w:hAnsiTheme="majorHAnsi" w:cstheme="majorHAnsi"/>
          <w:szCs w:val="24"/>
          <w:lang w:val="en"/>
        </w:rPr>
        <w:t xml:space="preserve"> </w:t>
      </w:r>
      <w:r w:rsidRPr="00B849DC" w:rsidR="00147E1A">
        <w:rPr>
          <w:rFonts w:asciiTheme="majorHAnsi" w:hAnsiTheme="majorHAnsi" w:cstheme="majorHAnsi"/>
          <w:szCs w:val="24"/>
          <w:lang w:val="en"/>
        </w:rPr>
        <w:t>financial and other documents containing information on the debtor</w:t>
      </w:r>
      <w:r w:rsidRPr="00B849DC" w:rsidR="00B849DC">
        <w:rPr>
          <w:rFonts w:asciiTheme="majorHAnsi" w:hAnsiTheme="majorHAnsi" w:cstheme="majorHAnsi"/>
          <w:szCs w:val="24"/>
          <w:lang w:val="en"/>
        </w:rPr>
        <w:t>’</w:t>
      </w:r>
      <w:r w:rsidRPr="00B849DC" w:rsidR="00147E1A">
        <w:rPr>
          <w:rFonts w:asciiTheme="majorHAnsi" w:hAnsiTheme="majorHAnsi" w:cstheme="majorHAnsi"/>
          <w:szCs w:val="24"/>
          <w:lang w:val="en"/>
        </w:rPr>
        <w:t>s assets and obligations</w:t>
      </w:r>
      <w:r w:rsidRPr="00B849DC" w:rsidR="008E04B3">
        <w:rPr>
          <w:rFonts w:asciiTheme="majorHAnsi" w:hAnsiTheme="majorHAnsi" w:cstheme="majorHAnsi"/>
          <w:szCs w:val="24"/>
          <w:lang w:val="en"/>
        </w:rPr>
        <w:t xml:space="preserve"> (section 10(5) of the Act, as in force at the material time)</w:t>
      </w:r>
      <w:r w:rsidRPr="00B849DC" w:rsidR="00147E1A">
        <w:rPr>
          <w:rFonts w:asciiTheme="majorHAnsi" w:hAnsiTheme="majorHAnsi" w:cstheme="majorHAnsi"/>
          <w:szCs w:val="24"/>
          <w:lang w:val="en"/>
        </w:rPr>
        <w:t>.</w:t>
      </w:r>
    </w:p>
    <w:p w:rsidRPr="00B849DC" w:rsidR="003F2C8D" w:rsidP="00B849DC" w:rsidRDefault="00203CFE">
      <w:pPr>
        <w:pStyle w:val="ECHRHeading5"/>
        <w:rPr>
          <w:lang w:val="en-US"/>
        </w:rPr>
      </w:pPr>
      <w:r w:rsidRPr="00B849DC">
        <w:rPr>
          <w:lang w:val="en-US"/>
        </w:rPr>
        <w:t>(ii</w:t>
      </w:r>
      <w:r w:rsidRPr="00B849DC" w:rsidR="003F2C8D">
        <w:rPr>
          <w:lang w:val="en-US"/>
        </w:rPr>
        <w:t>)  </w:t>
      </w:r>
      <w:r w:rsidRPr="00B849DC" w:rsidR="00420888">
        <w:rPr>
          <w:lang w:val="en-US"/>
        </w:rPr>
        <w:t>Provisions</w:t>
      </w:r>
      <w:r w:rsidRPr="00B849DC" w:rsidR="004545A4">
        <w:rPr>
          <w:lang w:val="en-US"/>
        </w:rPr>
        <w:t xml:space="preserve"> on procedure and </w:t>
      </w:r>
      <w:r w:rsidRPr="00B849DC" w:rsidR="0093043C">
        <w:rPr>
          <w:lang w:val="en-US"/>
        </w:rPr>
        <w:t xml:space="preserve">eligible </w:t>
      </w:r>
      <w:r w:rsidRPr="00B849DC" w:rsidR="004545A4">
        <w:rPr>
          <w:lang w:val="en-US"/>
        </w:rPr>
        <w:t>claimants</w:t>
      </w:r>
    </w:p>
    <w:p w:rsidRPr="00B849DC" w:rsidR="003F2C8D" w:rsidP="00B849DC" w:rsidRDefault="003F2C8D">
      <w:pPr>
        <w:pStyle w:val="ECHRPara"/>
        <w:rPr>
          <w:lang w:val="en-US"/>
        </w:rPr>
      </w:pPr>
      <w:r w:rsidRPr="00B849DC">
        <w:rPr>
          <w:lang w:val="en-US"/>
        </w:rPr>
        <w:fldChar w:fldCharType="begin"/>
      </w:r>
      <w:r w:rsidRPr="00B849DC">
        <w:rPr>
          <w:lang w:val="en-US"/>
        </w:rPr>
        <w:instrText xml:space="preserve"> SEQ level0 \*arabic </w:instrText>
      </w:r>
      <w:r w:rsidRPr="00B849DC">
        <w:rPr>
          <w:lang w:val="en-US"/>
        </w:rPr>
        <w:fldChar w:fldCharType="separate"/>
      </w:r>
      <w:r w:rsidRPr="00B849DC" w:rsidR="00B849DC">
        <w:rPr>
          <w:noProof/>
          <w:lang w:val="en-US"/>
        </w:rPr>
        <w:t>101</w:t>
      </w:r>
      <w:r w:rsidRPr="00B849DC">
        <w:rPr>
          <w:lang w:val="en-US"/>
        </w:rPr>
        <w:fldChar w:fldCharType="end"/>
      </w:r>
      <w:r w:rsidRPr="00B849DC">
        <w:rPr>
          <w:lang w:val="en-US"/>
        </w:rPr>
        <w:t>.  </w:t>
      </w:r>
      <w:r w:rsidRPr="00B849DC" w:rsidR="00FF2753">
        <w:rPr>
          <w:lang w:val="en-US"/>
        </w:rPr>
        <w:t>Section </w:t>
      </w:r>
      <w:r w:rsidRPr="00B849DC">
        <w:rPr>
          <w:lang w:val="en-US"/>
        </w:rPr>
        <w:t>10</w:t>
      </w:r>
      <w:r w:rsidRPr="00B849DC" w:rsidR="00FF2753">
        <w:rPr>
          <w:lang w:val="en-US"/>
        </w:rPr>
        <w:t>(</w:t>
      </w:r>
      <w:r w:rsidRPr="00B849DC">
        <w:rPr>
          <w:lang w:val="en-US"/>
        </w:rPr>
        <w:t>6</w:t>
      </w:r>
      <w:r w:rsidRPr="00B849DC" w:rsidR="00FF2753">
        <w:rPr>
          <w:lang w:val="en-US"/>
        </w:rPr>
        <w:t>)</w:t>
      </w:r>
      <w:r w:rsidRPr="00B849DC">
        <w:rPr>
          <w:lang w:val="en-US"/>
        </w:rPr>
        <w:t xml:space="preserve"> of the Insolvency Act as amended in 2009 stipulates that an application </w:t>
      </w:r>
      <w:r w:rsidRPr="00B849DC">
        <w:rPr>
          <w:i/>
          <w:lang w:val="en-US"/>
        </w:rPr>
        <w:t>(«</w:t>
      </w:r>
      <w:r w:rsidRPr="00B849DC">
        <w:rPr>
          <w:i/>
          <w:lang w:val="ru-RU"/>
        </w:rPr>
        <w:t>заявление</w:t>
      </w:r>
      <w:r w:rsidRPr="00B849DC">
        <w:rPr>
          <w:i/>
          <w:lang w:val="en-US"/>
        </w:rPr>
        <w:t>»)</w:t>
      </w:r>
      <w:r w:rsidRPr="00B849DC">
        <w:rPr>
          <w:lang w:val="en-GB"/>
        </w:rPr>
        <w:t xml:space="preserve"> for subsidiary liability of </w:t>
      </w:r>
      <w:r w:rsidRPr="00B849DC" w:rsidR="00EC1211">
        <w:rPr>
          <w:lang w:val="en-GB"/>
        </w:rPr>
        <w:t xml:space="preserve">a </w:t>
      </w:r>
      <w:r w:rsidRPr="00B849DC">
        <w:rPr>
          <w:lang w:val="en-GB"/>
        </w:rPr>
        <w:t xml:space="preserve">controlling person may be lodged by a liquidator on his own initiative or on the initiative of </w:t>
      </w:r>
      <w:r w:rsidRPr="00B849DC" w:rsidR="00EC1211">
        <w:rPr>
          <w:lang w:val="en-GB"/>
        </w:rPr>
        <w:t xml:space="preserve">an </w:t>
      </w:r>
      <w:r w:rsidRPr="00B849DC">
        <w:rPr>
          <w:lang w:val="en-GB"/>
        </w:rPr>
        <w:t xml:space="preserve">assembly of creditors or a committee of creditors </w:t>
      </w:r>
      <w:r w:rsidRPr="00B849DC" w:rsidR="00EC1211">
        <w:rPr>
          <w:lang w:val="en-GB"/>
        </w:rPr>
        <w:t xml:space="preserve">before </w:t>
      </w:r>
      <w:r w:rsidRPr="00B849DC">
        <w:rPr>
          <w:lang w:val="en-GB"/>
        </w:rPr>
        <w:t xml:space="preserve">the liquidation procedure is terminated. </w:t>
      </w:r>
      <w:r w:rsidRPr="00B849DC" w:rsidR="00FF2753">
        <w:rPr>
          <w:lang w:val="en-US"/>
        </w:rPr>
        <w:t>Section </w:t>
      </w:r>
      <w:r w:rsidRPr="00B849DC">
        <w:rPr>
          <w:lang w:val="en-US"/>
        </w:rPr>
        <w:t>142</w:t>
      </w:r>
      <w:r w:rsidRPr="00B849DC" w:rsidR="00FF2753">
        <w:rPr>
          <w:lang w:val="en-US"/>
        </w:rPr>
        <w:t>(</w:t>
      </w:r>
      <w:r w:rsidRPr="00B849DC">
        <w:rPr>
          <w:lang w:val="en-US"/>
        </w:rPr>
        <w:t>12</w:t>
      </w:r>
      <w:r w:rsidRPr="00B849DC" w:rsidR="00FF2753">
        <w:rPr>
          <w:lang w:val="en-US"/>
        </w:rPr>
        <w:t>)</w:t>
      </w:r>
      <w:r w:rsidRPr="00B849DC">
        <w:rPr>
          <w:lang w:val="en-US"/>
        </w:rPr>
        <w:t xml:space="preserve"> of the </w:t>
      </w:r>
      <w:r w:rsidRPr="00B849DC" w:rsidR="00EC1211">
        <w:rPr>
          <w:lang w:val="en-US"/>
        </w:rPr>
        <w:t>Insolvency</w:t>
      </w:r>
      <w:r w:rsidRPr="00B849DC">
        <w:rPr>
          <w:lang w:val="en-US"/>
        </w:rPr>
        <w:t xml:space="preserve"> Act, as amended in 2009</w:t>
      </w:r>
      <w:r w:rsidRPr="00B849DC" w:rsidR="00A95534">
        <w:rPr>
          <w:lang w:val="en-US"/>
        </w:rPr>
        <w:t xml:space="preserve"> and as in force at the material time</w:t>
      </w:r>
      <w:r w:rsidRPr="00B849DC">
        <w:rPr>
          <w:lang w:val="en-US"/>
        </w:rPr>
        <w:t xml:space="preserve"> (see paragraph </w:t>
      </w:r>
      <w:r w:rsidRPr="00B849DC" w:rsidR="004458BC">
        <w:rPr>
          <w:lang w:val="en-US"/>
        </w:rPr>
        <w:t>99</w:t>
      </w:r>
      <w:r w:rsidRPr="00B849DC">
        <w:rPr>
          <w:lang w:val="en-US"/>
        </w:rPr>
        <w:t xml:space="preserve"> above) provide</w:t>
      </w:r>
      <w:r w:rsidRPr="00B849DC" w:rsidR="00BE029E">
        <w:rPr>
          <w:lang w:val="en-US"/>
        </w:rPr>
        <w:t>d</w:t>
      </w:r>
      <w:r w:rsidRPr="00B849DC">
        <w:rPr>
          <w:lang w:val="en-US"/>
        </w:rPr>
        <w:t xml:space="preserve"> that where </w:t>
      </w:r>
      <w:r w:rsidRPr="00B849DC" w:rsidR="00EC1211">
        <w:rPr>
          <w:lang w:val="en-US"/>
        </w:rPr>
        <w:t xml:space="preserve">a </w:t>
      </w:r>
      <w:r w:rsidRPr="00B849DC">
        <w:rPr>
          <w:lang w:val="en-US"/>
        </w:rPr>
        <w:t xml:space="preserve">bankruptcy estate </w:t>
      </w:r>
      <w:r w:rsidRPr="00B849DC" w:rsidR="00BE029E">
        <w:rPr>
          <w:lang w:val="en-US"/>
        </w:rPr>
        <w:t>was</w:t>
      </w:r>
      <w:r w:rsidRPr="00B849DC">
        <w:rPr>
          <w:lang w:val="en-US"/>
        </w:rPr>
        <w:t xml:space="preserve"> insufficient to meet the insolvency creditors</w:t>
      </w:r>
      <w:r w:rsidRPr="00B849DC" w:rsidR="00B849DC">
        <w:rPr>
          <w:lang w:val="en-US"/>
        </w:rPr>
        <w:t>’</w:t>
      </w:r>
      <w:r w:rsidRPr="00B849DC">
        <w:rPr>
          <w:lang w:val="en-US"/>
        </w:rPr>
        <w:t xml:space="preserve"> claims, the liquidator, a competent authority or the insolvency creditors </w:t>
      </w:r>
      <w:r w:rsidRPr="00B849DC" w:rsidR="00BE029E">
        <w:rPr>
          <w:lang w:val="en-US"/>
        </w:rPr>
        <w:t>could</w:t>
      </w:r>
      <w:r w:rsidRPr="00B849DC">
        <w:rPr>
          <w:lang w:val="en-US"/>
        </w:rPr>
        <w:t xml:space="preserve"> lodge an application for subsidiary liability </w:t>
      </w:r>
      <w:r w:rsidRPr="00B849DC" w:rsidR="00EC1211">
        <w:rPr>
          <w:lang w:val="en-US"/>
        </w:rPr>
        <w:t xml:space="preserve">before </w:t>
      </w:r>
      <w:r w:rsidRPr="00B849DC">
        <w:rPr>
          <w:lang w:val="en-US"/>
        </w:rPr>
        <w:t>the end of the liquidation procedure.</w:t>
      </w:r>
    </w:p>
    <w:p w:rsidRPr="00B849DC" w:rsidR="00147E1A" w:rsidP="00B849DC" w:rsidRDefault="00147E1A">
      <w:pPr>
        <w:pStyle w:val="ECHRHeading5"/>
        <w:rPr>
          <w:lang w:val="en-US"/>
        </w:rPr>
      </w:pPr>
      <w:r w:rsidRPr="00B849DC">
        <w:rPr>
          <w:lang w:val="en-US"/>
        </w:rPr>
        <w:t>(i</w:t>
      </w:r>
      <w:r w:rsidRPr="00B849DC" w:rsidR="00A24AE3">
        <w:rPr>
          <w:lang w:val="en-US"/>
        </w:rPr>
        <w:t>ii</w:t>
      </w:r>
      <w:r w:rsidRPr="00B849DC">
        <w:rPr>
          <w:lang w:val="en-US"/>
        </w:rPr>
        <w:t>)  Explanatory Note in respect of the above</w:t>
      </w:r>
      <w:r w:rsidRPr="00B849DC" w:rsidR="00CF46FF">
        <w:rPr>
          <w:lang w:val="en-US"/>
        </w:rPr>
        <w:t>-mentioned</w:t>
      </w:r>
      <w:r w:rsidRPr="00B849DC">
        <w:rPr>
          <w:lang w:val="en-US"/>
        </w:rPr>
        <w:t xml:space="preserve"> amendments</w:t>
      </w:r>
    </w:p>
    <w:p w:rsidRPr="00B849DC" w:rsidR="00070B17" w:rsidP="00B849DC" w:rsidRDefault="00147E1A">
      <w:pPr>
        <w:pStyle w:val="ECHRPara"/>
        <w:rPr>
          <w:lang w:val="en-US"/>
        </w:rPr>
      </w:pPr>
      <w:r w:rsidRPr="00B849DC">
        <w:rPr>
          <w:lang w:val="en-US"/>
        </w:rPr>
        <w:fldChar w:fldCharType="begin"/>
      </w:r>
      <w:r w:rsidRPr="00B849DC">
        <w:rPr>
          <w:lang w:val="en-US"/>
        </w:rPr>
        <w:instrText xml:space="preserve"> SEQ level0 \*arabic </w:instrText>
      </w:r>
      <w:r w:rsidRPr="00B849DC">
        <w:rPr>
          <w:lang w:val="en-US"/>
        </w:rPr>
        <w:fldChar w:fldCharType="separate"/>
      </w:r>
      <w:r w:rsidRPr="00B849DC" w:rsidR="00B849DC">
        <w:rPr>
          <w:noProof/>
          <w:lang w:val="en-US"/>
        </w:rPr>
        <w:t>102</w:t>
      </w:r>
      <w:r w:rsidRPr="00B849DC">
        <w:rPr>
          <w:lang w:val="en-US"/>
        </w:rPr>
        <w:fldChar w:fldCharType="end"/>
      </w:r>
      <w:r w:rsidRPr="00B849DC">
        <w:rPr>
          <w:lang w:val="en-US"/>
        </w:rPr>
        <w:t>.  The Explanatory Note justifying the introduction of the above amendments (no. 125066-5, introduced to the State Duma on 12 November 2008)</w:t>
      </w:r>
      <w:r w:rsidRPr="00B849DC" w:rsidR="00070B17">
        <w:rPr>
          <w:lang w:val="en-US"/>
        </w:rPr>
        <w:t xml:space="preserve"> emphasise</w:t>
      </w:r>
      <w:r w:rsidRPr="00B849DC" w:rsidR="00541EA9">
        <w:rPr>
          <w:lang w:val="en-US"/>
        </w:rPr>
        <w:t>d</w:t>
      </w:r>
      <w:r w:rsidRPr="00B849DC" w:rsidR="00070B17">
        <w:rPr>
          <w:lang w:val="en-US"/>
        </w:rPr>
        <w:t xml:space="preserve"> that the issue of </w:t>
      </w:r>
      <w:r w:rsidRPr="00B849DC" w:rsidR="00EC1211">
        <w:rPr>
          <w:lang w:val="en-US"/>
        </w:rPr>
        <w:t>proving</w:t>
      </w:r>
      <w:r w:rsidRPr="00B849DC" w:rsidR="00070B17">
        <w:rPr>
          <w:lang w:val="en-US"/>
        </w:rPr>
        <w:t xml:space="preserve"> </w:t>
      </w:r>
      <w:r w:rsidRPr="00B849DC" w:rsidR="00EC1211">
        <w:rPr>
          <w:lang w:val="en-US"/>
        </w:rPr>
        <w:t xml:space="preserve">fault on the part </w:t>
      </w:r>
      <w:r w:rsidRPr="00B849DC" w:rsidR="00070B17">
        <w:rPr>
          <w:lang w:val="en-US"/>
        </w:rPr>
        <w:t xml:space="preserve">of </w:t>
      </w:r>
      <w:r w:rsidRPr="00B849DC" w:rsidR="00EC1211">
        <w:rPr>
          <w:lang w:val="en-US"/>
        </w:rPr>
        <w:t xml:space="preserve">directors </w:t>
      </w:r>
      <w:r w:rsidRPr="00B849DC" w:rsidR="00541EA9">
        <w:rPr>
          <w:lang w:val="en-US"/>
        </w:rPr>
        <w:t>had</w:t>
      </w:r>
      <w:r w:rsidRPr="00B849DC" w:rsidR="00070B17">
        <w:rPr>
          <w:lang w:val="en-US"/>
        </w:rPr>
        <w:t xml:space="preserve"> been – and remain</w:t>
      </w:r>
      <w:r w:rsidRPr="00B849DC" w:rsidR="00541EA9">
        <w:rPr>
          <w:lang w:val="en-US"/>
        </w:rPr>
        <w:t>ed</w:t>
      </w:r>
      <w:r w:rsidRPr="00B849DC" w:rsidR="00070B17">
        <w:rPr>
          <w:lang w:val="en-US"/>
        </w:rPr>
        <w:t xml:space="preserve"> – </w:t>
      </w:r>
      <w:r w:rsidRPr="00B849DC" w:rsidR="00D3005B">
        <w:rPr>
          <w:lang w:val="en-US"/>
        </w:rPr>
        <w:t xml:space="preserve">a </w:t>
      </w:r>
      <w:r w:rsidRPr="00B849DC" w:rsidR="00070B17">
        <w:rPr>
          <w:lang w:val="en-US"/>
        </w:rPr>
        <w:t xml:space="preserve">most complex one. Therefore, </w:t>
      </w:r>
      <w:r w:rsidRPr="00B849DC" w:rsidR="00EC1211">
        <w:rPr>
          <w:lang w:val="en-US"/>
        </w:rPr>
        <w:t>directors would be presumed to be liable</w:t>
      </w:r>
      <w:r w:rsidRPr="00B849DC" w:rsidR="00070B17">
        <w:rPr>
          <w:lang w:val="en-US"/>
        </w:rPr>
        <w:t xml:space="preserve"> </w:t>
      </w:r>
      <w:r w:rsidRPr="00B849DC" w:rsidR="00EC1211">
        <w:rPr>
          <w:lang w:val="en-US"/>
        </w:rPr>
        <w:t>where they failed</w:t>
      </w:r>
      <w:r w:rsidRPr="00B849DC" w:rsidR="00070B17">
        <w:rPr>
          <w:lang w:val="en-US"/>
        </w:rPr>
        <w:t xml:space="preserve"> to keep the required documentation</w:t>
      </w:r>
      <w:r w:rsidRPr="00B849DC" w:rsidR="00A52FA5">
        <w:rPr>
          <w:lang w:val="en-US"/>
        </w:rPr>
        <w:t xml:space="preserve">. </w:t>
      </w:r>
      <w:r w:rsidRPr="00B849DC" w:rsidR="00534B3A">
        <w:rPr>
          <w:lang w:val="en-US"/>
        </w:rPr>
        <w:t>In fact, t</w:t>
      </w:r>
      <w:r w:rsidRPr="00B849DC" w:rsidR="00070B17">
        <w:rPr>
          <w:lang w:val="en-US"/>
        </w:rPr>
        <w:t>he manage</w:t>
      </w:r>
      <w:r w:rsidRPr="00B849DC" w:rsidR="00534B3A">
        <w:rPr>
          <w:lang w:val="en-US"/>
        </w:rPr>
        <w:t>ment</w:t>
      </w:r>
      <w:r w:rsidRPr="00B849DC" w:rsidR="00070B17">
        <w:rPr>
          <w:lang w:val="en-US"/>
        </w:rPr>
        <w:t xml:space="preserve"> of </w:t>
      </w:r>
      <w:r w:rsidRPr="00B849DC" w:rsidR="00534B3A">
        <w:rPr>
          <w:lang w:val="en-US"/>
        </w:rPr>
        <w:t>a</w:t>
      </w:r>
      <w:r w:rsidRPr="00B849DC" w:rsidR="00070B17">
        <w:rPr>
          <w:lang w:val="en-US"/>
        </w:rPr>
        <w:t xml:space="preserve"> company normally </w:t>
      </w:r>
      <w:r w:rsidRPr="00B849DC" w:rsidR="00EC1211">
        <w:rPr>
          <w:lang w:val="en-US"/>
        </w:rPr>
        <w:t xml:space="preserve">became </w:t>
      </w:r>
      <w:r w:rsidRPr="00B849DC" w:rsidR="00070B17">
        <w:rPr>
          <w:lang w:val="en-US"/>
        </w:rPr>
        <w:t>aware of the legal entity</w:t>
      </w:r>
      <w:r w:rsidRPr="00B849DC" w:rsidR="00B849DC">
        <w:rPr>
          <w:lang w:val="en-US"/>
        </w:rPr>
        <w:t>’</w:t>
      </w:r>
      <w:r w:rsidRPr="00B849DC" w:rsidR="00070B17">
        <w:rPr>
          <w:lang w:val="en-US"/>
        </w:rPr>
        <w:t xml:space="preserve">s financial difficulties long before </w:t>
      </w:r>
      <w:r w:rsidRPr="00B849DC" w:rsidR="00EC1211">
        <w:rPr>
          <w:lang w:val="en-US"/>
        </w:rPr>
        <w:t xml:space="preserve">a </w:t>
      </w:r>
      <w:r w:rsidRPr="00B849DC" w:rsidR="00070B17">
        <w:rPr>
          <w:lang w:val="en-US"/>
        </w:rPr>
        <w:t xml:space="preserve">petition for insolvency </w:t>
      </w:r>
      <w:r w:rsidRPr="00B849DC" w:rsidR="00541EA9">
        <w:rPr>
          <w:lang w:val="en-US"/>
        </w:rPr>
        <w:t>was</w:t>
      </w:r>
      <w:r w:rsidRPr="00B849DC" w:rsidR="00070B17">
        <w:rPr>
          <w:lang w:val="en-US"/>
        </w:rPr>
        <w:t xml:space="preserve"> actually lodged. This </w:t>
      </w:r>
      <w:r w:rsidRPr="00B849DC" w:rsidR="00541EA9">
        <w:rPr>
          <w:lang w:val="en-US"/>
        </w:rPr>
        <w:t>contributed</w:t>
      </w:r>
      <w:r w:rsidRPr="00B849DC" w:rsidR="00070B17">
        <w:rPr>
          <w:lang w:val="en-US"/>
        </w:rPr>
        <w:t xml:space="preserve"> to a certain “asymmetry” in so far as creditors</w:t>
      </w:r>
      <w:r w:rsidRPr="00B849DC" w:rsidR="00B849DC">
        <w:rPr>
          <w:lang w:val="en-US"/>
        </w:rPr>
        <w:t>’</w:t>
      </w:r>
      <w:r w:rsidRPr="00B849DC" w:rsidR="00070B17">
        <w:rPr>
          <w:lang w:val="en-US"/>
        </w:rPr>
        <w:t xml:space="preserve"> and managers</w:t>
      </w:r>
      <w:r w:rsidRPr="00B849DC" w:rsidR="00B849DC">
        <w:rPr>
          <w:lang w:val="en-US"/>
        </w:rPr>
        <w:t>’</w:t>
      </w:r>
      <w:r w:rsidRPr="00B849DC" w:rsidR="00070B17">
        <w:rPr>
          <w:lang w:val="en-US"/>
        </w:rPr>
        <w:t xml:space="preserve"> access to information</w:t>
      </w:r>
      <w:r w:rsidRPr="00B849DC" w:rsidR="00541EA9">
        <w:rPr>
          <w:lang w:val="en-US"/>
        </w:rPr>
        <w:t xml:space="preserve"> was</w:t>
      </w:r>
      <w:r w:rsidRPr="00B849DC" w:rsidR="00070B17">
        <w:rPr>
          <w:lang w:val="en-US"/>
        </w:rPr>
        <w:t xml:space="preserve"> concerned. The lack of effective measures of protection of creditors</w:t>
      </w:r>
      <w:r w:rsidRPr="00B849DC" w:rsidR="00B849DC">
        <w:rPr>
          <w:lang w:val="en-US"/>
        </w:rPr>
        <w:t>’</w:t>
      </w:r>
      <w:r w:rsidRPr="00B849DC" w:rsidR="00070B17">
        <w:rPr>
          <w:lang w:val="en-US"/>
        </w:rPr>
        <w:t xml:space="preserve"> interests </w:t>
      </w:r>
      <w:r w:rsidRPr="00B849DC" w:rsidR="005E6AF8">
        <w:rPr>
          <w:lang w:val="en-US"/>
        </w:rPr>
        <w:t xml:space="preserve">had </w:t>
      </w:r>
      <w:r w:rsidRPr="00B849DC" w:rsidR="00070B17">
        <w:rPr>
          <w:lang w:val="en-US"/>
        </w:rPr>
        <w:t>led to a violation of their rights</w:t>
      </w:r>
      <w:r w:rsidRPr="00B849DC" w:rsidR="005E6AF8">
        <w:rPr>
          <w:lang w:val="en-US"/>
        </w:rPr>
        <w:t>, and that was why</w:t>
      </w:r>
      <w:r w:rsidRPr="00B849DC" w:rsidR="00070B17">
        <w:rPr>
          <w:lang w:val="en-US"/>
        </w:rPr>
        <w:t xml:space="preserve"> </w:t>
      </w:r>
      <w:r w:rsidRPr="00B849DC" w:rsidR="00CF46FF">
        <w:rPr>
          <w:lang w:val="en-US"/>
        </w:rPr>
        <w:t xml:space="preserve">a </w:t>
      </w:r>
      <w:r w:rsidRPr="00B849DC" w:rsidR="00070B17">
        <w:rPr>
          <w:lang w:val="en-US"/>
        </w:rPr>
        <w:t xml:space="preserve">redistribution of the burden of proof </w:t>
      </w:r>
      <w:r w:rsidRPr="00B849DC" w:rsidR="005E6AF8">
        <w:rPr>
          <w:lang w:val="en-US"/>
        </w:rPr>
        <w:t xml:space="preserve">had been </w:t>
      </w:r>
      <w:r w:rsidRPr="00B849DC" w:rsidR="00070B17">
        <w:rPr>
          <w:lang w:val="en-US"/>
        </w:rPr>
        <w:t>proposed.</w:t>
      </w:r>
    </w:p>
    <w:p w:rsidRPr="00B849DC" w:rsidR="00ED0E56" w:rsidP="00B849DC" w:rsidRDefault="00A24AE3">
      <w:pPr>
        <w:pStyle w:val="ECHRHeading5"/>
        <w:rPr>
          <w:lang w:val="en-US"/>
        </w:rPr>
      </w:pPr>
      <w:proofErr w:type="gramStart"/>
      <w:r w:rsidRPr="00B849DC">
        <w:rPr>
          <w:lang w:val="en-US"/>
        </w:rPr>
        <w:t>(iv</w:t>
      </w:r>
      <w:r w:rsidRPr="00B849DC" w:rsidR="00ED0E56">
        <w:rPr>
          <w:lang w:val="en-US"/>
        </w:rPr>
        <w:t>)  </w:t>
      </w:r>
      <w:r w:rsidRPr="00B849DC" w:rsidR="00534B3A">
        <w:rPr>
          <w:lang w:val="en-US"/>
        </w:rPr>
        <w:t>C</w:t>
      </w:r>
      <w:r w:rsidRPr="00B849DC" w:rsidR="00ED0E56">
        <w:rPr>
          <w:lang w:val="en-US"/>
        </w:rPr>
        <w:t>larifications</w:t>
      </w:r>
      <w:proofErr w:type="gramEnd"/>
      <w:r w:rsidRPr="00B849DC" w:rsidR="00ED0E56">
        <w:rPr>
          <w:lang w:val="en-US"/>
        </w:rPr>
        <w:t xml:space="preserve"> on the </w:t>
      </w:r>
      <w:r w:rsidRPr="00B849DC" w:rsidR="00D67EFE">
        <w:rPr>
          <w:lang w:val="en-US"/>
        </w:rPr>
        <w:t>application of the amendments</w:t>
      </w:r>
    </w:p>
    <w:p w:rsidRPr="00B849DC" w:rsidR="00ED0E56" w:rsidP="00B849DC" w:rsidRDefault="00D67EFE">
      <w:pPr>
        <w:pStyle w:val="ECHRPara"/>
        <w:rPr>
          <w:lang w:val="en-GB"/>
        </w:rPr>
      </w:pPr>
      <w:r w:rsidRPr="00B849DC">
        <w:rPr>
          <w:lang w:val="en-GB"/>
        </w:rPr>
        <w:fldChar w:fldCharType="begin"/>
      </w:r>
      <w:r w:rsidRPr="00B849DC">
        <w:rPr>
          <w:lang w:val="en-GB"/>
        </w:rPr>
        <w:instrText xml:space="preserve"> SEQ level0 \*arabic </w:instrText>
      </w:r>
      <w:r w:rsidRPr="00B849DC">
        <w:rPr>
          <w:lang w:val="en-GB"/>
        </w:rPr>
        <w:fldChar w:fldCharType="separate"/>
      </w:r>
      <w:r w:rsidRPr="00B849DC" w:rsidR="00B849DC">
        <w:rPr>
          <w:noProof/>
          <w:lang w:val="en-GB"/>
        </w:rPr>
        <w:t>103</w:t>
      </w:r>
      <w:r w:rsidRPr="00B849DC">
        <w:rPr>
          <w:lang w:val="en-GB"/>
        </w:rPr>
        <w:fldChar w:fldCharType="end"/>
      </w:r>
      <w:r w:rsidRPr="00B849DC">
        <w:rPr>
          <w:lang w:val="en-GB"/>
        </w:rPr>
        <w:t>.  </w:t>
      </w:r>
      <w:r w:rsidRPr="00B849DC" w:rsidR="00ED0E56">
        <w:rPr>
          <w:lang w:val="en-GB"/>
        </w:rPr>
        <w:t xml:space="preserve">By Information letter </w:t>
      </w:r>
      <w:r w:rsidRPr="00B849DC" w:rsidR="00BF0161">
        <w:rPr>
          <w:lang w:val="en-GB"/>
        </w:rPr>
        <w:t>no</w:t>
      </w:r>
      <w:r w:rsidRPr="00B849DC" w:rsidR="00ED0E56">
        <w:rPr>
          <w:lang w:val="en-GB"/>
        </w:rPr>
        <w:t xml:space="preserve">. 137 of 24 April 2010 the Presidium of the Supreme Commercial Court of Russia clarified that the above amendments </w:t>
      </w:r>
      <w:r w:rsidRPr="00B849DC" w:rsidR="00BF0161">
        <w:rPr>
          <w:lang w:val="en-GB"/>
        </w:rPr>
        <w:t xml:space="preserve">were </w:t>
      </w:r>
      <w:r w:rsidRPr="00B849DC" w:rsidR="00ED0E56">
        <w:rPr>
          <w:lang w:val="en-GB"/>
        </w:rPr>
        <w:t>only applicable where the specific act</w:t>
      </w:r>
      <w:r w:rsidRPr="00B849DC" w:rsidR="00D3005B">
        <w:rPr>
          <w:lang w:val="en-GB"/>
        </w:rPr>
        <w:t>ion</w:t>
      </w:r>
      <w:r w:rsidRPr="00B849DC" w:rsidR="00ED0E56">
        <w:rPr>
          <w:lang w:val="en-GB"/>
        </w:rPr>
        <w:t xml:space="preserve">s triggering the application of the respective </w:t>
      </w:r>
      <w:r w:rsidRPr="00B849DC" w:rsidR="00F25BBF">
        <w:rPr>
          <w:lang w:val="en-GB"/>
        </w:rPr>
        <w:t xml:space="preserve">substantive </w:t>
      </w:r>
      <w:r w:rsidRPr="00B849DC" w:rsidR="00ED0E56">
        <w:rPr>
          <w:lang w:val="en-GB"/>
        </w:rPr>
        <w:t xml:space="preserve">provisions (such as </w:t>
      </w:r>
      <w:r w:rsidRPr="00B849DC" w:rsidR="00BF0161">
        <w:rPr>
          <w:lang w:val="en-GB"/>
        </w:rPr>
        <w:t xml:space="preserve">the </w:t>
      </w:r>
      <w:r w:rsidRPr="00B849DC" w:rsidR="00ED0E56">
        <w:rPr>
          <w:lang w:val="en-GB"/>
        </w:rPr>
        <w:t xml:space="preserve">giving </w:t>
      </w:r>
      <w:r w:rsidRPr="00B849DC" w:rsidR="00BF0161">
        <w:rPr>
          <w:lang w:val="en-GB"/>
        </w:rPr>
        <w:t xml:space="preserve">of </w:t>
      </w:r>
      <w:r w:rsidRPr="00B849DC" w:rsidR="00ED0E56">
        <w:rPr>
          <w:lang w:val="en-GB"/>
        </w:rPr>
        <w:t xml:space="preserve">binding instructions or </w:t>
      </w:r>
      <w:r w:rsidRPr="00B849DC" w:rsidR="00F25BBF">
        <w:rPr>
          <w:lang w:val="en-GB"/>
        </w:rPr>
        <w:t xml:space="preserve">the </w:t>
      </w:r>
      <w:r w:rsidRPr="00B849DC" w:rsidR="00ED0E56">
        <w:rPr>
          <w:lang w:val="en-GB"/>
        </w:rPr>
        <w:t xml:space="preserve">approval of a transaction) </w:t>
      </w:r>
      <w:r w:rsidRPr="00B849DC" w:rsidR="00BF0161">
        <w:rPr>
          <w:lang w:val="en-GB"/>
        </w:rPr>
        <w:t xml:space="preserve">had taken </w:t>
      </w:r>
      <w:r w:rsidRPr="00B849DC" w:rsidR="00ED0E56">
        <w:rPr>
          <w:lang w:val="en-GB"/>
        </w:rPr>
        <w:t>place before the respective amendments</w:t>
      </w:r>
      <w:r w:rsidRPr="00B849DC" w:rsidR="00B849DC">
        <w:rPr>
          <w:lang w:val="en-GB"/>
        </w:rPr>
        <w:t>’</w:t>
      </w:r>
      <w:r w:rsidRPr="00B849DC" w:rsidR="00ED0E56">
        <w:rPr>
          <w:lang w:val="en-GB"/>
        </w:rPr>
        <w:t xml:space="preserve"> entry into force. </w:t>
      </w:r>
      <w:r w:rsidRPr="00B849DC" w:rsidR="009218A9">
        <w:rPr>
          <w:lang w:val="en-GB"/>
        </w:rPr>
        <w:t>The</w:t>
      </w:r>
      <w:r w:rsidRPr="00B849DC" w:rsidR="009218A9">
        <w:rPr>
          <w:lang w:val="en-US"/>
        </w:rPr>
        <w:t xml:space="preserve"> </w:t>
      </w:r>
      <w:r w:rsidRPr="00B849DC" w:rsidR="009218A9">
        <w:rPr>
          <w:lang w:val="en-GB"/>
        </w:rPr>
        <w:t>procedure</w:t>
      </w:r>
      <w:r w:rsidRPr="00B849DC" w:rsidR="009218A9">
        <w:rPr>
          <w:lang w:val="en-US"/>
        </w:rPr>
        <w:t xml:space="preserve"> </w:t>
      </w:r>
      <w:r w:rsidRPr="00B849DC" w:rsidR="009218A9">
        <w:rPr>
          <w:lang w:val="en-GB"/>
        </w:rPr>
        <w:t>set</w:t>
      </w:r>
      <w:r w:rsidRPr="00B849DC" w:rsidR="009218A9">
        <w:rPr>
          <w:lang w:val="en-US"/>
        </w:rPr>
        <w:t xml:space="preserve"> </w:t>
      </w:r>
      <w:r w:rsidRPr="00B849DC" w:rsidR="009218A9">
        <w:rPr>
          <w:lang w:val="en-GB"/>
        </w:rPr>
        <w:t>out</w:t>
      </w:r>
      <w:r w:rsidRPr="00B849DC" w:rsidR="009218A9">
        <w:rPr>
          <w:lang w:val="en-US"/>
        </w:rPr>
        <w:t xml:space="preserve"> </w:t>
      </w:r>
      <w:r w:rsidRPr="00B849DC" w:rsidR="009218A9">
        <w:rPr>
          <w:lang w:val="en-GB"/>
        </w:rPr>
        <w:t>in</w:t>
      </w:r>
      <w:r w:rsidRPr="00B849DC" w:rsidR="009218A9">
        <w:rPr>
          <w:lang w:val="en-US"/>
        </w:rPr>
        <w:t xml:space="preserve"> </w:t>
      </w:r>
      <w:r w:rsidRPr="00B849DC" w:rsidR="00FF2753">
        <w:rPr>
          <w:lang w:val="en-GB"/>
        </w:rPr>
        <w:t>section </w:t>
      </w:r>
      <w:r w:rsidRPr="00B849DC" w:rsidR="009218A9">
        <w:rPr>
          <w:lang w:val="en-US"/>
        </w:rPr>
        <w:t>10</w:t>
      </w:r>
      <w:r w:rsidRPr="00B849DC" w:rsidR="00FF2753">
        <w:rPr>
          <w:lang w:val="en-GB"/>
        </w:rPr>
        <w:t>(</w:t>
      </w:r>
      <w:r w:rsidRPr="00B849DC" w:rsidR="009218A9">
        <w:rPr>
          <w:lang w:val="en-US"/>
        </w:rPr>
        <w:t>6-8</w:t>
      </w:r>
      <w:r w:rsidRPr="00B849DC" w:rsidR="00FF2753">
        <w:rPr>
          <w:lang w:val="en-US"/>
        </w:rPr>
        <w:t>)</w:t>
      </w:r>
      <w:r w:rsidRPr="00B849DC" w:rsidR="009218A9">
        <w:rPr>
          <w:lang w:val="en-US"/>
        </w:rPr>
        <w:t xml:space="preserve"> </w:t>
      </w:r>
      <w:r w:rsidRPr="00B849DC" w:rsidR="009218A9">
        <w:rPr>
          <w:lang w:val="en-GB"/>
        </w:rPr>
        <w:t>of</w:t>
      </w:r>
      <w:r w:rsidRPr="00B849DC" w:rsidR="009218A9">
        <w:rPr>
          <w:lang w:val="en-US"/>
        </w:rPr>
        <w:t xml:space="preserve"> </w:t>
      </w:r>
      <w:r w:rsidRPr="00B849DC" w:rsidR="009218A9">
        <w:rPr>
          <w:lang w:val="en-GB"/>
        </w:rPr>
        <w:t>the</w:t>
      </w:r>
      <w:r w:rsidRPr="00B849DC" w:rsidR="009218A9">
        <w:rPr>
          <w:lang w:val="en-US"/>
        </w:rPr>
        <w:t xml:space="preserve"> </w:t>
      </w:r>
      <w:r w:rsidRPr="00B849DC" w:rsidR="009218A9">
        <w:rPr>
          <w:lang w:val="en-GB"/>
        </w:rPr>
        <w:t>Insolvency</w:t>
      </w:r>
      <w:r w:rsidRPr="00B849DC" w:rsidR="009218A9">
        <w:rPr>
          <w:lang w:val="en-US"/>
        </w:rPr>
        <w:t xml:space="preserve"> </w:t>
      </w:r>
      <w:r w:rsidRPr="00B849DC" w:rsidR="009218A9">
        <w:rPr>
          <w:lang w:val="en-GB"/>
        </w:rPr>
        <w:t>Act</w:t>
      </w:r>
      <w:r w:rsidRPr="00B849DC" w:rsidR="009218A9">
        <w:rPr>
          <w:lang w:val="en-US"/>
        </w:rPr>
        <w:t xml:space="preserve"> </w:t>
      </w:r>
      <w:r w:rsidRPr="00B849DC" w:rsidR="009218A9">
        <w:rPr>
          <w:lang w:val="en-GB"/>
        </w:rPr>
        <w:t>was</w:t>
      </w:r>
      <w:r w:rsidRPr="00B849DC" w:rsidR="009218A9">
        <w:rPr>
          <w:lang w:val="en-US"/>
        </w:rPr>
        <w:t xml:space="preserve"> </w:t>
      </w:r>
      <w:r w:rsidRPr="00B849DC" w:rsidR="009218A9">
        <w:rPr>
          <w:lang w:val="en-GB"/>
        </w:rPr>
        <w:t>to</w:t>
      </w:r>
      <w:r w:rsidRPr="00B849DC" w:rsidR="009218A9">
        <w:rPr>
          <w:lang w:val="en-US"/>
        </w:rPr>
        <w:t xml:space="preserve"> </w:t>
      </w:r>
      <w:r w:rsidRPr="00B849DC" w:rsidR="009218A9">
        <w:rPr>
          <w:lang w:val="en-GB"/>
        </w:rPr>
        <w:t>be</w:t>
      </w:r>
      <w:r w:rsidRPr="00B849DC" w:rsidR="009218A9">
        <w:rPr>
          <w:lang w:val="en-US"/>
        </w:rPr>
        <w:t xml:space="preserve"> </w:t>
      </w:r>
      <w:r w:rsidRPr="00B849DC" w:rsidR="009218A9">
        <w:rPr>
          <w:lang w:val="en-GB"/>
        </w:rPr>
        <w:t>applied to any dispute where the claim was introduced after the amendments</w:t>
      </w:r>
      <w:r w:rsidRPr="00B849DC" w:rsidR="00B849DC">
        <w:rPr>
          <w:lang w:val="en-GB"/>
        </w:rPr>
        <w:t>’</w:t>
      </w:r>
      <w:r w:rsidRPr="00B849DC" w:rsidR="009218A9">
        <w:rPr>
          <w:lang w:val="en-GB"/>
        </w:rPr>
        <w:t xml:space="preserve"> entry into force.</w:t>
      </w:r>
    </w:p>
    <w:p w:rsidRPr="00B849DC" w:rsidR="00A95534" w:rsidP="00B849DC" w:rsidRDefault="00A95534">
      <w:pPr>
        <w:pStyle w:val="ECHRHeading4"/>
        <w:rPr>
          <w:lang w:val="en-US"/>
        </w:rPr>
      </w:pPr>
      <w:r w:rsidRPr="00B849DC">
        <w:rPr>
          <w:lang w:val="en-US"/>
        </w:rPr>
        <w:t xml:space="preserve">(c)  Amendments </w:t>
      </w:r>
      <w:r w:rsidRPr="00B849DC" w:rsidR="00D3005B">
        <w:rPr>
          <w:lang w:val="en-US"/>
        </w:rPr>
        <w:t>made to</w:t>
      </w:r>
      <w:r w:rsidRPr="00B849DC">
        <w:rPr>
          <w:lang w:val="en-US"/>
        </w:rPr>
        <w:t xml:space="preserve"> the Insolvency Act in 2013</w:t>
      </w:r>
    </w:p>
    <w:p w:rsidRPr="00B849DC" w:rsidR="00A95534" w:rsidP="00B849DC" w:rsidRDefault="00A95534">
      <w:pPr>
        <w:pStyle w:val="ECHRPara"/>
        <w:rPr>
          <w:lang w:val="en-US"/>
        </w:rPr>
      </w:pPr>
      <w:r w:rsidRPr="00B849DC">
        <w:rPr>
          <w:lang w:val="en-US"/>
        </w:rPr>
        <w:fldChar w:fldCharType="begin"/>
      </w:r>
      <w:r w:rsidRPr="00B849DC">
        <w:rPr>
          <w:lang w:val="en-US"/>
        </w:rPr>
        <w:instrText xml:space="preserve"> SEQ level0 \*arabic </w:instrText>
      </w:r>
      <w:r w:rsidRPr="00B849DC">
        <w:rPr>
          <w:lang w:val="en-US"/>
        </w:rPr>
        <w:fldChar w:fldCharType="separate"/>
      </w:r>
      <w:r w:rsidRPr="00B849DC" w:rsidR="00B849DC">
        <w:rPr>
          <w:noProof/>
          <w:lang w:val="en-US"/>
        </w:rPr>
        <w:t>104</w:t>
      </w:r>
      <w:r w:rsidRPr="00B849DC">
        <w:rPr>
          <w:lang w:val="en-US"/>
        </w:rPr>
        <w:fldChar w:fldCharType="end"/>
      </w:r>
      <w:r w:rsidRPr="00B849DC">
        <w:rPr>
          <w:lang w:val="en-US"/>
        </w:rPr>
        <w:t xml:space="preserve">.  On 28 June 2013 </w:t>
      </w:r>
      <w:r w:rsidRPr="00B849DC" w:rsidR="00FF2753">
        <w:rPr>
          <w:lang w:val="en-US"/>
        </w:rPr>
        <w:t>section </w:t>
      </w:r>
      <w:r w:rsidRPr="00B849DC">
        <w:rPr>
          <w:lang w:val="en-US"/>
        </w:rPr>
        <w:t>10 of the Insolvency Act was further amended</w:t>
      </w:r>
      <w:r w:rsidRPr="00B849DC" w:rsidR="00672CCF">
        <w:rPr>
          <w:lang w:val="en-US"/>
        </w:rPr>
        <w:t xml:space="preserve"> by Federal Law no. 134-</w:t>
      </w:r>
      <w:r w:rsidRPr="00B849DC" w:rsidR="0076377E">
        <w:rPr>
          <w:i/>
          <w:lang w:val="en-US"/>
        </w:rPr>
        <w:t>FZ</w:t>
      </w:r>
      <w:r w:rsidRPr="00B849DC" w:rsidR="00E35448">
        <w:rPr>
          <w:i/>
          <w:lang w:val="en-US"/>
        </w:rPr>
        <w:t xml:space="preserve"> </w:t>
      </w:r>
      <w:r w:rsidRPr="00B849DC" w:rsidR="00E35448">
        <w:rPr>
          <w:lang w:val="en-US"/>
        </w:rPr>
        <w:t>(in force as of 30 June 2013)</w:t>
      </w:r>
      <w:r w:rsidRPr="00B849DC">
        <w:rPr>
          <w:lang w:val="en-US"/>
        </w:rPr>
        <w:t>.</w:t>
      </w:r>
      <w:r w:rsidRPr="00B849DC" w:rsidR="000E0388">
        <w:rPr>
          <w:lang w:val="en-US"/>
        </w:rPr>
        <w:t xml:space="preserve"> In particular, a</w:t>
      </w:r>
      <w:r w:rsidRPr="00B849DC" w:rsidR="00672CCF">
        <w:rPr>
          <w:lang w:val="en-US"/>
        </w:rPr>
        <w:t xml:space="preserve">mended </w:t>
      </w:r>
      <w:r w:rsidRPr="00B849DC" w:rsidR="00FF2753">
        <w:rPr>
          <w:lang w:val="en-US"/>
        </w:rPr>
        <w:t>section </w:t>
      </w:r>
      <w:r w:rsidRPr="00B849DC">
        <w:rPr>
          <w:lang w:val="en-US"/>
        </w:rPr>
        <w:t>10</w:t>
      </w:r>
      <w:r w:rsidRPr="00B849DC" w:rsidR="00FF2753">
        <w:rPr>
          <w:lang w:val="en-US"/>
        </w:rPr>
        <w:t>(</w:t>
      </w:r>
      <w:r w:rsidRPr="00B849DC">
        <w:rPr>
          <w:lang w:val="en-US"/>
        </w:rPr>
        <w:t>4</w:t>
      </w:r>
      <w:r w:rsidRPr="00B849DC" w:rsidR="00FF2753">
        <w:rPr>
          <w:lang w:val="en-US"/>
        </w:rPr>
        <w:t>)</w:t>
      </w:r>
      <w:r w:rsidRPr="00B849DC">
        <w:rPr>
          <w:lang w:val="en-US"/>
        </w:rPr>
        <w:t xml:space="preserve"> </w:t>
      </w:r>
      <w:r w:rsidRPr="00B849DC" w:rsidR="00672CCF">
        <w:rPr>
          <w:lang w:val="en-US"/>
        </w:rPr>
        <w:t xml:space="preserve">of the Insolvency Act </w:t>
      </w:r>
      <w:r w:rsidRPr="00B849DC" w:rsidR="00EB5DE5">
        <w:rPr>
          <w:lang w:val="en-US"/>
        </w:rPr>
        <w:t xml:space="preserve">introduced the </w:t>
      </w:r>
      <w:r w:rsidRPr="00B849DC" w:rsidR="000E0388">
        <w:rPr>
          <w:lang w:val="en-US"/>
        </w:rPr>
        <w:t xml:space="preserve">presumption that the insolvency of a legal entity </w:t>
      </w:r>
      <w:r w:rsidRPr="00B849DC" w:rsidR="00EB5DE5">
        <w:rPr>
          <w:lang w:val="en-US"/>
        </w:rPr>
        <w:t>can be considered to have been</w:t>
      </w:r>
      <w:r w:rsidRPr="00B849DC" w:rsidR="000E0388">
        <w:rPr>
          <w:lang w:val="en-US"/>
        </w:rPr>
        <w:t xml:space="preserve"> caused by the controlling persons</w:t>
      </w:r>
      <w:r w:rsidRPr="00B849DC" w:rsidR="00B849DC">
        <w:rPr>
          <w:lang w:val="en-US"/>
        </w:rPr>
        <w:t>’</w:t>
      </w:r>
      <w:r w:rsidRPr="00B849DC" w:rsidR="000E0388">
        <w:rPr>
          <w:lang w:val="en-US"/>
        </w:rPr>
        <w:t xml:space="preserve"> actions </w:t>
      </w:r>
      <w:r w:rsidRPr="00B849DC" w:rsidR="0057223F">
        <w:rPr>
          <w:lang w:val="en-US"/>
        </w:rPr>
        <w:t>where a</w:t>
      </w:r>
      <w:r w:rsidRPr="00B849DC" w:rsidR="000E0388">
        <w:rPr>
          <w:lang w:val="en-US"/>
        </w:rPr>
        <w:t xml:space="preserve"> transaction – or the</w:t>
      </w:r>
      <w:r w:rsidRPr="00B849DC" w:rsidR="0057223F">
        <w:rPr>
          <w:lang w:val="en-US"/>
        </w:rPr>
        <w:t xml:space="preserve"> approval of a</w:t>
      </w:r>
      <w:r w:rsidRPr="00B849DC" w:rsidR="000E0388">
        <w:rPr>
          <w:lang w:val="en-US"/>
        </w:rPr>
        <w:t xml:space="preserve"> </w:t>
      </w:r>
      <w:r w:rsidRPr="00B849DC" w:rsidR="0057223F">
        <w:rPr>
          <w:lang w:val="en-US"/>
        </w:rPr>
        <w:t>transaction</w:t>
      </w:r>
      <w:r w:rsidRPr="00B849DC" w:rsidR="00D3005B">
        <w:rPr>
          <w:lang w:val="en-US"/>
        </w:rPr>
        <w:t xml:space="preserve"> by the debtor</w:t>
      </w:r>
      <w:r w:rsidRPr="00B849DC" w:rsidR="000E0388">
        <w:rPr>
          <w:lang w:val="en-US"/>
        </w:rPr>
        <w:t xml:space="preserve"> –</w:t>
      </w:r>
      <w:r w:rsidRPr="00B849DC" w:rsidR="00EB5DE5">
        <w:rPr>
          <w:lang w:val="en-US"/>
        </w:rPr>
        <w:t xml:space="preserve"> </w:t>
      </w:r>
      <w:r w:rsidRPr="00B849DC" w:rsidR="0057223F">
        <w:rPr>
          <w:lang w:val="en-US"/>
        </w:rPr>
        <w:t xml:space="preserve">by such person </w:t>
      </w:r>
      <w:r w:rsidRPr="00B849DC" w:rsidR="00CF46FF">
        <w:rPr>
          <w:lang w:val="en-US"/>
        </w:rPr>
        <w:t>had impinged upon</w:t>
      </w:r>
      <w:r w:rsidRPr="00B849DC" w:rsidR="0057223F">
        <w:rPr>
          <w:lang w:val="en-US"/>
        </w:rPr>
        <w:t xml:space="preserve"> the creditors</w:t>
      </w:r>
      <w:r w:rsidRPr="00B849DC" w:rsidR="00B849DC">
        <w:rPr>
          <w:lang w:val="en-US"/>
        </w:rPr>
        <w:t>’</w:t>
      </w:r>
      <w:r w:rsidRPr="00B849DC" w:rsidR="0057223F">
        <w:rPr>
          <w:lang w:val="en-US"/>
        </w:rPr>
        <w:t xml:space="preserve"> pecuniary rights. To be absolved of subsidiary liability, </w:t>
      </w:r>
      <w:r w:rsidRPr="00B849DC" w:rsidR="00C231AC">
        <w:rPr>
          <w:lang w:val="en-US"/>
        </w:rPr>
        <w:t>the controlling person</w:t>
      </w:r>
      <w:r w:rsidRPr="00B849DC" w:rsidR="0057223F">
        <w:rPr>
          <w:lang w:val="en-US"/>
        </w:rPr>
        <w:t xml:space="preserve"> </w:t>
      </w:r>
      <w:r w:rsidRPr="00B849DC" w:rsidR="00EB5DE5">
        <w:rPr>
          <w:lang w:val="en-US"/>
        </w:rPr>
        <w:t xml:space="preserve">must </w:t>
      </w:r>
      <w:r w:rsidRPr="00B849DC" w:rsidR="0057223F">
        <w:rPr>
          <w:lang w:val="en-US"/>
        </w:rPr>
        <w:t xml:space="preserve">demonstrate that the insolvency </w:t>
      </w:r>
      <w:r w:rsidRPr="00B849DC" w:rsidR="00CF46FF">
        <w:rPr>
          <w:lang w:val="en-US"/>
        </w:rPr>
        <w:t xml:space="preserve">did </w:t>
      </w:r>
      <w:r w:rsidRPr="00B849DC" w:rsidR="0057223F">
        <w:rPr>
          <w:lang w:val="en-US"/>
        </w:rPr>
        <w:t xml:space="preserve">not occur through </w:t>
      </w:r>
      <w:r w:rsidRPr="00B849DC" w:rsidR="00EB5DE5">
        <w:rPr>
          <w:lang w:val="en-US"/>
        </w:rPr>
        <w:t xml:space="preserve">any </w:t>
      </w:r>
      <w:r w:rsidRPr="00B849DC" w:rsidR="0057223F">
        <w:rPr>
          <w:lang w:val="en-US"/>
        </w:rPr>
        <w:t>fault</w:t>
      </w:r>
      <w:r w:rsidRPr="00B849DC" w:rsidR="00EB5DE5">
        <w:rPr>
          <w:lang w:val="en-US"/>
        </w:rPr>
        <w:t xml:space="preserve"> of its own</w:t>
      </w:r>
      <w:r w:rsidRPr="00B849DC" w:rsidR="0057223F">
        <w:rPr>
          <w:lang w:val="en-US"/>
        </w:rPr>
        <w:t xml:space="preserve">. The </w:t>
      </w:r>
      <w:r w:rsidRPr="00B849DC" w:rsidR="00EB5DE5">
        <w:rPr>
          <w:lang w:val="en-US"/>
        </w:rPr>
        <w:t>controlling person will not be considered at fault</w:t>
      </w:r>
      <w:r w:rsidRPr="00B849DC" w:rsidR="0057223F">
        <w:rPr>
          <w:lang w:val="en-US"/>
        </w:rPr>
        <w:t xml:space="preserve"> if </w:t>
      </w:r>
      <w:r w:rsidRPr="00B849DC" w:rsidR="00EB5DE5">
        <w:rPr>
          <w:lang w:val="en-US"/>
        </w:rPr>
        <w:t>it</w:t>
      </w:r>
      <w:r w:rsidRPr="00B849DC" w:rsidR="0057223F">
        <w:rPr>
          <w:lang w:val="en-US"/>
        </w:rPr>
        <w:t xml:space="preserve"> </w:t>
      </w:r>
      <w:r w:rsidRPr="00B849DC" w:rsidR="00D3005B">
        <w:rPr>
          <w:lang w:val="en-US"/>
        </w:rPr>
        <w:t xml:space="preserve">can </w:t>
      </w:r>
      <w:r w:rsidRPr="00B849DC" w:rsidR="0057223F">
        <w:rPr>
          <w:lang w:val="en-US"/>
        </w:rPr>
        <w:t>demonstrate that it acted reasonably a</w:t>
      </w:r>
      <w:r w:rsidRPr="00B849DC" w:rsidR="00C231AC">
        <w:rPr>
          <w:lang w:val="en-US"/>
        </w:rPr>
        <w:t>n</w:t>
      </w:r>
      <w:r w:rsidRPr="00B849DC" w:rsidR="0057223F">
        <w:rPr>
          <w:lang w:val="en-US"/>
        </w:rPr>
        <w:t>d in good faith in the debtor</w:t>
      </w:r>
      <w:r w:rsidRPr="00B849DC" w:rsidR="00B849DC">
        <w:rPr>
          <w:lang w:val="en-US"/>
        </w:rPr>
        <w:t>’</w:t>
      </w:r>
      <w:r w:rsidRPr="00B849DC" w:rsidR="0057223F">
        <w:rPr>
          <w:lang w:val="en-US"/>
        </w:rPr>
        <w:t>s interests.</w:t>
      </w:r>
    </w:p>
    <w:p w:rsidRPr="00B849DC" w:rsidR="003F2C8D" w:rsidP="00B849DC" w:rsidRDefault="00147E1A">
      <w:pPr>
        <w:pStyle w:val="ECHRHeading3"/>
        <w:rPr>
          <w:lang w:val="en-US"/>
        </w:rPr>
      </w:pPr>
      <w:r w:rsidRPr="00B849DC">
        <w:rPr>
          <w:lang w:val="en-US"/>
        </w:rPr>
        <w:t>3</w:t>
      </w:r>
      <w:r w:rsidRPr="00B849DC" w:rsidR="003F2C8D">
        <w:rPr>
          <w:lang w:val="en-US"/>
        </w:rPr>
        <w:t>.  Case-law</w:t>
      </w:r>
    </w:p>
    <w:p w:rsidRPr="00B849DC" w:rsidR="00D67EFE" w:rsidP="00B849DC" w:rsidRDefault="003F2C8D">
      <w:pPr>
        <w:pStyle w:val="ECHRHeading4"/>
        <w:rPr>
          <w:lang w:val="en-US"/>
        </w:rPr>
      </w:pPr>
      <w:r w:rsidRPr="00B849DC">
        <w:rPr>
          <w:lang w:val="en-US"/>
        </w:rPr>
        <w:t>(a)  </w:t>
      </w:r>
      <w:r w:rsidRPr="00B849DC" w:rsidR="00EC5F88">
        <w:rPr>
          <w:lang w:val="en-US"/>
        </w:rPr>
        <w:t xml:space="preserve">A </w:t>
      </w:r>
      <w:r w:rsidRPr="00B849DC" w:rsidR="00D67EFE">
        <w:rPr>
          <w:lang w:val="en-US"/>
        </w:rPr>
        <w:t>debtor company</w:t>
      </w:r>
      <w:r w:rsidRPr="00B849DC" w:rsidR="00B849DC">
        <w:rPr>
          <w:lang w:val="en-US"/>
        </w:rPr>
        <w:t>’</w:t>
      </w:r>
      <w:r w:rsidRPr="00B849DC" w:rsidR="00D67EFE">
        <w:rPr>
          <w:lang w:val="en-US"/>
        </w:rPr>
        <w:t xml:space="preserve">s </w:t>
      </w:r>
      <w:r w:rsidRPr="00B849DC" w:rsidR="00EC5F88">
        <w:rPr>
          <w:lang w:val="en-US"/>
        </w:rPr>
        <w:t xml:space="preserve">unlimited </w:t>
      </w:r>
      <w:r w:rsidRPr="00B849DC" w:rsidR="00D67EFE">
        <w:rPr>
          <w:lang w:val="en-US"/>
        </w:rPr>
        <w:t xml:space="preserve">liability </w:t>
      </w:r>
      <w:r w:rsidRPr="00B849DC" w:rsidR="00660CAD">
        <w:rPr>
          <w:lang w:val="en-US"/>
        </w:rPr>
        <w:t xml:space="preserve">in </w:t>
      </w:r>
      <w:r w:rsidRPr="00B849DC" w:rsidR="00D3005B">
        <w:rPr>
          <w:lang w:val="en-US"/>
        </w:rPr>
        <w:t xml:space="preserve">a </w:t>
      </w:r>
      <w:r w:rsidRPr="00B849DC" w:rsidR="00660CAD">
        <w:rPr>
          <w:lang w:val="en-US"/>
        </w:rPr>
        <w:t xml:space="preserve">liquidation procedure </w:t>
      </w:r>
      <w:r w:rsidRPr="00B849DC" w:rsidR="0067460E">
        <w:rPr>
          <w:lang w:val="en-US"/>
        </w:rPr>
        <w:t>(2006)</w:t>
      </w:r>
    </w:p>
    <w:p w:rsidRPr="00B849DC" w:rsidR="00D67EFE" w:rsidP="00B849DC" w:rsidRDefault="00D67EFE">
      <w:pPr>
        <w:pStyle w:val="ECHRPara"/>
        <w:rPr>
          <w:lang w:val="en-GB"/>
        </w:rPr>
      </w:pPr>
      <w:r w:rsidRPr="00B849DC">
        <w:fldChar w:fldCharType="begin"/>
      </w:r>
      <w:r w:rsidRPr="00B849DC">
        <w:rPr>
          <w:lang w:val="en-US"/>
        </w:rPr>
        <w:instrText xml:space="preserve"> SEQ level0 \*arabic </w:instrText>
      </w:r>
      <w:r w:rsidRPr="00B849DC">
        <w:fldChar w:fldCharType="separate"/>
      </w:r>
      <w:r w:rsidRPr="00B849DC" w:rsidR="00B849DC">
        <w:rPr>
          <w:noProof/>
          <w:lang w:val="en-US"/>
        </w:rPr>
        <w:t>105</w:t>
      </w:r>
      <w:r w:rsidRPr="00B849DC">
        <w:fldChar w:fldCharType="end"/>
      </w:r>
      <w:r w:rsidRPr="00B849DC">
        <w:rPr>
          <w:lang w:val="en-US"/>
        </w:rPr>
        <w:t>.  </w:t>
      </w:r>
      <w:proofErr w:type="gramStart"/>
      <w:r w:rsidRPr="00B849DC">
        <w:rPr>
          <w:lang w:val="en-US"/>
        </w:rPr>
        <w:t>In case no.</w:t>
      </w:r>
      <w:proofErr w:type="gramEnd"/>
      <w:r w:rsidRPr="00B849DC">
        <w:rPr>
          <w:lang w:val="en-US"/>
        </w:rPr>
        <w:t> </w:t>
      </w:r>
      <w:r w:rsidRPr="00B849DC">
        <w:rPr>
          <w:lang w:val="ru-RU"/>
        </w:rPr>
        <w:t>Ф</w:t>
      </w:r>
      <w:r w:rsidRPr="00B849DC">
        <w:rPr>
          <w:lang w:val="en-US"/>
        </w:rPr>
        <w:t xml:space="preserve">08-717/2006 </w:t>
      </w:r>
      <w:r w:rsidRPr="00B849DC" w:rsidR="00CF3AA6">
        <w:rPr>
          <w:lang w:val="en-US"/>
        </w:rPr>
        <w:t>examined by</w:t>
      </w:r>
      <w:r w:rsidRPr="00B849DC">
        <w:rPr>
          <w:lang w:val="en-US"/>
        </w:rPr>
        <w:t xml:space="preserve"> the Federal Commercial Court of the North-Caucasus Circuit a local authority had allocated assets to a State unitary enterprise. The latter </w:t>
      </w:r>
      <w:r w:rsidRPr="00B849DC" w:rsidR="00787834">
        <w:rPr>
          <w:lang w:val="en-US"/>
        </w:rPr>
        <w:t xml:space="preserve">became </w:t>
      </w:r>
      <w:r w:rsidRPr="00B849DC">
        <w:rPr>
          <w:lang w:val="en-US"/>
        </w:rPr>
        <w:t xml:space="preserve">insolvent, and the assets were included in the insolvency estate. The authority </w:t>
      </w:r>
      <w:r w:rsidRPr="00B849DC" w:rsidR="00EB5DE5">
        <w:rPr>
          <w:lang w:val="en-US"/>
        </w:rPr>
        <w:t>requested that</w:t>
      </w:r>
      <w:r w:rsidRPr="00B849DC">
        <w:rPr>
          <w:lang w:val="en-US"/>
        </w:rPr>
        <w:t xml:space="preserve"> the assets owned by it </w:t>
      </w:r>
      <w:r w:rsidRPr="00B849DC" w:rsidR="00EB5DE5">
        <w:rPr>
          <w:lang w:val="en-US"/>
        </w:rPr>
        <w:t>be excluded from the estate</w:t>
      </w:r>
      <w:r w:rsidRPr="00B849DC">
        <w:rPr>
          <w:lang w:val="en-US"/>
        </w:rPr>
        <w:t xml:space="preserve">, arguing that execution on its property would amount to its </w:t>
      </w:r>
      <w:r w:rsidRPr="00B849DC">
        <w:rPr>
          <w:i/>
          <w:lang w:val="en-US"/>
        </w:rPr>
        <w:t>de facto</w:t>
      </w:r>
      <w:r w:rsidRPr="00B849DC">
        <w:rPr>
          <w:lang w:val="en-US"/>
        </w:rPr>
        <w:t xml:space="preserve"> subsidiary liability. By </w:t>
      </w:r>
      <w:r w:rsidRPr="00B849DC" w:rsidR="00EB5DE5">
        <w:rPr>
          <w:lang w:val="en-US"/>
        </w:rPr>
        <w:t xml:space="preserve">a </w:t>
      </w:r>
      <w:r w:rsidRPr="00B849DC">
        <w:rPr>
          <w:lang w:val="en-US"/>
        </w:rPr>
        <w:t>final judgment of 15 March 2006 the court reiterated that creditors</w:t>
      </w:r>
      <w:r w:rsidRPr="00B849DC" w:rsidR="00B849DC">
        <w:rPr>
          <w:lang w:val="en-US"/>
        </w:rPr>
        <w:t>’</w:t>
      </w:r>
      <w:r w:rsidRPr="00B849DC">
        <w:rPr>
          <w:lang w:val="en-US"/>
        </w:rPr>
        <w:t xml:space="preserve"> claims in </w:t>
      </w:r>
      <w:r w:rsidRPr="00B849DC" w:rsidR="00EB5DE5">
        <w:rPr>
          <w:lang w:val="en-US"/>
        </w:rPr>
        <w:t xml:space="preserve">the event </w:t>
      </w:r>
      <w:r w:rsidRPr="00B849DC">
        <w:rPr>
          <w:lang w:val="en-US"/>
        </w:rPr>
        <w:t>of insolvency were to be satisfied at the expense of the company</w:t>
      </w:r>
      <w:r w:rsidRPr="00B849DC" w:rsidR="00B849DC">
        <w:rPr>
          <w:lang w:val="en-US"/>
        </w:rPr>
        <w:t>’</w:t>
      </w:r>
      <w:r w:rsidRPr="00B849DC">
        <w:rPr>
          <w:lang w:val="en-US"/>
        </w:rPr>
        <w:t xml:space="preserve">s assets, including those </w:t>
      </w:r>
      <w:r w:rsidRPr="00B849DC" w:rsidR="00787834">
        <w:rPr>
          <w:lang w:val="en-US"/>
        </w:rPr>
        <w:t xml:space="preserve">placed </w:t>
      </w:r>
      <w:r w:rsidRPr="00B849DC">
        <w:rPr>
          <w:lang w:val="en-US"/>
        </w:rPr>
        <w:t>under its economic control. Therefore, execution on the debtor unitary enterprise</w:t>
      </w:r>
      <w:r w:rsidRPr="00B849DC" w:rsidR="00B849DC">
        <w:rPr>
          <w:lang w:val="en-US"/>
        </w:rPr>
        <w:t>’</w:t>
      </w:r>
      <w:r w:rsidRPr="00B849DC">
        <w:rPr>
          <w:lang w:val="en-US"/>
        </w:rPr>
        <w:t xml:space="preserve">s assets </w:t>
      </w:r>
      <w:r w:rsidRPr="00B849DC" w:rsidR="00660CAD">
        <w:rPr>
          <w:lang w:val="en-GB"/>
        </w:rPr>
        <w:t xml:space="preserve">was to be </w:t>
      </w:r>
      <w:r w:rsidRPr="00B849DC">
        <w:rPr>
          <w:lang w:val="en-GB"/>
        </w:rPr>
        <w:t>made</w:t>
      </w:r>
      <w:r w:rsidRPr="00B849DC">
        <w:rPr>
          <w:lang w:val="en-US"/>
        </w:rPr>
        <w:t xml:space="preserve"> </w:t>
      </w:r>
      <w:r w:rsidRPr="00B849DC">
        <w:rPr>
          <w:lang w:val="en-GB"/>
        </w:rPr>
        <w:t>irrespectively of the owner</w:t>
      </w:r>
      <w:r w:rsidRPr="00B849DC" w:rsidR="00B849DC">
        <w:rPr>
          <w:lang w:val="en-GB"/>
        </w:rPr>
        <w:t>’</w:t>
      </w:r>
      <w:r w:rsidRPr="00B849DC">
        <w:rPr>
          <w:lang w:val="en-GB"/>
        </w:rPr>
        <w:t>s consent and d</w:t>
      </w:r>
      <w:r w:rsidRPr="00B849DC" w:rsidR="00660CAD">
        <w:rPr>
          <w:lang w:val="en-GB"/>
        </w:rPr>
        <w:t>id</w:t>
      </w:r>
      <w:r w:rsidRPr="00B849DC">
        <w:rPr>
          <w:lang w:val="en-GB"/>
        </w:rPr>
        <w:t xml:space="preserve"> not imply, as such, the owner</w:t>
      </w:r>
      <w:r w:rsidRPr="00B849DC" w:rsidR="00B849DC">
        <w:rPr>
          <w:lang w:val="en-GB"/>
        </w:rPr>
        <w:t>’</w:t>
      </w:r>
      <w:r w:rsidRPr="00B849DC">
        <w:rPr>
          <w:lang w:val="en-GB"/>
        </w:rPr>
        <w:t>s subsidiary liability at that stage</w:t>
      </w:r>
      <w:r w:rsidRPr="00B849DC" w:rsidR="00A12584">
        <w:rPr>
          <w:lang w:val="en-GB"/>
        </w:rPr>
        <w:t xml:space="preserve"> (</w:t>
      </w:r>
      <w:r w:rsidRPr="00B849DC" w:rsidR="00EC5F88">
        <w:rPr>
          <w:lang w:val="en-GB"/>
        </w:rPr>
        <w:t>that is, before</w:t>
      </w:r>
      <w:r w:rsidRPr="00B849DC" w:rsidR="00A12584">
        <w:rPr>
          <w:lang w:val="en-GB"/>
        </w:rPr>
        <w:t xml:space="preserve"> the end of the liquidation procedure)</w:t>
      </w:r>
      <w:r w:rsidRPr="00B849DC" w:rsidR="0087244D">
        <w:rPr>
          <w:lang w:val="en-GB"/>
        </w:rPr>
        <w:t>.</w:t>
      </w:r>
    </w:p>
    <w:p w:rsidRPr="00B849DC" w:rsidR="003F2C8D" w:rsidP="00B849DC" w:rsidRDefault="00D67EFE">
      <w:pPr>
        <w:pStyle w:val="ECHRHeading4"/>
        <w:rPr>
          <w:lang w:val="en-US"/>
        </w:rPr>
      </w:pPr>
      <w:r w:rsidRPr="00B849DC">
        <w:rPr>
          <w:lang w:val="en-GB"/>
        </w:rPr>
        <w:t>(b)  </w:t>
      </w:r>
      <w:r w:rsidRPr="00B849DC" w:rsidR="00E53253">
        <w:rPr>
          <w:lang w:val="en-US"/>
        </w:rPr>
        <w:t>C</w:t>
      </w:r>
      <w:r w:rsidRPr="00B849DC" w:rsidR="003F2C8D">
        <w:rPr>
          <w:lang w:val="en-US"/>
        </w:rPr>
        <w:t>laimants in subsidiary liability proceedings</w:t>
      </w:r>
    </w:p>
    <w:p w:rsidRPr="00B849DC" w:rsidR="00DF4608" w:rsidP="00B849DC" w:rsidRDefault="00DF4608">
      <w:pPr>
        <w:pStyle w:val="ECHRPara"/>
        <w:rPr>
          <w:lang w:val="en-US"/>
        </w:rPr>
      </w:pPr>
      <w:r w:rsidRPr="00B849DC">
        <w:rPr>
          <w:lang w:val="en-US"/>
        </w:rPr>
        <w:fldChar w:fldCharType="begin"/>
      </w:r>
      <w:r w:rsidRPr="00B849DC">
        <w:rPr>
          <w:lang w:val="en-US"/>
        </w:rPr>
        <w:instrText xml:space="preserve"> SEQ level0 \*arabic </w:instrText>
      </w:r>
      <w:r w:rsidRPr="00B849DC">
        <w:rPr>
          <w:lang w:val="en-US"/>
        </w:rPr>
        <w:fldChar w:fldCharType="separate"/>
      </w:r>
      <w:r w:rsidRPr="00B849DC" w:rsidR="00B849DC">
        <w:rPr>
          <w:noProof/>
          <w:lang w:val="en-US"/>
        </w:rPr>
        <w:t>106</w:t>
      </w:r>
      <w:r w:rsidRPr="00B849DC">
        <w:rPr>
          <w:lang w:val="en-US"/>
        </w:rPr>
        <w:fldChar w:fldCharType="end"/>
      </w:r>
      <w:r w:rsidRPr="00B849DC">
        <w:rPr>
          <w:lang w:val="en-US"/>
        </w:rPr>
        <w:t>.  </w:t>
      </w:r>
      <w:proofErr w:type="gramStart"/>
      <w:r w:rsidRPr="00B849DC" w:rsidR="003F2C8D">
        <w:rPr>
          <w:lang w:val="en-US"/>
        </w:rPr>
        <w:t xml:space="preserve">By final judgment </w:t>
      </w:r>
      <w:r w:rsidRPr="00B849DC" w:rsidR="00EC5F88">
        <w:rPr>
          <w:lang w:val="en-US"/>
        </w:rPr>
        <w:t>no.</w:t>
      </w:r>
      <w:proofErr w:type="gramEnd"/>
      <w:r w:rsidRPr="00B849DC" w:rsidR="00EC5F88">
        <w:rPr>
          <w:lang w:val="en-US"/>
        </w:rPr>
        <w:t xml:space="preserve"> A31-802/20 </w:t>
      </w:r>
      <w:r w:rsidRPr="00B849DC" w:rsidR="003F2C8D">
        <w:rPr>
          <w:lang w:val="en-US"/>
        </w:rPr>
        <w:t xml:space="preserve">of 21 January 2005 the Federal Commercial Court of the Volgo-Vyatskiy Circuit found that only the liquidator </w:t>
      </w:r>
      <w:r w:rsidRPr="00B849DC" w:rsidR="00EC5F88">
        <w:rPr>
          <w:lang w:val="en-US"/>
        </w:rPr>
        <w:t xml:space="preserve">could bring such an action </w:t>
      </w:r>
      <w:r w:rsidRPr="00B849DC" w:rsidR="003F2C8D">
        <w:rPr>
          <w:lang w:val="en-US"/>
        </w:rPr>
        <w:t xml:space="preserve">in the interests of all </w:t>
      </w:r>
      <w:r w:rsidRPr="00B849DC" w:rsidR="00EC5F88">
        <w:rPr>
          <w:lang w:val="en-US"/>
        </w:rPr>
        <w:t xml:space="preserve">the </w:t>
      </w:r>
      <w:r w:rsidRPr="00B849DC" w:rsidR="003F2C8D">
        <w:rPr>
          <w:lang w:val="en-US"/>
        </w:rPr>
        <w:t xml:space="preserve">creditors, </w:t>
      </w:r>
      <w:r w:rsidRPr="00B849DC" w:rsidR="00EC5F88">
        <w:rPr>
          <w:lang w:val="en-US"/>
        </w:rPr>
        <w:t xml:space="preserve">and </w:t>
      </w:r>
      <w:r w:rsidRPr="00B849DC" w:rsidR="003F2C8D">
        <w:rPr>
          <w:lang w:val="en-US"/>
        </w:rPr>
        <w:t>not the creditors themsel</w:t>
      </w:r>
      <w:r w:rsidRPr="00B849DC" w:rsidR="00651E89">
        <w:rPr>
          <w:lang w:val="en-US"/>
        </w:rPr>
        <w:t>ves</w:t>
      </w:r>
      <w:r w:rsidRPr="00B849DC" w:rsidR="00A76DB5">
        <w:rPr>
          <w:lang w:val="en-US"/>
        </w:rPr>
        <w:t>.</w:t>
      </w:r>
    </w:p>
    <w:p w:rsidRPr="00B849DC" w:rsidR="003F2C8D" w:rsidP="00B849DC" w:rsidRDefault="004B302F">
      <w:pPr>
        <w:pStyle w:val="ECHRHeading4"/>
        <w:keepNext w:val="0"/>
        <w:rPr>
          <w:lang w:val="en-US"/>
        </w:rPr>
      </w:pPr>
      <w:r w:rsidRPr="00B849DC">
        <w:rPr>
          <w:lang w:val="en-US"/>
        </w:rPr>
        <w:t>(c</w:t>
      </w:r>
      <w:r w:rsidRPr="00B849DC" w:rsidR="00D67EFE">
        <w:rPr>
          <w:lang w:val="en-US"/>
        </w:rPr>
        <w:t xml:space="preserve">)  Time-frame for lodging </w:t>
      </w:r>
      <w:r w:rsidRPr="00B849DC" w:rsidR="00E53253">
        <w:rPr>
          <w:lang w:val="en-US"/>
        </w:rPr>
        <w:t xml:space="preserve">a </w:t>
      </w:r>
      <w:r w:rsidRPr="00B849DC" w:rsidR="00D67EFE">
        <w:rPr>
          <w:lang w:val="en-US"/>
        </w:rPr>
        <w:t xml:space="preserve">subsidiary liability action </w:t>
      </w:r>
      <w:r w:rsidRPr="00B849DC" w:rsidR="00A74F05">
        <w:rPr>
          <w:lang w:val="en-US"/>
        </w:rPr>
        <w:t>in the light of</w:t>
      </w:r>
      <w:r w:rsidRPr="00B849DC" w:rsidR="00D67EFE">
        <w:rPr>
          <w:lang w:val="en-US"/>
        </w:rPr>
        <w:t xml:space="preserve"> the </w:t>
      </w:r>
      <w:r w:rsidRPr="00B849DC" w:rsidR="006722EB">
        <w:rPr>
          <w:lang w:val="en-US"/>
        </w:rPr>
        <w:t xml:space="preserve">2009 amendments </w:t>
      </w:r>
      <w:r w:rsidRPr="00B849DC" w:rsidR="00E53253">
        <w:rPr>
          <w:lang w:val="en-US"/>
        </w:rPr>
        <w:t xml:space="preserve">to </w:t>
      </w:r>
      <w:r w:rsidRPr="00B849DC" w:rsidR="006722EB">
        <w:rPr>
          <w:lang w:val="en-US"/>
        </w:rPr>
        <w:t xml:space="preserve">the </w:t>
      </w:r>
      <w:r w:rsidRPr="00B849DC" w:rsidR="0087244D">
        <w:rPr>
          <w:lang w:val="en-US"/>
        </w:rPr>
        <w:t>Insolvency Act</w:t>
      </w:r>
    </w:p>
    <w:p w:rsidRPr="00B849DC" w:rsidR="00CF42E9" w:rsidP="00B849DC" w:rsidRDefault="00D67EFE">
      <w:pPr>
        <w:pStyle w:val="ECHRPara"/>
        <w:keepLines/>
        <w:rPr>
          <w:lang w:val="en-US"/>
        </w:rPr>
      </w:pPr>
      <w:r w:rsidRPr="00B849DC">
        <w:fldChar w:fldCharType="begin"/>
      </w:r>
      <w:r w:rsidRPr="00B849DC">
        <w:rPr>
          <w:lang w:val="en-US"/>
        </w:rPr>
        <w:instrText xml:space="preserve"> SEQ level0 \*arabic </w:instrText>
      </w:r>
      <w:r w:rsidRPr="00B849DC">
        <w:fldChar w:fldCharType="separate"/>
      </w:r>
      <w:r w:rsidRPr="00B849DC" w:rsidR="00B849DC">
        <w:rPr>
          <w:noProof/>
          <w:lang w:val="en-US"/>
        </w:rPr>
        <w:t>107</w:t>
      </w:r>
      <w:r w:rsidRPr="00B849DC">
        <w:fldChar w:fldCharType="end"/>
      </w:r>
      <w:r w:rsidRPr="00B849DC">
        <w:rPr>
          <w:lang w:val="en-US"/>
        </w:rPr>
        <w:t>.  </w:t>
      </w:r>
      <w:r w:rsidRPr="00B849DC" w:rsidR="00CA514D">
        <w:rPr>
          <w:lang w:val="en-US"/>
        </w:rPr>
        <w:t>A</w:t>
      </w:r>
      <w:r w:rsidRPr="00B849DC" w:rsidR="00EC0F98">
        <w:rPr>
          <w:lang w:val="en-US"/>
        </w:rPr>
        <w:t>n insolvency</w:t>
      </w:r>
      <w:r w:rsidRPr="00B849DC" w:rsidR="00CA514D">
        <w:rPr>
          <w:lang w:val="en-US"/>
        </w:rPr>
        <w:t xml:space="preserve"> credito</w:t>
      </w:r>
      <w:r w:rsidRPr="00B849DC" w:rsidR="00EC0F98">
        <w:rPr>
          <w:lang w:val="en-US"/>
        </w:rPr>
        <w:t xml:space="preserve">r of a bankrupt </w:t>
      </w:r>
      <w:r w:rsidRPr="00B849DC" w:rsidR="00CA514D">
        <w:rPr>
          <w:lang w:val="en-US"/>
        </w:rPr>
        <w:t xml:space="preserve">private company </w:t>
      </w:r>
      <w:r w:rsidRPr="00B849DC" w:rsidR="00EC0F98">
        <w:rPr>
          <w:lang w:val="en-US"/>
        </w:rPr>
        <w:t xml:space="preserve">brought a </w:t>
      </w:r>
      <w:r w:rsidRPr="00B849DC" w:rsidR="00CA514D">
        <w:rPr>
          <w:lang w:val="en-US"/>
        </w:rPr>
        <w:t xml:space="preserve">subsidiary liability </w:t>
      </w:r>
      <w:r w:rsidRPr="00B849DC" w:rsidR="00EC0F98">
        <w:rPr>
          <w:lang w:val="en-US"/>
        </w:rPr>
        <w:t>claim against the</w:t>
      </w:r>
      <w:r w:rsidRPr="00B849DC" w:rsidR="00CA514D">
        <w:rPr>
          <w:lang w:val="en-US"/>
        </w:rPr>
        <w:t xml:space="preserve"> company</w:t>
      </w:r>
      <w:r w:rsidRPr="00B849DC" w:rsidR="00B849DC">
        <w:rPr>
          <w:lang w:val="en-US"/>
        </w:rPr>
        <w:t>’</w:t>
      </w:r>
      <w:r w:rsidRPr="00B849DC" w:rsidR="00CA514D">
        <w:rPr>
          <w:lang w:val="en-US"/>
        </w:rPr>
        <w:t xml:space="preserve">s founder </w:t>
      </w:r>
      <w:r w:rsidRPr="00B849DC" w:rsidR="00EC0F98">
        <w:rPr>
          <w:lang w:val="en-US"/>
        </w:rPr>
        <w:t xml:space="preserve">under Article 56 § 3 of the Civil Code </w:t>
      </w:r>
      <w:r w:rsidRPr="00B849DC" w:rsidR="00CA514D">
        <w:rPr>
          <w:lang w:val="en-US"/>
        </w:rPr>
        <w:t>after the debtor</w:t>
      </w:r>
      <w:r w:rsidRPr="00B849DC" w:rsidR="00B849DC">
        <w:rPr>
          <w:lang w:val="en-US"/>
        </w:rPr>
        <w:t>’</w:t>
      </w:r>
      <w:r w:rsidRPr="00B849DC" w:rsidR="00CA514D">
        <w:rPr>
          <w:lang w:val="en-US"/>
        </w:rPr>
        <w:t>s liquidation. On 15 June 20</w:t>
      </w:r>
      <w:r w:rsidRPr="00B849DC" w:rsidR="00BD5C6F">
        <w:rPr>
          <w:lang w:val="en-US"/>
        </w:rPr>
        <w:t>12</w:t>
      </w:r>
      <w:r w:rsidRPr="00B849DC" w:rsidR="00CA514D">
        <w:rPr>
          <w:lang w:val="en-US"/>
        </w:rPr>
        <w:t xml:space="preserve"> the Federal Commercial Court of the North Caucasus Region in case no. A32-21726/2011 </w:t>
      </w:r>
      <w:r w:rsidRPr="00B849DC" w:rsidR="00CA514D">
        <w:rPr>
          <w:lang w:val="en-GB"/>
        </w:rPr>
        <w:t>rejected</w:t>
      </w:r>
      <w:r w:rsidRPr="00B849DC" w:rsidR="00CA514D">
        <w:rPr>
          <w:lang w:val="en-US"/>
        </w:rPr>
        <w:t xml:space="preserve"> the creditor</w:t>
      </w:r>
      <w:r w:rsidRPr="00B849DC" w:rsidR="00B849DC">
        <w:rPr>
          <w:lang w:val="en-US"/>
        </w:rPr>
        <w:t>’</w:t>
      </w:r>
      <w:r w:rsidRPr="00B849DC" w:rsidR="00CA514D">
        <w:rPr>
          <w:lang w:val="en-US"/>
        </w:rPr>
        <w:t>s claim, having found</w:t>
      </w:r>
      <w:r w:rsidRPr="00B849DC" w:rsidR="00651E89">
        <w:rPr>
          <w:lang w:val="en-US"/>
        </w:rPr>
        <w:t xml:space="preserve">, referring to </w:t>
      </w:r>
      <w:r w:rsidRPr="00B849DC" w:rsidR="00FF2753">
        <w:rPr>
          <w:lang w:val="en-US"/>
        </w:rPr>
        <w:t>sections </w:t>
      </w:r>
      <w:r w:rsidRPr="00B849DC" w:rsidR="00651E89">
        <w:rPr>
          <w:lang w:val="en-US"/>
        </w:rPr>
        <w:t>10 and 142</w:t>
      </w:r>
      <w:r w:rsidRPr="00B849DC" w:rsidR="00FF2753">
        <w:rPr>
          <w:lang w:val="en-US"/>
        </w:rPr>
        <w:t>(</w:t>
      </w:r>
      <w:r w:rsidRPr="00B849DC" w:rsidR="00651E89">
        <w:rPr>
          <w:lang w:val="en-US"/>
        </w:rPr>
        <w:t>12</w:t>
      </w:r>
      <w:r w:rsidRPr="00B849DC" w:rsidR="00FF2753">
        <w:rPr>
          <w:lang w:val="en-US"/>
        </w:rPr>
        <w:t>)</w:t>
      </w:r>
      <w:r w:rsidRPr="00B849DC" w:rsidR="00651E89">
        <w:rPr>
          <w:lang w:val="en-US"/>
        </w:rPr>
        <w:t xml:space="preserve"> of the </w:t>
      </w:r>
      <w:r w:rsidRPr="00B849DC" w:rsidR="006722EB">
        <w:rPr>
          <w:lang w:val="en-US"/>
        </w:rPr>
        <w:t xml:space="preserve">amended </w:t>
      </w:r>
      <w:r w:rsidRPr="00B849DC" w:rsidR="00CA514D">
        <w:rPr>
          <w:lang w:val="en-US"/>
        </w:rPr>
        <w:t xml:space="preserve">Insolvency Act, </w:t>
      </w:r>
      <w:r w:rsidRPr="00B849DC" w:rsidR="00651E89">
        <w:rPr>
          <w:lang w:val="en-US"/>
        </w:rPr>
        <w:t xml:space="preserve">that such actions </w:t>
      </w:r>
      <w:r w:rsidRPr="00B849DC" w:rsidR="00CA514D">
        <w:rPr>
          <w:lang w:val="en-US"/>
        </w:rPr>
        <w:t xml:space="preserve">could only be </w:t>
      </w:r>
      <w:r w:rsidRPr="00B849DC" w:rsidR="00651E89">
        <w:rPr>
          <w:lang w:val="en-US"/>
        </w:rPr>
        <w:t>brought</w:t>
      </w:r>
      <w:r w:rsidRPr="00B849DC" w:rsidR="00CA514D">
        <w:rPr>
          <w:lang w:val="en-US"/>
        </w:rPr>
        <w:t xml:space="preserve"> during the liquidation procedure. </w:t>
      </w:r>
      <w:r w:rsidRPr="00B849DC" w:rsidR="00A74F05">
        <w:rPr>
          <w:lang w:val="en-US"/>
        </w:rPr>
        <w:t xml:space="preserve">On 19 November 2012 the Supreme Commercial Court </w:t>
      </w:r>
      <w:r w:rsidRPr="00B849DC" w:rsidR="00E53253">
        <w:rPr>
          <w:lang w:val="en-US"/>
        </w:rPr>
        <w:t xml:space="preserve">rejected an </w:t>
      </w:r>
      <w:r w:rsidRPr="00B849DC" w:rsidR="00A74F05">
        <w:rPr>
          <w:lang w:val="en-US"/>
        </w:rPr>
        <w:t xml:space="preserve">application for supervisory review of </w:t>
      </w:r>
      <w:r w:rsidRPr="00B849DC" w:rsidR="00E53253">
        <w:rPr>
          <w:lang w:val="en-US"/>
        </w:rPr>
        <w:t xml:space="preserve">that </w:t>
      </w:r>
      <w:r w:rsidRPr="00B849DC" w:rsidR="00A74F05">
        <w:rPr>
          <w:lang w:val="en-US"/>
        </w:rPr>
        <w:t>judgment (decision no. </w:t>
      </w:r>
      <w:r w:rsidRPr="00B849DC" w:rsidR="00A74F05">
        <w:t>ВАС</w:t>
      </w:r>
      <w:r w:rsidRPr="00B849DC" w:rsidR="00A74F05">
        <w:rPr>
          <w:lang w:val="en-US"/>
        </w:rPr>
        <w:t>-11459/12).</w:t>
      </w:r>
    </w:p>
    <w:p w:rsidRPr="00B849DC" w:rsidR="00CF42E9" w:rsidP="00B849DC" w:rsidRDefault="004B302F">
      <w:pPr>
        <w:pStyle w:val="ECHRHeading4"/>
        <w:rPr>
          <w:lang w:val="en-US"/>
        </w:rPr>
      </w:pPr>
      <w:r w:rsidRPr="00B849DC">
        <w:rPr>
          <w:lang w:val="en-US"/>
        </w:rPr>
        <w:t>(d</w:t>
      </w:r>
      <w:r w:rsidRPr="00B849DC" w:rsidR="005B316A">
        <w:rPr>
          <w:lang w:val="en-US"/>
        </w:rPr>
        <w:t>)  Elements to be proven</w:t>
      </w:r>
      <w:r w:rsidRPr="00B849DC" w:rsidR="00D67EFE">
        <w:rPr>
          <w:lang w:val="en-US"/>
        </w:rPr>
        <w:t xml:space="preserve"> and burden of proof</w:t>
      </w:r>
    </w:p>
    <w:p w:rsidRPr="00B849DC" w:rsidR="00484F23" w:rsidP="00B849DC" w:rsidRDefault="00484F23">
      <w:pPr>
        <w:pStyle w:val="ECHRHeading5"/>
        <w:rPr>
          <w:lang w:val="en-US"/>
        </w:rPr>
      </w:pPr>
      <w:r w:rsidRPr="00B849DC">
        <w:rPr>
          <w:lang w:val="en-US"/>
        </w:rPr>
        <w:t xml:space="preserve">(i)  As regards the events </w:t>
      </w:r>
      <w:r w:rsidRPr="00B849DC" w:rsidR="00E53253">
        <w:rPr>
          <w:lang w:val="en-US"/>
        </w:rPr>
        <w:t xml:space="preserve">preceding </w:t>
      </w:r>
      <w:r w:rsidRPr="00B849DC">
        <w:rPr>
          <w:lang w:val="en-US"/>
        </w:rPr>
        <w:t xml:space="preserve">the entry into force of the 2009 amendments </w:t>
      </w:r>
      <w:r w:rsidRPr="00B849DC" w:rsidR="00E53253">
        <w:rPr>
          <w:lang w:val="en-US"/>
        </w:rPr>
        <w:t xml:space="preserve">to </w:t>
      </w:r>
      <w:r w:rsidRPr="00B849DC">
        <w:rPr>
          <w:lang w:val="en-US"/>
        </w:rPr>
        <w:t>the Insolvency Act</w:t>
      </w:r>
    </w:p>
    <w:p w:rsidRPr="00B849DC" w:rsidR="00E7034B" w:rsidP="00B849DC" w:rsidRDefault="008834F2">
      <w:pPr>
        <w:pStyle w:val="ECHRPara"/>
        <w:keepNext/>
        <w:keepLines/>
        <w:rPr>
          <w:lang w:val="en-US"/>
        </w:rPr>
      </w:pPr>
      <w:r w:rsidRPr="00B849DC">
        <w:rPr>
          <w:lang w:val="en-GB"/>
        </w:rPr>
        <w:fldChar w:fldCharType="begin"/>
      </w:r>
      <w:r w:rsidRPr="00B849DC">
        <w:rPr>
          <w:lang w:val="en-GB"/>
        </w:rPr>
        <w:instrText xml:space="preserve"> SEQ level0 \*arabic </w:instrText>
      </w:r>
      <w:r w:rsidRPr="00B849DC">
        <w:rPr>
          <w:lang w:val="en-GB"/>
        </w:rPr>
        <w:fldChar w:fldCharType="separate"/>
      </w:r>
      <w:r w:rsidRPr="00B849DC" w:rsidR="00B849DC">
        <w:rPr>
          <w:noProof/>
          <w:lang w:val="en-GB"/>
        </w:rPr>
        <w:t>108</w:t>
      </w:r>
      <w:r w:rsidRPr="00B849DC">
        <w:rPr>
          <w:lang w:val="en-GB"/>
        </w:rPr>
        <w:fldChar w:fldCharType="end"/>
      </w:r>
      <w:r w:rsidRPr="00B849DC">
        <w:rPr>
          <w:lang w:val="en-GB"/>
        </w:rPr>
        <w:t>.  </w:t>
      </w:r>
      <w:r w:rsidRPr="00B849DC" w:rsidR="002B170F">
        <w:rPr>
          <w:lang w:val="en-GB"/>
        </w:rPr>
        <w:t>On 29 October 200</w:t>
      </w:r>
      <w:r w:rsidRPr="00B849DC" w:rsidR="00AB41AE">
        <w:rPr>
          <w:lang w:val="en-GB"/>
        </w:rPr>
        <w:t>7</w:t>
      </w:r>
      <w:r w:rsidRPr="00B849DC" w:rsidR="002B170F">
        <w:rPr>
          <w:lang w:val="en-GB"/>
        </w:rPr>
        <w:t xml:space="preserve"> the Supreme Commercial Court found that it was for the claimant to demonstrate that the respondent had caused the debtor</w:t>
      </w:r>
      <w:r w:rsidRPr="00B849DC" w:rsidR="00B849DC">
        <w:rPr>
          <w:lang w:val="en-GB"/>
        </w:rPr>
        <w:t>’</w:t>
      </w:r>
      <w:r w:rsidRPr="00B849DC" w:rsidR="002B170F">
        <w:rPr>
          <w:lang w:val="en-GB"/>
        </w:rPr>
        <w:t>s insolvency, and, accordingly, rejected the creditor</w:t>
      </w:r>
      <w:r w:rsidRPr="00B849DC" w:rsidR="00B849DC">
        <w:rPr>
          <w:lang w:val="en-GB"/>
        </w:rPr>
        <w:t>’</w:t>
      </w:r>
      <w:r w:rsidRPr="00B849DC" w:rsidR="002B170F">
        <w:rPr>
          <w:lang w:val="en-GB"/>
        </w:rPr>
        <w:t>s claim for failure to produce such evidence (judgment no. </w:t>
      </w:r>
      <w:proofErr w:type="gramStart"/>
      <w:r w:rsidRPr="00B849DC" w:rsidR="00DC4FA6">
        <w:rPr>
          <w:lang w:val="ru-RU"/>
        </w:rPr>
        <w:t>ВАС</w:t>
      </w:r>
      <w:r w:rsidRPr="00B849DC" w:rsidR="00DC4FA6">
        <w:rPr>
          <w:lang w:val="en-US"/>
        </w:rPr>
        <w:t>-</w:t>
      </w:r>
      <w:r w:rsidRPr="00B849DC" w:rsidR="002B170F">
        <w:rPr>
          <w:lang w:val="en-US"/>
        </w:rPr>
        <w:t>13052/</w:t>
      </w:r>
      <w:r w:rsidRPr="00B849DC" w:rsidR="00AB41AE">
        <w:rPr>
          <w:lang w:val="en-US"/>
        </w:rPr>
        <w:t>07</w:t>
      </w:r>
      <w:r w:rsidRPr="00B849DC" w:rsidR="002B170F">
        <w:rPr>
          <w:lang w:val="en-US"/>
        </w:rPr>
        <w:t>).</w:t>
      </w:r>
      <w:proofErr w:type="gramEnd"/>
      <w:r w:rsidRPr="00B849DC">
        <w:rPr>
          <w:lang w:val="en-US"/>
        </w:rPr>
        <w:t xml:space="preserve"> </w:t>
      </w:r>
      <w:r w:rsidRPr="00B849DC" w:rsidR="00E7034B">
        <w:rPr>
          <w:rFonts w:ascii="Times New Roman" w:hAnsi="Times New Roman" w:cs="Times New Roman"/>
          <w:color w:val="000000"/>
          <w:lang w:val="en-US"/>
        </w:rPr>
        <w:t>In a</w:t>
      </w:r>
      <w:r w:rsidRPr="00B849DC" w:rsidR="00087B0B">
        <w:rPr>
          <w:rFonts w:ascii="Times New Roman" w:hAnsi="Times New Roman" w:cs="Times New Roman"/>
          <w:color w:val="000000"/>
          <w:lang w:val="en-US"/>
        </w:rPr>
        <w:t xml:space="preserve"> more recent</w:t>
      </w:r>
      <w:r w:rsidRPr="00B849DC" w:rsidR="00E7034B">
        <w:rPr>
          <w:rFonts w:ascii="Times New Roman" w:hAnsi="Times New Roman" w:cs="Times New Roman"/>
          <w:color w:val="000000"/>
          <w:lang w:val="en-US"/>
        </w:rPr>
        <w:t xml:space="preserve"> case </w:t>
      </w:r>
      <w:r w:rsidRPr="00B849DC" w:rsidR="00087B0B">
        <w:rPr>
          <w:rFonts w:ascii="Times New Roman" w:hAnsi="Times New Roman" w:cs="Times New Roman"/>
          <w:color w:val="000000"/>
          <w:lang w:val="en-US"/>
        </w:rPr>
        <w:t>a</w:t>
      </w:r>
      <w:r w:rsidRPr="00B849DC" w:rsidR="00E7034B">
        <w:rPr>
          <w:rFonts w:ascii="Times New Roman" w:hAnsi="Times New Roman" w:cs="Times New Roman"/>
          <w:color w:val="000000"/>
          <w:lang w:val="en-US"/>
        </w:rPr>
        <w:t xml:space="preserve"> State unitary enterprise sued the owner of a limited liability company</w:t>
      </w:r>
      <w:r w:rsidRPr="00B849DC" w:rsidR="00E53253">
        <w:rPr>
          <w:rFonts w:ascii="Times New Roman" w:hAnsi="Times New Roman" w:cs="Times New Roman"/>
          <w:color w:val="000000"/>
          <w:lang w:val="en-US"/>
        </w:rPr>
        <w:t>,</w:t>
      </w:r>
      <w:r w:rsidRPr="00B849DC" w:rsidR="00E7034B">
        <w:rPr>
          <w:rFonts w:ascii="Times New Roman" w:hAnsi="Times New Roman" w:cs="Times New Roman"/>
          <w:color w:val="000000"/>
          <w:lang w:val="en-US"/>
        </w:rPr>
        <w:t xml:space="preserve"> claiming him to be liable for the company</w:t>
      </w:r>
      <w:r w:rsidRPr="00B849DC" w:rsidR="00B849DC">
        <w:rPr>
          <w:rFonts w:ascii="Times New Roman" w:hAnsi="Times New Roman" w:cs="Times New Roman"/>
          <w:color w:val="000000"/>
          <w:lang w:val="en-US"/>
        </w:rPr>
        <w:t>’</w:t>
      </w:r>
      <w:r w:rsidRPr="00B849DC" w:rsidR="00E7034B">
        <w:rPr>
          <w:rFonts w:ascii="Times New Roman" w:hAnsi="Times New Roman" w:cs="Times New Roman"/>
          <w:color w:val="000000"/>
          <w:lang w:val="en-US"/>
        </w:rPr>
        <w:t>s debts</w:t>
      </w:r>
      <w:r w:rsidRPr="00B849DC" w:rsidR="00087B0B">
        <w:rPr>
          <w:rFonts w:ascii="Times New Roman" w:hAnsi="Times New Roman" w:cs="Times New Roman"/>
          <w:color w:val="000000"/>
          <w:lang w:val="en-US"/>
        </w:rPr>
        <w:t>, referring to a transaction made by the owner before the 2009 amendments</w:t>
      </w:r>
      <w:r w:rsidRPr="00B849DC" w:rsidR="00B849DC">
        <w:rPr>
          <w:rFonts w:ascii="Times New Roman" w:hAnsi="Times New Roman" w:cs="Times New Roman"/>
          <w:color w:val="000000"/>
          <w:lang w:val="en-US"/>
        </w:rPr>
        <w:t>’</w:t>
      </w:r>
      <w:r w:rsidRPr="00B849DC" w:rsidR="00087B0B">
        <w:rPr>
          <w:rFonts w:ascii="Times New Roman" w:hAnsi="Times New Roman" w:cs="Times New Roman"/>
          <w:color w:val="000000"/>
          <w:lang w:val="en-US"/>
        </w:rPr>
        <w:t xml:space="preserve"> entry into force</w:t>
      </w:r>
      <w:r w:rsidRPr="00B849DC" w:rsidR="00E7034B">
        <w:rPr>
          <w:rFonts w:ascii="Times New Roman" w:hAnsi="Times New Roman" w:cs="Times New Roman"/>
          <w:color w:val="000000"/>
          <w:lang w:val="en-US"/>
        </w:rPr>
        <w:t xml:space="preserve">. On 12 December 2012 the Federal Commercial Court of the Eastern Siberian Circuit </w:t>
      </w:r>
      <w:r w:rsidRPr="00B849DC" w:rsidR="00087B0B">
        <w:rPr>
          <w:rFonts w:ascii="Times New Roman" w:hAnsi="Times New Roman" w:cs="Times New Roman"/>
          <w:color w:val="000000"/>
          <w:lang w:val="en-US"/>
        </w:rPr>
        <w:t xml:space="preserve">considered that a </w:t>
      </w:r>
      <w:r w:rsidRPr="00B849DC" w:rsidR="00E7034B">
        <w:rPr>
          <w:rFonts w:ascii="Times New Roman" w:hAnsi="Times New Roman" w:cs="Times New Roman"/>
          <w:color w:val="000000"/>
          <w:lang w:val="en-US"/>
        </w:rPr>
        <w:t xml:space="preserve">person claiming damages under </w:t>
      </w:r>
      <w:r w:rsidRPr="00B849DC" w:rsidR="00FF2753">
        <w:rPr>
          <w:rFonts w:ascii="Times New Roman" w:hAnsi="Times New Roman" w:cs="Times New Roman"/>
          <w:color w:val="000000"/>
          <w:lang w:val="en-US"/>
        </w:rPr>
        <w:t>section </w:t>
      </w:r>
      <w:r w:rsidRPr="00B849DC" w:rsidR="00E7034B">
        <w:rPr>
          <w:rFonts w:ascii="Times New Roman" w:hAnsi="Times New Roman" w:cs="Times New Roman"/>
          <w:color w:val="000000"/>
          <w:lang w:val="en-US"/>
        </w:rPr>
        <w:t>10 of the Insolvency Act as in force at the material time (see paragraph </w:t>
      </w:r>
      <w:r w:rsidRPr="00B849DC" w:rsidR="004458BC">
        <w:rPr>
          <w:rFonts w:ascii="Times New Roman" w:hAnsi="Times New Roman" w:cs="Times New Roman"/>
          <w:color w:val="000000"/>
          <w:lang w:val="en-US"/>
        </w:rPr>
        <w:t>96</w:t>
      </w:r>
      <w:r w:rsidRPr="00B849DC" w:rsidR="00E7034B">
        <w:rPr>
          <w:rFonts w:ascii="Times New Roman" w:hAnsi="Times New Roman" w:cs="Times New Roman"/>
          <w:color w:val="000000"/>
          <w:lang w:val="en-US"/>
        </w:rPr>
        <w:t xml:space="preserve"> above), </w:t>
      </w:r>
      <w:r w:rsidRPr="00B849DC" w:rsidR="00E7034B">
        <w:rPr>
          <w:lang w:val="en-US"/>
        </w:rPr>
        <w:t>should have pro</w:t>
      </w:r>
      <w:r w:rsidRPr="00B849DC" w:rsidR="0087244D">
        <w:rPr>
          <w:lang w:val="en-US"/>
        </w:rPr>
        <w:t>ved the following elements: (a) </w:t>
      </w:r>
      <w:r w:rsidRPr="00B849DC" w:rsidR="00965B93">
        <w:rPr>
          <w:lang w:val="en-US"/>
        </w:rPr>
        <w:t>that</w:t>
      </w:r>
      <w:r w:rsidRPr="00B849DC" w:rsidR="00E7034B">
        <w:rPr>
          <w:lang w:val="en-US"/>
        </w:rPr>
        <w:t xml:space="preserve"> the respondent</w:t>
      </w:r>
      <w:r w:rsidRPr="00B849DC" w:rsidR="00B849DC">
        <w:rPr>
          <w:lang w:val="en-US"/>
        </w:rPr>
        <w:t>’</w:t>
      </w:r>
      <w:r w:rsidRPr="00B849DC" w:rsidR="00E7034B">
        <w:rPr>
          <w:lang w:val="en-US"/>
        </w:rPr>
        <w:t>s actions</w:t>
      </w:r>
      <w:r w:rsidRPr="00B849DC" w:rsidR="00965B93">
        <w:rPr>
          <w:lang w:val="en-US"/>
        </w:rPr>
        <w:t xml:space="preserve"> were unlawful</w:t>
      </w:r>
      <w:r w:rsidRPr="00B849DC" w:rsidR="0087244D">
        <w:rPr>
          <w:lang w:val="en-US"/>
        </w:rPr>
        <w:t>; (b) </w:t>
      </w:r>
      <w:r w:rsidRPr="00B849DC" w:rsidR="00E7034B">
        <w:rPr>
          <w:lang w:val="en-US"/>
        </w:rPr>
        <w:t xml:space="preserve">that the damage </w:t>
      </w:r>
      <w:r w:rsidRPr="00B849DC" w:rsidR="00965B93">
        <w:rPr>
          <w:lang w:val="en-US"/>
        </w:rPr>
        <w:t>had</w:t>
      </w:r>
      <w:r w:rsidRPr="00B849DC" w:rsidR="003240FE">
        <w:rPr>
          <w:lang w:val="en-US"/>
        </w:rPr>
        <w:t xml:space="preserve"> </w:t>
      </w:r>
      <w:r w:rsidRPr="00B849DC" w:rsidR="00E7034B">
        <w:rPr>
          <w:lang w:val="en-US"/>
        </w:rPr>
        <w:t xml:space="preserve">actually </w:t>
      </w:r>
      <w:r w:rsidRPr="00B849DC" w:rsidR="00965B93">
        <w:rPr>
          <w:lang w:val="en-US"/>
        </w:rPr>
        <w:t xml:space="preserve">been </w:t>
      </w:r>
      <w:r w:rsidRPr="00B849DC" w:rsidR="00E7034B">
        <w:rPr>
          <w:lang w:val="en-US"/>
        </w:rPr>
        <w:t xml:space="preserve">caused and </w:t>
      </w:r>
      <w:r w:rsidRPr="00B849DC" w:rsidR="00E6396A">
        <w:rPr>
          <w:lang w:val="en-US"/>
        </w:rPr>
        <w:t>in the</w:t>
      </w:r>
      <w:r w:rsidRPr="00B849DC" w:rsidR="003240FE">
        <w:rPr>
          <w:lang w:val="en-US"/>
        </w:rPr>
        <w:t xml:space="preserve"> </w:t>
      </w:r>
      <w:r w:rsidRPr="00B849DC" w:rsidR="00087B0B">
        <w:rPr>
          <w:lang w:val="en-US"/>
        </w:rPr>
        <w:t>amount</w:t>
      </w:r>
      <w:r w:rsidRPr="00B849DC" w:rsidR="00E6396A">
        <w:rPr>
          <w:lang w:val="en-US"/>
        </w:rPr>
        <w:t xml:space="preserve"> claimed</w:t>
      </w:r>
      <w:r w:rsidRPr="00B849DC" w:rsidR="00087B0B">
        <w:rPr>
          <w:lang w:val="en-US"/>
        </w:rPr>
        <w:t>; and (c</w:t>
      </w:r>
      <w:r w:rsidRPr="00B849DC" w:rsidR="0087244D">
        <w:rPr>
          <w:lang w:val="en-US"/>
        </w:rPr>
        <w:t>) </w:t>
      </w:r>
      <w:r w:rsidRPr="00B849DC" w:rsidR="003240FE">
        <w:rPr>
          <w:lang w:val="en-US"/>
        </w:rPr>
        <w:t xml:space="preserve">a </w:t>
      </w:r>
      <w:r w:rsidRPr="00B849DC" w:rsidR="00E7034B">
        <w:rPr>
          <w:lang w:val="en-US"/>
        </w:rPr>
        <w:t>causal link between the respondent</w:t>
      </w:r>
      <w:r w:rsidRPr="00B849DC" w:rsidR="00B849DC">
        <w:rPr>
          <w:lang w:val="en-US"/>
        </w:rPr>
        <w:t>’</w:t>
      </w:r>
      <w:r w:rsidRPr="00B849DC" w:rsidR="00E7034B">
        <w:rPr>
          <w:lang w:val="en-US"/>
        </w:rPr>
        <w:t xml:space="preserve">s actions and the damage incurred. The court therefore rejected the </w:t>
      </w:r>
      <w:r w:rsidRPr="00B849DC" w:rsidR="00E6396A">
        <w:rPr>
          <w:lang w:val="en-US"/>
        </w:rPr>
        <w:t>company</w:t>
      </w:r>
      <w:r w:rsidRPr="00B849DC" w:rsidR="00B849DC">
        <w:rPr>
          <w:lang w:val="en-US"/>
        </w:rPr>
        <w:t>’</w:t>
      </w:r>
      <w:r w:rsidRPr="00B849DC" w:rsidR="00E6396A">
        <w:rPr>
          <w:lang w:val="en-US"/>
        </w:rPr>
        <w:t xml:space="preserve">s </w:t>
      </w:r>
      <w:r w:rsidRPr="00B849DC" w:rsidR="00E7034B">
        <w:rPr>
          <w:lang w:val="en-US"/>
        </w:rPr>
        <w:t xml:space="preserve">claim for lack of evidence </w:t>
      </w:r>
      <w:r w:rsidRPr="00B849DC" w:rsidR="00965B93">
        <w:rPr>
          <w:lang w:val="en-US"/>
        </w:rPr>
        <w:t>that</w:t>
      </w:r>
      <w:r w:rsidRPr="00B849DC" w:rsidR="00E7034B">
        <w:rPr>
          <w:lang w:val="en-US"/>
        </w:rPr>
        <w:t xml:space="preserve"> the owner</w:t>
      </w:r>
      <w:r w:rsidRPr="00B849DC" w:rsidR="00B849DC">
        <w:rPr>
          <w:lang w:val="en-US"/>
        </w:rPr>
        <w:t>’</w:t>
      </w:r>
      <w:r w:rsidRPr="00B849DC" w:rsidR="00E7034B">
        <w:rPr>
          <w:lang w:val="en-US"/>
        </w:rPr>
        <w:t>s actions</w:t>
      </w:r>
      <w:r w:rsidRPr="00B849DC" w:rsidR="00965B93">
        <w:rPr>
          <w:lang w:val="en-US"/>
        </w:rPr>
        <w:t xml:space="preserve"> were unlawful</w:t>
      </w:r>
      <w:r w:rsidRPr="00B849DC" w:rsidR="00E7034B">
        <w:rPr>
          <w:lang w:val="en-US"/>
        </w:rPr>
        <w:t xml:space="preserve">. On 22 February 2013 the Supreme Commercial Court rejected </w:t>
      </w:r>
      <w:r w:rsidRPr="00B849DC" w:rsidR="003240FE">
        <w:rPr>
          <w:lang w:val="en-US"/>
        </w:rPr>
        <w:t xml:space="preserve">an </w:t>
      </w:r>
      <w:r w:rsidRPr="00B849DC" w:rsidR="00E7034B">
        <w:rPr>
          <w:lang w:val="en-US"/>
        </w:rPr>
        <w:t>application for supervisory review</w:t>
      </w:r>
      <w:r w:rsidRPr="00B849DC" w:rsidR="00414AB2">
        <w:rPr>
          <w:lang w:val="en-US"/>
        </w:rPr>
        <w:t xml:space="preserve"> of the judgment</w:t>
      </w:r>
      <w:r w:rsidRPr="00B849DC">
        <w:rPr>
          <w:lang w:val="en-US"/>
        </w:rPr>
        <w:t xml:space="preserve"> </w:t>
      </w:r>
      <w:r w:rsidRPr="00B849DC" w:rsidR="003240FE">
        <w:rPr>
          <w:lang w:val="en-US"/>
        </w:rPr>
        <w:t>(</w:t>
      </w:r>
      <w:r w:rsidRPr="00B849DC" w:rsidR="00E7034B">
        <w:rPr>
          <w:lang w:val="en-US"/>
        </w:rPr>
        <w:t>case no. </w:t>
      </w:r>
      <w:proofErr w:type="gramStart"/>
      <w:r w:rsidRPr="00B849DC" w:rsidR="00E7034B">
        <w:rPr>
          <w:lang w:val="ru-RU"/>
        </w:rPr>
        <w:t>ВАС</w:t>
      </w:r>
      <w:r w:rsidRPr="00B849DC" w:rsidR="00E7034B">
        <w:rPr>
          <w:lang w:val="en-US"/>
        </w:rPr>
        <w:t>-1900/13)</w:t>
      </w:r>
      <w:r w:rsidRPr="00B849DC" w:rsidR="003240FE">
        <w:rPr>
          <w:lang w:val="en-US"/>
        </w:rPr>
        <w:t>.</w:t>
      </w:r>
      <w:proofErr w:type="gramEnd"/>
    </w:p>
    <w:p w:rsidRPr="00B849DC" w:rsidR="00DC4FA6" w:rsidP="00B849DC" w:rsidRDefault="00CA514D">
      <w:pPr>
        <w:pStyle w:val="ECHRPara"/>
        <w:keepNext/>
        <w:rPr>
          <w:lang w:val="en-US"/>
        </w:rPr>
      </w:pPr>
      <w:r w:rsidRPr="00B849DC">
        <w:rPr>
          <w:lang w:bidi="en-US"/>
        </w:rPr>
        <w:fldChar w:fldCharType="begin"/>
      </w:r>
      <w:r w:rsidRPr="00B849DC">
        <w:rPr>
          <w:lang w:val="en-US" w:bidi="en-US"/>
        </w:rPr>
        <w:instrText xml:space="preserve"> SEQ level0 \*arabic </w:instrText>
      </w:r>
      <w:r w:rsidRPr="00B849DC">
        <w:rPr>
          <w:lang w:bidi="en-US"/>
        </w:rPr>
        <w:fldChar w:fldCharType="separate"/>
      </w:r>
      <w:r w:rsidRPr="00B849DC" w:rsidR="00B849DC">
        <w:rPr>
          <w:noProof/>
          <w:lang w:val="en-US" w:bidi="en-US"/>
        </w:rPr>
        <w:t>109</w:t>
      </w:r>
      <w:r w:rsidRPr="00B849DC">
        <w:rPr>
          <w:lang w:bidi="en-US"/>
        </w:rPr>
        <w:fldChar w:fldCharType="end"/>
      </w:r>
      <w:r w:rsidRPr="00B849DC">
        <w:rPr>
          <w:lang w:val="en-US" w:bidi="en-US"/>
        </w:rPr>
        <w:t>.  </w:t>
      </w:r>
      <w:proofErr w:type="gramStart"/>
      <w:r w:rsidRPr="00B849DC" w:rsidR="00DC4FA6">
        <w:rPr>
          <w:lang w:val="en-US" w:bidi="en-US"/>
        </w:rPr>
        <w:t xml:space="preserve">By </w:t>
      </w:r>
      <w:r w:rsidRPr="00B849DC" w:rsidR="003240FE">
        <w:rPr>
          <w:lang w:val="en-US" w:bidi="en-US"/>
        </w:rPr>
        <w:t xml:space="preserve">a </w:t>
      </w:r>
      <w:r w:rsidRPr="00B849DC" w:rsidR="00DC4FA6">
        <w:rPr>
          <w:lang w:val="en-US" w:bidi="en-US"/>
        </w:rPr>
        <w:t>final judgment of 2</w:t>
      </w:r>
      <w:r w:rsidRPr="00B849DC" w:rsidR="0087244D">
        <w:rPr>
          <w:lang w:val="en-US" w:bidi="en-US"/>
        </w:rPr>
        <w:t>7 December 2012 in case no.</w:t>
      </w:r>
      <w:proofErr w:type="gramEnd"/>
      <w:r w:rsidRPr="00B849DC" w:rsidR="0087244D">
        <w:rPr>
          <w:lang w:val="en-US" w:bidi="en-US"/>
        </w:rPr>
        <w:t> A65</w:t>
      </w:r>
      <w:r w:rsidRPr="00B849DC" w:rsidR="0087244D">
        <w:rPr>
          <w:lang w:val="en-US" w:bidi="en-US"/>
        </w:rPr>
        <w:noBreakHyphen/>
      </w:r>
      <w:r w:rsidRPr="00B849DC" w:rsidR="00DC4FA6">
        <w:rPr>
          <w:lang w:val="en-US" w:bidi="en-US"/>
        </w:rPr>
        <w:t xml:space="preserve">30483/2007 the Federal Commercial Court of the Povolzhskiy Circuit </w:t>
      </w:r>
      <w:r w:rsidRPr="00B849DC" w:rsidR="00414AB2">
        <w:rPr>
          <w:lang w:val="en-US" w:bidi="en-US"/>
        </w:rPr>
        <w:t xml:space="preserve">rejected </w:t>
      </w:r>
      <w:r w:rsidRPr="00B849DC" w:rsidR="00DC4FA6">
        <w:rPr>
          <w:lang w:val="en-US" w:bidi="en-US"/>
        </w:rPr>
        <w:t>the liquidator</w:t>
      </w:r>
      <w:r w:rsidRPr="00B849DC" w:rsidR="00B849DC">
        <w:rPr>
          <w:lang w:val="en-US" w:bidi="en-US"/>
        </w:rPr>
        <w:t>’</w:t>
      </w:r>
      <w:r w:rsidRPr="00B849DC" w:rsidR="00DC4FA6">
        <w:rPr>
          <w:lang w:val="en-US" w:bidi="en-US"/>
        </w:rPr>
        <w:t xml:space="preserve">s request to hold the owner of </w:t>
      </w:r>
      <w:r w:rsidRPr="00B849DC" w:rsidR="003240FE">
        <w:rPr>
          <w:lang w:val="en-US" w:bidi="en-US"/>
        </w:rPr>
        <w:t xml:space="preserve">a </w:t>
      </w:r>
      <w:r w:rsidRPr="00B849DC" w:rsidR="00DC4FA6">
        <w:rPr>
          <w:lang w:val="en-US" w:bidi="en-US"/>
        </w:rPr>
        <w:t>municipal unitary enterprise</w:t>
      </w:r>
      <w:r w:rsidRPr="00B849DC" w:rsidR="00B849DC">
        <w:rPr>
          <w:lang w:val="en-US" w:bidi="en-US"/>
        </w:rPr>
        <w:t>’</w:t>
      </w:r>
      <w:r w:rsidRPr="00B849DC" w:rsidR="00DC4FA6">
        <w:rPr>
          <w:lang w:val="en-US" w:bidi="en-US"/>
        </w:rPr>
        <w:t xml:space="preserve">s assets </w:t>
      </w:r>
      <w:r w:rsidRPr="00B849DC" w:rsidR="003240FE">
        <w:rPr>
          <w:lang w:val="en-US" w:bidi="en-US"/>
        </w:rPr>
        <w:t xml:space="preserve">liable </w:t>
      </w:r>
      <w:r w:rsidRPr="00B849DC" w:rsidR="00DC4FA6">
        <w:rPr>
          <w:lang w:val="en-US" w:bidi="en-US"/>
        </w:rPr>
        <w:t xml:space="preserve">within insolvency proceedings. The liquidator argued that in 2006 the owner had withdrawn the assets of the debtor (the enterprise was a heating provider). Referring to Article 56 § 3 of the Civil Code and </w:t>
      </w:r>
      <w:r w:rsidRPr="00B849DC" w:rsidR="00FF2753">
        <w:rPr>
          <w:lang w:val="en-US" w:bidi="en-US"/>
        </w:rPr>
        <w:t>section </w:t>
      </w:r>
      <w:r w:rsidRPr="00B849DC" w:rsidR="00DC4FA6">
        <w:rPr>
          <w:lang w:val="en-US" w:bidi="en-US"/>
        </w:rPr>
        <w:t>10</w:t>
      </w:r>
      <w:r w:rsidRPr="00B849DC" w:rsidR="00FF2753">
        <w:rPr>
          <w:lang w:val="en-US" w:bidi="en-US"/>
        </w:rPr>
        <w:t>(</w:t>
      </w:r>
      <w:r w:rsidRPr="00B849DC" w:rsidR="00DC4FA6">
        <w:rPr>
          <w:lang w:val="en-US" w:bidi="en-US"/>
        </w:rPr>
        <w:t>4</w:t>
      </w:r>
      <w:r w:rsidRPr="00B849DC" w:rsidR="00FF2753">
        <w:rPr>
          <w:lang w:val="en-US" w:bidi="en-US"/>
        </w:rPr>
        <w:t>)</w:t>
      </w:r>
      <w:r w:rsidRPr="00B849DC" w:rsidR="00DC4FA6">
        <w:rPr>
          <w:lang w:val="en-US" w:bidi="en-US"/>
        </w:rPr>
        <w:t xml:space="preserve"> of the Insolvency Act, the court summarized the factors to be taken into account as follows: (a)</w:t>
      </w:r>
      <w:r w:rsidRPr="00B849DC" w:rsidR="0087244D">
        <w:rPr>
          <w:lang w:val="en-US" w:bidi="en-US"/>
        </w:rPr>
        <w:t> </w:t>
      </w:r>
      <w:r w:rsidRPr="00B849DC" w:rsidR="006C555C">
        <w:rPr>
          <w:lang w:val="en-US" w:bidi="en-US"/>
        </w:rPr>
        <w:t xml:space="preserve">whether there was a </w:t>
      </w:r>
      <w:r w:rsidRPr="00B849DC" w:rsidR="00DC4FA6">
        <w:rPr>
          <w:lang w:val="en-US" w:bidi="en-US"/>
        </w:rPr>
        <w:t>right to give binding instructions or otherwise determine the debtor</w:t>
      </w:r>
      <w:r w:rsidRPr="00B849DC" w:rsidR="00B849DC">
        <w:rPr>
          <w:lang w:val="en-US" w:bidi="en-US"/>
        </w:rPr>
        <w:t>’</w:t>
      </w:r>
      <w:r w:rsidRPr="00B849DC" w:rsidR="006A63F6">
        <w:rPr>
          <w:lang w:val="en-US" w:bidi="en-US"/>
        </w:rPr>
        <w:t>s actions; (b)</w:t>
      </w:r>
      <w:r w:rsidRPr="00B849DC" w:rsidR="0087244D">
        <w:rPr>
          <w:lang w:val="en-US" w:bidi="en-US"/>
        </w:rPr>
        <w:t> </w:t>
      </w:r>
      <w:r w:rsidRPr="00B849DC" w:rsidR="006C555C">
        <w:rPr>
          <w:lang w:val="en-US" w:bidi="en-US"/>
        </w:rPr>
        <w:t xml:space="preserve">whether </w:t>
      </w:r>
      <w:r w:rsidRPr="00B849DC" w:rsidR="006A63F6">
        <w:rPr>
          <w:lang w:val="en-US" w:bidi="en-US"/>
        </w:rPr>
        <w:t xml:space="preserve">a specific action </w:t>
      </w:r>
      <w:r w:rsidRPr="00B849DC" w:rsidR="006C555C">
        <w:rPr>
          <w:lang w:val="en-US" w:bidi="en-US"/>
        </w:rPr>
        <w:t xml:space="preserve">had been taken </w:t>
      </w:r>
      <w:r w:rsidRPr="00B849DC" w:rsidR="006A63F6">
        <w:rPr>
          <w:lang w:val="en-US" w:bidi="en-US"/>
        </w:rPr>
        <w:t xml:space="preserve">in </w:t>
      </w:r>
      <w:r w:rsidRPr="00B849DC" w:rsidR="00AB41AE">
        <w:rPr>
          <w:lang w:val="en-US" w:bidi="en-US"/>
        </w:rPr>
        <w:t xml:space="preserve">the </w:t>
      </w:r>
      <w:r w:rsidRPr="00B849DC" w:rsidR="0087244D">
        <w:rPr>
          <w:lang w:val="en-US" w:bidi="en-US"/>
        </w:rPr>
        <w:t>exercise of that right; (c)</w:t>
      </w:r>
      <w:r w:rsidRPr="00B849DC" w:rsidR="0087244D">
        <w:rPr>
          <w:lang w:val="en-US"/>
        </w:rPr>
        <w:t> </w:t>
      </w:r>
      <w:r w:rsidRPr="00B849DC" w:rsidR="006C555C">
        <w:rPr>
          <w:lang w:val="en-US" w:bidi="en-US"/>
        </w:rPr>
        <w:t xml:space="preserve">whether there was a </w:t>
      </w:r>
      <w:r w:rsidRPr="00B849DC" w:rsidR="006A63F6">
        <w:rPr>
          <w:lang w:val="en-US" w:bidi="en-US"/>
        </w:rPr>
        <w:t xml:space="preserve">causal link between the action and the </w:t>
      </w:r>
      <w:r w:rsidRPr="00B849DC" w:rsidR="0087244D">
        <w:rPr>
          <w:lang w:val="en-US" w:bidi="en-US"/>
        </w:rPr>
        <w:t>insolvency; and (d) </w:t>
      </w:r>
      <w:r w:rsidRPr="00B849DC" w:rsidR="006C555C">
        <w:rPr>
          <w:lang w:val="en-US" w:bidi="en-US"/>
        </w:rPr>
        <w:t xml:space="preserve">whether </w:t>
      </w:r>
      <w:r w:rsidRPr="00B849DC" w:rsidR="006A63F6">
        <w:rPr>
          <w:lang w:val="en-US" w:bidi="en-US"/>
        </w:rPr>
        <w:t>the owner</w:t>
      </w:r>
      <w:r w:rsidRPr="00B849DC" w:rsidR="006C555C">
        <w:rPr>
          <w:lang w:val="en-US" w:bidi="en-US"/>
        </w:rPr>
        <w:t xml:space="preserve"> was at</w:t>
      </w:r>
      <w:r w:rsidRPr="00B849DC" w:rsidR="006A63F6">
        <w:rPr>
          <w:lang w:val="en-US" w:bidi="en-US"/>
        </w:rPr>
        <w:t xml:space="preserve"> fault. The claim was rejected for the liquidator</w:t>
      </w:r>
      <w:r w:rsidRPr="00B849DC" w:rsidR="00B849DC">
        <w:rPr>
          <w:lang w:val="en-US" w:bidi="en-US"/>
        </w:rPr>
        <w:t>’</w:t>
      </w:r>
      <w:r w:rsidRPr="00B849DC" w:rsidR="006A63F6">
        <w:rPr>
          <w:lang w:val="en-US" w:bidi="en-US"/>
        </w:rPr>
        <w:t>s failure to prove the</w:t>
      </w:r>
      <w:r w:rsidRPr="00B849DC" w:rsidR="004B302F">
        <w:rPr>
          <w:lang w:val="en-US" w:bidi="en-US"/>
        </w:rPr>
        <w:t xml:space="preserve"> existence of </w:t>
      </w:r>
      <w:r w:rsidRPr="00B849DC" w:rsidR="003240FE">
        <w:rPr>
          <w:lang w:val="en-US" w:bidi="en-US"/>
        </w:rPr>
        <w:t xml:space="preserve">a </w:t>
      </w:r>
      <w:r w:rsidRPr="00B849DC" w:rsidR="004B302F">
        <w:rPr>
          <w:lang w:val="en-US" w:bidi="en-US"/>
        </w:rPr>
        <w:t xml:space="preserve">causal link. </w:t>
      </w:r>
      <w:r w:rsidRPr="00B849DC" w:rsidR="006A63F6">
        <w:rPr>
          <w:lang w:val="en-US" w:bidi="en-US"/>
        </w:rPr>
        <w:t>O</w:t>
      </w:r>
      <w:r w:rsidRPr="00B849DC" w:rsidR="00DC4FA6">
        <w:rPr>
          <w:lang w:val="en-US" w:bidi="en-US"/>
        </w:rPr>
        <w:t>n 22 </w:t>
      </w:r>
      <w:r w:rsidRPr="00B849DC" w:rsidR="00DC4FA6">
        <w:rPr>
          <w:lang w:val="en-US"/>
        </w:rPr>
        <w:t xml:space="preserve">March 2013 the Supreme Commercial Court </w:t>
      </w:r>
      <w:r w:rsidRPr="00B849DC" w:rsidR="006C555C">
        <w:rPr>
          <w:lang w:val="en-US"/>
        </w:rPr>
        <w:t xml:space="preserve">rejected an </w:t>
      </w:r>
      <w:r w:rsidRPr="00B849DC" w:rsidR="00DC4FA6">
        <w:rPr>
          <w:lang w:val="en-US"/>
        </w:rPr>
        <w:t>application for supervisory review of that judgment (case no. </w:t>
      </w:r>
      <w:proofErr w:type="gramStart"/>
      <w:r w:rsidRPr="00B849DC" w:rsidR="00DC4FA6">
        <w:rPr>
          <w:lang w:val="ru-RU"/>
        </w:rPr>
        <w:t>ВАС</w:t>
      </w:r>
      <w:r w:rsidRPr="00B849DC" w:rsidR="00DC4FA6">
        <w:rPr>
          <w:lang w:val="en-US"/>
        </w:rPr>
        <w:t>-2539/13</w:t>
      </w:r>
      <w:r w:rsidRPr="00B849DC" w:rsidR="00484F23">
        <w:rPr>
          <w:lang w:val="en-US"/>
        </w:rPr>
        <w:t>).</w:t>
      </w:r>
      <w:proofErr w:type="gramEnd"/>
    </w:p>
    <w:p w:rsidRPr="00B849DC" w:rsidR="00484F23" w:rsidP="00B849DC" w:rsidRDefault="00484F23">
      <w:pPr>
        <w:pStyle w:val="ECHRHeading5"/>
        <w:rPr>
          <w:lang w:val="en-US"/>
        </w:rPr>
      </w:pPr>
      <w:r w:rsidRPr="00B849DC">
        <w:rPr>
          <w:lang w:val="en-US"/>
        </w:rPr>
        <w:t>(</w:t>
      </w:r>
      <w:proofErr w:type="gramStart"/>
      <w:r w:rsidRPr="00B849DC">
        <w:rPr>
          <w:lang w:val="en-US"/>
        </w:rPr>
        <w:t>ii</w:t>
      </w:r>
      <w:proofErr w:type="gramEnd"/>
      <w:r w:rsidRPr="00B849DC">
        <w:rPr>
          <w:lang w:val="en-US"/>
        </w:rPr>
        <w:t>)  As regards events after the entry into force of the 2009 Amendments</w:t>
      </w:r>
    </w:p>
    <w:p w:rsidRPr="00B849DC" w:rsidR="0036726B" w:rsidP="00B849DC" w:rsidRDefault="00484F23">
      <w:pPr>
        <w:pStyle w:val="ECHRPara"/>
        <w:keepNext/>
        <w:rPr>
          <w:lang w:val="en-US"/>
        </w:rPr>
      </w:pPr>
      <w:r w:rsidRPr="00B849DC">
        <w:rPr>
          <w:lang w:val="en-US"/>
        </w:rPr>
        <w:fldChar w:fldCharType="begin"/>
      </w:r>
      <w:r w:rsidRPr="00B849DC">
        <w:rPr>
          <w:lang w:val="en-US"/>
        </w:rPr>
        <w:instrText xml:space="preserve"> SEQ level0 \*arabic </w:instrText>
      </w:r>
      <w:r w:rsidRPr="00B849DC">
        <w:rPr>
          <w:lang w:val="en-US"/>
        </w:rPr>
        <w:fldChar w:fldCharType="separate"/>
      </w:r>
      <w:r w:rsidRPr="00B849DC" w:rsidR="00B849DC">
        <w:rPr>
          <w:noProof/>
          <w:lang w:val="en-US"/>
        </w:rPr>
        <w:t>110</w:t>
      </w:r>
      <w:r w:rsidRPr="00B849DC">
        <w:rPr>
          <w:lang w:val="en-US"/>
        </w:rPr>
        <w:fldChar w:fldCharType="end"/>
      </w:r>
      <w:r w:rsidRPr="00B849DC" w:rsidR="00A34944">
        <w:rPr>
          <w:lang w:val="en-US"/>
        </w:rPr>
        <w:t>.  A</w:t>
      </w:r>
      <w:r w:rsidRPr="00B849DC">
        <w:rPr>
          <w:lang w:val="en-US"/>
        </w:rPr>
        <w:t xml:space="preserve"> liquidator claimed </w:t>
      </w:r>
      <w:r w:rsidRPr="00B849DC" w:rsidR="00414AB2">
        <w:rPr>
          <w:lang w:val="en-US"/>
        </w:rPr>
        <w:t xml:space="preserve">that </w:t>
      </w:r>
      <w:r w:rsidRPr="00B849DC">
        <w:rPr>
          <w:lang w:val="en-US"/>
        </w:rPr>
        <w:t xml:space="preserve">the local administration </w:t>
      </w:r>
      <w:r w:rsidRPr="00B849DC" w:rsidR="00D040C1">
        <w:rPr>
          <w:lang w:val="en-US"/>
        </w:rPr>
        <w:t>ha</w:t>
      </w:r>
      <w:r w:rsidRPr="00B849DC" w:rsidR="00414AB2">
        <w:rPr>
          <w:lang w:val="en-US"/>
        </w:rPr>
        <w:t>d</w:t>
      </w:r>
      <w:r w:rsidRPr="00B849DC">
        <w:rPr>
          <w:lang w:val="en-US"/>
        </w:rPr>
        <w:t xml:space="preserve"> subsidiary </w:t>
      </w:r>
      <w:r w:rsidRPr="00B849DC" w:rsidR="00D040C1">
        <w:rPr>
          <w:lang w:val="en-US"/>
        </w:rPr>
        <w:t xml:space="preserve">liability </w:t>
      </w:r>
      <w:r w:rsidRPr="00B849DC">
        <w:rPr>
          <w:lang w:val="en-US"/>
        </w:rPr>
        <w:t xml:space="preserve">for the debts of </w:t>
      </w:r>
      <w:r w:rsidRPr="00B849DC" w:rsidR="00414AB2">
        <w:rPr>
          <w:lang w:val="en-US"/>
        </w:rPr>
        <w:t xml:space="preserve">a </w:t>
      </w:r>
      <w:r w:rsidRPr="00B849DC" w:rsidR="00A34944">
        <w:rPr>
          <w:lang w:val="en-US"/>
        </w:rPr>
        <w:t>municipal unitary enterprise, since in 2010 the administration had withdrawn the enterprise</w:t>
      </w:r>
      <w:r w:rsidRPr="00B849DC" w:rsidR="00B849DC">
        <w:rPr>
          <w:lang w:val="en-US"/>
        </w:rPr>
        <w:t>’</w:t>
      </w:r>
      <w:r w:rsidRPr="00B849DC" w:rsidR="00A34944">
        <w:rPr>
          <w:lang w:val="en-US"/>
        </w:rPr>
        <w:t xml:space="preserve">s assets (in that case, </w:t>
      </w:r>
      <w:r w:rsidRPr="00B849DC" w:rsidR="0036726B">
        <w:rPr>
          <w:lang w:val="en-US"/>
        </w:rPr>
        <w:t xml:space="preserve">the </w:t>
      </w:r>
      <w:r w:rsidRPr="00B849DC" w:rsidR="00A34944">
        <w:rPr>
          <w:lang w:val="en-US"/>
        </w:rPr>
        <w:t xml:space="preserve">heating systems of a local public school) and transferred them to the treasury. In the </w:t>
      </w:r>
      <w:r w:rsidRPr="00B849DC" w:rsidR="00323548">
        <w:rPr>
          <w:lang w:val="en-US"/>
        </w:rPr>
        <w:t xml:space="preserve">domestic </w:t>
      </w:r>
      <w:r w:rsidRPr="00B849DC" w:rsidR="00A34944">
        <w:rPr>
          <w:lang w:val="en-US"/>
        </w:rPr>
        <w:t>courts</w:t>
      </w:r>
      <w:r w:rsidRPr="00B849DC" w:rsidR="00B849DC">
        <w:rPr>
          <w:lang w:val="en-US"/>
        </w:rPr>
        <w:t>’</w:t>
      </w:r>
      <w:r w:rsidRPr="00B849DC" w:rsidR="00A34944">
        <w:rPr>
          <w:lang w:val="en-US"/>
        </w:rPr>
        <w:t xml:space="preserve"> view, </w:t>
      </w:r>
      <w:r w:rsidRPr="00B849DC" w:rsidR="0036726B">
        <w:rPr>
          <w:lang w:val="en-US"/>
        </w:rPr>
        <w:t xml:space="preserve">in order to attract the subsidiary liability of the </w:t>
      </w:r>
      <w:r w:rsidRPr="00B849DC" w:rsidR="00323548">
        <w:rPr>
          <w:lang w:val="en-US"/>
        </w:rPr>
        <w:t>“</w:t>
      </w:r>
      <w:r w:rsidRPr="00B849DC" w:rsidR="0036726B">
        <w:rPr>
          <w:lang w:val="en-US"/>
        </w:rPr>
        <w:t>controlling person</w:t>
      </w:r>
      <w:r w:rsidRPr="00B849DC" w:rsidR="00323548">
        <w:rPr>
          <w:lang w:val="en-US"/>
        </w:rPr>
        <w:t>”</w:t>
      </w:r>
      <w:r w:rsidRPr="00B849DC" w:rsidR="0036726B">
        <w:rPr>
          <w:lang w:val="en-US"/>
        </w:rPr>
        <w:t xml:space="preserve">, a claimant </w:t>
      </w:r>
      <w:r w:rsidRPr="00B849DC" w:rsidR="00D040C1">
        <w:rPr>
          <w:lang w:val="en-US"/>
        </w:rPr>
        <w:t xml:space="preserve">had </w:t>
      </w:r>
      <w:r w:rsidRPr="00B849DC" w:rsidR="0036726B">
        <w:rPr>
          <w:lang w:val="en-US"/>
        </w:rPr>
        <w:t xml:space="preserve">to demonstrate </w:t>
      </w:r>
      <w:r w:rsidRPr="00B849DC" w:rsidR="00E6396A">
        <w:rPr>
          <w:lang w:val="en-US"/>
        </w:rPr>
        <w:t xml:space="preserve">a </w:t>
      </w:r>
      <w:r w:rsidRPr="00B849DC" w:rsidR="0036726B">
        <w:rPr>
          <w:lang w:val="en-US"/>
        </w:rPr>
        <w:t xml:space="preserve">causal link between </w:t>
      </w:r>
      <w:r w:rsidRPr="00B849DC" w:rsidR="00323548">
        <w:rPr>
          <w:lang w:val="en-US"/>
        </w:rPr>
        <w:t>that</w:t>
      </w:r>
      <w:r w:rsidRPr="00B849DC" w:rsidR="0036726B">
        <w:rPr>
          <w:lang w:val="en-US"/>
        </w:rPr>
        <w:t xml:space="preserve"> person</w:t>
      </w:r>
      <w:r w:rsidRPr="00B849DC" w:rsidR="00B849DC">
        <w:rPr>
          <w:lang w:val="en-US"/>
        </w:rPr>
        <w:t>’</w:t>
      </w:r>
      <w:r w:rsidRPr="00B849DC" w:rsidR="0036726B">
        <w:rPr>
          <w:lang w:val="en-US"/>
        </w:rPr>
        <w:t>s actions and the debtor</w:t>
      </w:r>
      <w:r w:rsidRPr="00B849DC" w:rsidR="00B849DC">
        <w:rPr>
          <w:lang w:val="en-US"/>
        </w:rPr>
        <w:t>’</w:t>
      </w:r>
      <w:r w:rsidRPr="00B849DC" w:rsidR="0036726B">
        <w:rPr>
          <w:lang w:val="en-US"/>
        </w:rPr>
        <w:t xml:space="preserve">s insolvency. However, it transpired from the case materials that the company </w:t>
      </w:r>
      <w:r w:rsidRPr="00B849DC" w:rsidR="004B302F">
        <w:rPr>
          <w:lang w:val="en-US"/>
        </w:rPr>
        <w:t xml:space="preserve">had </w:t>
      </w:r>
      <w:r w:rsidRPr="00B849DC" w:rsidR="0036726B">
        <w:rPr>
          <w:lang w:val="en-US"/>
        </w:rPr>
        <w:t xml:space="preserve">accumulated a considerable debt </w:t>
      </w:r>
      <w:r w:rsidRPr="00B849DC" w:rsidR="004B302F">
        <w:rPr>
          <w:lang w:val="en-US"/>
        </w:rPr>
        <w:t xml:space="preserve">towards its creditors </w:t>
      </w:r>
      <w:r w:rsidRPr="00B849DC" w:rsidR="0036726B">
        <w:rPr>
          <w:lang w:val="en-US"/>
        </w:rPr>
        <w:t>in 2007-2008, that is</w:t>
      </w:r>
      <w:r w:rsidRPr="00B849DC" w:rsidR="00D040C1">
        <w:rPr>
          <w:lang w:val="en-US"/>
        </w:rPr>
        <w:t>,</w:t>
      </w:r>
      <w:r w:rsidRPr="00B849DC" w:rsidR="0036726B">
        <w:rPr>
          <w:lang w:val="en-US"/>
        </w:rPr>
        <w:t xml:space="preserve"> before the assets</w:t>
      </w:r>
      <w:r w:rsidRPr="00B849DC" w:rsidR="00B849DC">
        <w:rPr>
          <w:lang w:val="en-US"/>
        </w:rPr>
        <w:t>’</w:t>
      </w:r>
      <w:r w:rsidRPr="00B849DC" w:rsidR="0036726B">
        <w:rPr>
          <w:lang w:val="en-US"/>
        </w:rPr>
        <w:t xml:space="preserve"> withdrawal. The claim was accordingly rejected in the final instance by the Federal Commercial Court of the North-Western Circuit (judgment no. А66-11446/2009 of 14 August 2012</w:t>
      </w:r>
      <w:r w:rsidRPr="00B849DC" w:rsidR="00D040C1">
        <w:rPr>
          <w:lang w:val="en-US"/>
        </w:rPr>
        <w:t>).</w:t>
      </w:r>
      <w:r w:rsidRPr="00B849DC" w:rsidR="0036726B">
        <w:rPr>
          <w:lang w:val="en-US"/>
        </w:rPr>
        <w:t xml:space="preserve"> </w:t>
      </w:r>
      <w:r w:rsidRPr="00B849DC" w:rsidR="00D040C1">
        <w:rPr>
          <w:lang w:val="en-US"/>
        </w:rPr>
        <w:t>The</w:t>
      </w:r>
      <w:r w:rsidRPr="00B849DC" w:rsidR="0036726B">
        <w:rPr>
          <w:lang w:val="en-US"/>
        </w:rPr>
        <w:t xml:space="preserve"> Supreme Commercial Court </w:t>
      </w:r>
      <w:r w:rsidRPr="00B849DC" w:rsidR="00D040C1">
        <w:rPr>
          <w:lang w:val="en-US"/>
        </w:rPr>
        <w:t xml:space="preserve">rejected an application </w:t>
      </w:r>
      <w:r w:rsidRPr="00B849DC" w:rsidR="00E73064">
        <w:rPr>
          <w:lang w:val="en-US"/>
        </w:rPr>
        <w:t>for</w:t>
      </w:r>
      <w:r w:rsidRPr="00B849DC" w:rsidR="0036726B">
        <w:rPr>
          <w:lang w:val="en-US"/>
        </w:rPr>
        <w:t xml:space="preserve"> supervisory</w:t>
      </w:r>
      <w:r w:rsidRPr="00B849DC" w:rsidR="00E73064">
        <w:rPr>
          <w:lang w:val="en-US"/>
        </w:rPr>
        <w:t xml:space="preserve"> </w:t>
      </w:r>
      <w:r w:rsidRPr="00B849DC" w:rsidR="0036726B">
        <w:rPr>
          <w:lang w:val="en-US"/>
        </w:rPr>
        <w:t xml:space="preserve">review </w:t>
      </w:r>
      <w:r w:rsidRPr="00B849DC" w:rsidR="00E73064">
        <w:rPr>
          <w:lang w:val="en-US"/>
        </w:rPr>
        <w:t xml:space="preserve">of the judgment </w:t>
      </w:r>
      <w:r w:rsidRPr="00B849DC" w:rsidR="00D040C1">
        <w:rPr>
          <w:lang w:val="en-US"/>
        </w:rPr>
        <w:t xml:space="preserve">(decision </w:t>
      </w:r>
      <w:r w:rsidRPr="00B849DC" w:rsidR="0036726B">
        <w:rPr>
          <w:lang w:val="en-US"/>
        </w:rPr>
        <w:t>no. ВАС-15302/12 of 21</w:t>
      </w:r>
      <w:r w:rsidRPr="00B849DC" w:rsidR="00624872">
        <w:rPr>
          <w:lang w:val="en-US"/>
        </w:rPr>
        <w:t> </w:t>
      </w:r>
      <w:r w:rsidRPr="00B849DC" w:rsidR="0036726B">
        <w:rPr>
          <w:lang w:val="en-US"/>
        </w:rPr>
        <w:t>November 2012).</w:t>
      </w:r>
    </w:p>
    <w:p w:rsidRPr="00B849DC" w:rsidR="00D67EFE" w:rsidP="00B849DC" w:rsidRDefault="00DD2C3D">
      <w:pPr>
        <w:pStyle w:val="ECHRHeading4"/>
        <w:rPr>
          <w:lang w:val="en-US"/>
        </w:rPr>
      </w:pPr>
      <w:r w:rsidRPr="00B849DC">
        <w:rPr>
          <w:lang w:val="en-US"/>
        </w:rPr>
        <w:t>(e</w:t>
      </w:r>
      <w:r w:rsidRPr="00B849DC" w:rsidR="00D67EFE">
        <w:rPr>
          <w:lang w:val="en-US"/>
        </w:rPr>
        <w:t>)  </w:t>
      </w:r>
      <w:r w:rsidRPr="00B849DC" w:rsidR="00D040C1">
        <w:rPr>
          <w:lang w:val="en-US"/>
        </w:rPr>
        <w:t>The c</w:t>
      </w:r>
      <w:r w:rsidRPr="00B849DC" w:rsidR="00D67EFE">
        <w:rPr>
          <w:lang w:val="en-US"/>
        </w:rPr>
        <w:t>ommercial courts</w:t>
      </w:r>
      <w:r w:rsidRPr="00B849DC" w:rsidR="00B849DC">
        <w:rPr>
          <w:lang w:val="en-US"/>
        </w:rPr>
        <w:t>’</w:t>
      </w:r>
      <w:r w:rsidRPr="00B849DC" w:rsidR="00D67EFE">
        <w:rPr>
          <w:lang w:val="en-US"/>
        </w:rPr>
        <w:t xml:space="preserve"> case-law on subsidiary liability</w:t>
      </w:r>
      <w:r w:rsidRPr="00B849DC" w:rsidR="00B745C1">
        <w:rPr>
          <w:lang w:val="en-US"/>
        </w:rPr>
        <w:t xml:space="preserve"> in case of withdrawal of the unitary enterprises</w:t>
      </w:r>
      <w:r w:rsidRPr="00B849DC" w:rsidR="00B849DC">
        <w:rPr>
          <w:lang w:val="en-US"/>
        </w:rPr>
        <w:t>’</w:t>
      </w:r>
      <w:r w:rsidRPr="00B849DC" w:rsidR="00B745C1">
        <w:rPr>
          <w:lang w:val="en-US"/>
        </w:rPr>
        <w:t xml:space="preserve"> assets</w:t>
      </w:r>
    </w:p>
    <w:p w:rsidRPr="00B849DC" w:rsidR="00CA087B" w:rsidP="00B849DC" w:rsidRDefault="00780EBF">
      <w:pPr>
        <w:pStyle w:val="ECHRPara"/>
        <w:keepNext/>
        <w:rPr>
          <w:lang w:val="en-US"/>
        </w:rPr>
      </w:pPr>
      <w:r w:rsidRPr="00B849DC">
        <w:rPr>
          <w:lang w:val="en-US"/>
        </w:rPr>
        <w:fldChar w:fldCharType="begin"/>
      </w:r>
      <w:r w:rsidRPr="00B849DC">
        <w:rPr>
          <w:lang w:val="en-US"/>
        </w:rPr>
        <w:instrText xml:space="preserve"> SEQ level0 \*arabic </w:instrText>
      </w:r>
      <w:r w:rsidRPr="00B849DC">
        <w:rPr>
          <w:lang w:val="en-US"/>
        </w:rPr>
        <w:fldChar w:fldCharType="separate"/>
      </w:r>
      <w:r w:rsidRPr="00B849DC" w:rsidR="00B849DC">
        <w:rPr>
          <w:noProof/>
          <w:lang w:val="en-US"/>
        </w:rPr>
        <w:t>111</w:t>
      </w:r>
      <w:r w:rsidRPr="00B849DC">
        <w:rPr>
          <w:lang w:val="en-US"/>
        </w:rPr>
        <w:fldChar w:fldCharType="end"/>
      </w:r>
      <w:r w:rsidRPr="00B849DC">
        <w:rPr>
          <w:lang w:val="en-US"/>
        </w:rPr>
        <w:t>.  </w:t>
      </w:r>
      <w:proofErr w:type="gramStart"/>
      <w:r w:rsidRPr="00B849DC" w:rsidR="002750F1">
        <w:rPr>
          <w:lang w:val="en-US"/>
        </w:rPr>
        <w:t>By judgment of 10 December 2008 no.</w:t>
      </w:r>
      <w:proofErr w:type="gramEnd"/>
      <w:r w:rsidRPr="00B849DC" w:rsidR="002750F1">
        <w:rPr>
          <w:lang w:val="en-US"/>
        </w:rPr>
        <w:t> </w:t>
      </w:r>
      <w:r w:rsidRPr="00B849DC" w:rsidR="002750F1">
        <w:rPr>
          <w:lang w:val="ru-RU"/>
        </w:rPr>
        <w:t>Ф</w:t>
      </w:r>
      <w:r w:rsidRPr="00B849DC" w:rsidR="002750F1">
        <w:rPr>
          <w:lang w:val="en-US"/>
        </w:rPr>
        <w:t xml:space="preserve">10-5558/08 </w:t>
      </w:r>
      <w:r w:rsidRPr="00B849DC" w:rsidR="002750F1">
        <w:rPr>
          <w:lang w:val="en-GB"/>
        </w:rPr>
        <w:t>of the Federal Commercial Court of the Central Circuit rejected the subsidiary liability claim by a liquidator of a municipal unitary company against the owner. The</w:t>
      </w:r>
      <w:r w:rsidRPr="00B849DC" w:rsidR="004D0A29">
        <w:rPr>
          <w:lang w:val="en-GB"/>
        </w:rPr>
        <w:t xml:space="preserve"> court found that, although the owner had indeed removed assets from the company and transferred them to a different legal entity, the following elements were to be proved to hold the owner subsidiary liable: a causal link between the removal and the insolvency, and the owner</w:t>
      </w:r>
      <w:r w:rsidRPr="00B849DC" w:rsidR="00B849DC">
        <w:rPr>
          <w:lang w:val="en-GB"/>
        </w:rPr>
        <w:t>’</w:t>
      </w:r>
      <w:r w:rsidRPr="00B849DC" w:rsidR="004D0A29">
        <w:rPr>
          <w:lang w:val="en-GB"/>
        </w:rPr>
        <w:t>s fault. The claimant</w:t>
      </w:r>
      <w:r w:rsidRPr="00B849DC" w:rsidR="00B849DC">
        <w:rPr>
          <w:lang w:val="en-GB"/>
        </w:rPr>
        <w:t>’</w:t>
      </w:r>
      <w:r w:rsidRPr="00B849DC" w:rsidR="004D0A29">
        <w:rPr>
          <w:lang w:val="en-GB"/>
        </w:rPr>
        <w:t xml:space="preserve">s argument that the aggregate value of the removed assets would </w:t>
      </w:r>
      <w:r w:rsidRPr="00B849DC" w:rsidR="005D45F5">
        <w:rPr>
          <w:lang w:val="en-GB"/>
        </w:rPr>
        <w:t xml:space="preserve">have been </w:t>
      </w:r>
      <w:proofErr w:type="gramStart"/>
      <w:r w:rsidRPr="00B849DC" w:rsidR="004D0A29">
        <w:rPr>
          <w:lang w:val="en-GB"/>
        </w:rPr>
        <w:t>be</w:t>
      </w:r>
      <w:proofErr w:type="gramEnd"/>
      <w:r w:rsidRPr="00B849DC" w:rsidR="004D0A29">
        <w:rPr>
          <w:lang w:val="en-GB"/>
        </w:rPr>
        <w:t xml:space="preserve"> sufficient to </w:t>
      </w:r>
      <w:r w:rsidRPr="00B849DC" w:rsidR="005D45F5">
        <w:rPr>
          <w:lang w:val="en-GB"/>
        </w:rPr>
        <w:t xml:space="preserve">pay </w:t>
      </w:r>
      <w:r w:rsidRPr="00B849DC" w:rsidR="004D0A29">
        <w:rPr>
          <w:lang w:val="en-GB"/>
        </w:rPr>
        <w:t>the company</w:t>
      </w:r>
      <w:r w:rsidRPr="00B849DC" w:rsidR="00B849DC">
        <w:rPr>
          <w:lang w:val="en-GB"/>
        </w:rPr>
        <w:t>’</w:t>
      </w:r>
      <w:r w:rsidRPr="00B849DC" w:rsidR="004D0A29">
        <w:rPr>
          <w:lang w:val="en-GB"/>
        </w:rPr>
        <w:t>s debts was rejected by the court, for his failure to demonstrate the causal link between the assets removal and the insolvency. On 2 March 2009 the Supreme Court of Russia rejected an application for supervisory review of that judgment (</w:t>
      </w:r>
      <w:r w:rsidRPr="00B849DC" w:rsidR="00573685">
        <w:rPr>
          <w:lang w:val="en-GB"/>
        </w:rPr>
        <w:t>case no.</w:t>
      </w:r>
      <w:r w:rsidRPr="00B849DC" w:rsidR="004D0A29">
        <w:rPr>
          <w:lang w:val="en-GB"/>
        </w:rPr>
        <w:t xml:space="preserve"> 2245/09). </w:t>
      </w:r>
      <w:r w:rsidRPr="00B849DC" w:rsidR="0084464E">
        <w:rPr>
          <w:lang w:val="en-US"/>
        </w:rPr>
        <w:t>In a number of domestic judgments and decisions, mostly adopted since late 2010,</w:t>
      </w:r>
      <w:r w:rsidRPr="00B849DC" w:rsidR="004D0A29">
        <w:rPr>
          <w:lang w:val="en-US"/>
        </w:rPr>
        <w:t xml:space="preserve"> regional commercial courts</w:t>
      </w:r>
      <w:r w:rsidRPr="00B849DC" w:rsidR="00573685">
        <w:rPr>
          <w:lang w:val="en-US"/>
        </w:rPr>
        <w:t xml:space="preserve"> </w:t>
      </w:r>
      <w:r w:rsidRPr="00B849DC" w:rsidR="0084464E">
        <w:rPr>
          <w:lang w:val="en-US"/>
        </w:rPr>
        <w:t xml:space="preserve">were satisfied that there existed a causal link between the removal of the assets and the insolvency of the company and, accordingly, </w:t>
      </w:r>
      <w:r w:rsidRPr="00B849DC" w:rsidR="00573685">
        <w:rPr>
          <w:lang w:val="en-US"/>
        </w:rPr>
        <w:t>held</w:t>
      </w:r>
      <w:r w:rsidRPr="00B849DC" w:rsidR="004D0A29">
        <w:rPr>
          <w:lang w:val="en-US"/>
        </w:rPr>
        <w:t xml:space="preserve"> the owner to have subsidiary liability for the insolvent compan</w:t>
      </w:r>
      <w:r w:rsidRPr="00B849DC" w:rsidR="0084464E">
        <w:rPr>
          <w:lang w:val="en-US"/>
        </w:rPr>
        <w:t>ies</w:t>
      </w:r>
      <w:r w:rsidRPr="00B849DC" w:rsidR="00B849DC">
        <w:rPr>
          <w:lang w:val="en-US"/>
        </w:rPr>
        <w:t>’</w:t>
      </w:r>
      <w:r w:rsidRPr="00B849DC" w:rsidR="004D0A29">
        <w:rPr>
          <w:lang w:val="en-US"/>
        </w:rPr>
        <w:t xml:space="preserve"> debts under Article 56 § 3 of the Civil Code. </w:t>
      </w:r>
      <w:r w:rsidRPr="00B849DC" w:rsidR="00030863">
        <w:rPr>
          <w:lang w:val="en-US"/>
        </w:rPr>
        <w:t>For instance, b</w:t>
      </w:r>
      <w:r w:rsidRPr="00B849DC" w:rsidR="00B65916">
        <w:rPr>
          <w:lang w:val="en-US"/>
        </w:rPr>
        <w:t>y a final judgment of 4 September 2012 the Commercial Court of the Kareliya Republic granted the liquidator</w:t>
      </w:r>
      <w:r w:rsidRPr="00B849DC" w:rsidR="00B849DC">
        <w:rPr>
          <w:lang w:val="en-US"/>
        </w:rPr>
        <w:t>’</w:t>
      </w:r>
      <w:r w:rsidRPr="00B849DC" w:rsidR="00B65916">
        <w:rPr>
          <w:lang w:val="en-US"/>
        </w:rPr>
        <w:t xml:space="preserve">s claim for the subsidiary liability of the municipality, the owner of assets allocated to the municipal unitary company which supplied the heating in the respective district. </w:t>
      </w:r>
      <w:r w:rsidRPr="00B849DC">
        <w:rPr>
          <w:lang w:val="en-US"/>
        </w:rPr>
        <w:t>The court found that</w:t>
      </w:r>
      <w:r w:rsidRPr="00B849DC" w:rsidR="00B65916">
        <w:rPr>
          <w:lang w:val="en-US"/>
        </w:rPr>
        <w:t xml:space="preserve"> though the company was operating in compliance with its purpose and aims, at some point the owner had withdrawn the major assets from its economic control and transferred them to other legal entities. As a result, the company had become unable to perform its statutory functions and had had to dismiss nearly all its personnel (judgment no. </w:t>
      </w:r>
      <w:proofErr w:type="gramStart"/>
      <w:r w:rsidRPr="00B849DC" w:rsidR="00B65916">
        <w:rPr>
          <w:lang w:val="en-US"/>
        </w:rPr>
        <w:t>A</w:t>
      </w:r>
      <w:r w:rsidRPr="00B849DC" w:rsidR="00B65916">
        <w:rPr>
          <w:lang w:val="en-US"/>
        </w:rPr>
        <w:noBreakHyphen/>
        <w:t>26</w:t>
      </w:r>
      <w:r w:rsidRPr="00B849DC" w:rsidR="00B65916">
        <w:rPr>
          <w:lang w:val="en-US"/>
        </w:rPr>
        <w:noBreakHyphen/>
        <w:t>4073/2011).</w:t>
      </w:r>
      <w:proofErr w:type="gramEnd"/>
      <w:r w:rsidRPr="00B849DC" w:rsidR="00B65916">
        <w:rPr>
          <w:lang w:val="en-US"/>
        </w:rPr>
        <w:t xml:space="preserve"> On the other hand, where a unitary enterprise had had considerable financial difficulties and the withdrawal of its assets by the owner had not had a decisive impact on its insolvency, the </w:t>
      </w:r>
      <w:r w:rsidRPr="00B849DC" w:rsidR="00FD7577">
        <w:rPr>
          <w:lang w:val="en-US"/>
        </w:rPr>
        <w:t>company</w:t>
      </w:r>
      <w:r w:rsidRPr="00B849DC" w:rsidR="00B849DC">
        <w:rPr>
          <w:lang w:val="en-US"/>
        </w:rPr>
        <w:t>’</w:t>
      </w:r>
      <w:r w:rsidRPr="00B849DC" w:rsidR="00FD7577">
        <w:rPr>
          <w:lang w:val="en-US"/>
        </w:rPr>
        <w:t>s creditor</w:t>
      </w:r>
      <w:r w:rsidRPr="00B849DC" w:rsidR="00B849DC">
        <w:rPr>
          <w:lang w:val="en-US"/>
        </w:rPr>
        <w:t>’</w:t>
      </w:r>
      <w:r w:rsidRPr="00B849DC" w:rsidR="00FD7577">
        <w:rPr>
          <w:lang w:val="en-US"/>
        </w:rPr>
        <w:t>s</w:t>
      </w:r>
      <w:r w:rsidRPr="00B849DC" w:rsidR="00B65916">
        <w:rPr>
          <w:lang w:val="en-US"/>
        </w:rPr>
        <w:t xml:space="preserve"> claims were rejected by the domestic courts (and upheld on 19 April 2013 by the Supreme Commercial Court</w:t>
      </w:r>
      <w:r w:rsidRPr="00B849DC" w:rsidR="00B849DC">
        <w:rPr>
          <w:lang w:val="en-US"/>
        </w:rPr>
        <w:t>’</w:t>
      </w:r>
      <w:r w:rsidRPr="00B849DC" w:rsidR="00B65916">
        <w:rPr>
          <w:lang w:val="en-US"/>
        </w:rPr>
        <w:t>s rejection of an application for supervisory review; case no. </w:t>
      </w:r>
      <w:proofErr w:type="gramStart"/>
      <w:r w:rsidRPr="00B849DC" w:rsidR="00B65916">
        <w:rPr>
          <w:lang w:val="ru-RU"/>
        </w:rPr>
        <w:t>ВАС</w:t>
      </w:r>
      <w:r w:rsidRPr="00B849DC" w:rsidR="00B65916">
        <w:rPr>
          <w:lang w:val="en-US"/>
        </w:rPr>
        <w:t>-5058/13).</w:t>
      </w:r>
      <w:proofErr w:type="gramEnd"/>
    </w:p>
    <w:p w:rsidRPr="00B849DC" w:rsidR="00B66B61" w:rsidP="00B849DC" w:rsidRDefault="00081478">
      <w:pPr>
        <w:pStyle w:val="ECHRHeading2"/>
        <w:rPr>
          <w:lang w:val="en-US"/>
        </w:rPr>
      </w:pPr>
      <w:r w:rsidRPr="00B849DC">
        <w:rPr>
          <w:lang w:val="en-US"/>
        </w:rPr>
        <w:t>F</w:t>
      </w:r>
      <w:r w:rsidRPr="00B849DC" w:rsidR="00B66B61">
        <w:rPr>
          <w:lang w:val="en-US"/>
        </w:rPr>
        <w:t>.  Enforcement of judgments in the context of insolvency proceedings</w:t>
      </w:r>
    </w:p>
    <w:p w:rsidRPr="00B849DC" w:rsidR="00B66B61" w:rsidP="00B849DC" w:rsidRDefault="00B66B61">
      <w:pPr>
        <w:pStyle w:val="ECHRHeading3"/>
        <w:rPr>
          <w:lang w:val="en-US"/>
        </w:rPr>
      </w:pPr>
      <w:r w:rsidRPr="00B849DC">
        <w:rPr>
          <w:lang w:val="en-US"/>
        </w:rPr>
        <w:t>1.  Grounds to suspend and discontinue enforcement proceedings set out in the Enforcement Act of 1997</w:t>
      </w:r>
    </w:p>
    <w:p w:rsidRPr="00B849DC" w:rsidR="00B66B61" w:rsidP="00B849DC" w:rsidRDefault="00B65916">
      <w:pPr>
        <w:pStyle w:val="ECHRPara"/>
        <w:rPr>
          <w:lang w:val="en-US"/>
        </w:rPr>
      </w:pPr>
      <w:r w:rsidRPr="00B849DC">
        <w:rPr>
          <w:lang w:val="en-US"/>
        </w:rPr>
        <w:fldChar w:fldCharType="begin"/>
      </w:r>
      <w:r w:rsidRPr="00B849DC">
        <w:rPr>
          <w:lang w:val="en-US"/>
        </w:rPr>
        <w:instrText xml:space="preserve"> SEQ level0 \*arabic </w:instrText>
      </w:r>
      <w:r w:rsidRPr="00B849DC">
        <w:rPr>
          <w:lang w:val="en-US"/>
        </w:rPr>
        <w:fldChar w:fldCharType="separate"/>
      </w:r>
      <w:r w:rsidRPr="00B849DC" w:rsidR="00B849DC">
        <w:rPr>
          <w:noProof/>
          <w:lang w:val="en-US"/>
        </w:rPr>
        <w:t>112</w:t>
      </w:r>
      <w:r w:rsidRPr="00B849DC">
        <w:rPr>
          <w:lang w:val="en-US"/>
        </w:rPr>
        <w:fldChar w:fldCharType="end"/>
      </w:r>
      <w:r w:rsidRPr="00B849DC">
        <w:rPr>
          <w:lang w:val="en-US"/>
        </w:rPr>
        <w:t>.  </w:t>
      </w:r>
      <w:r w:rsidRPr="00B849DC" w:rsidR="00B66B61">
        <w:rPr>
          <w:lang w:val="en-US"/>
        </w:rPr>
        <w:t xml:space="preserve">Until 1 February 2008 enforcement proceedings were governed by Federal Law on Enforcement Proceedings </w:t>
      </w:r>
      <w:r w:rsidRPr="00B849DC" w:rsidR="00152CB7">
        <w:rPr>
          <w:lang w:val="en-US"/>
        </w:rPr>
        <w:t>no</w:t>
      </w:r>
      <w:r w:rsidRPr="00B849DC" w:rsidR="00B66B61">
        <w:rPr>
          <w:lang w:val="en-US"/>
        </w:rPr>
        <w:t>. 119-</w:t>
      </w:r>
      <w:r w:rsidRPr="00B849DC" w:rsidR="0076377E">
        <w:rPr>
          <w:lang w:val="en-US"/>
        </w:rPr>
        <w:t>FZ</w:t>
      </w:r>
      <w:r w:rsidRPr="00B849DC" w:rsidR="00B66B61">
        <w:rPr>
          <w:lang w:val="en-US"/>
        </w:rPr>
        <w:t xml:space="preserve"> of 21 July 1997 (</w:t>
      </w:r>
      <w:r w:rsidRPr="00B849DC" w:rsidR="00E6396A">
        <w:rPr>
          <w:lang w:val="en-US"/>
        </w:rPr>
        <w:t>“</w:t>
      </w:r>
      <w:r w:rsidRPr="00B849DC" w:rsidR="00B66B61">
        <w:rPr>
          <w:lang w:val="en-US"/>
        </w:rPr>
        <w:t>the Enforcement Act of 1997</w:t>
      </w:r>
      <w:r w:rsidRPr="00B849DC" w:rsidR="00E6396A">
        <w:rPr>
          <w:lang w:val="en-US"/>
        </w:rPr>
        <w:t>”</w:t>
      </w:r>
      <w:r w:rsidRPr="00B849DC" w:rsidR="00B66B61">
        <w:rPr>
          <w:lang w:val="en-US"/>
        </w:rPr>
        <w:t xml:space="preserve">). </w:t>
      </w:r>
      <w:proofErr w:type="gramStart"/>
      <w:r w:rsidRPr="00B849DC" w:rsidR="00FF2753">
        <w:rPr>
          <w:lang w:val="en-US"/>
        </w:rPr>
        <w:t>Section </w:t>
      </w:r>
      <w:r w:rsidRPr="00B849DC" w:rsidR="00B66B61">
        <w:rPr>
          <w:lang w:val="en-US"/>
        </w:rPr>
        <w:t xml:space="preserve">22 of that Act provided that enforcement proceedings were to be suspended where a commercial court </w:t>
      </w:r>
      <w:r w:rsidRPr="00B849DC" w:rsidR="002E5482">
        <w:rPr>
          <w:lang w:val="en-US"/>
        </w:rPr>
        <w:t xml:space="preserve">had </w:t>
      </w:r>
      <w:r w:rsidRPr="00B849DC" w:rsidR="00B66B61">
        <w:rPr>
          <w:lang w:val="en-US"/>
        </w:rPr>
        <w:t xml:space="preserve">initiated the insolvency proceedings </w:t>
      </w:r>
      <w:r w:rsidRPr="00B849DC" w:rsidR="00152CB7">
        <w:rPr>
          <w:lang w:val="en-US"/>
        </w:rPr>
        <w:t xml:space="preserve">before </w:t>
      </w:r>
      <w:r w:rsidRPr="00B849DC" w:rsidR="00B66B61">
        <w:rPr>
          <w:lang w:val="en-US"/>
        </w:rPr>
        <w:t>the determination of the respective case by the court.</w:t>
      </w:r>
      <w:proofErr w:type="gramEnd"/>
      <w:r w:rsidRPr="00B849DC" w:rsidR="00B66B61">
        <w:rPr>
          <w:lang w:val="en-US"/>
        </w:rPr>
        <w:t xml:space="preserve"> </w:t>
      </w:r>
      <w:r w:rsidRPr="00B849DC" w:rsidR="00FF2753">
        <w:rPr>
          <w:lang w:val="en-US"/>
        </w:rPr>
        <w:t>Section </w:t>
      </w:r>
      <w:r w:rsidRPr="00B849DC" w:rsidR="00B66B61">
        <w:rPr>
          <w:lang w:val="en-US"/>
        </w:rPr>
        <w:t xml:space="preserve">23 stipulated that enforcement proceedings were to be </w:t>
      </w:r>
      <w:r w:rsidRPr="00B849DC" w:rsidR="002E5482">
        <w:rPr>
          <w:lang w:val="en-US"/>
        </w:rPr>
        <w:t xml:space="preserve">terminated </w:t>
      </w:r>
      <w:r w:rsidRPr="00B849DC" w:rsidR="00152CB7">
        <w:rPr>
          <w:lang w:val="en-US"/>
        </w:rPr>
        <w:t>where</w:t>
      </w:r>
      <w:r w:rsidRPr="00B849DC" w:rsidR="00B66B61">
        <w:rPr>
          <w:lang w:val="en-US"/>
        </w:rPr>
        <w:t xml:space="preserve"> the assets of an organisation under liquidation</w:t>
      </w:r>
      <w:r w:rsidRPr="00B849DC" w:rsidR="00152CB7">
        <w:rPr>
          <w:lang w:val="en-US"/>
        </w:rPr>
        <w:t xml:space="preserve"> were insufficient</w:t>
      </w:r>
      <w:r w:rsidRPr="00B849DC" w:rsidR="00B66B61">
        <w:rPr>
          <w:lang w:val="en-US"/>
        </w:rPr>
        <w:t xml:space="preserve"> to satisfy the creditors</w:t>
      </w:r>
      <w:r w:rsidRPr="00B849DC" w:rsidR="00B849DC">
        <w:rPr>
          <w:lang w:val="en-US"/>
        </w:rPr>
        <w:t>’</w:t>
      </w:r>
      <w:r w:rsidRPr="00B849DC" w:rsidR="00B66B61">
        <w:rPr>
          <w:lang w:val="en-US"/>
        </w:rPr>
        <w:t xml:space="preserve"> claims. </w:t>
      </w:r>
      <w:r w:rsidRPr="00B849DC" w:rsidR="00152CB7">
        <w:rPr>
          <w:lang w:val="en-US"/>
        </w:rPr>
        <w:t>D</w:t>
      </w:r>
      <w:r w:rsidRPr="00B849DC" w:rsidR="00B66B61">
        <w:rPr>
          <w:lang w:val="en-US"/>
        </w:rPr>
        <w:t xml:space="preserve">ecisions to suspend </w:t>
      </w:r>
      <w:r w:rsidRPr="00B849DC" w:rsidR="00152CB7">
        <w:rPr>
          <w:lang w:val="en-US"/>
        </w:rPr>
        <w:t xml:space="preserve">or </w:t>
      </w:r>
      <w:r w:rsidRPr="00B849DC" w:rsidR="002E5482">
        <w:rPr>
          <w:lang w:val="en-US"/>
        </w:rPr>
        <w:t>terminate</w:t>
      </w:r>
      <w:r w:rsidRPr="00B849DC" w:rsidR="00B66B61">
        <w:rPr>
          <w:lang w:val="en-US"/>
        </w:rPr>
        <w:t xml:space="preserve"> enforcement proceedings were </w:t>
      </w:r>
      <w:r w:rsidRPr="00B849DC" w:rsidR="00152CB7">
        <w:rPr>
          <w:lang w:val="en-US"/>
        </w:rPr>
        <w:t>subject to</w:t>
      </w:r>
      <w:r w:rsidRPr="00B849DC" w:rsidR="00B66B61">
        <w:rPr>
          <w:lang w:val="en-US"/>
        </w:rPr>
        <w:t xml:space="preserve"> appeal (</w:t>
      </w:r>
      <w:r w:rsidRPr="00B849DC" w:rsidR="00FF2753">
        <w:rPr>
          <w:lang w:val="en-US"/>
        </w:rPr>
        <w:t>section </w:t>
      </w:r>
      <w:r w:rsidRPr="00B849DC" w:rsidR="00B66B61">
        <w:rPr>
          <w:lang w:val="en-US"/>
        </w:rPr>
        <w:t xml:space="preserve">24 of the Enforcement </w:t>
      </w:r>
      <w:r w:rsidRPr="00B849DC" w:rsidR="002E5482">
        <w:rPr>
          <w:lang w:val="en-US"/>
        </w:rPr>
        <w:t>A</w:t>
      </w:r>
      <w:r w:rsidRPr="00B849DC" w:rsidR="00B66B61">
        <w:rPr>
          <w:lang w:val="en-US"/>
        </w:rPr>
        <w:t>ct of 1997).</w:t>
      </w:r>
    </w:p>
    <w:p w:rsidRPr="00B849DC" w:rsidR="00B66B61" w:rsidP="00B849DC" w:rsidRDefault="00B66B61">
      <w:pPr>
        <w:pStyle w:val="ECHRHeading3"/>
        <w:rPr>
          <w:lang w:val="en-US"/>
        </w:rPr>
      </w:pPr>
      <w:r w:rsidRPr="00B849DC">
        <w:rPr>
          <w:lang w:val="en-US"/>
        </w:rPr>
        <w:t>2.  </w:t>
      </w:r>
      <w:r w:rsidRPr="00B849DC">
        <w:rPr>
          <w:lang w:val="en-GB"/>
        </w:rPr>
        <w:t xml:space="preserve">Provisions of the </w:t>
      </w:r>
      <w:r w:rsidRPr="00B849DC" w:rsidR="002026DF">
        <w:rPr>
          <w:lang w:val="en-GB"/>
        </w:rPr>
        <w:t xml:space="preserve">Insolvency Act and the </w:t>
      </w:r>
      <w:r w:rsidRPr="00B849DC">
        <w:rPr>
          <w:lang w:val="en-GB"/>
        </w:rPr>
        <w:t>Enforcement Act of 2007</w:t>
      </w:r>
      <w:r w:rsidRPr="00B849DC">
        <w:rPr>
          <w:lang w:val="en-US"/>
        </w:rPr>
        <w:t xml:space="preserve"> concerning the liquidation procedure</w:t>
      </w:r>
    </w:p>
    <w:p w:rsidRPr="00B849DC" w:rsidR="00B66B61" w:rsidP="00B849DC" w:rsidRDefault="00B66B61">
      <w:pPr>
        <w:pStyle w:val="ECHRHeading4"/>
        <w:rPr>
          <w:lang w:val="en-US"/>
        </w:rPr>
      </w:pPr>
      <w:r w:rsidRPr="00B849DC">
        <w:rPr>
          <w:lang w:val="en-US"/>
        </w:rPr>
        <w:t>(a)  Relevant legal provisions</w:t>
      </w:r>
    </w:p>
    <w:p w:rsidRPr="00B849DC" w:rsidR="00BA5458" w:rsidP="00B849DC" w:rsidRDefault="00BA5458">
      <w:pPr>
        <w:pStyle w:val="ECHRPara"/>
        <w:rPr>
          <w:lang w:val="en-GB"/>
        </w:rPr>
      </w:pPr>
      <w:r w:rsidRPr="00B849DC">
        <w:rPr>
          <w:lang w:val="en-US"/>
        </w:rPr>
        <w:fldChar w:fldCharType="begin"/>
      </w:r>
      <w:r w:rsidRPr="00B849DC">
        <w:rPr>
          <w:lang w:val="en-US"/>
        </w:rPr>
        <w:instrText xml:space="preserve"> SEQ level0 \*arabic </w:instrText>
      </w:r>
      <w:r w:rsidRPr="00B849DC">
        <w:rPr>
          <w:lang w:val="en-US"/>
        </w:rPr>
        <w:fldChar w:fldCharType="separate"/>
      </w:r>
      <w:r w:rsidRPr="00B849DC" w:rsidR="00B849DC">
        <w:rPr>
          <w:noProof/>
          <w:lang w:val="en-US"/>
        </w:rPr>
        <w:t>113</w:t>
      </w:r>
      <w:r w:rsidRPr="00B849DC">
        <w:rPr>
          <w:lang w:val="en-US"/>
        </w:rPr>
        <w:fldChar w:fldCharType="end"/>
      </w:r>
      <w:r w:rsidRPr="00B849DC">
        <w:rPr>
          <w:lang w:val="en-US"/>
        </w:rPr>
        <w:t xml:space="preserve">.  As of 1 February 2008, the Enforcement Act of 1997 was replaced by Federal </w:t>
      </w:r>
      <w:r w:rsidRPr="00B849DC" w:rsidR="00152CB7">
        <w:rPr>
          <w:lang w:val="en-US"/>
        </w:rPr>
        <w:t xml:space="preserve">Law </w:t>
      </w:r>
      <w:r w:rsidRPr="00B849DC">
        <w:rPr>
          <w:lang w:val="en-US"/>
        </w:rPr>
        <w:t xml:space="preserve">on Enforcement Proceedings </w:t>
      </w:r>
      <w:r w:rsidRPr="00B849DC" w:rsidR="00152CB7">
        <w:rPr>
          <w:lang w:val="en-US"/>
        </w:rPr>
        <w:t>no</w:t>
      </w:r>
      <w:r w:rsidRPr="00B849DC">
        <w:rPr>
          <w:lang w:val="en-US"/>
        </w:rPr>
        <w:t>. 229-</w:t>
      </w:r>
      <w:r w:rsidRPr="00B849DC" w:rsidR="0076377E">
        <w:rPr>
          <w:lang w:val="en-US" w:eastAsia="en-US"/>
        </w:rPr>
        <w:t xml:space="preserve"> </w:t>
      </w:r>
      <w:r w:rsidRPr="00B849DC" w:rsidR="0076377E">
        <w:rPr>
          <w:lang w:val="en-US"/>
        </w:rPr>
        <w:t>FZ</w:t>
      </w:r>
      <w:r w:rsidRPr="00B849DC">
        <w:rPr>
          <w:lang w:val="en-GB"/>
        </w:rPr>
        <w:t xml:space="preserve"> of 2 October 2007 (“the Enforcement Act of 2007”).</w:t>
      </w:r>
    </w:p>
    <w:p w:rsidRPr="00B849DC" w:rsidR="00B66B61" w:rsidP="00B849DC" w:rsidRDefault="00B66B61">
      <w:pPr>
        <w:pStyle w:val="ECHRPara"/>
        <w:rPr>
          <w:lang w:val="en-US"/>
        </w:rPr>
      </w:pPr>
      <w:r w:rsidRPr="00B849DC">
        <w:rPr>
          <w:lang w:val="en-US"/>
        </w:rPr>
        <w:fldChar w:fldCharType="begin"/>
      </w:r>
      <w:r w:rsidRPr="00B849DC">
        <w:rPr>
          <w:lang w:val="en-US"/>
        </w:rPr>
        <w:instrText xml:space="preserve"> SEQ level0 \*arabic </w:instrText>
      </w:r>
      <w:r w:rsidRPr="00B849DC">
        <w:rPr>
          <w:lang w:val="en-US"/>
        </w:rPr>
        <w:fldChar w:fldCharType="separate"/>
      </w:r>
      <w:r w:rsidRPr="00B849DC" w:rsidR="00B849DC">
        <w:rPr>
          <w:noProof/>
          <w:lang w:val="en-US"/>
        </w:rPr>
        <w:t>114</w:t>
      </w:r>
      <w:r w:rsidRPr="00B849DC">
        <w:rPr>
          <w:lang w:val="en-US"/>
        </w:rPr>
        <w:fldChar w:fldCharType="end"/>
      </w:r>
      <w:r w:rsidRPr="00B849DC">
        <w:rPr>
          <w:lang w:val="en-US"/>
        </w:rPr>
        <w:t>.  </w:t>
      </w:r>
      <w:r w:rsidRPr="00B849DC" w:rsidR="00152CB7">
        <w:rPr>
          <w:lang w:val="en-GB"/>
        </w:rPr>
        <w:t>The Act provides that o</w:t>
      </w:r>
      <w:r w:rsidRPr="00B849DC">
        <w:rPr>
          <w:lang w:val="en-GB"/>
        </w:rPr>
        <w:t xml:space="preserve">nce a legal entity is declared insolvent and liquidation proceedings </w:t>
      </w:r>
      <w:r w:rsidRPr="00B849DC">
        <w:rPr>
          <w:i/>
          <w:lang w:val="en-GB"/>
        </w:rPr>
        <w:t>(</w:t>
      </w:r>
      <w:r w:rsidRPr="00B849DC">
        <w:rPr>
          <w:i/>
          <w:lang w:val="ru-RU"/>
        </w:rPr>
        <w:t>конкурсное</w:t>
      </w:r>
      <w:r w:rsidRPr="00B849DC">
        <w:rPr>
          <w:i/>
          <w:lang w:val="en-US"/>
        </w:rPr>
        <w:t xml:space="preserve"> </w:t>
      </w:r>
      <w:r w:rsidRPr="00B849DC">
        <w:rPr>
          <w:i/>
          <w:lang w:val="ru-RU"/>
        </w:rPr>
        <w:t>производство</w:t>
      </w:r>
      <w:r w:rsidRPr="00B849DC">
        <w:rPr>
          <w:i/>
          <w:lang w:val="en-US"/>
        </w:rPr>
        <w:t>)</w:t>
      </w:r>
      <w:r w:rsidRPr="00B849DC">
        <w:rPr>
          <w:lang w:val="en-US"/>
        </w:rPr>
        <w:t xml:space="preserve"> </w:t>
      </w:r>
      <w:r w:rsidRPr="00B849DC">
        <w:rPr>
          <w:lang w:val="en-GB"/>
        </w:rPr>
        <w:t xml:space="preserve">are initiated, the execution of the writs of execution should be discontinued and the writs of execution transferred to the liquidator </w:t>
      </w:r>
      <w:r w:rsidRPr="00B849DC">
        <w:rPr>
          <w:i/>
          <w:lang w:val="en-GB"/>
        </w:rPr>
        <w:t>(</w:t>
      </w:r>
      <w:r w:rsidRPr="00B849DC">
        <w:rPr>
          <w:i/>
          <w:lang w:val="ru-RU"/>
        </w:rPr>
        <w:t>конкурсный</w:t>
      </w:r>
      <w:r w:rsidRPr="00B849DC">
        <w:rPr>
          <w:i/>
          <w:lang w:val="en-US"/>
        </w:rPr>
        <w:t xml:space="preserve"> </w:t>
      </w:r>
      <w:r w:rsidRPr="00B849DC">
        <w:rPr>
          <w:i/>
          <w:lang w:val="ru-RU"/>
        </w:rPr>
        <w:t>управляющий</w:t>
      </w:r>
      <w:r w:rsidRPr="00B849DC">
        <w:rPr>
          <w:i/>
          <w:lang w:val="en-US"/>
        </w:rPr>
        <w:t>)</w:t>
      </w:r>
      <w:r w:rsidRPr="00B849DC">
        <w:rPr>
          <w:lang w:val="en-US"/>
        </w:rPr>
        <w:t xml:space="preserve">. </w:t>
      </w:r>
      <w:r w:rsidRPr="00B849DC">
        <w:rPr>
          <w:lang w:val="en-GB"/>
        </w:rPr>
        <w:t>The enforcement should not be discontinued in respect of writs of execution concerning acknowledgment of property right</w:t>
      </w:r>
      <w:r w:rsidRPr="00B849DC" w:rsidR="00EF57B7">
        <w:rPr>
          <w:lang w:val="en-GB"/>
        </w:rPr>
        <w:t>s</w:t>
      </w:r>
      <w:r w:rsidRPr="00B849DC">
        <w:rPr>
          <w:lang w:val="en-GB"/>
        </w:rPr>
        <w:t xml:space="preserve">, compensation </w:t>
      </w:r>
      <w:r w:rsidRPr="00B849DC" w:rsidR="00EF57B7">
        <w:rPr>
          <w:lang w:val="en-GB"/>
        </w:rPr>
        <w:t xml:space="preserve">for </w:t>
      </w:r>
      <w:r w:rsidRPr="00B849DC" w:rsidR="00A1600C">
        <w:rPr>
          <w:lang w:val="en-GB"/>
        </w:rPr>
        <w:t>non</w:t>
      </w:r>
      <w:r w:rsidRPr="00B849DC" w:rsidR="00A1600C">
        <w:rPr>
          <w:lang w:val="en-GB"/>
        </w:rPr>
        <w:noBreakHyphen/>
      </w:r>
      <w:r w:rsidRPr="00B849DC">
        <w:rPr>
          <w:lang w:val="en-GB"/>
        </w:rPr>
        <w:t xml:space="preserve">pecuniary damage, </w:t>
      </w:r>
      <w:r w:rsidRPr="00B849DC">
        <w:rPr>
          <w:rFonts w:ascii="Times New Roman" w:hAnsi="Times New Roman" w:cs="Times New Roman"/>
          <w:szCs w:val="24"/>
          <w:lang w:val="en-US"/>
        </w:rPr>
        <w:t xml:space="preserve">vindication of illegally possessed property, application of the consequences of invalid transactions, </w:t>
      </w:r>
      <w:r w:rsidRPr="00B849DC" w:rsidR="005A4F8F">
        <w:rPr>
          <w:rFonts w:ascii="Times New Roman" w:hAnsi="Times New Roman" w:cs="Times New Roman"/>
          <w:szCs w:val="24"/>
          <w:lang w:val="en-US"/>
        </w:rPr>
        <w:t>and</w:t>
      </w:r>
      <w:r w:rsidRPr="00B849DC">
        <w:rPr>
          <w:rFonts w:ascii="Times New Roman" w:hAnsi="Times New Roman" w:cs="Times New Roman"/>
          <w:szCs w:val="24"/>
          <w:lang w:val="en-US"/>
        </w:rPr>
        <w:t xml:space="preserve"> current payments </w:t>
      </w:r>
      <w:r w:rsidRPr="00B849DC">
        <w:rPr>
          <w:lang w:val="en-US"/>
        </w:rPr>
        <w:t>(</w:t>
      </w:r>
      <w:r w:rsidRPr="00B849DC" w:rsidR="00FF2753">
        <w:rPr>
          <w:lang w:val="en-GB"/>
        </w:rPr>
        <w:t>section </w:t>
      </w:r>
      <w:r w:rsidRPr="00B849DC">
        <w:rPr>
          <w:lang w:val="en-GB"/>
        </w:rPr>
        <w:t>126</w:t>
      </w:r>
      <w:r w:rsidRPr="00B849DC" w:rsidR="00FF2753">
        <w:rPr>
          <w:lang w:val="en-GB"/>
        </w:rPr>
        <w:t>(</w:t>
      </w:r>
      <w:r w:rsidRPr="00B849DC">
        <w:rPr>
          <w:lang w:val="en-GB"/>
        </w:rPr>
        <w:t>1</w:t>
      </w:r>
      <w:r w:rsidRPr="00B849DC" w:rsidR="00FF2753">
        <w:rPr>
          <w:lang w:val="en-GB"/>
        </w:rPr>
        <w:t>)</w:t>
      </w:r>
      <w:r w:rsidRPr="00B849DC">
        <w:rPr>
          <w:lang w:val="en-GB"/>
        </w:rPr>
        <w:t xml:space="preserve"> of the Insolvency Act </w:t>
      </w:r>
      <w:r w:rsidRPr="00B849DC" w:rsidR="00EF57B7">
        <w:rPr>
          <w:lang w:val="en-GB"/>
        </w:rPr>
        <w:t xml:space="preserve">and </w:t>
      </w:r>
      <w:r w:rsidRPr="00B849DC" w:rsidR="00FF2753">
        <w:rPr>
          <w:lang w:val="en-GB"/>
        </w:rPr>
        <w:t>section </w:t>
      </w:r>
      <w:r w:rsidRPr="00B849DC">
        <w:rPr>
          <w:lang w:val="en-GB"/>
        </w:rPr>
        <w:t>96</w:t>
      </w:r>
      <w:r w:rsidRPr="00B849DC" w:rsidR="00FF2753">
        <w:rPr>
          <w:lang w:val="en-GB"/>
        </w:rPr>
        <w:t>(</w:t>
      </w:r>
      <w:r w:rsidRPr="00B849DC">
        <w:rPr>
          <w:lang w:val="en-US"/>
        </w:rPr>
        <w:t>4</w:t>
      </w:r>
      <w:r w:rsidRPr="00B849DC" w:rsidR="00FF2753">
        <w:rPr>
          <w:lang w:val="en-US"/>
        </w:rPr>
        <w:t>)</w:t>
      </w:r>
      <w:r w:rsidRPr="00B849DC">
        <w:rPr>
          <w:lang w:val="en-GB"/>
        </w:rPr>
        <w:t xml:space="preserve"> and </w:t>
      </w:r>
      <w:r w:rsidRPr="00B849DC" w:rsidR="00FF2753">
        <w:rPr>
          <w:lang w:val="en-GB"/>
        </w:rPr>
        <w:t>(</w:t>
      </w:r>
      <w:r w:rsidRPr="00B849DC">
        <w:rPr>
          <w:lang w:val="en-GB"/>
        </w:rPr>
        <w:t>5</w:t>
      </w:r>
      <w:r w:rsidRPr="00B849DC" w:rsidR="00FF2753">
        <w:rPr>
          <w:lang w:val="en-GB"/>
        </w:rPr>
        <w:t>)</w:t>
      </w:r>
      <w:r w:rsidRPr="00B849DC">
        <w:rPr>
          <w:lang w:val="en-GB"/>
        </w:rPr>
        <w:t xml:space="preserve"> of the Enforcement Act of 2007)</w:t>
      </w:r>
      <w:r w:rsidRPr="00B849DC">
        <w:rPr>
          <w:rFonts w:ascii="Times New Roman" w:hAnsi="Times New Roman" w:cs="Times New Roman"/>
          <w:i/>
          <w:szCs w:val="24"/>
          <w:lang w:val="en-US"/>
        </w:rPr>
        <w:t xml:space="preserve">. </w:t>
      </w:r>
      <w:r w:rsidRPr="00B849DC">
        <w:rPr>
          <w:rFonts w:ascii="Times New Roman" w:hAnsi="Times New Roman" w:cs="Times New Roman"/>
          <w:szCs w:val="24"/>
          <w:lang w:val="en-US"/>
        </w:rPr>
        <w:t>A bailiff, acting upon a creditor</w:t>
      </w:r>
      <w:r w:rsidRPr="00B849DC" w:rsidR="00B849DC">
        <w:rPr>
          <w:rFonts w:ascii="Times New Roman" w:hAnsi="Times New Roman" w:cs="Times New Roman"/>
          <w:szCs w:val="24"/>
          <w:lang w:val="en-US"/>
        </w:rPr>
        <w:t>’</w:t>
      </w:r>
      <w:r w:rsidRPr="00B849DC">
        <w:rPr>
          <w:rFonts w:ascii="Times New Roman" w:hAnsi="Times New Roman" w:cs="Times New Roman"/>
          <w:szCs w:val="24"/>
          <w:lang w:val="en-US"/>
        </w:rPr>
        <w:t xml:space="preserve">s application, is entitled to verify </w:t>
      </w:r>
      <w:r w:rsidRPr="00B849DC" w:rsidR="00EF57B7">
        <w:rPr>
          <w:rFonts w:ascii="Times New Roman" w:hAnsi="Times New Roman" w:cs="Times New Roman"/>
          <w:szCs w:val="24"/>
          <w:lang w:val="en-US"/>
        </w:rPr>
        <w:t xml:space="preserve">the </w:t>
      </w:r>
      <w:r w:rsidRPr="00B849DC">
        <w:rPr>
          <w:rFonts w:ascii="Times New Roman" w:hAnsi="Times New Roman" w:cs="Times New Roman"/>
          <w:szCs w:val="24"/>
          <w:lang w:val="en-US"/>
        </w:rPr>
        <w:t>correctness of the execution of the writs forwarded to the liquidator (</w:t>
      </w:r>
      <w:r w:rsidRPr="00B849DC" w:rsidR="00FF2753">
        <w:rPr>
          <w:rFonts w:ascii="Times New Roman" w:hAnsi="Times New Roman" w:cs="Times New Roman"/>
          <w:szCs w:val="24"/>
          <w:lang w:val="en-US"/>
        </w:rPr>
        <w:t>section </w:t>
      </w:r>
      <w:r w:rsidRPr="00B849DC">
        <w:rPr>
          <w:rFonts w:ascii="Times New Roman" w:hAnsi="Times New Roman" w:cs="Times New Roman"/>
          <w:szCs w:val="24"/>
          <w:lang w:val="en-US"/>
        </w:rPr>
        <w:t>96</w:t>
      </w:r>
      <w:r w:rsidRPr="00B849DC" w:rsidR="00FF2753">
        <w:rPr>
          <w:rFonts w:ascii="Times New Roman" w:hAnsi="Times New Roman" w:cs="Times New Roman"/>
          <w:szCs w:val="24"/>
          <w:lang w:val="en-US"/>
        </w:rPr>
        <w:t>(</w:t>
      </w:r>
      <w:r w:rsidRPr="00B849DC">
        <w:rPr>
          <w:rFonts w:ascii="Times New Roman" w:hAnsi="Times New Roman" w:cs="Times New Roman"/>
          <w:szCs w:val="24"/>
          <w:lang w:val="en-US"/>
        </w:rPr>
        <w:t>6</w:t>
      </w:r>
      <w:r w:rsidRPr="00B849DC" w:rsidR="00FF2753">
        <w:rPr>
          <w:rFonts w:ascii="Times New Roman" w:hAnsi="Times New Roman" w:cs="Times New Roman"/>
          <w:szCs w:val="24"/>
          <w:lang w:val="en-US"/>
        </w:rPr>
        <w:t>)</w:t>
      </w:r>
      <w:r w:rsidRPr="00B849DC">
        <w:rPr>
          <w:rFonts w:ascii="Times New Roman" w:hAnsi="Times New Roman" w:cs="Times New Roman"/>
          <w:szCs w:val="24"/>
          <w:lang w:val="en-US"/>
        </w:rPr>
        <w:t xml:space="preserve"> of the </w:t>
      </w:r>
      <w:r w:rsidRPr="00B849DC">
        <w:rPr>
          <w:lang w:val="en-GB"/>
        </w:rPr>
        <w:t>Enforcement Act of 2007).</w:t>
      </w:r>
    </w:p>
    <w:p w:rsidRPr="00B849DC" w:rsidR="00B66B61" w:rsidP="00B849DC" w:rsidRDefault="00B66B61">
      <w:pPr>
        <w:pStyle w:val="ECHRHeading4"/>
        <w:rPr>
          <w:lang w:val="en-US"/>
        </w:rPr>
      </w:pPr>
      <w:r w:rsidRPr="00B849DC">
        <w:rPr>
          <w:lang w:val="en-US"/>
        </w:rPr>
        <w:t>(b)  Binding clarifications by the Supreme Commercial Court</w:t>
      </w:r>
    </w:p>
    <w:p w:rsidRPr="00B849DC" w:rsidR="00B66B61" w:rsidP="00B849DC" w:rsidRDefault="00B66B61">
      <w:pPr>
        <w:pStyle w:val="ECHRPara"/>
        <w:rPr>
          <w:lang w:val="en-US"/>
        </w:rPr>
      </w:pPr>
      <w:r w:rsidRPr="00B849DC">
        <w:rPr>
          <w:lang w:val="en-US"/>
        </w:rPr>
        <w:fldChar w:fldCharType="begin"/>
      </w:r>
      <w:r w:rsidRPr="00B849DC">
        <w:rPr>
          <w:lang w:val="en-US"/>
        </w:rPr>
        <w:instrText xml:space="preserve"> SEQ level0 \*arabic </w:instrText>
      </w:r>
      <w:r w:rsidRPr="00B849DC">
        <w:rPr>
          <w:lang w:val="en-US"/>
        </w:rPr>
        <w:fldChar w:fldCharType="separate"/>
      </w:r>
      <w:r w:rsidRPr="00B849DC" w:rsidR="00B849DC">
        <w:rPr>
          <w:noProof/>
          <w:lang w:val="en-US"/>
        </w:rPr>
        <w:t>115</w:t>
      </w:r>
      <w:r w:rsidRPr="00B849DC">
        <w:rPr>
          <w:lang w:val="en-GB"/>
        </w:rPr>
        <w:fldChar w:fldCharType="end"/>
      </w:r>
      <w:r w:rsidRPr="00B849DC">
        <w:rPr>
          <w:lang w:val="en-US"/>
        </w:rPr>
        <w:t>.  By Ruling no. 59 of 23</w:t>
      </w:r>
      <w:r w:rsidRPr="00B849DC" w:rsidR="00DE0F59">
        <w:rPr>
          <w:lang w:val="en-US"/>
        </w:rPr>
        <w:t> </w:t>
      </w:r>
      <w:r w:rsidRPr="00B849DC">
        <w:rPr>
          <w:lang w:val="en-US"/>
        </w:rPr>
        <w:t xml:space="preserve">July 2009 the Plenary Supreme Commercial Court of Russia emphasised that </w:t>
      </w:r>
      <w:r w:rsidRPr="00B849DC" w:rsidR="000D6F52">
        <w:rPr>
          <w:lang w:val="en-US"/>
        </w:rPr>
        <w:t xml:space="preserve">the </w:t>
      </w:r>
      <w:r w:rsidRPr="00B849DC">
        <w:rPr>
          <w:lang w:val="en-US"/>
        </w:rPr>
        <w:t xml:space="preserve">transfer of the writs of execution to the liquidator does not absolve the insolvency creditors or a competent authority </w:t>
      </w:r>
      <w:r w:rsidRPr="00B849DC" w:rsidR="00164E62">
        <w:rPr>
          <w:lang w:val="en-US"/>
        </w:rPr>
        <w:t xml:space="preserve">of the responsibility to lodge </w:t>
      </w:r>
      <w:r w:rsidRPr="00B849DC">
        <w:rPr>
          <w:lang w:val="en-US"/>
        </w:rPr>
        <w:t xml:space="preserve">the respective claims </w:t>
      </w:r>
      <w:r w:rsidRPr="00B849DC" w:rsidR="00164E62">
        <w:rPr>
          <w:lang w:val="en-US"/>
        </w:rPr>
        <w:t xml:space="preserve">with </w:t>
      </w:r>
      <w:r w:rsidRPr="00B849DC">
        <w:rPr>
          <w:lang w:val="en-US"/>
        </w:rPr>
        <w:t xml:space="preserve">the courts on the basis of </w:t>
      </w:r>
      <w:r w:rsidRPr="00B849DC" w:rsidR="00FF2753">
        <w:rPr>
          <w:lang w:val="en-US"/>
        </w:rPr>
        <w:t>section </w:t>
      </w:r>
      <w:r w:rsidRPr="00B849DC">
        <w:rPr>
          <w:lang w:val="en-US"/>
        </w:rPr>
        <w:t>142</w:t>
      </w:r>
      <w:r w:rsidRPr="00B849DC" w:rsidR="00FF2753">
        <w:rPr>
          <w:lang w:val="en-US"/>
        </w:rPr>
        <w:t>(</w:t>
      </w:r>
      <w:r w:rsidRPr="00B849DC">
        <w:rPr>
          <w:lang w:val="en-US"/>
        </w:rPr>
        <w:t>1</w:t>
      </w:r>
      <w:r w:rsidRPr="00B849DC" w:rsidR="00FF2753">
        <w:rPr>
          <w:lang w:val="en-US"/>
        </w:rPr>
        <w:t>)</w:t>
      </w:r>
      <w:r w:rsidRPr="00B849DC">
        <w:rPr>
          <w:lang w:val="en-US"/>
        </w:rPr>
        <w:t xml:space="preserve"> of the Insolvency Act</w:t>
      </w:r>
      <w:r w:rsidRPr="00B849DC" w:rsidR="00055EBF">
        <w:rPr>
          <w:lang w:val="en-US"/>
        </w:rPr>
        <w:t xml:space="preserve"> (see paragraph </w:t>
      </w:r>
      <w:r w:rsidRPr="00B849DC" w:rsidR="004458BC">
        <w:rPr>
          <w:lang w:val="en-US"/>
        </w:rPr>
        <w:t>87</w:t>
      </w:r>
      <w:r w:rsidRPr="00B849DC" w:rsidR="00055EBF">
        <w:rPr>
          <w:lang w:val="en-US"/>
        </w:rPr>
        <w:t xml:space="preserve"> above)</w:t>
      </w:r>
      <w:r w:rsidRPr="00B849DC">
        <w:rPr>
          <w:lang w:val="en-US"/>
        </w:rPr>
        <w:t>. A liquidator, acting in the creditors</w:t>
      </w:r>
      <w:r w:rsidRPr="00B849DC" w:rsidR="00B849DC">
        <w:rPr>
          <w:lang w:val="en-US"/>
        </w:rPr>
        <w:t>’</w:t>
      </w:r>
      <w:r w:rsidRPr="00B849DC">
        <w:rPr>
          <w:lang w:val="en-US"/>
        </w:rPr>
        <w:t xml:space="preserve"> interests, is under the obligation to immediately notify the claimants of the receipt of the respective writs of execution. The time-limit for </w:t>
      </w:r>
      <w:r w:rsidRPr="00B849DC" w:rsidR="00D26D2B">
        <w:rPr>
          <w:lang w:val="en-US"/>
        </w:rPr>
        <w:t>making such</w:t>
      </w:r>
      <w:r w:rsidRPr="00B849DC">
        <w:rPr>
          <w:lang w:val="en-US"/>
        </w:rPr>
        <w:t xml:space="preserve"> </w:t>
      </w:r>
      <w:r w:rsidRPr="00B849DC" w:rsidR="000D6F52">
        <w:rPr>
          <w:lang w:val="en-US"/>
        </w:rPr>
        <w:t xml:space="preserve">a </w:t>
      </w:r>
      <w:r w:rsidRPr="00B849DC">
        <w:rPr>
          <w:lang w:val="en-US"/>
        </w:rPr>
        <w:t xml:space="preserve">claim starts running from the date of </w:t>
      </w:r>
      <w:r w:rsidRPr="00B849DC" w:rsidR="000D6F52">
        <w:rPr>
          <w:lang w:val="en-US"/>
        </w:rPr>
        <w:t xml:space="preserve">that </w:t>
      </w:r>
      <w:r w:rsidRPr="00B849DC">
        <w:rPr>
          <w:lang w:val="en-US"/>
        </w:rPr>
        <w:t>notification (§ 15 of the Ruling).</w:t>
      </w:r>
    </w:p>
    <w:p w:rsidRPr="00B849DC" w:rsidR="00B66B61" w:rsidP="00B849DC" w:rsidRDefault="00081478">
      <w:pPr>
        <w:pStyle w:val="ECHRHeading2"/>
        <w:rPr>
          <w:lang w:val="en-US"/>
        </w:rPr>
      </w:pPr>
      <w:r w:rsidRPr="00B849DC">
        <w:rPr>
          <w:lang w:val="en-US"/>
        </w:rPr>
        <w:t>G</w:t>
      </w:r>
      <w:r w:rsidRPr="00B849DC" w:rsidR="00B66B61">
        <w:rPr>
          <w:lang w:val="en-US"/>
        </w:rPr>
        <w:t xml:space="preserve">.  Relevant domestic law on the remedies </w:t>
      </w:r>
      <w:r w:rsidRPr="00B849DC" w:rsidR="00164E62">
        <w:rPr>
          <w:lang w:val="en-US"/>
        </w:rPr>
        <w:t xml:space="preserve">for </w:t>
      </w:r>
      <w:r w:rsidRPr="00B849DC" w:rsidR="0087244D">
        <w:rPr>
          <w:lang w:val="en-US"/>
        </w:rPr>
        <w:t>non</w:t>
      </w:r>
      <w:r w:rsidRPr="00B849DC" w:rsidR="0087244D">
        <w:rPr>
          <w:lang w:val="en-US"/>
        </w:rPr>
        <w:noBreakHyphen/>
      </w:r>
      <w:r w:rsidRPr="00B849DC" w:rsidR="006E6C90">
        <w:rPr>
          <w:lang w:val="en-US"/>
        </w:rPr>
        <w:t xml:space="preserve">enforcement </w:t>
      </w:r>
      <w:r w:rsidRPr="00B849DC" w:rsidR="00B66B61">
        <w:rPr>
          <w:lang w:val="en-US"/>
        </w:rPr>
        <w:t>referred to by the parties</w:t>
      </w:r>
    </w:p>
    <w:p w:rsidRPr="00B849DC" w:rsidR="00B66B61" w:rsidP="00B849DC" w:rsidRDefault="00B66B61">
      <w:pPr>
        <w:pStyle w:val="ECHRHeading3"/>
        <w:rPr>
          <w:lang w:val="en-GB"/>
        </w:rPr>
      </w:pPr>
      <w:r w:rsidRPr="00B849DC">
        <w:rPr>
          <w:lang w:val="en-US"/>
        </w:rPr>
        <w:t xml:space="preserve">1.  Applicability of the Federal Compensation Act of </w:t>
      </w:r>
      <w:r w:rsidRPr="00B849DC">
        <w:rPr>
          <w:lang w:val="en-GB"/>
        </w:rPr>
        <w:t>30 April 2010</w:t>
      </w:r>
    </w:p>
    <w:p w:rsidRPr="00B849DC" w:rsidR="00B66B61" w:rsidP="00B849DC" w:rsidRDefault="00B66B61">
      <w:pPr>
        <w:pStyle w:val="ECHRPara"/>
        <w:rPr>
          <w:lang w:val="en-US"/>
        </w:rPr>
      </w:pPr>
      <w:r w:rsidRPr="00B849DC">
        <w:rPr>
          <w:lang w:val="en-US"/>
        </w:rPr>
        <w:fldChar w:fldCharType="begin"/>
      </w:r>
      <w:r w:rsidRPr="00B849DC">
        <w:rPr>
          <w:lang w:val="en-US"/>
        </w:rPr>
        <w:instrText xml:space="preserve"> SEQ level0 \*arabic </w:instrText>
      </w:r>
      <w:r w:rsidRPr="00B849DC">
        <w:rPr>
          <w:lang w:val="en-US"/>
        </w:rPr>
        <w:fldChar w:fldCharType="separate"/>
      </w:r>
      <w:r w:rsidRPr="00B849DC" w:rsidR="00B849DC">
        <w:rPr>
          <w:noProof/>
          <w:lang w:val="en-US"/>
        </w:rPr>
        <w:t>116</w:t>
      </w:r>
      <w:r w:rsidRPr="00B849DC">
        <w:rPr>
          <w:lang w:val="en-US"/>
        </w:rPr>
        <w:fldChar w:fldCharType="end"/>
      </w:r>
      <w:r w:rsidRPr="00B849DC">
        <w:rPr>
          <w:lang w:val="en-US"/>
        </w:rPr>
        <w:t>.  </w:t>
      </w:r>
      <w:r w:rsidRPr="00B849DC">
        <w:rPr>
          <w:rFonts w:ascii="Times New Roman" w:hAnsi="Times New Roman" w:cs="Times New Roman"/>
          <w:color w:val="000000"/>
          <w:lang w:val="en-US"/>
        </w:rPr>
        <w:t>Section 1 § 1 of Federal Law № 68-</w:t>
      </w:r>
      <w:r w:rsidRPr="00B849DC" w:rsidR="0076377E">
        <w:rPr>
          <w:lang w:val="en-US" w:eastAsia="en-US"/>
        </w:rPr>
        <w:t xml:space="preserve"> </w:t>
      </w:r>
      <w:r w:rsidRPr="00B849DC" w:rsidR="0076377E">
        <w:rPr>
          <w:rFonts w:ascii="Times New Roman" w:hAnsi="Times New Roman" w:cs="Times New Roman"/>
          <w:i/>
          <w:iCs/>
          <w:color w:val="000000"/>
          <w:lang w:val="en-US"/>
        </w:rPr>
        <w:t>FZ</w:t>
      </w:r>
      <w:r w:rsidRPr="00B849DC">
        <w:rPr>
          <w:rFonts w:ascii="Times New Roman" w:hAnsi="Times New Roman" w:cs="Times New Roman"/>
          <w:color w:val="000000"/>
          <w:lang w:val="en-US"/>
        </w:rPr>
        <w:t xml:space="preserve"> of 30 April 2010 (in force as of 4 May 2010) </w:t>
      </w:r>
      <w:r w:rsidRPr="00B849DC" w:rsidR="00804E1B">
        <w:rPr>
          <w:rFonts w:ascii="Times New Roman" w:hAnsi="Times New Roman" w:cs="Times New Roman"/>
          <w:color w:val="000000"/>
          <w:lang w:val="en-US"/>
        </w:rPr>
        <w:t>o</w:t>
      </w:r>
      <w:r w:rsidRPr="00B849DC">
        <w:rPr>
          <w:rFonts w:ascii="Times New Roman" w:hAnsi="Times New Roman" w:cs="Times New Roman"/>
          <w:color w:val="000000"/>
          <w:lang w:val="en-US"/>
        </w:rPr>
        <w:t xml:space="preserve">n </w:t>
      </w:r>
      <w:r w:rsidRPr="00B849DC" w:rsidR="00164E62">
        <w:rPr>
          <w:rFonts w:ascii="Times New Roman" w:hAnsi="Times New Roman" w:cs="Times New Roman"/>
          <w:color w:val="000000"/>
          <w:lang w:val="en-US"/>
        </w:rPr>
        <w:t xml:space="preserve">compensation </w:t>
      </w:r>
      <w:r w:rsidRPr="00B849DC">
        <w:rPr>
          <w:rFonts w:ascii="Times New Roman" w:hAnsi="Times New Roman" w:cs="Times New Roman"/>
          <w:color w:val="000000"/>
          <w:lang w:val="en-US"/>
        </w:rPr>
        <w:t xml:space="preserve">for </w:t>
      </w:r>
      <w:r w:rsidRPr="00B849DC" w:rsidR="00164E62">
        <w:rPr>
          <w:rFonts w:ascii="Times New Roman" w:hAnsi="Times New Roman" w:cs="Times New Roman"/>
          <w:color w:val="000000"/>
          <w:lang w:val="en-US"/>
        </w:rPr>
        <w:t xml:space="preserve">violation </w:t>
      </w:r>
      <w:r w:rsidRPr="00B849DC">
        <w:rPr>
          <w:rFonts w:ascii="Times New Roman" w:hAnsi="Times New Roman" w:cs="Times New Roman"/>
          <w:color w:val="000000"/>
          <w:lang w:val="en-US"/>
        </w:rPr>
        <w:t xml:space="preserve">of the </w:t>
      </w:r>
      <w:r w:rsidRPr="00B849DC" w:rsidR="00164E62">
        <w:rPr>
          <w:rFonts w:ascii="Times New Roman" w:hAnsi="Times New Roman" w:cs="Times New Roman"/>
          <w:color w:val="000000"/>
          <w:lang w:val="en-US"/>
        </w:rPr>
        <w:t xml:space="preserve">right </w:t>
      </w:r>
      <w:r w:rsidRPr="00B849DC">
        <w:rPr>
          <w:rFonts w:ascii="Times New Roman" w:hAnsi="Times New Roman" w:cs="Times New Roman"/>
          <w:color w:val="000000"/>
          <w:lang w:val="en-US"/>
        </w:rPr>
        <w:t xml:space="preserve">to </w:t>
      </w:r>
      <w:r w:rsidRPr="00B849DC" w:rsidR="00164E62">
        <w:rPr>
          <w:rFonts w:ascii="Times New Roman" w:hAnsi="Times New Roman" w:cs="Times New Roman"/>
          <w:color w:val="000000"/>
          <w:lang w:val="en-US"/>
        </w:rPr>
        <w:t xml:space="preserve">trial </w:t>
      </w:r>
      <w:r w:rsidRPr="00B849DC">
        <w:rPr>
          <w:rFonts w:ascii="Times New Roman" w:hAnsi="Times New Roman" w:cs="Times New Roman"/>
          <w:color w:val="000000"/>
          <w:lang w:val="en-US"/>
        </w:rPr>
        <w:t xml:space="preserve">within a </w:t>
      </w:r>
      <w:r w:rsidRPr="00B849DC" w:rsidR="00164E62">
        <w:rPr>
          <w:rFonts w:ascii="Times New Roman" w:hAnsi="Times New Roman" w:cs="Times New Roman"/>
          <w:color w:val="000000"/>
          <w:lang w:val="en-US"/>
        </w:rPr>
        <w:t xml:space="preserve">reasonable time </w:t>
      </w:r>
      <w:r w:rsidRPr="00B849DC">
        <w:rPr>
          <w:rFonts w:ascii="Times New Roman" w:hAnsi="Times New Roman" w:cs="Times New Roman"/>
          <w:color w:val="000000"/>
          <w:lang w:val="en-US"/>
        </w:rPr>
        <w:t xml:space="preserve">or the </w:t>
      </w:r>
      <w:r w:rsidRPr="00B849DC" w:rsidR="00164E62">
        <w:rPr>
          <w:rFonts w:ascii="Times New Roman" w:hAnsi="Times New Roman" w:cs="Times New Roman"/>
          <w:color w:val="000000"/>
          <w:lang w:val="en-US"/>
        </w:rPr>
        <w:t xml:space="preserve">right </w:t>
      </w:r>
      <w:r w:rsidRPr="00B849DC">
        <w:rPr>
          <w:rFonts w:ascii="Times New Roman" w:hAnsi="Times New Roman" w:cs="Times New Roman"/>
          <w:color w:val="000000"/>
          <w:lang w:val="en-US"/>
        </w:rPr>
        <w:t xml:space="preserve">to </w:t>
      </w:r>
      <w:r w:rsidRPr="00B849DC" w:rsidR="00164E62">
        <w:rPr>
          <w:rFonts w:ascii="Times New Roman" w:hAnsi="Times New Roman" w:cs="Times New Roman"/>
          <w:color w:val="000000"/>
          <w:lang w:val="en-US"/>
        </w:rPr>
        <w:t xml:space="preserve">enforcement </w:t>
      </w:r>
      <w:r w:rsidRPr="00B849DC">
        <w:rPr>
          <w:rFonts w:ascii="Times New Roman" w:hAnsi="Times New Roman" w:cs="Times New Roman"/>
          <w:color w:val="000000"/>
          <w:lang w:val="en-US"/>
        </w:rPr>
        <w:t xml:space="preserve">of a </w:t>
      </w:r>
      <w:r w:rsidRPr="00B849DC" w:rsidR="00164E62">
        <w:rPr>
          <w:rFonts w:ascii="Times New Roman" w:hAnsi="Times New Roman" w:cs="Times New Roman"/>
          <w:color w:val="000000"/>
          <w:lang w:val="en-US"/>
        </w:rPr>
        <w:t xml:space="preserve">judgment </w:t>
      </w:r>
      <w:r w:rsidRPr="00B849DC">
        <w:rPr>
          <w:rFonts w:ascii="Times New Roman" w:hAnsi="Times New Roman" w:cs="Times New Roman"/>
          <w:color w:val="000000"/>
          <w:lang w:val="en-US"/>
        </w:rPr>
        <w:t xml:space="preserve">within a </w:t>
      </w:r>
      <w:r w:rsidRPr="00B849DC" w:rsidR="00164E62">
        <w:rPr>
          <w:rFonts w:ascii="Times New Roman" w:hAnsi="Times New Roman" w:cs="Times New Roman"/>
          <w:color w:val="000000"/>
          <w:lang w:val="en-US"/>
        </w:rPr>
        <w:t>reasonable time</w:t>
      </w:r>
      <w:r w:rsidRPr="00B849DC">
        <w:rPr>
          <w:rFonts w:ascii="Times New Roman" w:hAnsi="Times New Roman" w:cs="Times New Roman"/>
          <w:color w:val="000000"/>
          <w:lang w:val="en-US"/>
        </w:rPr>
        <w:t xml:space="preserve"> (“the</w:t>
      </w:r>
      <w:r w:rsidRPr="00B849DC">
        <w:rPr>
          <w:lang w:val="en-US"/>
        </w:rPr>
        <w:t xml:space="preserve"> Compensation Act”) </w:t>
      </w:r>
      <w:r w:rsidRPr="00B849DC">
        <w:rPr>
          <w:rFonts w:ascii="Times New Roman" w:hAnsi="Times New Roman" w:cs="Times New Roman"/>
          <w:color w:val="000000"/>
          <w:lang w:val="en-US"/>
        </w:rPr>
        <w:t xml:space="preserve">entitles a </w:t>
      </w:r>
      <w:r w:rsidRPr="00B849DC" w:rsidR="00164E62">
        <w:rPr>
          <w:rFonts w:ascii="Times New Roman" w:hAnsi="Times New Roman" w:cs="Times New Roman"/>
          <w:color w:val="000000"/>
          <w:lang w:val="en-US"/>
        </w:rPr>
        <w:t xml:space="preserve">concerned </w:t>
      </w:r>
      <w:r w:rsidRPr="00B849DC">
        <w:rPr>
          <w:rFonts w:ascii="Times New Roman" w:hAnsi="Times New Roman" w:cs="Times New Roman"/>
          <w:color w:val="000000"/>
          <w:lang w:val="en-US"/>
        </w:rPr>
        <w:t xml:space="preserve">party to bring a court action for compensation </w:t>
      </w:r>
      <w:r w:rsidRPr="00B849DC" w:rsidR="00164E62">
        <w:rPr>
          <w:rFonts w:ascii="Times New Roman" w:hAnsi="Times New Roman" w:cs="Times New Roman"/>
          <w:color w:val="000000"/>
          <w:lang w:val="en-US"/>
        </w:rPr>
        <w:t xml:space="preserve">for </w:t>
      </w:r>
      <w:r w:rsidRPr="00B849DC">
        <w:rPr>
          <w:rFonts w:ascii="Times New Roman" w:hAnsi="Times New Roman" w:cs="Times New Roman"/>
          <w:color w:val="000000"/>
          <w:lang w:val="en-US"/>
        </w:rPr>
        <w:t xml:space="preserve">a violation of his or her right to enforcement within </w:t>
      </w:r>
      <w:r w:rsidRPr="00B849DC" w:rsidR="00164E62">
        <w:rPr>
          <w:rFonts w:ascii="Times New Roman" w:hAnsi="Times New Roman" w:cs="Times New Roman"/>
          <w:color w:val="000000"/>
          <w:lang w:val="en-US"/>
        </w:rPr>
        <w:t xml:space="preserve">a </w:t>
      </w:r>
      <w:r w:rsidRPr="00B849DC">
        <w:rPr>
          <w:rFonts w:ascii="Times New Roman" w:hAnsi="Times New Roman" w:cs="Times New Roman"/>
          <w:color w:val="000000"/>
          <w:lang w:val="en-US"/>
        </w:rPr>
        <w:t xml:space="preserve">reasonable time of a domestic judgment establishing a debt to be recovered from </w:t>
      </w:r>
      <w:r w:rsidRPr="00B849DC" w:rsidR="00164E62">
        <w:rPr>
          <w:rFonts w:ascii="Times New Roman" w:hAnsi="Times New Roman" w:cs="Times New Roman"/>
          <w:color w:val="000000"/>
          <w:lang w:val="en-US"/>
        </w:rPr>
        <w:t xml:space="preserve">the </w:t>
      </w:r>
      <w:r w:rsidRPr="00B849DC">
        <w:rPr>
          <w:rFonts w:ascii="Times New Roman" w:hAnsi="Times New Roman" w:cs="Times New Roman"/>
          <w:color w:val="000000"/>
          <w:lang w:val="en-US"/>
        </w:rPr>
        <w:t>State budget.</w:t>
      </w:r>
    </w:p>
    <w:p w:rsidRPr="00B849DC" w:rsidR="00B66B61" w:rsidP="00B849DC" w:rsidRDefault="00B66B61">
      <w:pPr>
        <w:pStyle w:val="ECHRPara"/>
        <w:rPr>
          <w:lang w:val="en-US"/>
        </w:rPr>
      </w:pPr>
      <w:r w:rsidRPr="00B849DC">
        <w:rPr>
          <w:lang w:val="en-US"/>
        </w:rPr>
        <w:fldChar w:fldCharType="begin"/>
      </w:r>
      <w:r w:rsidRPr="00B849DC">
        <w:rPr>
          <w:lang w:val="en-US"/>
        </w:rPr>
        <w:instrText xml:space="preserve"> SEQ level0 \*arabic </w:instrText>
      </w:r>
      <w:r w:rsidRPr="00B849DC">
        <w:rPr>
          <w:lang w:val="en-US"/>
        </w:rPr>
        <w:fldChar w:fldCharType="separate"/>
      </w:r>
      <w:r w:rsidRPr="00B849DC" w:rsidR="00B849DC">
        <w:rPr>
          <w:noProof/>
          <w:lang w:val="en-US"/>
        </w:rPr>
        <w:t>117</w:t>
      </w:r>
      <w:r w:rsidRPr="00B849DC">
        <w:rPr>
          <w:lang w:val="en-US"/>
        </w:rPr>
        <w:fldChar w:fldCharType="end"/>
      </w:r>
      <w:r w:rsidRPr="00B849DC">
        <w:rPr>
          <w:lang w:val="en-US"/>
        </w:rPr>
        <w:t xml:space="preserve">.  By Ruling no. 130/64 of 23 December 2010 the Plenary Session of the Supreme Court and the Supreme Commercial Court of Russia jointly decided that the Compensation Act </w:t>
      </w:r>
      <w:r w:rsidRPr="00B849DC" w:rsidR="00164E62">
        <w:rPr>
          <w:lang w:val="en-US"/>
        </w:rPr>
        <w:t xml:space="preserve">did </w:t>
      </w:r>
      <w:r w:rsidRPr="00B849DC">
        <w:rPr>
          <w:lang w:val="en-US"/>
        </w:rPr>
        <w:t xml:space="preserve">not apply to claims for compensation for delayed enforcement of judgments against private individuals </w:t>
      </w:r>
      <w:r w:rsidRPr="00B849DC" w:rsidR="00164E62">
        <w:rPr>
          <w:lang w:val="en-US"/>
        </w:rPr>
        <w:t>or</w:t>
      </w:r>
      <w:r w:rsidRPr="00B849DC">
        <w:rPr>
          <w:lang w:val="en-US"/>
        </w:rPr>
        <w:t xml:space="preserve"> organisations not in receipt of budget funds.</w:t>
      </w:r>
    </w:p>
    <w:p w:rsidRPr="00B849DC" w:rsidR="00B66B61" w:rsidP="00B849DC" w:rsidRDefault="00B66B61">
      <w:pPr>
        <w:pStyle w:val="ECHRPara"/>
        <w:rPr>
          <w:lang w:val="en-US"/>
        </w:rPr>
      </w:pPr>
      <w:r w:rsidRPr="00B849DC">
        <w:rPr>
          <w:lang w:val="en-US"/>
        </w:rPr>
        <w:fldChar w:fldCharType="begin"/>
      </w:r>
      <w:r w:rsidRPr="00B849DC">
        <w:rPr>
          <w:lang w:val="en-US"/>
        </w:rPr>
        <w:instrText xml:space="preserve"> SEQ level0 \*arabic </w:instrText>
      </w:r>
      <w:r w:rsidRPr="00B849DC">
        <w:rPr>
          <w:lang w:val="en-US"/>
        </w:rPr>
        <w:fldChar w:fldCharType="separate"/>
      </w:r>
      <w:r w:rsidRPr="00B849DC" w:rsidR="00B849DC">
        <w:rPr>
          <w:noProof/>
          <w:lang w:val="en-US"/>
        </w:rPr>
        <w:t>118</w:t>
      </w:r>
      <w:r w:rsidRPr="00B849DC">
        <w:rPr>
          <w:lang w:val="en-US"/>
        </w:rPr>
        <w:fldChar w:fldCharType="end"/>
      </w:r>
      <w:r w:rsidRPr="00B849DC">
        <w:rPr>
          <w:lang w:val="en-US"/>
        </w:rPr>
        <w:t xml:space="preserve">.  Article 6 of the Budget Code of the Russian Federation contains a list of entities “in receipt of budget funds” </w:t>
      </w:r>
      <w:r w:rsidRPr="00B849DC">
        <w:rPr>
          <w:i/>
          <w:lang w:val="en-US"/>
        </w:rPr>
        <w:t>(</w:t>
      </w:r>
      <w:r w:rsidRPr="00B849DC">
        <w:rPr>
          <w:i/>
          <w:lang w:val="ru-RU"/>
        </w:rPr>
        <w:t>получатели</w:t>
      </w:r>
      <w:r w:rsidRPr="00B849DC">
        <w:rPr>
          <w:i/>
          <w:lang w:val="en-US"/>
        </w:rPr>
        <w:t xml:space="preserve"> </w:t>
      </w:r>
      <w:r w:rsidRPr="00B849DC">
        <w:rPr>
          <w:i/>
          <w:lang w:val="ru-RU"/>
        </w:rPr>
        <w:t>бюджетных</w:t>
      </w:r>
      <w:r w:rsidRPr="00B849DC">
        <w:rPr>
          <w:i/>
          <w:lang w:val="en-US"/>
        </w:rPr>
        <w:t xml:space="preserve"> </w:t>
      </w:r>
      <w:r w:rsidRPr="00B849DC">
        <w:rPr>
          <w:i/>
          <w:lang w:val="ru-RU"/>
        </w:rPr>
        <w:t>средств</w:t>
      </w:r>
      <w:r w:rsidRPr="00B849DC">
        <w:rPr>
          <w:lang w:val="en-US"/>
        </w:rPr>
        <w:t xml:space="preserve">). The list includes, in particular, public institutions and does not </w:t>
      </w:r>
      <w:r w:rsidRPr="00B849DC" w:rsidR="00A23ACF">
        <w:rPr>
          <w:lang w:val="en-US"/>
        </w:rPr>
        <w:t xml:space="preserve">contain </w:t>
      </w:r>
      <w:r w:rsidRPr="00B849DC">
        <w:rPr>
          <w:lang w:val="en-US"/>
        </w:rPr>
        <w:t>any reference to unitary enterprises.</w:t>
      </w:r>
    </w:p>
    <w:p w:rsidRPr="00B849DC" w:rsidR="00B66B61" w:rsidP="00B849DC" w:rsidRDefault="00B66B61">
      <w:pPr>
        <w:pStyle w:val="ECHRHeading3"/>
        <w:rPr>
          <w:lang w:val="en-US"/>
        </w:rPr>
      </w:pPr>
      <w:r w:rsidRPr="00B849DC">
        <w:rPr>
          <w:lang w:val="en-US"/>
        </w:rPr>
        <w:t>2.  Challenging the bailiffs</w:t>
      </w:r>
      <w:r w:rsidRPr="00B849DC" w:rsidR="00B849DC">
        <w:rPr>
          <w:lang w:val="en-US"/>
        </w:rPr>
        <w:t>’</w:t>
      </w:r>
      <w:r w:rsidRPr="00B849DC">
        <w:rPr>
          <w:lang w:val="en-US"/>
        </w:rPr>
        <w:t xml:space="preserve"> actions</w:t>
      </w:r>
    </w:p>
    <w:p w:rsidRPr="00B849DC" w:rsidR="00B66B61" w:rsidP="00B849DC" w:rsidRDefault="00B66B61">
      <w:pPr>
        <w:pStyle w:val="ECHRPara"/>
        <w:rPr>
          <w:lang w:val="en-US"/>
        </w:rPr>
      </w:pPr>
      <w:r w:rsidRPr="00B849DC">
        <w:rPr>
          <w:lang w:val="en-US"/>
        </w:rPr>
        <w:fldChar w:fldCharType="begin"/>
      </w:r>
      <w:r w:rsidRPr="00B849DC">
        <w:rPr>
          <w:lang w:val="en-US"/>
        </w:rPr>
        <w:instrText xml:space="preserve"> SEQ level0 \*arabic </w:instrText>
      </w:r>
      <w:r w:rsidRPr="00B849DC">
        <w:rPr>
          <w:lang w:val="en-US"/>
        </w:rPr>
        <w:fldChar w:fldCharType="separate"/>
      </w:r>
      <w:r w:rsidRPr="00B849DC" w:rsidR="00B849DC">
        <w:rPr>
          <w:noProof/>
          <w:lang w:val="en-US"/>
        </w:rPr>
        <w:t>119</w:t>
      </w:r>
      <w:r w:rsidRPr="00B849DC">
        <w:rPr>
          <w:lang w:val="en-US"/>
        </w:rPr>
        <w:fldChar w:fldCharType="end"/>
      </w:r>
      <w:r w:rsidRPr="00B849DC">
        <w:rPr>
          <w:lang w:val="en-US"/>
        </w:rPr>
        <w:t>.  The decisions of the bailiffs may be challenged in court (</w:t>
      </w:r>
      <w:r w:rsidRPr="00B849DC" w:rsidR="00FF2753">
        <w:rPr>
          <w:lang w:val="en-US"/>
        </w:rPr>
        <w:t>section </w:t>
      </w:r>
      <w:r w:rsidRPr="00B849DC">
        <w:rPr>
          <w:lang w:val="en-US"/>
        </w:rPr>
        <w:t xml:space="preserve">121 of the Enforcement Act of 2007, </w:t>
      </w:r>
      <w:r w:rsidRPr="00B849DC" w:rsidR="00FF2753">
        <w:rPr>
          <w:lang w:val="en-US"/>
        </w:rPr>
        <w:t xml:space="preserve">section </w:t>
      </w:r>
      <w:r w:rsidRPr="00B849DC">
        <w:rPr>
          <w:lang w:val="en-US"/>
        </w:rPr>
        <w:t>24 of the Enforcement Act</w:t>
      </w:r>
      <w:r w:rsidRPr="00B849DC" w:rsidR="00D61FCA">
        <w:rPr>
          <w:lang w:val="en-US"/>
        </w:rPr>
        <w:t xml:space="preserve"> of 1997</w:t>
      </w:r>
      <w:r w:rsidRPr="00B849DC" w:rsidR="00025A2A">
        <w:rPr>
          <w:lang w:val="en-US"/>
        </w:rPr>
        <w:t xml:space="preserve">, </w:t>
      </w:r>
      <w:r w:rsidRPr="00B849DC" w:rsidR="00074EC4">
        <w:rPr>
          <w:lang w:val="en-US"/>
        </w:rPr>
        <w:t xml:space="preserve">and </w:t>
      </w:r>
      <w:r w:rsidRPr="00B849DC" w:rsidR="00025A2A">
        <w:rPr>
          <w:lang w:val="en-US"/>
        </w:rPr>
        <w:t>Article 441 of the Code of the Civil</w:t>
      </w:r>
      <w:r w:rsidRPr="00B849DC" w:rsidR="008C3AA2">
        <w:rPr>
          <w:lang w:val="en-US"/>
        </w:rPr>
        <w:t xml:space="preserve"> Procedure referring to Chapter </w:t>
      </w:r>
      <w:r w:rsidRPr="00B849DC" w:rsidR="00025A2A">
        <w:rPr>
          <w:lang w:val="en-US"/>
        </w:rPr>
        <w:t>25 of the Code</w:t>
      </w:r>
      <w:r w:rsidRPr="00B849DC" w:rsidR="00D61FCA">
        <w:rPr>
          <w:lang w:val="en-US"/>
        </w:rPr>
        <w:t>). In accordance with Chapter</w:t>
      </w:r>
      <w:r w:rsidRPr="00B849DC" w:rsidR="00025A2A">
        <w:rPr>
          <w:lang w:val="en-US"/>
        </w:rPr>
        <w:t> </w:t>
      </w:r>
      <w:r w:rsidRPr="00B849DC" w:rsidR="00D61FCA">
        <w:rPr>
          <w:lang w:val="en-US"/>
        </w:rPr>
        <w:t>25 of the Code of Civil Procedure</w:t>
      </w:r>
      <w:r w:rsidRPr="00B849DC" w:rsidR="00074EC4">
        <w:rPr>
          <w:lang w:val="en-US"/>
        </w:rPr>
        <w:t>,</w:t>
      </w:r>
      <w:r w:rsidRPr="00B849DC" w:rsidR="00D61FCA">
        <w:rPr>
          <w:lang w:val="en-US"/>
        </w:rPr>
        <w:t xml:space="preserve"> </w:t>
      </w:r>
      <w:r w:rsidRPr="00B849DC" w:rsidR="00074EC4">
        <w:rPr>
          <w:lang w:val="en-US"/>
        </w:rPr>
        <w:t xml:space="preserve">which deals </w:t>
      </w:r>
      <w:r w:rsidRPr="00B849DC" w:rsidR="00D61FCA">
        <w:rPr>
          <w:lang w:val="en-US"/>
        </w:rPr>
        <w:t>with challenging State authorities</w:t>
      </w:r>
      <w:r w:rsidRPr="00B849DC" w:rsidR="00B849DC">
        <w:rPr>
          <w:lang w:val="en-US"/>
        </w:rPr>
        <w:t>’</w:t>
      </w:r>
      <w:r w:rsidRPr="00B849DC" w:rsidR="00D61FCA">
        <w:rPr>
          <w:lang w:val="en-US"/>
        </w:rPr>
        <w:t xml:space="preserve"> acts or inaction in court, where a court finds that the complaint is well</w:t>
      </w:r>
      <w:r w:rsidRPr="00B849DC" w:rsidR="00074EC4">
        <w:rPr>
          <w:lang w:val="en-US"/>
        </w:rPr>
        <w:t xml:space="preserve"> </w:t>
      </w:r>
      <w:r w:rsidRPr="00B849DC" w:rsidR="00D61FCA">
        <w:rPr>
          <w:lang w:val="en-US"/>
        </w:rPr>
        <w:t>founded, it orders the State authority concerned to remedy the breach or unlawfulness found.</w:t>
      </w:r>
    </w:p>
    <w:p w:rsidRPr="00B849DC" w:rsidR="00CA087B" w:rsidP="00B849DC" w:rsidRDefault="00887104">
      <w:pPr>
        <w:pStyle w:val="ECHRHeading3"/>
        <w:rPr>
          <w:lang w:val="en-US"/>
        </w:rPr>
      </w:pPr>
      <w:r w:rsidRPr="00B849DC">
        <w:rPr>
          <w:lang w:val="en-US"/>
        </w:rPr>
        <w:t>3.  Disputes involving the liquidator</w:t>
      </w:r>
    </w:p>
    <w:p w:rsidRPr="00B849DC" w:rsidR="00CA087B" w:rsidP="00B849DC" w:rsidRDefault="00887104">
      <w:pPr>
        <w:pStyle w:val="ECHRPara"/>
        <w:rPr>
          <w:lang w:val="en-US"/>
        </w:rPr>
      </w:pPr>
      <w:r w:rsidRPr="00B849DC">
        <w:rPr>
          <w:lang w:val="en-US"/>
        </w:rPr>
        <w:fldChar w:fldCharType="begin"/>
      </w:r>
      <w:r w:rsidRPr="00B849DC">
        <w:rPr>
          <w:lang w:val="en-US"/>
        </w:rPr>
        <w:instrText xml:space="preserve"> SEQ level0 \*arabic </w:instrText>
      </w:r>
      <w:r w:rsidRPr="00B849DC">
        <w:rPr>
          <w:lang w:val="en-US"/>
        </w:rPr>
        <w:fldChar w:fldCharType="separate"/>
      </w:r>
      <w:r w:rsidRPr="00B849DC" w:rsidR="00B849DC">
        <w:rPr>
          <w:noProof/>
          <w:lang w:val="en-US"/>
        </w:rPr>
        <w:t>120</w:t>
      </w:r>
      <w:r w:rsidRPr="00B849DC">
        <w:rPr>
          <w:lang w:val="en-US"/>
        </w:rPr>
        <w:fldChar w:fldCharType="end"/>
      </w:r>
      <w:r w:rsidRPr="00B849DC">
        <w:rPr>
          <w:lang w:val="en-US"/>
        </w:rPr>
        <w:t>.  </w:t>
      </w:r>
      <w:r w:rsidRPr="00B849DC" w:rsidR="00074EC4">
        <w:rPr>
          <w:lang w:val="en-US"/>
        </w:rPr>
        <w:t>Under</w:t>
      </w:r>
      <w:r w:rsidRPr="00B849DC">
        <w:rPr>
          <w:lang w:val="en-US"/>
        </w:rPr>
        <w:t xml:space="preserve"> </w:t>
      </w:r>
      <w:r w:rsidRPr="00B849DC" w:rsidR="00FF2753">
        <w:rPr>
          <w:lang w:val="en-US"/>
        </w:rPr>
        <w:t>section </w:t>
      </w:r>
      <w:r w:rsidRPr="00B849DC" w:rsidR="00A23ACF">
        <w:rPr>
          <w:lang w:val="en-US"/>
        </w:rPr>
        <w:t xml:space="preserve">60 of the Insolvency Act the </w:t>
      </w:r>
      <w:r w:rsidRPr="00B849DC">
        <w:rPr>
          <w:lang w:val="en-US"/>
        </w:rPr>
        <w:t xml:space="preserve">creditors of an insolvent company </w:t>
      </w:r>
      <w:r w:rsidRPr="00B849DC" w:rsidR="00A23ACF">
        <w:rPr>
          <w:lang w:val="en-US"/>
        </w:rPr>
        <w:t>can</w:t>
      </w:r>
      <w:r w:rsidRPr="00B849DC">
        <w:rPr>
          <w:lang w:val="en-US"/>
        </w:rPr>
        <w:t xml:space="preserve"> </w:t>
      </w:r>
      <w:r w:rsidRPr="00B849DC" w:rsidR="00A23ACF">
        <w:rPr>
          <w:lang w:val="en-US"/>
        </w:rPr>
        <w:t>make complaints</w:t>
      </w:r>
      <w:r w:rsidRPr="00B849DC">
        <w:rPr>
          <w:lang w:val="en-US"/>
        </w:rPr>
        <w:t xml:space="preserve"> to a commercial court about the liquidator</w:t>
      </w:r>
      <w:r w:rsidRPr="00B849DC" w:rsidR="00B849DC">
        <w:rPr>
          <w:lang w:val="en-US"/>
        </w:rPr>
        <w:t>’</w:t>
      </w:r>
      <w:r w:rsidRPr="00B849DC">
        <w:rPr>
          <w:lang w:val="en-US"/>
        </w:rPr>
        <w:t>s acts or omissions within the insolvency proceedings. Applications by persons not entitled to make such complaints, or lodged in violation of the rules of procedure, should be returned to the claimants without examination (</w:t>
      </w:r>
      <w:r w:rsidRPr="00B849DC" w:rsidR="00FF2753">
        <w:rPr>
          <w:lang w:val="en-US"/>
        </w:rPr>
        <w:t>section </w:t>
      </w:r>
      <w:r w:rsidRPr="00B849DC">
        <w:rPr>
          <w:lang w:val="en-US"/>
        </w:rPr>
        <w:t>60</w:t>
      </w:r>
      <w:r w:rsidRPr="00B849DC" w:rsidR="00FF2753">
        <w:rPr>
          <w:lang w:val="en-US"/>
        </w:rPr>
        <w:t>(</w:t>
      </w:r>
      <w:r w:rsidRPr="00B849DC">
        <w:rPr>
          <w:lang w:val="en-US"/>
        </w:rPr>
        <w:t>4</w:t>
      </w:r>
      <w:r w:rsidRPr="00B849DC" w:rsidR="00FF2753">
        <w:rPr>
          <w:lang w:val="en-US"/>
        </w:rPr>
        <w:t>)</w:t>
      </w:r>
      <w:r w:rsidRPr="00B849DC">
        <w:rPr>
          <w:lang w:val="en-US"/>
        </w:rPr>
        <w:t xml:space="preserve"> of the Act).</w:t>
      </w:r>
    </w:p>
    <w:p w:rsidRPr="00B849DC" w:rsidR="00CA087B" w:rsidP="00B849DC" w:rsidRDefault="00887104">
      <w:pPr>
        <w:pStyle w:val="ECHRHeading3"/>
        <w:rPr>
          <w:lang w:val="en-US"/>
        </w:rPr>
      </w:pPr>
      <w:r w:rsidRPr="00B849DC">
        <w:rPr>
          <w:lang w:val="en-US"/>
        </w:rPr>
        <w:t>4.  Claim for execution upon assets unlawfully acquired by third persons</w:t>
      </w:r>
    </w:p>
    <w:p w:rsidRPr="00B849DC" w:rsidR="00887104" w:rsidP="00B849DC" w:rsidRDefault="00887104">
      <w:pPr>
        <w:pStyle w:val="ECHRPara"/>
        <w:rPr>
          <w:lang w:val="en-US"/>
        </w:rPr>
      </w:pPr>
      <w:r w:rsidRPr="00B849DC">
        <w:fldChar w:fldCharType="begin"/>
      </w:r>
      <w:r w:rsidRPr="00B849DC">
        <w:rPr>
          <w:lang w:val="en-US"/>
        </w:rPr>
        <w:instrText xml:space="preserve"> SEQ level0 \*arabic </w:instrText>
      </w:r>
      <w:r w:rsidRPr="00B849DC">
        <w:fldChar w:fldCharType="separate"/>
      </w:r>
      <w:r w:rsidRPr="00B849DC" w:rsidR="00B849DC">
        <w:rPr>
          <w:noProof/>
          <w:lang w:val="en-US"/>
        </w:rPr>
        <w:t>121</w:t>
      </w:r>
      <w:r w:rsidRPr="00B849DC">
        <w:fldChar w:fldCharType="end"/>
      </w:r>
      <w:r w:rsidRPr="00B849DC">
        <w:rPr>
          <w:lang w:val="en-US"/>
        </w:rPr>
        <w:t>.  </w:t>
      </w:r>
      <w:r w:rsidRPr="00B849DC" w:rsidR="00FF2753">
        <w:rPr>
          <w:lang w:val="en-US"/>
        </w:rPr>
        <w:t xml:space="preserve">Section </w:t>
      </w:r>
      <w:r w:rsidRPr="00B849DC">
        <w:rPr>
          <w:lang w:val="en-US"/>
        </w:rPr>
        <w:t>142</w:t>
      </w:r>
      <w:r w:rsidRPr="00B849DC" w:rsidR="00FF2753">
        <w:rPr>
          <w:lang w:val="en-US"/>
        </w:rPr>
        <w:t>(</w:t>
      </w:r>
      <w:r w:rsidRPr="00B849DC">
        <w:rPr>
          <w:lang w:val="en-US"/>
        </w:rPr>
        <w:t>11</w:t>
      </w:r>
      <w:r w:rsidRPr="00B849DC" w:rsidR="00FF2753">
        <w:rPr>
          <w:lang w:val="en-US"/>
        </w:rPr>
        <w:t>)</w:t>
      </w:r>
      <w:r w:rsidRPr="00B849DC">
        <w:rPr>
          <w:lang w:val="en-US"/>
        </w:rPr>
        <w:t xml:space="preserve"> of the </w:t>
      </w:r>
      <w:r w:rsidRPr="00B849DC">
        <w:rPr>
          <w:lang w:val="en-GB"/>
        </w:rPr>
        <w:t>Insolvency</w:t>
      </w:r>
      <w:r w:rsidRPr="00B849DC">
        <w:rPr>
          <w:lang w:val="en-US"/>
        </w:rPr>
        <w:t xml:space="preserve"> Act provides that where the creditors</w:t>
      </w:r>
      <w:r w:rsidRPr="00B849DC" w:rsidR="00B849DC">
        <w:rPr>
          <w:lang w:val="en-US"/>
        </w:rPr>
        <w:t>’</w:t>
      </w:r>
      <w:r w:rsidRPr="00B849DC">
        <w:rPr>
          <w:lang w:val="en-US"/>
        </w:rPr>
        <w:t xml:space="preserve"> claims have not been satisfied in full within the liquidation procedure, the creditors are entitled to claim execution upon </w:t>
      </w:r>
      <w:r w:rsidRPr="00B849DC" w:rsidR="00074EC4">
        <w:rPr>
          <w:lang w:val="en-US"/>
        </w:rPr>
        <w:t xml:space="preserve">any of </w:t>
      </w:r>
      <w:r w:rsidRPr="00B849DC">
        <w:rPr>
          <w:lang w:val="en-US"/>
        </w:rPr>
        <w:t>the debtor company</w:t>
      </w:r>
      <w:r w:rsidRPr="00B849DC" w:rsidR="00B849DC">
        <w:rPr>
          <w:lang w:val="en-US"/>
        </w:rPr>
        <w:t>’</w:t>
      </w:r>
      <w:r w:rsidRPr="00B849DC">
        <w:rPr>
          <w:lang w:val="en-US"/>
        </w:rPr>
        <w:t xml:space="preserve">s assets </w:t>
      </w:r>
      <w:r w:rsidRPr="00B849DC" w:rsidR="00074EC4">
        <w:rPr>
          <w:lang w:val="en-US"/>
        </w:rPr>
        <w:t xml:space="preserve">which were </w:t>
      </w:r>
      <w:r w:rsidRPr="00B849DC">
        <w:rPr>
          <w:lang w:val="en-US"/>
        </w:rPr>
        <w:t>unlawfully acquired by third persons.</w:t>
      </w:r>
    </w:p>
    <w:p w:rsidRPr="00B849DC" w:rsidR="00B66B61" w:rsidP="00B849DC" w:rsidRDefault="00887104">
      <w:pPr>
        <w:pStyle w:val="ECHRHeading3"/>
        <w:rPr>
          <w:lang w:val="en-US"/>
        </w:rPr>
      </w:pPr>
      <w:r w:rsidRPr="00B849DC">
        <w:rPr>
          <w:lang w:val="en-US"/>
        </w:rPr>
        <w:t>5</w:t>
      </w:r>
      <w:r w:rsidRPr="00B849DC" w:rsidR="00B66B61">
        <w:rPr>
          <w:lang w:val="en-US"/>
        </w:rPr>
        <w:t>.  </w:t>
      </w:r>
      <w:r w:rsidRPr="00B849DC">
        <w:rPr>
          <w:lang w:val="en-US"/>
        </w:rPr>
        <w:t xml:space="preserve">Compensation </w:t>
      </w:r>
      <w:r w:rsidRPr="00B849DC" w:rsidR="00074EC4">
        <w:rPr>
          <w:lang w:val="en-US"/>
        </w:rPr>
        <w:t xml:space="preserve">for </w:t>
      </w:r>
      <w:r w:rsidRPr="00B849DC">
        <w:rPr>
          <w:lang w:val="en-US"/>
        </w:rPr>
        <w:t>damage (Chapter 59 of the Civil Code)</w:t>
      </w:r>
    </w:p>
    <w:p w:rsidRPr="00B849DC" w:rsidR="00B66B61" w:rsidP="00B849DC" w:rsidRDefault="00B66B61">
      <w:pPr>
        <w:pStyle w:val="ECHRPara"/>
        <w:rPr>
          <w:lang w:val="en-US"/>
        </w:rPr>
      </w:pPr>
      <w:r w:rsidRPr="00B849DC">
        <w:rPr>
          <w:lang w:val="en-US"/>
        </w:rPr>
        <w:fldChar w:fldCharType="begin"/>
      </w:r>
      <w:r w:rsidRPr="00B849DC">
        <w:rPr>
          <w:lang w:val="en-US"/>
        </w:rPr>
        <w:instrText xml:space="preserve"> SEQ level0 \*arabic </w:instrText>
      </w:r>
      <w:r w:rsidRPr="00B849DC">
        <w:rPr>
          <w:lang w:val="en-US"/>
        </w:rPr>
        <w:fldChar w:fldCharType="separate"/>
      </w:r>
      <w:r w:rsidRPr="00B849DC" w:rsidR="00B849DC">
        <w:rPr>
          <w:noProof/>
          <w:lang w:val="en-US"/>
        </w:rPr>
        <w:t>122</w:t>
      </w:r>
      <w:r w:rsidRPr="00B849DC">
        <w:rPr>
          <w:lang w:val="en-US"/>
        </w:rPr>
        <w:fldChar w:fldCharType="end"/>
      </w:r>
      <w:r w:rsidRPr="00B849DC">
        <w:rPr>
          <w:lang w:val="en-US"/>
        </w:rPr>
        <w:t xml:space="preserve">.  Chapter 59 of the Civil Code (“Liability for damage”) contains provisions on compensation </w:t>
      </w:r>
      <w:r w:rsidRPr="00B849DC" w:rsidR="00074EC4">
        <w:rPr>
          <w:lang w:val="en-US"/>
        </w:rPr>
        <w:t xml:space="preserve">for </w:t>
      </w:r>
      <w:r w:rsidRPr="00B849DC">
        <w:rPr>
          <w:lang w:val="en-US"/>
        </w:rPr>
        <w:t>pecuniary and non</w:t>
      </w:r>
      <w:r w:rsidRPr="00B849DC">
        <w:rPr>
          <w:lang w:val="en-US"/>
        </w:rPr>
        <w:noBreakHyphen/>
        <w:t xml:space="preserve">pecuniary damage. Damage caused by unlawful action or inaction </w:t>
      </w:r>
      <w:r w:rsidRPr="00B849DC" w:rsidR="00074EC4">
        <w:rPr>
          <w:lang w:val="en-US"/>
        </w:rPr>
        <w:t xml:space="preserve">on the part </w:t>
      </w:r>
      <w:r w:rsidRPr="00B849DC">
        <w:rPr>
          <w:lang w:val="en-US"/>
        </w:rPr>
        <w:t>of State or local authorities or their officials is subject to compensation from the Federal Treasury or a federal entity</w:t>
      </w:r>
      <w:r w:rsidRPr="00B849DC" w:rsidR="00B849DC">
        <w:rPr>
          <w:lang w:val="en-US"/>
        </w:rPr>
        <w:t>’</w:t>
      </w:r>
      <w:r w:rsidRPr="00B849DC">
        <w:rPr>
          <w:lang w:val="en-US"/>
        </w:rPr>
        <w:t xml:space="preserve">s treasury (Article 1069 of the Civil Code). Compensation for damage caused to an individual by unlawful conviction, prosecution, </w:t>
      </w:r>
      <w:proofErr w:type="gramStart"/>
      <w:r w:rsidRPr="00B849DC">
        <w:rPr>
          <w:lang w:val="en-US"/>
        </w:rPr>
        <w:t>detention</w:t>
      </w:r>
      <w:proofErr w:type="gramEnd"/>
      <w:r w:rsidRPr="00B849DC">
        <w:rPr>
          <w:lang w:val="en-US"/>
        </w:rPr>
        <w:t xml:space="preserve"> on remand or prohibition on leaving his or her place of residence pending trial is granted in full regardless of the fault of the </w:t>
      </w:r>
      <w:r w:rsidRPr="00B849DC" w:rsidR="00074EC4">
        <w:rPr>
          <w:lang w:val="en-US"/>
        </w:rPr>
        <w:t>S</w:t>
      </w:r>
      <w:r w:rsidRPr="00B849DC">
        <w:rPr>
          <w:lang w:val="en-US"/>
        </w:rPr>
        <w:t>tate officials concerned and following the procedure provided for by law. Damage caused by the administration of justice is compensated if the fault of the judge is established by a final judicial conviction (Article 1070 §§ 1 and 2 of the Civil Code).</w:t>
      </w:r>
    </w:p>
    <w:p w:rsidRPr="00B849DC" w:rsidR="00B66B61" w:rsidP="00B849DC" w:rsidRDefault="00B66B61">
      <w:pPr>
        <w:pStyle w:val="ECHRPara"/>
        <w:rPr>
          <w:lang w:val="en-US"/>
        </w:rPr>
      </w:pPr>
      <w:r w:rsidRPr="00B849DC">
        <w:rPr>
          <w:lang w:val="en-US"/>
        </w:rPr>
        <w:fldChar w:fldCharType="begin"/>
      </w:r>
      <w:r w:rsidRPr="00B849DC">
        <w:rPr>
          <w:lang w:val="en-US"/>
        </w:rPr>
        <w:instrText xml:space="preserve"> SEQ level0 \*arabic </w:instrText>
      </w:r>
      <w:r w:rsidRPr="00B849DC">
        <w:rPr>
          <w:lang w:val="en-US"/>
        </w:rPr>
        <w:fldChar w:fldCharType="separate"/>
      </w:r>
      <w:r w:rsidRPr="00B849DC" w:rsidR="00B849DC">
        <w:rPr>
          <w:noProof/>
          <w:lang w:val="en-US"/>
        </w:rPr>
        <w:t>123</w:t>
      </w:r>
      <w:r w:rsidRPr="00B849DC">
        <w:rPr>
          <w:lang w:val="en-US"/>
        </w:rPr>
        <w:fldChar w:fldCharType="end"/>
      </w:r>
      <w:r w:rsidRPr="00B849DC">
        <w:rPr>
          <w:lang w:val="en-US"/>
        </w:rPr>
        <w:t>.  A court may hold the tortfeasor liable for non-pecuniary damage caused to an individual by actions im</w:t>
      </w:r>
      <w:r w:rsidRPr="00B849DC" w:rsidR="00A1600C">
        <w:rPr>
          <w:lang w:val="en-US"/>
        </w:rPr>
        <w:t>pairing his or her personal non</w:t>
      </w:r>
      <w:r w:rsidRPr="00B849DC" w:rsidR="00A1600C">
        <w:rPr>
          <w:lang w:val="en-US"/>
        </w:rPr>
        <w:noBreakHyphen/>
      </w:r>
      <w:r w:rsidRPr="00B849DC">
        <w:rPr>
          <w:lang w:val="en-US"/>
        </w:rPr>
        <w:t>property rights or affecting other intangible assets belonging to him or her (Articles 151 and 1099 § 1 of the Ci</w:t>
      </w:r>
      <w:r w:rsidRPr="00B849DC" w:rsidR="0087244D">
        <w:rPr>
          <w:lang w:val="en-US"/>
        </w:rPr>
        <w:t>vil Code). Compensation for non</w:t>
      </w:r>
      <w:r w:rsidRPr="00B849DC" w:rsidR="0087244D">
        <w:rPr>
          <w:lang w:val="en-US"/>
        </w:rPr>
        <w:noBreakHyphen/>
      </w:r>
      <w:r w:rsidRPr="00B849DC">
        <w:rPr>
          <w:lang w:val="en-US"/>
        </w:rPr>
        <w:t>pecuniary damage sustained through an impairment of an individual</w:t>
      </w:r>
      <w:r w:rsidRPr="00B849DC" w:rsidR="00B849DC">
        <w:rPr>
          <w:lang w:val="en-US"/>
        </w:rPr>
        <w:t>’</w:t>
      </w:r>
      <w:r w:rsidRPr="00B849DC">
        <w:rPr>
          <w:lang w:val="en-US"/>
        </w:rPr>
        <w:t>s property rights is recoverable only in cases provided for by law (Article 1099 § 2 of the Ci</w:t>
      </w:r>
      <w:r w:rsidRPr="00B849DC" w:rsidR="0087244D">
        <w:rPr>
          <w:lang w:val="en-US"/>
        </w:rPr>
        <w:t>vil Code). Compensation for non</w:t>
      </w:r>
      <w:r w:rsidRPr="00B849DC" w:rsidR="0087244D">
        <w:rPr>
          <w:lang w:val="en-US"/>
        </w:rPr>
        <w:noBreakHyphen/>
      </w:r>
      <w:r w:rsidRPr="00B849DC">
        <w:rPr>
          <w:lang w:val="en-US"/>
        </w:rPr>
        <w:t>pecuniary damage is payable irrespective of the tortfeasor</w:t>
      </w:r>
      <w:r w:rsidRPr="00B849DC" w:rsidR="00B849DC">
        <w:rPr>
          <w:lang w:val="en-US"/>
        </w:rPr>
        <w:t>’</w:t>
      </w:r>
      <w:r w:rsidRPr="00B849DC">
        <w:rPr>
          <w:lang w:val="en-US"/>
        </w:rPr>
        <w:t>s fault if damage was caused to an individual</w:t>
      </w:r>
      <w:r w:rsidRPr="00B849DC" w:rsidR="00B849DC">
        <w:rPr>
          <w:lang w:val="en-US"/>
        </w:rPr>
        <w:t>’</w:t>
      </w:r>
      <w:r w:rsidRPr="00B849DC">
        <w:rPr>
          <w:lang w:val="en-US"/>
        </w:rPr>
        <w:t>s life or limb, sustained through unlawful criminal prosecution, dissemination of untrue information and in other cases provided for by law (Article</w:t>
      </w:r>
      <w:bookmarkStart w:name="HIT6" w:id="6"/>
      <w:bookmarkEnd w:id="6"/>
      <w:r w:rsidRPr="00B849DC">
        <w:rPr>
          <w:lang w:val="en-US"/>
        </w:rPr>
        <w:t> 1100 of the Civil Code).</w:t>
      </w:r>
    </w:p>
    <w:p w:rsidRPr="00B849DC" w:rsidR="00696BB0" w:rsidP="00B849DC" w:rsidRDefault="00081478">
      <w:pPr>
        <w:pStyle w:val="ECHRHeading2"/>
        <w:rPr>
          <w:lang w:val="en-US"/>
        </w:rPr>
      </w:pPr>
      <w:r w:rsidRPr="00B849DC">
        <w:rPr>
          <w:lang w:val="en-US"/>
        </w:rPr>
        <w:t>H</w:t>
      </w:r>
      <w:r w:rsidRPr="00B849DC" w:rsidR="00FD4A1F">
        <w:rPr>
          <w:lang w:val="en-US"/>
        </w:rPr>
        <w:t>.</w:t>
      </w:r>
      <w:proofErr w:type="gramStart"/>
      <w:r w:rsidRPr="00B849DC" w:rsidR="007763E3">
        <w:rPr>
          <w:lang w:val="en-US"/>
        </w:rPr>
        <w:t>  </w:t>
      </w:r>
      <w:r w:rsidRPr="00B849DC" w:rsidR="00154F00">
        <w:rPr>
          <w:lang w:val="en-US"/>
        </w:rPr>
        <w:t>“</w:t>
      </w:r>
      <w:proofErr w:type="gramEnd"/>
      <w:r w:rsidRPr="00B849DC" w:rsidR="00696BB0">
        <w:rPr>
          <w:lang w:val="en-US"/>
        </w:rPr>
        <w:t>Socially important</w:t>
      </w:r>
      <w:r w:rsidRPr="00B849DC" w:rsidR="00154F00">
        <w:rPr>
          <w:lang w:val="en-US"/>
        </w:rPr>
        <w:t>”</w:t>
      </w:r>
      <w:r w:rsidRPr="00B849DC" w:rsidR="00696BB0">
        <w:rPr>
          <w:lang w:val="en-US"/>
        </w:rPr>
        <w:t xml:space="preserve"> assets</w:t>
      </w:r>
    </w:p>
    <w:p w:rsidRPr="00B849DC" w:rsidR="00747460" w:rsidP="00B849DC" w:rsidRDefault="00747460">
      <w:pPr>
        <w:pStyle w:val="ECHRPara"/>
        <w:rPr>
          <w:i/>
          <w:lang w:val="en-GB"/>
        </w:rPr>
      </w:pPr>
      <w:r w:rsidRPr="00B849DC">
        <w:rPr>
          <w:lang w:val="en-GB"/>
        </w:rPr>
        <w:fldChar w:fldCharType="begin"/>
      </w:r>
      <w:r w:rsidRPr="00B849DC">
        <w:rPr>
          <w:lang w:val="en-GB"/>
        </w:rPr>
        <w:instrText xml:space="preserve"> SEQ level0 \*arabic </w:instrText>
      </w:r>
      <w:r w:rsidRPr="00B849DC">
        <w:rPr>
          <w:lang w:val="en-GB"/>
        </w:rPr>
        <w:fldChar w:fldCharType="separate"/>
      </w:r>
      <w:r w:rsidRPr="00B849DC" w:rsidR="00B849DC">
        <w:rPr>
          <w:noProof/>
          <w:lang w:val="en-GB"/>
        </w:rPr>
        <w:t>124</w:t>
      </w:r>
      <w:r w:rsidRPr="00B849DC">
        <w:rPr>
          <w:lang w:val="en-GB"/>
        </w:rPr>
        <w:fldChar w:fldCharType="end"/>
      </w:r>
      <w:r w:rsidRPr="00B849DC">
        <w:rPr>
          <w:lang w:val="en-GB"/>
        </w:rPr>
        <w:t>.  </w:t>
      </w:r>
      <w:r w:rsidRPr="00B849DC" w:rsidR="00D07257">
        <w:rPr>
          <w:lang w:val="en-GB"/>
        </w:rPr>
        <w:t xml:space="preserve">The earlier Insolvency Act of 8 January 1998 </w:t>
      </w:r>
      <w:r w:rsidRPr="00B849DC" w:rsidR="00520CE4">
        <w:rPr>
          <w:lang w:val="en-GB"/>
        </w:rPr>
        <w:t>contained specific provisions on “</w:t>
      </w:r>
      <w:r w:rsidRPr="00B849DC" w:rsidR="00520CE4">
        <w:rPr>
          <w:lang w:val="en-US"/>
        </w:rPr>
        <w:t xml:space="preserve">objects of communal infrastructure of vital importance </w:t>
      </w:r>
      <w:r w:rsidRPr="00B849DC" w:rsidR="00154F00">
        <w:rPr>
          <w:lang w:val="en-US"/>
        </w:rPr>
        <w:t xml:space="preserve">to </w:t>
      </w:r>
      <w:r w:rsidRPr="00B849DC" w:rsidR="00520CE4">
        <w:rPr>
          <w:lang w:val="en-US"/>
        </w:rPr>
        <w:t>a region”.</w:t>
      </w:r>
      <w:r w:rsidRPr="00B849DC" w:rsidR="00520CE4">
        <w:rPr>
          <w:lang w:val="en-GB"/>
        </w:rPr>
        <w:t xml:space="preserve"> </w:t>
      </w:r>
      <w:r w:rsidRPr="00B849DC" w:rsidR="00FB7BBC">
        <w:rPr>
          <w:lang w:val="en-US"/>
        </w:rPr>
        <w:t>In the event of a legal entity</w:t>
      </w:r>
      <w:r w:rsidRPr="00B849DC" w:rsidR="00B849DC">
        <w:rPr>
          <w:lang w:val="en-US"/>
        </w:rPr>
        <w:t>’</w:t>
      </w:r>
      <w:r w:rsidRPr="00B849DC" w:rsidR="00FB7BBC">
        <w:rPr>
          <w:lang w:val="en-US"/>
        </w:rPr>
        <w:t>s insolvency, such</w:t>
      </w:r>
      <w:r w:rsidRPr="00B849DC" w:rsidR="00D07257">
        <w:rPr>
          <w:lang w:val="en-US"/>
        </w:rPr>
        <w:t xml:space="preserve"> </w:t>
      </w:r>
      <w:r w:rsidRPr="00B849DC" w:rsidR="00FB7BBC">
        <w:rPr>
          <w:lang w:val="en-US"/>
        </w:rPr>
        <w:t xml:space="preserve">assets </w:t>
      </w:r>
      <w:r w:rsidRPr="00B849DC" w:rsidR="00D07257">
        <w:rPr>
          <w:lang w:val="en-US"/>
        </w:rPr>
        <w:t>were to be transferred to a municipal auth</w:t>
      </w:r>
      <w:r w:rsidRPr="00B849DC">
        <w:rPr>
          <w:lang w:val="en-US"/>
        </w:rPr>
        <w:t xml:space="preserve">ority (section 104 § 4) </w:t>
      </w:r>
      <w:r w:rsidRPr="00B849DC" w:rsidR="00154F00">
        <w:rPr>
          <w:lang w:val="en-US"/>
        </w:rPr>
        <w:t>in their current state</w:t>
      </w:r>
      <w:r w:rsidRPr="00B849DC">
        <w:rPr>
          <w:lang w:val="en-US"/>
        </w:rPr>
        <w:t xml:space="preserve"> </w:t>
      </w:r>
      <w:r w:rsidRPr="00B849DC">
        <w:rPr>
          <w:i/>
          <w:lang w:val="en-US"/>
        </w:rPr>
        <w:t>(по фактическому состоянию</w:t>
      </w:r>
      <w:r w:rsidRPr="00B849DC" w:rsidR="00D07257">
        <w:rPr>
          <w:lang w:val="en-US"/>
        </w:rPr>
        <w:t>) without further conditions.</w:t>
      </w:r>
      <w:r w:rsidRPr="00B849DC">
        <w:rPr>
          <w:lang w:val="en-US"/>
        </w:rPr>
        <w:t xml:space="preserve"> </w:t>
      </w:r>
      <w:r w:rsidRPr="00B849DC" w:rsidR="00154F00">
        <w:rPr>
          <w:lang w:val="en-GB"/>
        </w:rPr>
        <w:t>A</w:t>
      </w:r>
      <w:r w:rsidRPr="00B849DC">
        <w:rPr>
          <w:lang w:val="en-GB"/>
        </w:rPr>
        <w:t xml:space="preserve">ssessing </w:t>
      </w:r>
      <w:r w:rsidRPr="00B849DC" w:rsidR="00154F00">
        <w:rPr>
          <w:lang w:val="en-GB"/>
        </w:rPr>
        <w:t xml:space="preserve">the </w:t>
      </w:r>
      <w:r w:rsidRPr="00B849DC">
        <w:rPr>
          <w:lang w:val="en-GB"/>
        </w:rPr>
        <w:t>compatibility of the respective provisions with the Constitution of the Russian Federation</w:t>
      </w:r>
      <w:r w:rsidRPr="00B849DC" w:rsidR="00154F00">
        <w:rPr>
          <w:lang w:val="en-GB"/>
        </w:rPr>
        <w:t>,</w:t>
      </w:r>
      <w:r w:rsidRPr="00B849DC">
        <w:rPr>
          <w:lang w:val="en-GB"/>
        </w:rPr>
        <w:t xml:space="preserve"> the Constitutional Court </w:t>
      </w:r>
      <w:r w:rsidRPr="00B849DC" w:rsidR="00154F00">
        <w:rPr>
          <w:lang w:val="en-GB"/>
        </w:rPr>
        <w:t xml:space="preserve">observed, </w:t>
      </w:r>
      <w:r w:rsidRPr="00B849DC">
        <w:rPr>
          <w:lang w:val="en-GB"/>
        </w:rPr>
        <w:t xml:space="preserve">in </w:t>
      </w:r>
      <w:r w:rsidRPr="00B849DC">
        <w:rPr>
          <w:lang w:val="en-US"/>
        </w:rPr>
        <w:t>Ruling no. 8-П of 16 May 2000 (see, for a summary</w:t>
      </w:r>
      <w:r w:rsidRPr="00B849DC" w:rsidR="00D03E31">
        <w:rPr>
          <w:lang w:val="en-US"/>
        </w:rPr>
        <w:t xml:space="preserve"> of the ruling</w:t>
      </w:r>
      <w:r w:rsidRPr="00B849DC" w:rsidR="00804E1B">
        <w:rPr>
          <w:lang w:val="en-US"/>
        </w:rPr>
        <w:t>,</w:t>
      </w:r>
      <w:r w:rsidRPr="00B849DC">
        <w:rPr>
          <w:i/>
          <w:lang w:val="en-US"/>
        </w:rPr>
        <w:t xml:space="preserve"> </w:t>
      </w:r>
      <w:r w:rsidRPr="00B849DC" w:rsidR="0087244D">
        <w:rPr>
          <w:i/>
          <w:lang w:val="en-GB"/>
        </w:rPr>
        <w:t>Yershova v. </w:t>
      </w:r>
      <w:r w:rsidRPr="00B849DC" w:rsidR="00154F00">
        <w:rPr>
          <w:i/>
          <w:lang w:val="en-GB"/>
        </w:rPr>
        <w:t>Russia</w:t>
      </w:r>
      <w:r w:rsidRPr="00B849DC" w:rsidR="0087244D">
        <w:rPr>
          <w:lang w:val="en-GB"/>
        </w:rPr>
        <w:t>, no. </w:t>
      </w:r>
      <w:r w:rsidRPr="00B849DC" w:rsidR="00154F00">
        <w:rPr>
          <w:lang w:val="en-GB"/>
        </w:rPr>
        <w:t>1387/04</w:t>
      </w:r>
      <w:r w:rsidRPr="00B849DC" w:rsidR="00154F00">
        <w:rPr>
          <w:snapToGrid w:val="0"/>
          <w:lang w:val="en-GB"/>
        </w:rPr>
        <w:t xml:space="preserve">, </w:t>
      </w:r>
      <w:r w:rsidRPr="00B849DC" w:rsidR="00154F00">
        <w:rPr>
          <w:lang w:val="en-US"/>
        </w:rPr>
        <w:t>§§ 42 and 43</w:t>
      </w:r>
      <w:r w:rsidRPr="00B849DC" w:rsidR="00154F00">
        <w:rPr>
          <w:snapToGrid w:val="0"/>
          <w:lang w:val="en-GB"/>
        </w:rPr>
        <w:t>, 8 April 2010)</w:t>
      </w:r>
      <w:r w:rsidRPr="00B849DC">
        <w:rPr>
          <w:lang w:val="en-GB"/>
        </w:rPr>
        <w:t xml:space="preserve">, </w:t>
      </w:r>
      <w:r w:rsidRPr="00B849DC">
        <w:rPr>
          <w:i/>
          <w:lang w:val="en-GB"/>
        </w:rPr>
        <w:t>inter alia</w:t>
      </w:r>
      <w:r w:rsidRPr="00B849DC">
        <w:rPr>
          <w:lang w:val="en-GB"/>
        </w:rPr>
        <w:t>:</w:t>
      </w:r>
    </w:p>
    <w:p w:rsidRPr="00B849DC" w:rsidR="00747460" w:rsidP="00B849DC" w:rsidRDefault="00747460">
      <w:pPr>
        <w:pStyle w:val="ECHRParaQuote"/>
        <w:rPr>
          <w:lang w:val="en-GB"/>
        </w:rPr>
      </w:pPr>
      <w:r w:rsidRPr="00B849DC">
        <w:rPr>
          <w:lang w:val="en-US"/>
        </w:rPr>
        <w:t xml:space="preserve">“Communal infrastructure </w:t>
      </w:r>
      <w:r w:rsidRPr="00B849DC" w:rsidR="00804E1B">
        <w:rPr>
          <w:lang w:val="en-US"/>
        </w:rPr>
        <w:t>which is of</w:t>
      </w:r>
      <w:r w:rsidRPr="00B849DC" w:rsidR="00154F00">
        <w:rPr>
          <w:lang w:val="en-US"/>
        </w:rPr>
        <w:t xml:space="preserve"> </w:t>
      </w:r>
      <w:r w:rsidRPr="00B849DC">
        <w:rPr>
          <w:lang w:val="en-US"/>
        </w:rPr>
        <w:t xml:space="preserve">vital importance </w:t>
      </w:r>
      <w:r w:rsidRPr="00B849DC" w:rsidR="00804E1B">
        <w:rPr>
          <w:lang w:val="en-US"/>
        </w:rPr>
        <w:t xml:space="preserve">to </w:t>
      </w:r>
      <w:r w:rsidRPr="00B849DC">
        <w:rPr>
          <w:lang w:val="en-US"/>
        </w:rPr>
        <w:t xml:space="preserve">a region </w:t>
      </w:r>
      <w:r w:rsidRPr="00B849DC" w:rsidR="00804E1B">
        <w:rPr>
          <w:lang w:val="en-US"/>
        </w:rPr>
        <w:t xml:space="preserve">and which constitutes </w:t>
      </w:r>
      <w:r w:rsidRPr="00B849DC">
        <w:rPr>
          <w:lang w:val="en-US"/>
        </w:rPr>
        <w:t>a debtor</w:t>
      </w:r>
      <w:r w:rsidRPr="00B849DC" w:rsidR="00B849DC">
        <w:rPr>
          <w:lang w:val="en-US"/>
        </w:rPr>
        <w:t>’</w:t>
      </w:r>
      <w:r w:rsidRPr="00B849DC">
        <w:rPr>
          <w:lang w:val="en-US"/>
        </w:rPr>
        <w:t>s estate is being used not only in the owner</w:t>
      </w:r>
      <w:r w:rsidRPr="00B849DC" w:rsidR="00B849DC">
        <w:rPr>
          <w:lang w:val="en-US"/>
        </w:rPr>
        <w:t>’</w:t>
      </w:r>
      <w:r w:rsidRPr="00B849DC">
        <w:rPr>
          <w:lang w:val="en-US"/>
        </w:rPr>
        <w:t>s private interests but also in the public interests protected by the State. Therefore, the relations concerning its functioning and use for a designated purpose are public in nature”.</w:t>
      </w:r>
    </w:p>
    <w:p w:rsidRPr="00B849DC" w:rsidR="00520CE4" w:rsidP="00B849DC" w:rsidRDefault="004F1883">
      <w:pPr>
        <w:pStyle w:val="ECHRPara"/>
        <w:rPr>
          <w:lang w:val="en-US"/>
        </w:rPr>
      </w:pPr>
      <w:r w:rsidRPr="00B849DC">
        <w:rPr>
          <w:lang w:val="en-US"/>
        </w:rPr>
        <w:fldChar w:fldCharType="begin"/>
      </w:r>
      <w:r w:rsidRPr="00B849DC">
        <w:rPr>
          <w:lang w:val="en-US"/>
        </w:rPr>
        <w:instrText xml:space="preserve"> SEQ level0 \*arabic </w:instrText>
      </w:r>
      <w:r w:rsidRPr="00B849DC">
        <w:rPr>
          <w:lang w:val="en-US"/>
        </w:rPr>
        <w:fldChar w:fldCharType="separate"/>
      </w:r>
      <w:r w:rsidRPr="00B849DC" w:rsidR="00B849DC">
        <w:rPr>
          <w:noProof/>
          <w:lang w:val="en-US"/>
        </w:rPr>
        <w:t>125</w:t>
      </w:r>
      <w:r w:rsidRPr="00B849DC">
        <w:rPr>
          <w:lang w:val="en-US"/>
        </w:rPr>
        <w:fldChar w:fldCharType="end"/>
      </w:r>
      <w:r w:rsidRPr="00B849DC">
        <w:rPr>
          <w:lang w:val="en-US"/>
        </w:rPr>
        <w:t>.  </w:t>
      </w:r>
      <w:r w:rsidRPr="00B849DC" w:rsidR="00EB7BB8">
        <w:rPr>
          <w:lang w:val="en-US"/>
        </w:rPr>
        <w:t xml:space="preserve">The Insolvency Act </w:t>
      </w:r>
      <w:r w:rsidRPr="00B849DC" w:rsidR="00520CE4">
        <w:rPr>
          <w:lang w:val="en-US"/>
        </w:rPr>
        <w:t xml:space="preserve">replaced </w:t>
      </w:r>
      <w:r w:rsidRPr="00B849DC" w:rsidR="00154F00">
        <w:rPr>
          <w:lang w:val="en-US"/>
        </w:rPr>
        <w:t>that</w:t>
      </w:r>
      <w:r w:rsidRPr="00B849DC" w:rsidR="00EB7BB8">
        <w:rPr>
          <w:lang w:val="en-US"/>
        </w:rPr>
        <w:t xml:space="preserve"> concept </w:t>
      </w:r>
      <w:r w:rsidRPr="00B849DC" w:rsidR="00154F00">
        <w:rPr>
          <w:lang w:val="en-US"/>
        </w:rPr>
        <w:t>with that of</w:t>
      </w:r>
      <w:r w:rsidRPr="00B849DC" w:rsidR="00520CE4">
        <w:rPr>
          <w:lang w:val="en-US"/>
        </w:rPr>
        <w:t xml:space="preserve"> “socially important assets”</w:t>
      </w:r>
      <w:r w:rsidRPr="00B849DC" w:rsidR="00BF32E0">
        <w:rPr>
          <w:lang w:val="en-US"/>
        </w:rPr>
        <w:t xml:space="preserve"> (</w:t>
      </w:r>
      <w:r w:rsidRPr="00B849DC" w:rsidR="00FF2753">
        <w:rPr>
          <w:lang w:val="en-US"/>
        </w:rPr>
        <w:t>section </w:t>
      </w:r>
      <w:r w:rsidRPr="00B849DC" w:rsidR="00BF32E0">
        <w:rPr>
          <w:lang w:val="en-US"/>
        </w:rPr>
        <w:t>132)</w:t>
      </w:r>
      <w:r w:rsidRPr="00B849DC" w:rsidR="00520CE4">
        <w:rPr>
          <w:lang w:val="en-US"/>
        </w:rPr>
        <w:t xml:space="preserve">. </w:t>
      </w:r>
      <w:r w:rsidRPr="00B849DC" w:rsidR="00FB7BBC">
        <w:rPr>
          <w:lang w:val="en-US"/>
        </w:rPr>
        <w:t>They</w:t>
      </w:r>
      <w:r w:rsidRPr="00B849DC" w:rsidR="00520CE4">
        <w:rPr>
          <w:lang w:val="en-US"/>
        </w:rPr>
        <w:t xml:space="preserve"> include educational </w:t>
      </w:r>
      <w:r w:rsidRPr="00B849DC" w:rsidR="00FB7BBC">
        <w:rPr>
          <w:lang w:val="en-US"/>
        </w:rPr>
        <w:t xml:space="preserve">and medical </w:t>
      </w:r>
      <w:r w:rsidRPr="00B849DC" w:rsidR="00520CE4">
        <w:rPr>
          <w:lang w:val="en-US"/>
        </w:rPr>
        <w:t xml:space="preserve">institutions </w:t>
      </w:r>
      <w:r w:rsidRPr="00B849DC" w:rsidR="002A298B">
        <w:rPr>
          <w:lang w:val="en-US"/>
        </w:rPr>
        <w:t xml:space="preserve">and </w:t>
      </w:r>
      <w:r w:rsidRPr="00B849DC" w:rsidR="00520CE4">
        <w:rPr>
          <w:lang w:val="en-US"/>
        </w:rPr>
        <w:t xml:space="preserve">communal infrastructure related to </w:t>
      </w:r>
      <w:r w:rsidRPr="00B849DC" w:rsidR="005A4F8F">
        <w:rPr>
          <w:lang w:val="en-US"/>
        </w:rPr>
        <w:t>essential</w:t>
      </w:r>
      <w:r w:rsidRPr="00B849DC" w:rsidR="002A298B">
        <w:rPr>
          <w:lang w:val="en-US"/>
        </w:rPr>
        <w:t xml:space="preserve"> public services</w:t>
      </w:r>
      <w:r w:rsidRPr="00B849DC" w:rsidR="00520CE4">
        <w:rPr>
          <w:lang w:val="en-US"/>
        </w:rPr>
        <w:t xml:space="preserve"> (</w:t>
      </w:r>
      <w:r w:rsidRPr="00B849DC" w:rsidR="00520CE4">
        <w:rPr>
          <w:i/>
          <w:lang w:val="ru-RU"/>
        </w:rPr>
        <w:t>относящиеся</w:t>
      </w:r>
      <w:r w:rsidRPr="00B849DC" w:rsidR="00520CE4">
        <w:rPr>
          <w:i/>
          <w:lang w:val="en-US"/>
        </w:rPr>
        <w:t xml:space="preserve"> </w:t>
      </w:r>
      <w:r w:rsidRPr="00B849DC" w:rsidR="00520CE4">
        <w:rPr>
          <w:i/>
          <w:lang w:val="ru-RU"/>
        </w:rPr>
        <w:t>к</w:t>
      </w:r>
      <w:r w:rsidRPr="00B849DC" w:rsidR="00520CE4">
        <w:rPr>
          <w:i/>
          <w:lang w:val="en-US"/>
        </w:rPr>
        <w:t xml:space="preserve"> </w:t>
      </w:r>
      <w:r w:rsidRPr="00B849DC" w:rsidR="00520CE4">
        <w:rPr>
          <w:i/>
          <w:lang w:val="ru-RU"/>
        </w:rPr>
        <w:t>системам</w:t>
      </w:r>
      <w:r w:rsidRPr="00B849DC" w:rsidR="00520CE4">
        <w:rPr>
          <w:i/>
          <w:lang w:val="en-US"/>
        </w:rPr>
        <w:t xml:space="preserve"> </w:t>
      </w:r>
      <w:r w:rsidRPr="00B849DC" w:rsidR="00520CE4">
        <w:rPr>
          <w:i/>
          <w:lang w:val="ru-RU"/>
        </w:rPr>
        <w:t>жизнеобеспечения</w:t>
      </w:r>
      <w:r w:rsidRPr="00B849DC" w:rsidR="00520CE4">
        <w:rPr>
          <w:lang w:val="en-US"/>
        </w:rPr>
        <w:t xml:space="preserve">), </w:t>
      </w:r>
      <w:r w:rsidRPr="00B849DC" w:rsidR="00FB7BBC">
        <w:rPr>
          <w:lang w:val="en-GB"/>
        </w:rPr>
        <w:t>such as</w:t>
      </w:r>
      <w:r w:rsidRPr="00B849DC" w:rsidR="00520CE4">
        <w:rPr>
          <w:lang w:val="en-GB"/>
        </w:rPr>
        <w:t xml:space="preserve"> water, heat, ga</w:t>
      </w:r>
      <w:r w:rsidRPr="00B849DC" w:rsidR="00154F00">
        <w:rPr>
          <w:lang w:val="en-GB"/>
        </w:rPr>
        <w:t>s</w:t>
      </w:r>
      <w:r w:rsidRPr="00B849DC" w:rsidR="00520CE4">
        <w:rPr>
          <w:lang w:val="en-GB"/>
        </w:rPr>
        <w:t xml:space="preserve"> and energy supply, water </w:t>
      </w:r>
      <w:r w:rsidRPr="00B849DC" w:rsidR="00FB7BBC">
        <w:rPr>
          <w:lang w:val="en-GB"/>
        </w:rPr>
        <w:t xml:space="preserve">and sewage </w:t>
      </w:r>
      <w:r w:rsidRPr="00B849DC" w:rsidR="00520CE4">
        <w:rPr>
          <w:lang w:val="en-GB"/>
        </w:rPr>
        <w:t>disposal, lighting and provision of urban amenities</w:t>
      </w:r>
      <w:r w:rsidRPr="00B849DC" w:rsidR="0015640C">
        <w:rPr>
          <w:lang w:val="en-GB"/>
        </w:rPr>
        <w:t>, which are</w:t>
      </w:r>
      <w:r w:rsidRPr="00B849DC" w:rsidR="00520CE4">
        <w:rPr>
          <w:lang w:val="en-GB"/>
        </w:rPr>
        <w:t xml:space="preserve"> “</w:t>
      </w:r>
      <w:r w:rsidRPr="00B849DC" w:rsidR="005A4F8F">
        <w:rPr>
          <w:lang w:val="en-GB"/>
        </w:rPr>
        <w:t>vital</w:t>
      </w:r>
      <w:r w:rsidRPr="00B849DC" w:rsidR="00E46B55">
        <w:rPr>
          <w:lang w:val="en-GB"/>
        </w:rPr>
        <w:t xml:space="preserve"> for the daily needs </w:t>
      </w:r>
      <w:r w:rsidRPr="00B849DC" w:rsidR="00520CE4">
        <w:rPr>
          <w:lang w:val="en-GB"/>
        </w:rPr>
        <w:t>of citizens” (</w:t>
      </w:r>
      <w:r w:rsidRPr="00B849DC" w:rsidR="00FB7BBC">
        <w:rPr>
          <w:lang w:val="en-GB"/>
        </w:rPr>
        <w:t xml:space="preserve">see </w:t>
      </w:r>
      <w:r w:rsidRPr="00B849DC" w:rsidR="00FF2753">
        <w:rPr>
          <w:lang w:val="en-US"/>
        </w:rPr>
        <w:t>section </w:t>
      </w:r>
      <w:r w:rsidRPr="00B849DC" w:rsidR="00657072">
        <w:rPr>
          <w:lang w:val="en-US"/>
        </w:rPr>
        <w:t>132</w:t>
      </w:r>
      <w:r w:rsidRPr="00B849DC" w:rsidR="00FF2753">
        <w:rPr>
          <w:lang w:val="en-US"/>
        </w:rPr>
        <w:t>(</w:t>
      </w:r>
      <w:r w:rsidRPr="00B849DC" w:rsidR="00657072">
        <w:rPr>
          <w:lang w:val="en-US"/>
        </w:rPr>
        <w:t>4</w:t>
      </w:r>
      <w:r w:rsidRPr="00B849DC" w:rsidR="00FF2753">
        <w:rPr>
          <w:lang w:val="en-US"/>
        </w:rPr>
        <w:t>)</w:t>
      </w:r>
      <w:r w:rsidRPr="00B849DC" w:rsidR="00657072">
        <w:rPr>
          <w:lang w:val="en-US"/>
        </w:rPr>
        <w:t xml:space="preserve"> of the Insolvency Act as in force until 30</w:t>
      </w:r>
      <w:r w:rsidRPr="00B849DC" w:rsidR="00FB7BBC">
        <w:rPr>
          <w:lang w:val="en-US"/>
        </w:rPr>
        <w:t> </w:t>
      </w:r>
      <w:r w:rsidRPr="00B849DC" w:rsidR="00657072">
        <w:rPr>
          <w:lang w:val="en-US"/>
        </w:rPr>
        <w:t xml:space="preserve">December 2008 and </w:t>
      </w:r>
      <w:r w:rsidRPr="00B849DC" w:rsidR="00FF2753">
        <w:rPr>
          <w:lang w:val="en-US"/>
        </w:rPr>
        <w:t>section </w:t>
      </w:r>
      <w:r w:rsidRPr="00B849DC" w:rsidR="00520CE4">
        <w:rPr>
          <w:lang w:val="en-US"/>
        </w:rPr>
        <w:t>129</w:t>
      </w:r>
      <w:r w:rsidRPr="00B849DC" w:rsidR="00FF2753">
        <w:rPr>
          <w:lang w:val="en-US"/>
        </w:rPr>
        <w:t>(</w:t>
      </w:r>
      <w:r w:rsidRPr="00B849DC" w:rsidR="00520CE4">
        <w:rPr>
          <w:lang w:val="en-US"/>
        </w:rPr>
        <w:t>6</w:t>
      </w:r>
      <w:r w:rsidRPr="00B849DC" w:rsidR="00FF2753">
        <w:rPr>
          <w:lang w:val="en-US"/>
        </w:rPr>
        <w:t>)</w:t>
      </w:r>
      <w:r w:rsidRPr="00B849DC" w:rsidR="00520CE4">
        <w:rPr>
          <w:lang w:val="en-US"/>
        </w:rPr>
        <w:t xml:space="preserve"> of the Act</w:t>
      </w:r>
      <w:r w:rsidRPr="00B849DC" w:rsidR="00BF32E0">
        <w:rPr>
          <w:lang w:val="en-US"/>
        </w:rPr>
        <w:t xml:space="preserve"> as amended on 30 December 2008</w:t>
      </w:r>
      <w:r w:rsidRPr="00B849DC" w:rsidR="00520CE4">
        <w:rPr>
          <w:lang w:val="en-US"/>
        </w:rPr>
        <w:t xml:space="preserve">). </w:t>
      </w:r>
      <w:r w:rsidRPr="00B849DC" w:rsidR="008B5861">
        <w:rPr>
          <w:lang w:val="en-US"/>
        </w:rPr>
        <w:t>They are not to be included in the insolvency assets («</w:t>
      </w:r>
      <w:r w:rsidRPr="00B849DC" w:rsidR="008B5861">
        <w:rPr>
          <w:lang w:val="ru-RU"/>
        </w:rPr>
        <w:t>конкурсная</w:t>
      </w:r>
      <w:r w:rsidRPr="00B849DC" w:rsidR="008B5861">
        <w:rPr>
          <w:lang w:val="en-US"/>
        </w:rPr>
        <w:t xml:space="preserve"> </w:t>
      </w:r>
      <w:r w:rsidRPr="00B849DC" w:rsidR="008B5861">
        <w:rPr>
          <w:lang w:val="ru-RU"/>
        </w:rPr>
        <w:t>масса</w:t>
      </w:r>
      <w:r w:rsidRPr="00B849DC" w:rsidR="008B5861">
        <w:rPr>
          <w:lang w:val="en-US"/>
        </w:rPr>
        <w:t>»)</w:t>
      </w:r>
      <w:r w:rsidRPr="00B849DC" w:rsidR="008B5861">
        <w:rPr>
          <w:lang w:val="en-GB"/>
        </w:rPr>
        <w:t xml:space="preserve"> (</w:t>
      </w:r>
      <w:r w:rsidRPr="00B849DC" w:rsidR="00FF2753">
        <w:rPr>
          <w:lang w:val="en-US"/>
        </w:rPr>
        <w:t>section </w:t>
      </w:r>
      <w:r w:rsidRPr="00B849DC" w:rsidR="00520CE4">
        <w:rPr>
          <w:lang w:val="en-US"/>
        </w:rPr>
        <w:t>132</w:t>
      </w:r>
      <w:r w:rsidRPr="00B849DC" w:rsidR="008B5861">
        <w:rPr>
          <w:lang w:val="en-US"/>
        </w:rPr>
        <w:t xml:space="preserve">) and should be sold at auction, provided that the purchaser undertakes to ensure </w:t>
      </w:r>
      <w:r w:rsidRPr="00B849DC" w:rsidR="00E46B55">
        <w:rPr>
          <w:lang w:val="en-US"/>
        </w:rPr>
        <w:t>their</w:t>
      </w:r>
      <w:r w:rsidRPr="00B849DC" w:rsidR="008B5861">
        <w:rPr>
          <w:lang w:val="en-US"/>
        </w:rPr>
        <w:t xml:space="preserve"> maintenance and use in accordance with their </w:t>
      </w:r>
      <w:r w:rsidRPr="00B849DC" w:rsidR="005A4F8F">
        <w:rPr>
          <w:lang w:val="en-US"/>
        </w:rPr>
        <w:t xml:space="preserve">stipulated </w:t>
      </w:r>
      <w:r w:rsidRPr="00B849DC" w:rsidR="00E46B55">
        <w:rPr>
          <w:lang w:val="en-US"/>
        </w:rPr>
        <w:t xml:space="preserve">purpose </w:t>
      </w:r>
      <w:r w:rsidRPr="00B849DC" w:rsidR="008B5861">
        <w:rPr>
          <w:lang w:val="en-US"/>
        </w:rPr>
        <w:t>(</w:t>
      </w:r>
      <w:r w:rsidRPr="00B849DC" w:rsidR="00FF2753">
        <w:rPr>
          <w:lang w:val="en-US"/>
        </w:rPr>
        <w:t>section </w:t>
      </w:r>
      <w:r w:rsidRPr="00B849DC" w:rsidR="008B5861">
        <w:rPr>
          <w:lang w:val="en-US"/>
        </w:rPr>
        <w:t>132</w:t>
      </w:r>
      <w:r w:rsidRPr="00B849DC" w:rsidR="00FF2753">
        <w:rPr>
          <w:lang w:val="en-US"/>
        </w:rPr>
        <w:t>(</w:t>
      </w:r>
      <w:r w:rsidRPr="00B849DC" w:rsidR="008B5861">
        <w:rPr>
          <w:lang w:val="en-US"/>
        </w:rPr>
        <w:t>4</w:t>
      </w:r>
      <w:r w:rsidRPr="00B849DC" w:rsidR="00FF2753">
        <w:rPr>
          <w:lang w:val="en-US"/>
        </w:rPr>
        <w:t>)</w:t>
      </w:r>
      <w:r w:rsidRPr="00B849DC" w:rsidR="008B5861">
        <w:rPr>
          <w:lang w:val="en-US"/>
        </w:rPr>
        <w:t xml:space="preserve">). </w:t>
      </w:r>
      <w:r w:rsidRPr="00B849DC" w:rsidR="001B1B34">
        <w:rPr>
          <w:lang w:val="en-US"/>
        </w:rPr>
        <w:t>If</w:t>
      </w:r>
      <w:r w:rsidRPr="00B849DC" w:rsidR="00CF396C">
        <w:rPr>
          <w:lang w:val="en-US"/>
        </w:rPr>
        <w:t xml:space="preserve"> </w:t>
      </w:r>
      <w:r w:rsidRPr="00B849DC" w:rsidR="00E46B55">
        <w:rPr>
          <w:lang w:val="en-US"/>
        </w:rPr>
        <w:t xml:space="preserve">they are still </w:t>
      </w:r>
      <w:r w:rsidRPr="00B849DC" w:rsidR="00CF396C">
        <w:rPr>
          <w:lang w:val="en-US"/>
        </w:rPr>
        <w:t xml:space="preserve">not sold at </w:t>
      </w:r>
      <w:r w:rsidRPr="00B849DC" w:rsidR="001B1B34">
        <w:rPr>
          <w:lang w:val="en-US"/>
        </w:rPr>
        <w:t xml:space="preserve">a </w:t>
      </w:r>
      <w:r w:rsidRPr="00B849DC" w:rsidR="00E46B55">
        <w:rPr>
          <w:lang w:val="en-US"/>
        </w:rPr>
        <w:t xml:space="preserve">second </w:t>
      </w:r>
      <w:r w:rsidRPr="00B849DC" w:rsidR="00657072">
        <w:rPr>
          <w:lang w:val="en-US"/>
        </w:rPr>
        <w:t>auction</w:t>
      </w:r>
      <w:r w:rsidRPr="00B849DC" w:rsidR="001B1B34">
        <w:rPr>
          <w:lang w:val="en-US"/>
        </w:rPr>
        <w:t>, they</w:t>
      </w:r>
      <w:r w:rsidRPr="00B849DC" w:rsidR="00657072">
        <w:rPr>
          <w:lang w:val="en-US"/>
        </w:rPr>
        <w:t xml:space="preserve"> </w:t>
      </w:r>
      <w:r w:rsidRPr="00B849DC" w:rsidR="008B5861">
        <w:rPr>
          <w:lang w:val="en-US"/>
        </w:rPr>
        <w:t>are to be transferred to</w:t>
      </w:r>
      <w:r w:rsidRPr="00B849DC" w:rsidR="00B55D32">
        <w:rPr>
          <w:lang w:val="en-US"/>
        </w:rPr>
        <w:t xml:space="preserve"> the</w:t>
      </w:r>
      <w:r w:rsidRPr="00B849DC" w:rsidR="008B5861">
        <w:rPr>
          <w:lang w:val="en-US"/>
        </w:rPr>
        <w:t xml:space="preserve"> </w:t>
      </w:r>
      <w:r w:rsidRPr="00B849DC" w:rsidR="00BF32E0">
        <w:rPr>
          <w:lang w:val="en-US"/>
        </w:rPr>
        <w:t xml:space="preserve">municipal property </w:t>
      </w:r>
      <w:r w:rsidRPr="00B849DC" w:rsidR="008B5861">
        <w:rPr>
          <w:lang w:val="en-US"/>
        </w:rPr>
        <w:t>(</w:t>
      </w:r>
      <w:r w:rsidRPr="00B849DC" w:rsidR="008C3AA2">
        <w:rPr>
          <w:lang w:val="en-US"/>
        </w:rPr>
        <w:t>section </w:t>
      </w:r>
      <w:r w:rsidRPr="00B849DC" w:rsidR="008B5861">
        <w:rPr>
          <w:lang w:val="en-US"/>
        </w:rPr>
        <w:t>132</w:t>
      </w:r>
      <w:r w:rsidRPr="00B849DC" w:rsidR="00A84761">
        <w:rPr>
          <w:lang w:val="en-US"/>
        </w:rPr>
        <w:t>(</w:t>
      </w:r>
      <w:r w:rsidRPr="00B849DC" w:rsidR="008B5861">
        <w:rPr>
          <w:lang w:val="en-US"/>
        </w:rPr>
        <w:t>5</w:t>
      </w:r>
      <w:r w:rsidRPr="00B849DC" w:rsidR="00A84761">
        <w:rPr>
          <w:lang w:val="en-US"/>
        </w:rPr>
        <w:t>)</w:t>
      </w:r>
      <w:r w:rsidRPr="00B849DC" w:rsidR="008B5861">
        <w:rPr>
          <w:lang w:val="en-US"/>
        </w:rPr>
        <w:t>)</w:t>
      </w:r>
      <w:r w:rsidRPr="00B849DC" w:rsidR="00657072">
        <w:rPr>
          <w:lang w:val="en-US"/>
        </w:rPr>
        <w:t xml:space="preserve">. The </w:t>
      </w:r>
      <w:r w:rsidRPr="00B849DC" w:rsidR="001F3EFA">
        <w:rPr>
          <w:lang w:val="en-US"/>
        </w:rPr>
        <w:t xml:space="preserve">social housing </w:t>
      </w:r>
      <w:r w:rsidRPr="00B849DC" w:rsidR="005A4F8F">
        <w:rPr>
          <w:lang w:val="en-US"/>
        </w:rPr>
        <w:t xml:space="preserve">fund </w:t>
      </w:r>
      <w:r w:rsidRPr="00B849DC" w:rsidR="00657072">
        <w:rPr>
          <w:lang w:val="en-US"/>
        </w:rPr>
        <w:t>(</w:t>
      </w:r>
      <w:r w:rsidRPr="00B849DC" w:rsidR="00657072">
        <w:rPr>
          <w:i/>
          <w:lang w:val="ru-RU"/>
        </w:rPr>
        <w:t>жилищный</w:t>
      </w:r>
      <w:r w:rsidRPr="00B849DC" w:rsidR="00657072">
        <w:rPr>
          <w:i/>
          <w:lang w:val="en-US"/>
        </w:rPr>
        <w:t xml:space="preserve"> </w:t>
      </w:r>
      <w:r w:rsidRPr="00B849DC" w:rsidR="00657072">
        <w:rPr>
          <w:i/>
          <w:lang w:val="ru-RU"/>
        </w:rPr>
        <w:t>фонд</w:t>
      </w:r>
      <w:r w:rsidRPr="00B849DC" w:rsidR="00657072">
        <w:rPr>
          <w:i/>
          <w:lang w:val="en-US"/>
        </w:rPr>
        <w:t xml:space="preserve"> </w:t>
      </w:r>
      <w:r w:rsidRPr="00B849DC" w:rsidR="00657072">
        <w:rPr>
          <w:i/>
          <w:lang w:val="ru-RU"/>
        </w:rPr>
        <w:t>социального</w:t>
      </w:r>
      <w:r w:rsidRPr="00B849DC" w:rsidR="00657072">
        <w:rPr>
          <w:i/>
          <w:lang w:val="en-US"/>
        </w:rPr>
        <w:t xml:space="preserve"> </w:t>
      </w:r>
      <w:r w:rsidRPr="00B849DC" w:rsidR="00657072">
        <w:rPr>
          <w:i/>
          <w:lang w:val="ru-RU"/>
        </w:rPr>
        <w:t>использования</w:t>
      </w:r>
      <w:r w:rsidRPr="00B849DC" w:rsidR="00657072">
        <w:rPr>
          <w:lang w:val="en-US"/>
        </w:rPr>
        <w:t>) is to be transferred to the owner (ibid.)</w:t>
      </w:r>
    </w:p>
    <w:p w:rsidRPr="00B849DC" w:rsidR="007763E3" w:rsidP="00B849DC" w:rsidRDefault="00081478">
      <w:pPr>
        <w:pStyle w:val="ECHRHeading2"/>
        <w:rPr>
          <w:lang w:val="en-US"/>
        </w:rPr>
      </w:pPr>
      <w:r w:rsidRPr="00B849DC">
        <w:rPr>
          <w:lang w:val="en-US"/>
        </w:rPr>
        <w:t>I</w:t>
      </w:r>
      <w:r w:rsidRPr="00B849DC" w:rsidR="00696BB0">
        <w:rPr>
          <w:lang w:val="en-US"/>
        </w:rPr>
        <w:t>.  </w:t>
      </w:r>
      <w:r w:rsidRPr="00B849DC" w:rsidR="00582CC5">
        <w:rPr>
          <w:lang w:val="en-US"/>
        </w:rPr>
        <w:t>Changes in</w:t>
      </w:r>
      <w:r w:rsidRPr="00B849DC" w:rsidR="00A13026">
        <w:rPr>
          <w:lang w:val="en-US"/>
        </w:rPr>
        <w:t xml:space="preserve"> approach to unitary enterprises </w:t>
      </w:r>
      <w:r w:rsidRPr="00B849DC" w:rsidR="00582CC5">
        <w:rPr>
          <w:lang w:val="en-US"/>
        </w:rPr>
        <w:t xml:space="preserve">as laid down </w:t>
      </w:r>
      <w:r w:rsidRPr="00B849DC" w:rsidR="00A13026">
        <w:rPr>
          <w:lang w:val="en-US"/>
        </w:rPr>
        <w:t xml:space="preserve">in the respective </w:t>
      </w:r>
      <w:r w:rsidRPr="00B849DC" w:rsidR="00582CC5">
        <w:rPr>
          <w:lang w:val="en-US"/>
        </w:rPr>
        <w:t>“C</w:t>
      </w:r>
      <w:r w:rsidRPr="00B849DC" w:rsidR="00A13026">
        <w:rPr>
          <w:lang w:val="en-US"/>
        </w:rPr>
        <w:t>oncepts</w:t>
      </w:r>
      <w:r w:rsidRPr="00B849DC" w:rsidR="00582CC5">
        <w:rPr>
          <w:lang w:val="en-US"/>
        </w:rPr>
        <w:t>”</w:t>
      </w:r>
    </w:p>
    <w:p w:rsidRPr="00B849DC" w:rsidR="007763E3" w:rsidP="00B849DC" w:rsidRDefault="00FD4A1F">
      <w:pPr>
        <w:pStyle w:val="ECHRHeading3"/>
        <w:rPr>
          <w:lang w:val="en-US"/>
        </w:rPr>
      </w:pPr>
      <w:r w:rsidRPr="00B849DC">
        <w:rPr>
          <w:lang w:val="en-US"/>
        </w:rPr>
        <w:t>1.</w:t>
      </w:r>
      <w:r w:rsidRPr="00B849DC" w:rsidR="007763E3">
        <w:rPr>
          <w:lang w:val="en-US"/>
        </w:rPr>
        <w:t>  </w:t>
      </w:r>
      <w:r w:rsidRPr="00B849DC" w:rsidR="00E80DE5">
        <w:rPr>
          <w:lang w:val="en-US"/>
        </w:rPr>
        <w:t xml:space="preserve">Concept of State Property </w:t>
      </w:r>
      <w:r w:rsidRPr="00B849DC" w:rsidR="00582CC5">
        <w:rPr>
          <w:lang w:val="en-US"/>
        </w:rPr>
        <w:t xml:space="preserve">Management </w:t>
      </w:r>
      <w:r w:rsidRPr="00B849DC" w:rsidR="00E80DE5">
        <w:rPr>
          <w:lang w:val="en-US"/>
        </w:rPr>
        <w:t>and Privatisation of 1999</w:t>
      </w:r>
    </w:p>
    <w:p w:rsidRPr="00B849DC" w:rsidR="003D3C17" w:rsidP="00B849DC" w:rsidRDefault="007763E3">
      <w:pPr>
        <w:pStyle w:val="ECHRPara"/>
        <w:rPr>
          <w:lang w:val="en-US"/>
        </w:rPr>
      </w:pPr>
      <w:r w:rsidRPr="00B849DC">
        <w:fldChar w:fldCharType="begin"/>
      </w:r>
      <w:r w:rsidRPr="00B849DC">
        <w:rPr>
          <w:lang w:val="en-US"/>
        </w:rPr>
        <w:instrText xml:space="preserve"> SEQ level0 \*arabic </w:instrText>
      </w:r>
      <w:r w:rsidRPr="00B849DC">
        <w:fldChar w:fldCharType="separate"/>
      </w:r>
      <w:r w:rsidRPr="00B849DC" w:rsidR="00B849DC">
        <w:rPr>
          <w:noProof/>
          <w:lang w:val="en-US"/>
        </w:rPr>
        <w:t>126</w:t>
      </w:r>
      <w:r w:rsidRPr="00B849DC">
        <w:fldChar w:fldCharType="end"/>
      </w:r>
      <w:r w:rsidRPr="00B849DC">
        <w:rPr>
          <w:lang w:val="en-US"/>
        </w:rPr>
        <w:t>.  </w:t>
      </w:r>
      <w:r w:rsidRPr="00B849DC" w:rsidR="00B5339D">
        <w:rPr>
          <w:lang w:val="en-US"/>
        </w:rPr>
        <w:t xml:space="preserve">According to </w:t>
      </w:r>
      <w:r w:rsidRPr="00B849DC" w:rsidR="00050B1D">
        <w:rPr>
          <w:lang w:val="en-US"/>
        </w:rPr>
        <w:t>the Concept of</w:t>
      </w:r>
      <w:r w:rsidRPr="00B849DC" w:rsidR="00582CC5">
        <w:rPr>
          <w:lang w:val="en-US"/>
        </w:rPr>
        <w:t xml:space="preserve"> </w:t>
      </w:r>
      <w:r w:rsidRPr="00B849DC" w:rsidR="00050B1D">
        <w:rPr>
          <w:lang w:val="en-US"/>
        </w:rPr>
        <w:t xml:space="preserve">State Property </w:t>
      </w:r>
      <w:r w:rsidRPr="00B849DC" w:rsidR="00582CC5">
        <w:rPr>
          <w:lang w:val="en-US"/>
        </w:rPr>
        <w:t xml:space="preserve">Management </w:t>
      </w:r>
      <w:r w:rsidRPr="00B849DC" w:rsidR="00050B1D">
        <w:rPr>
          <w:lang w:val="en-US"/>
        </w:rPr>
        <w:t>and Privatisation in the Russian Federation</w:t>
      </w:r>
      <w:r w:rsidRPr="00B849DC" w:rsidR="00582CC5">
        <w:rPr>
          <w:lang w:val="en-US"/>
        </w:rPr>
        <w:t xml:space="preserve"> (“the 1999 Concept”),</w:t>
      </w:r>
      <w:r w:rsidRPr="00B849DC" w:rsidR="00050B1D">
        <w:rPr>
          <w:lang w:val="en-US"/>
        </w:rPr>
        <w:t xml:space="preserve"> </w:t>
      </w:r>
      <w:r w:rsidRPr="00B849DC" w:rsidR="004C360C">
        <w:rPr>
          <w:lang w:val="en-US"/>
        </w:rPr>
        <w:t xml:space="preserve">approved by </w:t>
      </w:r>
      <w:r w:rsidRPr="00B849DC" w:rsidR="00582CC5">
        <w:rPr>
          <w:lang w:val="en-US"/>
        </w:rPr>
        <w:t>Governm</w:t>
      </w:r>
      <w:r w:rsidRPr="00B849DC" w:rsidR="0015640C">
        <w:rPr>
          <w:lang w:val="en-US"/>
        </w:rPr>
        <w:t>ent</w:t>
      </w:r>
      <w:r w:rsidRPr="00B849DC" w:rsidR="00582CC5">
        <w:rPr>
          <w:lang w:val="en-US"/>
        </w:rPr>
        <w:t xml:space="preserve"> D</w:t>
      </w:r>
      <w:r w:rsidRPr="00B849DC" w:rsidR="004C360C">
        <w:rPr>
          <w:lang w:val="en-US"/>
        </w:rPr>
        <w:t>ecree no. 1024 of 9 September 1999</w:t>
      </w:r>
      <w:r w:rsidRPr="00B849DC" w:rsidR="00422C20">
        <w:rPr>
          <w:lang w:val="en-US"/>
        </w:rPr>
        <w:t>,</w:t>
      </w:r>
      <w:r w:rsidRPr="00B849DC" w:rsidR="003D3C17">
        <w:rPr>
          <w:lang w:val="en-US"/>
        </w:rPr>
        <w:t xml:space="preserve"> </w:t>
      </w:r>
      <w:r w:rsidRPr="00B849DC" w:rsidR="00422C20">
        <w:rPr>
          <w:lang w:val="en-US"/>
        </w:rPr>
        <w:t xml:space="preserve">which defines </w:t>
      </w:r>
      <w:r w:rsidRPr="00B849DC" w:rsidR="003D3C17">
        <w:rPr>
          <w:lang w:val="en-US"/>
        </w:rPr>
        <w:t xml:space="preserve">the </w:t>
      </w:r>
      <w:r w:rsidRPr="00B849DC" w:rsidR="0015640C">
        <w:rPr>
          <w:lang w:val="en-US"/>
        </w:rPr>
        <w:t xml:space="preserve">main </w:t>
      </w:r>
      <w:r w:rsidRPr="00B849DC" w:rsidR="003D3C17">
        <w:rPr>
          <w:lang w:val="en-US"/>
        </w:rPr>
        <w:t>directions and principles of reform in the sphere of State property management</w:t>
      </w:r>
      <w:r w:rsidRPr="00B849DC" w:rsidR="00B5339D">
        <w:rPr>
          <w:lang w:val="en-US"/>
        </w:rPr>
        <w:t xml:space="preserve">, </w:t>
      </w:r>
      <w:r w:rsidRPr="00B849DC" w:rsidR="004C360C">
        <w:rPr>
          <w:lang w:val="en-US"/>
        </w:rPr>
        <w:t xml:space="preserve">at the material time there </w:t>
      </w:r>
      <w:r w:rsidRPr="00B849DC" w:rsidR="00422C20">
        <w:rPr>
          <w:lang w:val="en-US"/>
        </w:rPr>
        <w:t xml:space="preserve">were </w:t>
      </w:r>
      <w:r w:rsidRPr="00B849DC" w:rsidR="004C360C">
        <w:rPr>
          <w:lang w:val="en-US"/>
        </w:rPr>
        <w:t>13,786</w:t>
      </w:r>
      <w:r w:rsidRPr="00B849DC" w:rsidR="00130705">
        <w:rPr>
          <w:lang w:val="en-US"/>
        </w:rPr>
        <w:t> </w:t>
      </w:r>
      <w:r w:rsidRPr="00B849DC" w:rsidR="004C360C">
        <w:rPr>
          <w:lang w:val="en-US"/>
        </w:rPr>
        <w:t>unitary enterprises in Russia.</w:t>
      </w:r>
      <w:r w:rsidRPr="00B849DC" w:rsidR="003D3C17">
        <w:rPr>
          <w:lang w:val="en-US"/>
        </w:rPr>
        <w:t xml:space="preserve"> </w:t>
      </w:r>
      <w:r w:rsidRPr="00B849DC" w:rsidR="00D0370F">
        <w:rPr>
          <w:lang w:val="en-US"/>
        </w:rPr>
        <w:t xml:space="preserve">That number was considered excessive. </w:t>
      </w:r>
      <w:r w:rsidRPr="00B849DC" w:rsidR="00260268">
        <w:rPr>
          <w:lang w:val="en-US"/>
        </w:rPr>
        <w:t>The</w:t>
      </w:r>
      <w:r w:rsidRPr="00B849DC" w:rsidR="003D3C17">
        <w:rPr>
          <w:lang w:val="en-US"/>
        </w:rPr>
        <w:t xml:space="preserve"> right of economic control was criticized in the </w:t>
      </w:r>
      <w:r w:rsidRPr="00B849DC" w:rsidR="00130705">
        <w:rPr>
          <w:lang w:val="en-US"/>
        </w:rPr>
        <w:t>1999 </w:t>
      </w:r>
      <w:r w:rsidRPr="00B849DC" w:rsidR="00E47364">
        <w:rPr>
          <w:lang w:val="en-US"/>
        </w:rPr>
        <w:t>C</w:t>
      </w:r>
      <w:r w:rsidRPr="00B849DC" w:rsidR="003D3C17">
        <w:rPr>
          <w:lang w:val="en-US"/>
        </w:rPr>
        <w:t xml:space="preserve">oncept as providing the entity enjoying that right with </w:t>
      </w:r>
      <w:r w:rsidRPr="00B849DC" w:rsidR="006805D9">
        <w:rPr>
          <w:lang w:val="en-US"/>
        </w:rPr>
        <w:t>virtually unlimited</w:t>
      </w:r>
      <w:r w:rsidRPr="00B849DC" w:rsidR="000005C4">
        <w:rPr>
          <w:lang w:val="en-US"/>
        </w:rPr>
        <w:t xml:space="preserve"> opportunities</w:t>
      </w:r>
      <w:r w:rsidRPr="00B849DC" w:rsidR="003D3C17">
        <w:rPr>
          <w:lang w:val="en-US"/>
        </w:rPr>
        <w:t xml:space="preserve"> </w:t>
      </w:r>
      <w:r w:rsidRPr="00B849DC" w:rsidR="00682DCA">
        <w:rPr>
          <w:lang w:val="en-US"/>
        </w:rPr>
        <w:t xml:space="preserve">for </w:t>
      </w:r>
      <w:r w:rsidRPr="00B849DC" w:rsidR="000005C4">
        <w:rPr>
          <w:lang w:val="en-US"/>
        </w:rPr>
        <w:t>managing</w:t>
      </w:r>
      <w:r w:rsidRPr="00B849DC" w:rsidR="003D3C17">
        <w:rPr>
          <w:lang w:val="en-US"/>
        </w:rPr>
        <w:t xml:space="preserve"> the property</w:t>
      </w:r>
      <w:r w:rsidRPr="00B849DC" w:rsidR="00E47364">
        <w:rPr>
          <w:lang w:val="en-US"/>
        </w:rPr>
        <w:t>, whilst the list of the owner</w:t>
      </w:r>
      <w:r w:rsidRPr="00B849DC" w:rsidR="00B849DC">
        <w:rPr>
          <w:lang w:val="en-US"/>
        </w:rPr>
        <w:t>’</w:t>
      </w:r>
      <w:r w:rsidRPr="00B849DC" w:rsidR="00E47364">
        <w:rPr>
          <w:lang w:val="en-US"/>
        </w:rPr>
        <w:t xml:space="preserve">s rights was </w:t>
      </w:r>
      <w:r w:rsidRPr="00B849DC" w:rsidR="00F8786F">
        <w:rPr>
          <w:lang w:val="en-US"/>
        </w:rPr>
        <w:t>restricted</w:t>
      </w:r>
      <w:r w:rsidRPr="00B849DC" w:rsidR="00E47364">
        <w:rPr>
          <w:lang w:val="en-US"/>
        </w:rPr>
        <w:t xml:space="preserve">. The </w:t>
      </w:r>
      <w:r w:rsidRPr="00B849DC" w:rsidR="00913372">
        <w:rPr>
          <w:lang w:val="en-US"/>
        </w:rPr>
        <w:t xml:space="preserve">directors </w:t>
      </w:r>
      <w:r w:rsidRPr="00B849DC" w:rsidR="00E47364">
        <w:rPr>
          <w:lang w:val="en-US"/>
        </w:rPr>
        <w:t xml:space="preserve">of the </w:t>
      </w:r>
      <w:r w:rsidRPr="00B849DC" w:rsidR="00913372">
        <w:rPr>
          <w:lang w:val="en-US"/>
        </w:rPr>
        <w:t xml:space="preserve">companies </w:t>
      </w:r>
      <w:r w:rsidRPr="00B849DC" w:rsidR="00E47364">
        <w:rPr>
          <w:lang w:val="en-US"/>
        </w:rPr>
        <w:t>were under no obligation to obtain the owner</w:t>
      </w:r>
      <w:r w:rsidRPr="00B849DC" w:rsidR="00B849DC">
        <w:rPr>
          <w:lang w:val="en-US"/>
        </w:rPr>
        <w:t>’</w:t>
      </w:r>
      <w:r w:rsidRPr="00B849DC" w:rsidR="00E47364">
        <w:rPr>
          <w:lang w:val="en-US"/>
        </w:rPr>
        <w:t xml:space="preserve">s approval, except for transactions concerning real estate. </w:t>
      </w:r>
      <w:r w:rsidRPr="00B849DC" w:rsidR="00913372">
        <w:rPr>
          <w:lang w:val="en-US"/>
        </w:rPr>
        <w:t>I</w:t>
      </w:r>
      <w:r w:rsidRPr="00B849DC" w:rsidR="00E47364">
        <w:rPr>
          <w:lang w:val="en-US"/>
        </w:rPr>
        <w:t>nterference with a company</w:t>
      </w:r>
      <w:r w:rsidRPr="00B849DC" w:rsidR="00B849DC">
        <w:rPr>
          <w:lang w:val="en-US"/>
        </w:rPr>
        <w:t>’</w:t>
      </w:r>
      <w:r w:rsidRPr="00B849DC" w:rsidR="00E47364">
        <w:rPr>
          <w:lang w:val="en-US"/>
        </w:rPr>
        <w:t xml:space="preserve">s activity </w:t>
      </w:r>
      <w:r w:rsidRPr="00B849DC" w:rsidR="00913372">
        <w:rPr>
          <w:lang w:val="en-US"/>
        </w:rPr>
        <w:t xml:space="preserve">on the part of an owner </w:t>
      </w:r>
      <w:r w:rsidRPr="00B849DC" w:rsidR="00E47364">
        <w:rPr>
          <w:lang w:val="en-US"/>
        </w:rPr>
        <w:t xml:space="preserve">was unlawful. </w:t>
      </w:r>
      <w:r w:rsidRPr="00B849DC" w:rsidR="003D3C17">
        <w:rPr>
          <w:lang w:val="en-US"/>
        </w:rPr>
        <w:t xml:space="preserve">The owner was unable either to control the </w:t>
      </w:r>
      <w:r w:rsidRPr="00B849DC" w:rsidR="00913372">
        <w:rPr>
          <w:lang w:val="en-US"/>
        </w:rPr>
        <w:t>company</w:t>
      </w:r>
      <w:r w:rsidRPr="00B849DC" w:rsidR="00B849DC">
        <w:rPr>
          <w:lang w:val="en-US"/>
        </w:rPr>
        <w:t>’</w:t>
      </w:r>
      <w:r w:rsidRPr="00B849DC" w:rsidR="00913372">
        <w:rPr>
          <w:lang w:val="en-US"/>
        </w:rPr>
        <w:t xml:space="preserve">s </w:t>
      </w:r>
      <w:r w:rsidRPr="00B849DC" w:rsidR="003D3C17">
        <w:rPr>
          <w:lang w:val="en-US"/>
        </w:rPr>
        <w:t xml:space="preserve">compliance with </w:t>
      </w:r>
      <w:r w:rsidRPr="00B849DC" w:rsidR="00913372">
        <w:rPr>
          <w:lang w:val="en-US"/>
        </w:rPr>
        <w:t xml:space="preserve">its </w:t>
      </w:r>
      <w:r w:rsidRPr="00B849DC" w:rsidR="00C230C6">
        <w:rPr>
          <w:lang w:val="en-US"/>
        </w:rPr>
        <w:t xml:space="preserve">performance </w:t>
      </w:r>
      <w:r w:rsidRPr="00B849DC" w:rsidR="003D3C17">
        <w:rPr>
          <w:lang w:val="en-US"/>
        </w:rPr>
        <w:t>criteria or to define those criteria; no system of audit existed</w:t>
      </w:r>
      <w:r w:rsidRPr="00B849DC" w:rsidR="0015640C">
        <w:rPr>
          <w:lang w:val="en-US"/>
        </w:rPr>
        <w:t>,</w:t>
      </w:r>
      <w:r w:rsidRPr="00B849DC" w:rsidR="003D3C17">
        <w:rPr>
          <w:lang w:val="en-US"/>
        </w:rPr>
        <w:t xml:space="preserve"> </w:t>
      </w:r>
      <w:r w:rsidRPr="00B849DC" w:rsidR="00913372">
        <w:rPr>
          <w:lang w:val="en-US"/>
        </w:rPr>
        <w:t xml:space="preserve">and </w:t>
      </w:r>
      <w:r w:rsidRPr="00B849DC" w:rsidR="003D3C17">
        <w:rPr>
          <w:lang w:val="en-US"/>
        </w:rPr>
        <w:t xml:space="preserve">the legal framework defining </w:t>
      </w:r>
      <w:r w:rsidRPr="00B849DC" w:rsidR="00913372">
        <w:rPr>
          <w:lang w:val="en-US"/>
        </w:rPr>
        <w:t xml:space="preserve">the purpose </w:t>
      </w:r>
      <w:r w:rsidRPr="00B849DC" w:rsidR="003D3C17">
        <w:rPr>
          <w:lang w:val="en-US"/>
        </w:rPr>
        <w:t xml:space="preserve">and </w:t>
      </w:r>
      <w:r w:rsidRPr="00B849DC" w:rsidR="00913372">
        <w:rPr>
          <w:lang w:val="en-US"/>
        </w:rPr>
        <w:t xml:space="preserve">aims </w:t>
      </w:r>
      <w:r w:rsidRPr="00B849DC" w:rsidR="003D3C17">
        <w:rPr>
          <w:lang w:val="en-US"/>
        </w:rPr>
        <w:t>of the companies</w:t>
      </w:r>
      <w:r w:rsidRPr="00B849DC" w:rsidR="00B849DC">
        <w:rPr>
          <w:lang w:val="en-US"/>
        </w:rPr>
        <w:t>’</w:t>
      </w:r>
      <w:r w:rsidRPr="00B849DC" w:rsidR="003D3C17">
        <w:rPr>
          <w:lang w:val="en-US"/>
        </w:rPr>
        <w:t xml:space="preserve"> activity was insufficient.</w:t>
      </w:r>
    </w:p>
    <w:p w:rsidRPr="00B849DC" w:rsidR="007763E3" w:rsidP="00B849DC" w:rsidRDefault="00FD4A1F">
      <w:pPr>
        <w:pStyle w:val="ECHRHeading3"/>
        <w:rPr>
          <w:lang w:val="en-US"/>
        </w:rPr>
      </w:pPr>
      <w:r w:rsidRPr="00B849DC">
        <w:rPr>
          <w:lang w:val="en-US"/>
        </w:rPr>
        <w:t>2.</w:t>
      </w:r>
      <w:r w:rsidRPr="00B849DC" w:rsidR="007763E3">
        <w:rPr>
          <w:lang w:val="en-US"/>
        </w:rPr>
        <w:t>  </w:t>
      </w:r>
      <w:r w:rsidRPr="00B849DC" w:rsidR="000005C4">
        <w:rPr>
          <w:lang w:val="en-US"/>
        </w:rPr>
        <w:t xml:space="preserve">Concept of </w:t>
      </w:r>
      <w:r w:rsidRPr="00B849DC" w:rsidR="00582CC5">
        <w:rPr>
          <w:lang w:val="en-US"/>
        </w:rPr>
        <w:t xml:space="preserve">the </w:t>
      </w:r>
      <w:r w:rsidRPr="00B849DC" w:rsidR="000005C4">
        <w:rPr>
          <w:lang w:val="en-US"/>
        </w:rPr>
        <w:t xml:space="preserve">Development of Civil Legislation </w:t>
      </w:r>
      <w:r w:rsidRPr="00B849DC" w:rsidR="00D97334">
        <w:rPr>
          <w:lang w:val="en-US"/>
        </w:rPr>
        <w:t xml:space="preserve">of </w:t>
      </w:r>
      <w:r w:rsidRPr="00B849DC" w:rsidR="007763E3">
        <w:rPr>
          <w:lang w:val="en-US"/>
        </w:rPr>
        <w:t>2009</w:t>
      </w:r>
    </w:p>
    <w:p w:rsidRPr="00B849DC" w:rsidR="007763E3" w:rsidP="00B849DC" w:rsidRDefault="007763E3">
      <w:pPr>
        <w:pStyle w:val="ECHRPara"/>
        <w:rPr>
          <w:lang w:val="en-GB"/>
        </w:rPr>
      </w:pPr>
      <w:r w:rsidRPr="00B849DC">
        <w:rPr>
          <w:lang w:val="en-US"/>
        </w:rPr>
        <w:fldChar w:fldCharType="begin"/>
      </w:r>
      <w:r w:rsidRPr="00B849DC">
        <w:rPr>
          <w:lang w:val="en-US"/>
        </w:rPr>
        <w:instrText xml:space="preserve"> SEQ level0 \*arabic </w:instrText>
      </w:r>
      <w:r w:rsidRPr="00B849DC">
        <w:rPr>
          <w:lang w:val="en-US"/>
        </w:rPr>
        <w:fldChar w:fldCharType="separate"/>
      </w:r>
      <w:r w:rsidRPr="00B849DC" w:rsidR="00B849DC">
        <w:rPr>
          <w:noProof/>
          <w:lang w:val="en-US"/>
        </w:rPr>
        <w:t>127</w:t>
      </w:r>
      <w:r w:rsidRPr="00B849DC">
        <w:rPr>
          <w:lang w:val="en-US"/>
        </w:rPr>
        <w:fldChar w:fldCharType="end"/>
      </w:r>
      <w:r w:rsidRPr="00B849DC">
        <w:rPr>
          <w:lang w:val="en-US"/>
        </w:rPr>
        <w:t>.  </w:t>
      </w:r>
      <w:r w:rsidRPr="00B849DC" w:rsidR="00E80DE5">
        <w:rPr>
          <w:lang w:val="en-US"/>
        </w:rPr>
        <w:t xml:space="preserve">The </w:t>
      </w:r>
      <w:r w:rsidRPr="00B849DC" w:rsidR="00D97334">
        <w:rPr>
          <w:lang w:val="en-GB"/>
        </w:rPr>
        <w:t xml:space="preserve">Concept of </w:t>
      </w:r>
      <w:r w:rsidRPr="00B849DC" w:rsidR="00582CC5">
        <w:rPr>
          <w:lang w:val="en-GB"/>
        </w:rPr>
        <w:t xml:space="preserve">the </w:t>
      </w:r>
      <w:r w:rsidRPr="00B849DC" w:rsidR="00D97334">
        <w:rPr>
          <w:lang w:val="en-GB"/>
        </w:rPr>
        <w:t>Development of Civil Legislation of the Russian Federation (</w:t>
      </w:r>
      <w:r w:rsidRPr="00B849DC" w:rsidR="00582CC5">
        <w:rPr>
          <w:lang w:val="en-GB"/>
        </w:rPr>
        <w:t xml:space="preserve">“the 2009 Concept”, </w:t>
      </w:r>
      <w:r w:rsidRPr="00B849DC" w:rsidR="00B1130F">
        <w:rPr>
          <w:lang w:val="en-GB"/>
        </w:rPr>
        <w:t xml:space="preserve">approved </w:t>
      </w:r>
      <w:r w:rsidRPr="00B849DC" w:rsidR="000005C4">
        <w:rPr>
          <w:lang w:val="en-GB"/>
        </w:rPr>
        <w:t>on 7 October 2009 by</w:t>
      </w:r>
      <w:r w:rsidRPr="00B849DC" w:rsidR="00B1130F">
        <w:rPr>
          <w:lang w:val="en-GB"/>
        </w:rPr>
        <w:t xml:space="preserve"> the Council on </w:t>
      </w:r>
      <w:r w:rsidRPr="00B849DC" w:rsidR="00582CC5">
        <w:rPr>
          <w:lang w:val="en-GB"/>
        </w:rPr>
        <w:t xml:space="preserve">the </w:t>
      </w:r>
      <w:r w:rsidRPr="00B849DC" w:rsidR="00B1130F">
        <w:rPr>
          <w:lang w:val="en-GB"/>
        </w:rPr>
        <w:t>Codification and Development of Civil Legislation</w:t>
      </w:r>
      <w:r w:rsidRPr="00B849DC" w:rsidR="000005C4">
        <w:rPr>
          <w:lang w:val="en-GB"/>
        </w:rPr>
        <w:t xml:space="preserve"> advising the President of the Russian Federation,</w:t>
      </w:r>
      <w:r w:rsidRPr="00B849DC" w:rsidR="00D97334">
        <w:rPr>
          <w:lang w:val="en-GB"/>
        </w:rPr>
        <w:t xml:space="preserve">) </w:t>
      </w:r>
      <w:r w:rsidRPr="00B849DC" w:rsidR="00913372">
        <w:rPr>
          <w:lang w:val="en-GB"/>
        </w:rPr>
        <w:t xml:space="preserve">describes </w:t>
      </w:r>
      <w:r w:rsidRPr="00B849DC" w:rsidR="00D97334">
        <w:rPr>
          <w:lang w:val="en-GB"/>
        </w:rPr>
        <w:t xml:space="preserve">a unitary enterprise as </w:t>
      </w:r>
      <w:r w:rsidRPr="00B849DC" w:rsidR="00B1130F">
        <w:rPr>
          <w:lang w:val="en-GB"/>
        </w:rPr>
        <w:t>“</w:t>
      </w:r>
      <w:r w:rsidRPr="00B849DC" w:rsidR="00D97334">
        <w:rPr>
          <w:lang w:val="en-GB"/>
        </w:rPr>
        <w:t>the only form of commercial company which does not own its assets and enjoys special (purpose-related) legal personality</w:t>
      </w:r>
      <w:r w:rsidRPr="00B849DC" w:rsidR="00913372">
        <w:rPr>
          <w:lang w:val="en-GB"/>
        </w:rPr>
        <w:t>”</w:t>
      </w:r>
      <w:r w:rsidRPr="00B849DC" w:rsidR="00D97334">
        <w:rPr>
          <w:lang w:val="en-GB"/>
        </w:rPr>
        <w:t xml:space="preserve">. </w:t>
      </w:r>
      <w:r w:rsidRPr="00B849DC" w:rsidR="00913372">
        <w:rPr>
          <w:lang w:val="en-GB"/>
        </w:rPr>
        <w:t xml:space="preserve">It goes on to specify that </w:t>
      </w:r>
      <w:r w:rsidRPr="00B849DC" w:rsidR="00804E1B">
        <w:rPr>
          <w:lang w:val="en-GB"/>
        </w:rPr>
        <w:t>s</w:t>
      </w:r>
      <w:r w:rsidRPr="00B849DC" w:rsidR="00D97334">
        <w:rPr>
          <w:lang w:val="en-GB"/>
        </w:rPr>
        <w:t xml:space="preserve">uch companies </w:t>
      </w:r>
      <w:r w:rsidRPr="00B849DC" w:rsidR="00913372">
        <w:rPr>
          <w:lang w:val="en-GB"/>
        </w:rPr>
        <w:t>“</w:t>
      </w:r>
      <w:r w:rsidRPr="00B849DC" w:rsidR="00D97334">
        <w:rPr>
          <w:lang w:val="en-GB"/>
        </w:rPr>
        <w:t>cannot make the majority of</w:t>
      </w:r>
      <w:r w:rsidRPr="00B849DC" w:rsidR="00913372">
        <w:rPr>
          <w:lang w:val="en-GB"/>
        </w:rPr>
        <w:t xml:space="preserve"> their</w:t>
      </w:r>
      <w:r w:rsidRPr="00B849DC" w:rsidR="000005C4">
        <w:rPr>
          <w:lang w:val="en-GB"/>
        </w:rPr>
        <w:t xml:space="preserve"> </w:t>
      </w:r>
      <w:r w:rsidRPr="00B849DC" w:rsidR="00D97334">
        <w:rPr>
          <w:lang w:val="en-GB"/>
        </w:rPr>
        <w:t>transactions without the owner</w:t>
      </w:r>
      <w:r w:rsidRPr="00B849DC" w:rsidR="00B849DC">
        <w:rPr>
          <w:lang w:val="en-GB"/>
        </w:rPr>
        <w:t>’</w:t>
      </w:r>
      <w:r w:rsidRPr="00B849DC" w:rsidR="00D97334">
        <w:rPr>
          <w:lang w:val="en-GB"/>
        </w:rPr>
        <w:t xml:space="preserve">s approval. Furthermore, unitary enterprises </w:t>
      </w:r>
      <w:r w:rsidRPr="00B849DC" w:rsidR="00804E1B">
        <w:rPr>
          <w:lang w:val="en-GB"/>
        </w:rPr>
        <w:t xml:space="preserve">may </w:t>
      </w:r>
      <w:r w:rsidRPr="00B849DC" w:rsidR="00D97334">
        <w:rPr>
          <w:lang w:val="en-US"/>
        </w:rPr>
        <w:t>dispose of their assets only in so far as the respective transactions do not deprive the</w:t>
      </w:r>
      <w:r w:rsidRPr="00B849DC" w:rsidR="00804E1B">
        <w:rPr>
          <w:lang w:val="en-US"/>
        </w:rPr>
        <w:t>m</w:t>
      </w:r>
      <w:r w:rsidRPr="00B849DC" w:rsidR="00D97334">
        <w:rPr>
          <w:lang w:val="en-US"/>
        </w:rPr>
        <w:t xml:space="preserve"> of </w:t>
      </w:r>
      <w:r w:rsidRPr="00B849DC" w:rsidR="00913372">
        <w:rPr>
          <w:lang w:val="en-US"/>
        </w:rPr>
        <w:t xml:space="preserve">the </w:t>
      </w:r>
      <w:r w:rsidRPr="00B849DC" w:rsidR="00D97334">
        <w:rPr>
          <w:lang w:val="en-US"/>
        </w:rPr>
        <w:t xml:space="preserve">possibility to conduct </w:t>
      </w:r>
      <w:r w:rsidRPr="00B849DC" w:rsidR="00804E1B">
        <w:rPr>
          <w:lang w:val="en-US"/>
        </w:rPr>
        <w:t xml:space="preserve">their </w:t>
      </w:r>
      <w:r w:rsidRPr="00B849DC" w:rsidR="00D97334">
        <w:rPr>
          <w:lang w:val="en-US"/>
        </w:rPr>
        <w:t xml:space="preserve">activities in accordance with </w:t>
      </w:r>
      <w:r w:rsidRPr="00B849DC" w:rsidR="00804E1B">
        <w:rPr>
          <w:lang w:val="en-US"/>
        </w:rPr>
        <w:t xml:space="preserve">their </w:t>
      </w:r>
      <w:r w:rsidRPr="00B849DC" w:rsidR="00913372">
        <w:rPr>
          <w:lang w:val="en-US"/>
        </w:rPr>
        <w:t xml:space="preserve">purpose </w:t>
      </w:r>
      <w:r w:rsidRPr="00B849DC" w:rsidR="00D97334">
        <w:rPr>
          <w:lang w:val="en-US"/>
        </w:rPr>
        <w:t xml:space="preserve">and </w:t>
      </w:r>
      <w:r w:rsidRPr="00B849DC" w:rsidR="00913372">
        <w:rPr>
          <w:lang w:val="en-US"/>
        </w:rPr>
        <w:t>aims</w:t>
      </w:r>
      <w:r w:rsidRPr="00B849DC" w:rsidR="00D97334">
        <w:rPr>
          <w:lang w:val="en-US"/>
        </w:rPr>
        <w:t>. Otherwise, the transactions</w:t>
      </w:r>
      <w:r w:rsidRPr="00B849DC" w:rsidR="00D97334">
        <w:rPr>
          <w:lang w:val="en-GB"/>
        </w:rPr>
        <w:t xml:space="preserve"> may be declared void (</w:t>
      </w:r>
      <w:r w:rsidRPr="00B849DC" w:rsidR="00A84761">
        <w:rPr>
          <w:lang w:val="en-GB"/>
        </w:rPr>
        <w:t>section </w:t>
      </w:r>
      <w:r w:rsidRPr="00B849DC" w:rsidR="00D97334">
        <w:rPr>
          <w:lang w:val="en-GB"/>
        </w:rPr>
        <w:t>18</w:t>
      </w:r>
      <w:r w:rsidRPr="00B849DC" w:rsidR="00A84761">
        <w:rPr>
          <w:lang w:val="en-GB"/>
        </w:rPr>
        <w:t>(</w:t>
      </w:r>
      <w:r w:rsidRPr="00B849DC" w:rsidR="00D97334">
        <w:rPr>
          <w:lang w:val="en-GB"/>
        </w:rPr>
        <w:t>3</w:t>
      </w:r>
      <w:r w:rsidRPr="00B849DC" w:rsidR="00A84761">
        <w:rPr>
          <w:lang w:val="en-GB"/>
        </w:rPr>
        <w:t>)</w:t>
      </w:r>
      <w:r w:rsidRPr="00B849DC" w:rsidR="00D97334">
        <w:rPr>
          <w:lang w:val="en-GB"/>
        </w:rPr>
        <w:t xml:space="preserve"> of the Unitary Enterprises Act). As a result, </w:t>
      </w:r>
      <w:r w:rsidRPr="00B849DC" w:rsidR="00B1130F">
        <w:rPr>
          <w:lang w:val="en-GB"/>
        </w:rPr>
        <w:t xml:space="preserve">other parties to the contracts [involving the] enterprises </w:t>
      </w:r>
      <w:r w:rsidRPr="00B849DC" w:rsidR="00D97334">
        <w:rPr>
          <w:lang w:val="en-GB"/>
        </w:rPr>
        <w:t xml:space="preserve">are under </w:t>
      </w:r>
      <w:r w:rsidRPr="00B849DC" w:rsidR="00B1130F">
        <w:rPr>
          <w:lang w:val="en-GB"/>
        </w:rPr>
        <w:t xml:space="preserve">a </w:t>
      </w:r>
      <w:r w:rsidRPr="00B849DC" w:rsidR="00D97334">
        <w:rPr>
          <w:lang w:val="en-GB"/>
        </w:rPr>
        <w:t xml:space="preserve">constant threat </w:t>
      </w:r>
      <w:r w:rsidRPr="00B849DC" w:rsidR="00913372">
        <w:rPr>
          <w:lang w:val="en-GB"/>
        </w:rPr>
        <w:t xml:space="preserve">in that </w:t>
      </w:r>
      <w:r w:rsidRPr="00B849DC" w:rsidR="00D97334">
        <w:rPr>
          <w:lang w:val="en-GB"/>
        </w:rPr>
        <w:t xml:space="preserve">any transaction </w:t>
      </w:r>
      <w:r w:rsidRPr="00B849DC" w:rsidR="00913372">
        <w:rPr>
          <w:lang w:val="en-GB"/>
        </w:rPr>
        <w:t xml:space="preserve">may be </w:t>
      </w:r>
      <w:r w:rsidRPr="00B849DC" w:rsidR="00D97334">
        <w:rPr>
          <w:lang w:val="en-GB"/>
        </w:rPr>
        <w:t>challenged by the owner of th</w:t>
      </w:r>
      <w:r w:rsidRPr="00B849DC" w:rsidR="00B1130F">
        <w:rPr>
          <w:lang w:val="en-GB"/>
        </w:rPr>
        <w:t xml:space="preserve">e assets, whilst the owners themselves are virtually </w:t>
      </w:r>
      <w:r w:rsidRPr="00B849DC" w:rsidR="00913372">
        <w:rPr>
          <w:lang w:val="en-GB"/>
        </w:rPr>
        <w:t xml:space="preserve">free of </w:t>
      </w:r>
      <w:r w:rsidRPr="00B849DC" w:rsidR="00B1130F">
        <w:rPr>
          <w:lang w:val="en-GB"/>
        </w:rPr>
        <w:t>liab</w:t>
      </w:r>
      <w:r w:rsidRPr="00B849DC" w:rsidR="00913372">
        <w:rPr>
          <w:lang w:val="en-GB"/>
        </w:rPr>
        <w:t>i</w:t>
      </w:r>
      <w:r w:rsidRPr="00B849DC" w:rsidR="00B1130F">
        <w:rPr>
          <w:lang w:val="en-GB"/>
        </w:rPr>
        <w:t>l</w:t>
      </w:r>
      <w:r w:rsidRPr="00B849DC" w:rsidR="00913372">
        <w:rPr>
          <w:lang w:val="en-GB"/>
        </w:rPr>
        <w:t>ity</w:t>
      </w:r>
      <w:r w:rsidRPr="00B849DC" w:rsidR="00B1130F">
        <w:rPr>
          <w:lang w:val="en-GB"/>
        </w:rPr>
        <w:t xml:space="preserve"> for the results of their </w:t>
      </w:r>
      <w:r w:rsidRPr="00B849DC" w:rsidR="00B849DC">
        <w:rPr>
          <w:lang w:val="en-GB"/>
        </w:rPr>
        <w:t>‘</w:t>
      </w:r>
      <w:r w:rsidRPr="00B849DC" w:rsidR="00B1130F">
        <w:rPr>
          <w:lang w:val="en-GB"/>
        </w:rPr>
        <w:t>management</w:t>
      </w:r>
      <w:r w:rsidRPr="00B849DC" w:rsidR="00B849DC">
        <w:rPr>
          <w:lang w:val="en-GB"/>
        </w:rPr>
        <w:t>’</w:t>
      </w:r>
      <w:r w:rsidRPr="00B849DC" w:rsidR="00B1130F">
        <w:rPr>
          <w:lang w:val="en-GB"/>
        </w:rPr>
        <w:t xml:space="preserve">. </w:t>
      </w:r>
      <w:r w:rsidRPr="00B849DC" w:rsidR="00A50A6F">
        <w:rPr>
          <w:lang w:val="en-GB"/>
        </w:rPr>
        <w:t>The</w:t>
      </w:r>
      <w:r w:rsidRPr="00B849DC" w:rsidR="00B1130F">
        <w:rPr>
          <w:lang w:val="en-GB"/>
        </w:rPr>
        <w:t xml:space="preserve"> </w:t>
      </w:r>
      <w:r w:rsidRPr="00B849DC" w:rsidR="00A50A6F">
        <w:rPr>
          <w:lang w:val="en-GB"/>
        </w:rPr>
        <w:t xml:space="preserve">very </w:t>
      </w:r>
      <w:r w:rsidRPr="00B849DC" w:rsidR="00B1130F">
        <w:rPr>
          <w:lang w:val="en-GB"/>
        </w:rPr>
        <w:t xml:space="preserve">notion of the </w:t>
      </w:r>
      <w:r w:rsidRPr="00B849DC" w:rsidR="00B849DC">
        <w:rPr>
          <w:lang w:val="en-GB"/>
        </w:rPr>
        <w:t>‘</w:t>
      </w:r>
      <w:r w:rsidRPr="00B849DC" w:rsidR="00B1130F">
        <w:rPr>
          <w:lang w:val="en-GB"/>
        </w:rPr>
        <w:t>enterprise</w:t>
      </w:r>
      <w:r w:rsidRPr="00B849DC" w:rsidR="00B849DC">
        <w:rPr>
          <w:lang w:val="en-GB"/>
        </w:rPr>
        <w:t>’</w:t>
      </w:r>
      <w:r w:rsidRPr="00B849DC" w:rsidR="00B1130F">
        <w:rPr>
          <w:lang w:val="en-GB"/>
        </w:rPr>
        <w:t xml:space="preserve"> as a subject of law was inherited from the Soviet legal system</w:t>
      </w:r>
      <w:r w:rsidRPr="00B849DC" w:rsidR="00913372">
        <w:rPr>
          <w:lang w:val="en-GB"/>
        </w:rPr>
        <w:t>, [which was]</w:t>
      </w:r>
      <w:r w:rsidRPr="00B849DC" w:rsidR="00B1130F">
        <w:rPr>
          <w:lang w:val="en-GB"/>
        </w:rPr>
        <w:t xml:space="preserve"> based on the State planning economy. The existence</w:t>
      </w:r>
      <w:r w:rsidRPr="00B849DC" w:rsidR="00A50A6F">
        <w:rPr>
          <w:lang w:val="en-GB"/>
        </w:rPr>
        <w:t xml:space="preserve"> of unitary enterprises is therefore </w:t>
      </w:r>
      <w:r w:rsidRPr="00B849DC" w:rsidR="00B1130F">
        <w:rPr>
          <w:lang w:val="en-GB"/>
        </w:rPr>
        <w:t xml:space="preserve">deprived of any </w:t>
      </w:r>
      <w:r w:rsidRPr="00B849DC" w:rsidR="001F3EFA">
        <w:rPr>
          <w:lang w:val="en-GB"/>
        </w:rPr>
        <w:t xml:space="preserve">future prospect </w:t>
      </w:r>
      <w:r w:rsidRPr="00B849DC" w:rsidR="00B1130F">
        <w:rPr>
          <w:lang w:val="en-GB"/>
        </w:rPr>
        <w:t xml:space="preserve">and it would be preferable to replace them with other types of commercial organisation. Federal unitary enterprises </w:t>
      </w:r>
      <w:r w:rsidRPr="00B849DC" w:rsidR="00913372">
        <w:rPr>
          <w:lang w:val="en-GB"/>
        </w:rPr>
        <w:t xml:space="preserve">with </w:t>
      </w:r>
      <w:r w:rsidRPr="00B849DC" w:rsidR="00B1130F">
        <w:rPr>
          <w:lang w:val="en-GB"/>
        </w:rPr>
        <w:t xml:space="preserve">the right of operational </w:t>
      </w:r>
      <w:r w:rsidRPr="00B849DC" w:rsidR="00DA0132">
        <w:rPr>
          <w:lang w:val="en-GB"/>
        </w:rPr>
        <w:t>management</w:t>
      </w:r>
      <w:r w:rsidRPr="00B849DC" w:rsidR="00B1130F">
        <w:rPr>
          <w:lang w:val="en-GB"/>
        </w:rPr>
        <w:t xml:space="preserve"> could be kept </w:t>
      </w:r>
      <w:r w:rsidRPr="00B849DC" w:rsidR="000005C4">
        <w:rPr>
          <w:lang w:val="en-GB"/>
        </w:rPr>
        <w:t>in certain particularly important economic spheres</w:t>
      </w:r>
      <w:r w:rsidRPr="00B849DC" w:rsidR="00913372">
        <w:rPr>
          <w:lang w:val="en-GB"/>
        </w:rPr>
        <w:t>”</w:t>
      </w:r>
      <w:r w:rsidRPr="00B849DC" w:rsidR="000005C4">
        <w:rPr>
          <w:lang w:val="en-GB"/>
        </w:rPr>
        <w:t>.</w:t>
      </w:r>
    </w:p>
    <w:p w:rsidRPr="00B849DC" w:rsidR="00203CFE" w:rsidP="00B849DC" w:rsidRDefault="00193D44">
      <w:pPr>
        <w:pStyle w:val="ECHRHeading1"/>
        <w:rPr>
          <w:lang w:val="en-GB"/>
        </w:rPr>
      </w:pPr>
      <w:r w:rsidRPr="00B849DC">
        <w:rPr>
          <w:lang w:val="en-GB"/>
        </w:rPr>
        <w:t>I</w:t>
      </w:r>
      <w:r w:rsidRPr="00B849DC" w:rsidR="00203CFE">
        <w:rPr>
          <w:lang w:val="en-GB"/>
        </w:rPr>
        <w:t>II.</w:t>
      </w:r>
      <w:proofErr w:type="gramStart"/>
      <w:r w:rsidRPr="00B849DC" w:rsidR="00203CFE">
        <w:rPr>
          <w:lang w:val="en-GB"/>
        </w:rPr>
        <w:t>  RELEVANT</w:t>
      </w:r>
      <w:proofErr w:type="gramEnd"/>
      <w:r w:rsidRPr="00B849DC" w:rsidR="00203CFE">
        <w:rPr>
          <w:lang w:val="en-GB"/>
        </w:rPr>
        <w:t xml:space="preserve"> INTERNATIONAL MATERIAL</w:t>
      </w:r>
    </w:p>
    <w:p w:rsidRPr="00B849DC" w:rsidR="00203CFE" w:rsidP="00B849DC" w:rsidRDefault="001311FF">
      <w:pPr>
        <w:pStyle w:val="ECHRPara"/>
        <w:rPr>
          <w:lang w:val="en-US"/>
        </w:rPr>
      </w:pPr>
      <w:r w:rsidRPr="00B849DC">
        <w:rPr>
          <w:lang w:val="en-US"/>
        </w:rPr>
        <w:fldChar w:fldCharType="begin"/>
      </w:r>
      <w:r w:rsidRPr="00B849DC">
        <w:rPr>
          <w:lang w:val="en-US"/>
        </w:rPr>
        <w:instrText xml:space="preserve"> SEQ level0 \*arabic </w:instrText>
      </w:r>
      <w:r w:rsidRPr="00B849DC">
        <w:rPr>
          <w:lang w:val="en-US"/>
        </w:rPr>
        <w:fldChar w:fldCharType="separate"/>
      </w:r>
      <w:r w:rsidRPr="00B849DC" w:rsidR="00B849DC">
        <w:rPr>
          <w:noProof/>
          <w:lang w:val="en-US"/>
        </w:rPr>
        <w:t>128</w:t>
      </w:r>
      <w:r w:rsidRPr="00B849DC">
        <w:rPr>
          <w:lang w:val="en-US"/>
        </w:rPr>
        <w:fldChar w:fldCharType="end"/>
      </w:r>
      <w:r w:rsidRPr="00B849DC">
        <w:rPr>
          <w:lang w:val="en-US"/>
        </w:rPr>
        <w:t>.  </w:t>
      </w:r>
      <w:r w:rsidRPr="00B849DC" w:rsidR="00203CFE">
        <w:rPr>
          <w:lang w:val="en-US"/>
        </w:rPr>
        <w:t xml:space="preserve">The Articles on Responsibility of States for Internationally Wrongful Acts adopted by the International Law Commission (ILC) in 2001 (Yearbook of the International Law Commission, 2001, vol. II, Part Two), and their commentary, </w:t>
      </w:r>
      <w:r w:rsidRPr="00B849DC" w:rsidR="00913372">
        <w:rPr>
          <w:lang w:val="en-US"/>
        </w:rPr>
        <w:t xml:space="preserve">are </w:t>
      </w:r>
      <w:r w:rsidRPr="00B849DC" w:rsidR="00203CFE">
        <w:rPr>
          <w:lang w:val="en-US"/>
        </w:rPr>
        <w:t>codified principles developed in modern international law in respect of the State</w:t>
      </w:r>
      <w:r w:rsidRPr="00B849DC" w:rsidR="00B849DC">
        <w:rPr>
          <w:lang w:val="en-US"/>
        </w:rPr>
        <w:t>’</w:t>
      </w:r>
      <w:r w:rsidRPr="00B849DC" w:rsidR="00203CFE">
        <w:rPr>
          <w:lang w:val="en-US"/>
        </w:rPr>
        <w:t xml:space="preserve">s responsibility for internationally wrongful acts. </w:t>
      </w:r>
      <w:r w:rsidRPr="00B849DC" w:rsidR="00913372">
        <w:rPr>
          <w:lang w:val="en-US"/>
        </w:rPr>
        <w:t>The r</w:t>
      </w:r>
      <w:r w:rsidRPr="00B849DC" w:rsidR="00203CFE">
        <w:rPr>
          <w:lang w:val="en-US"/>
        </w:rPr>
        <w:t xml:space="preserve">elevant provisions of </w:t>
      </w:r>
      <w:r w:rsidRPr="00B849DC" w:rsidR="00913372">
        <w:rPr>
          <w:lang w:val="en-US"/>
        </w:rPr>
        <w:t xml:space="preserve">the </w:t>
      </w:r>
      <w:r w:rsidRPr="00B849DC" w:rsidR="00203CFE">
        <w:rPr>
          <w:lang w:val="en-US"/>
        </w:rPr>
        <w:t>Articles are as follows:</w:t>
      </w:r>
    </w:p>
    <w:p w:rsidRPr="00B849DC" w:rsidR="00D02804" w:rsidP="00B849DC" w:rsidRDefault="00D02804">
      <w:pPr>
        <w:pStyle w:val="ECHRTitleCentre3"/>
        <w:rPr>
          <w:lang w:val="en-US"/>
        </w:rPr>
      </w:pPr>
      <w:r w:rsidRPr="00B849DC">
        <w:rPr>
          <w:lang w:val="en-US"/>
        </w:rPr>
        <w:t>Article 5</w:t>
      </w:r>
    </w:p>
    <w:p w:rsidRPr="00B849DC" w:rsidR="00D02804" w:rsidP="00B849DC" w:rsidRDefault="00D02804">
      <w:pPr>
        <w:pStyle w:val="ECHRTitleCentre3"/>
        <w:rPr>
          <w:lang w:val="en-US"/>
        </w:rPr>
      </w:pPr>
      <w:r w:rsidRPr="00B849DC">
        <w:rPr>
          <w:lang w:val="en-US"/>
        </w:rPr>
        <w:t>Conduct of persons or entities exercising elements of governmental authority</w:t>
      </w:r>
    </w:p>
    <w:p w:rsidRPr="00B849DC" w:rsidR="00D02804" w:rsidP="00B849DC" w:rsidRDefault="00354850">
      <w:pPr>
        <w:pStyle w:val="ECHRParaQuote"/>
        <w:rPr>
          <w:lang w:val="en-US"/>
        </w:rPr>
      </w:pPr>
      <w:r w:rsidRPr="00B849DC">
        <w:rPr>
          <w:lang w:val="en-GB"/>
        </w:rPr>
        <w:t>“</w:t>
      </w:r>
      <w:r w:rsidRPr="00B849DC" w:rsidR="00D02804">
        <w:rPr>
          <w:lang w:val="en-US"/>
        </w:rPr>
        <w:t>The conduct of a person or entity which is not an organ of the State under article 4 but which is empowered by the law of that State to exercise elements of the governmental authority shall be considered an act of the State under international law, provided the person or entity is acting in that capacity in the particular instance.</w:t>
      </w:r>
      <w:r w:rsidRPr="00B849DC">
        <w:rPr>
          <w:lang w:val="en-US"/>
        </w:rPr>
        <w:t>”</w:t>
      </w:r>
    </w:p>
    <w:p w:rsidRPr="00B849DC" w:rsidR="00203CFE" w:rsidP="00B849DC" w:rsidRDefault="00203CFE">
      <w:pPr>
        <w:pStyle w:val="ECHRTitleCentre3"/>
        <w:rPr>
          <w:lang w:val="en-US"/>
        </w:rPr>
      </w:pPr>
      <w:r w:rsidRPr="00B849DC">
        <w:rPr>
          <w:lang w:val="en-US"/>
        </w:rPr>
        <w:t>Article 8</w:t>
      </w:r>
    </w:p>
    <w:p w:rsidRPr="00B849DC" w:rsidR="00203CFE" w:rsidP="00B849DC" w:rsidRDefault="00203CFE">
      <w:pPr>
        <w:pStyle w:val="ECHRTitleCentre3"/>
        <w:rPr>
          <w:lang w:val="en-US"/>
        </w:rPr>
      </w:pPr>
      <w:r w:rsidRPr="00B849DC">
        <w:rPr>
          <w:lang w:val="en-US"/>
        </w:rPr>
        <w:t>Conduct directed or controlled by a State</w:t>
      </w:r>
    </w:p>
    <w:p w:rsidRPr="00B849DC" w:rsidR="00203CFE" w:rsidP="00B849DC" w:rsidRDefault="00913372">
      <w:pPr>
        <w:pStyle w:val="ECHRParaQuote"/>
        <w:rPr>
          <w:lang w:val="en-US"/>
        </w:rPr>
      </w:pPr>
      <w:r w:rsidRPr="00B849DC">
        <w:rPr>
          <w:lang w:val="en-US"/>
        </w:rPr>
        <w:t>“</w:t>
      </w:r>
      <w:r w:rsidRPr="00B849DC" w:rsidR="00203CFE">
        <w:rPr>
          <w:lang w:val="en-US"/>
        </w:rPr>
        <w:t>The conduct of a person or group of persons shall be considered an act of a State under international law if the person or group of persons is in fact acting on the instructions of, or under the direction or control of that State in carrying out the conduct.</w:t>
      </w:r>
      <w:r w:rsidRPr="00B849DC">
        <w:rPr>
          <w:lang w:val="en-US"/>
        </w:rPr>
        <w:t>”</w:t>
      </w:r>
    </w:p>
    <w:p w:rsidRPr="00B849DC" w:rsidR="00203CFE" w:rsidP="00B849DC" w:rsidRDefault="00203CFE">
      <w:pPr>
        <w:pStyle w:val="ECHRPara"/>
        <w:rPr>
          <w:lang w:val="en-US"/>
        </w:rPr>
      </w:pPr>
      <w:r w:rsidRPr="00B849DC">
        <w:rPr>
          <w:lang w:val="en-US"/>
        </w:rPr>
        <w:fldChar w:fldCharType="begin"/>
      </w:r>
      <w:r w:rsidRPr="00B849DC">
        <w:rPr>
          <w:lang w:val="en-US"/>
        </w:rPr>
        <w:instrText xml:space="preserve"> SEQ level0 \*arabic </w:instrText>
      </w:r>
      <w:r w:rsidRPr="00B849DC">
        <w:rPr>
          <w:lang w:val="en-US"/>
        </w:rPr>
        <w:fldChar w:fldCharType="separate"/>
      </w:r>
      <w:r w:rsidRPr="00B849DC" w:rsidR="00B849DC">
        <w:rPr>
          <w:noProof/>
          <w:lang w:val="en-US"/>
        </w:rPr>
        <w:t>129</w:t>
      </w:r>
      <w:r w:rsidRPr="00B849DC">
        <w:rPr>
          <w:lang w:val="en-US"/>
        </w:rPr>
        <w:fldChar w:fldCharType="end"/>
      </w:r>
      <w:r w:rsidRPr="00B849DC">
        <w:rPr>
          <w:lang w:val="en-US"/>
        </w:rPr>
        <w:t>.  In the commentary to Article 8 the ILC observed:</w:t>
      </w:r>
    </w:p>
    <w:p w:rsidRPr="00B849DC" w:rsidR="00203CFE" w:rsidP="00B849DC" w:rsidRDefault="00203CFE">
      <w:pPr>
        <w:pStyle w:val="ECHRParaQuote"/>
        <w:rPr>
          <w:lang w:val="en-US"/>
        </w:rPr>
      </w:pPr>
      <w:r w:rsidRPr="00B849DC">
        <w:rPr>
          <w:lang w:val="en-US"/>
        </w:rPr>
        <w:t>“More complex issues arise in determining whether conduct was carried out “under the direction or control” of a State. Such conduct will be attributable to the State only if it directed or controlled the specific operation and the conduct complained of was an integral part of that operation. The principle does not extend to conduct which was only incidentally or peripherally associated with an operation and which escaped from the State</w:t>
      </w:r>
      <w:r w:rsidRPr="00B849DC" w:rsidR="00B849DC">
        <w:rPr>
          <w:lang w:val="en-US"/>
        </w:rPr>
        <w:t>’</w:t>
      </w:r>
      <w:r w:rsidRPr="00B849DC">
        <w:rPr>
          <w:lang w:val="en-US"/>
        </w:rPr>
        <w:t xml:space="preserve">s direction or control” </w:t>
      </w:r>
      <w:r w:rsidRPr="00B849DC" w:rsidR="00241971">
        <w:rPr>
          <w:lang w:val="en-US"/>
        </w:rPr>
        <w:t>[</w:t>
      </w:r>
      <w:r w:rsidRPr="00B849DC">
        <w:rPr>
          <w:lang w:val="en-US"/>
        </w:rPr>
        <w:t>§ 3 of the commentary to Article 8</w:t>
      </w:r>
      <w:r w:rsidRPr="00B849DC" w:rsidR="00241971">
        <w:rPr>
          <w:lang w:val="en-US"/>
        </w:rPr>
        <w:t>]</w:t>
      </w:r>
      <w:r w:rsidRPr="00B849DC" w:rsidR="00B628F0">
        <w:rPr>
          <w:lang w:val="en-US"/>
        </w:rPr>
        <w:t>. ...</w:t>
      </w:r>
      <w:r w:rsidRPr="00B849DC" w:rsidR="00DD3C54">
        <w:rPr>
          <w:rFonts w:ascii="Times New Roman" w:hAnsi="Times New Roman" w:cs="Times New Roman" w:eastAsiaTheme="minorHAnsi"/>
          <w:szCs w:val="24"/>
          <w:lang w:val="en-US"/>
        </w:rPr>
        <w:t xml:space="preserve"> </w:t>
      </w:r>
      <w:r w:rsidRPr="00B849DC">
        <w:rPr>
          <w:lang w:val="en-US"/>
        </w:rPr>
        <w:t xml:space="preserve">In any event it is a matter for appreciation in each case whether particular conduct was or was not carried out under the control of a State, to such an extent that the conduct controlled should be attributed to it </w:t>
      </w:r>
      <w:r w:rsidRPr="00B849DC" w:rsidR="00241971">
        <w:rPr>
          <w:lang w:val="en-US"/>
        </w:rPr>
        <w:t>[</w:t>
      </w:r>
      <w:r w:rsidRPr="00B849DC">
        <w:rPr>
          <w:lang w:val="en-US"/>
        </w:rPr>
        <w:t>§ 5 of commentary to Article 8</w:t>
      </w:r>
      <w:r w:rsidRPr="00B849DC" w:rsidR="00241971">
        <w:rPr>
          <w:lang w:val="en-US"/>
        </w:rPr>
        <w:t>]</w:t>
      </w:r>
      <w:r w:rsidRPr="00B849DC" w:rsidR="00B628F0">
        <w:rPr>
          <w:lang w:val="en-US"/>
        </w:rPr>
        <w:t xml:space="preserve">. ... </w:t>
      </w:r>
      <w:r w:rsidRPr="00B849DC">
        <w:rPr>
          <w:lang w:val="en-US"/>
        </w:rPr>
        <w:t xml:space="preserve">Questions arise with respect to the conduct of companies or enterprises which are State-owned and controlled. If such corporations act inconsistently with the international obligations of the State concerned the question arises whether such conduct is attributable to the State. In discussing this issue it is necessary to recall that international law acknowledges the general separateness of corporate entities at the national level, except in those cases where the </w:t>
      </w:r>
      <w:r w:rsidRPr="00B849DC" w:rsidR="00B849DC">
        <w:rPr>
          <w:lang w:val="en-US"/>
        </w:rPr>
        <w:t>‘</w:t>
      </w:r>
      <w:r w:rsidRPr="00B849DC">
        <w:rPr>
          <w:lang w:val="en-US"/>
        </w:rPr>
        <w:t>corporate veil</w:t>
      </w:r>
      <w:r w:rsidRPr="00B849DC" w:rsidR="00B849DC">
        <w:rPr>
          <w:lang w:val="en-US"/>
        </w:rPr>
        <w:t>’</w:t>
      </w:r>
      <w:r w:rsidRPr="00B849DC">
        <w:rPr>
          <w:lang w:val="en-US"/>
        </w:rPr>
        <w:t xml:space="preserve"> is a mere device or a vehicle for fraud or evasion. </w:t>
      </w:r>
      <w:proofErr w:type="gramStart"/>
      <w:r w:rsidRPr="00B849DC">
        <w:rPr>
          <w:lang w:val="en-US"/>
        </w:rPr>
        <w:t xml:space="preserve">The fact that the State initially establishes a corporate entity, whether by a special law or otherwise, is not a sufficient basis for the attribution to the State of the subsequent conduct of that entity </w:t>
      </w:r>
      <w:r w:rsidRPr="00B849DC" w:rsidR="00241971">
        <w:rPr>
          <w:lang w:val="en-US"/>
        </w:rPr>
        <w:t>[</w:t>
      </w:r>
      <w:r w:rsidRPr="00B849DC">
        <w:rPr>
          <w:lang w:val="en-US"/>
        </w:rPr>
        <w:t>§ 6 of commentary to Article 8</w:t>
      </w:r>
      <w:r w:rsidRPr="00B849DC" w:rsidR="00241971">
        <w:rPr>
          <w:lang w:val="en-US"/>
        </w:rPr>
        <w:t>]</w:t>
      </w:r>
      <w:r w:rsidRPr="00B849DC">
        <w:rPr>
          <w:lang w:val="en-US"/>
        </w:rPr>
        <w:t>.</w:t>
      </w:r>
      <w:r w:rsidRPr="00B849DC" w:rsidR="00241971">
        <w:rPr>
          <w:lang w:val="en-US"/>
        </w:rPr>
        <w:t>”</w:t>
      </w:r>
      <w:proofErr w:type="gramEnd"/>
    </w:p>
    <w:p w:rsidRPr="00B849DC" w:rsidR="00527704" w:rsidP="00B849DC" w:rsidRDefault="00527704">
      <w:pPr>
        <w:pStyle w:val="ECHRPara"/>
        <w:rPr>
          <w:i/>
          <w:lang w:val="en-GB"/>
        </w:rPr>
      </w:pPr>
      <w:r w:rsidRPr="00B849DC">
        <w:rPr>
          <w:lang w:val="en-US"/>
        </w:rPr>
        <w:fldChar w:fldCharType="begin"/>
      </w:r>
      <w:r w:rsidRPr="00B849DC">
        <w:rPr>
          <w:lang w:val="en-US"/>
        </w:rPr>
        <w:instrText xml:space="preserve"> SEQ level0 \*arabic </w:instrText>
      </w:r>
      <w:r w:rsidRPr="00B849DC">
        <w:rPr>
          <w:lang w:val="en-US"/>
        </w:rPr>
        <w:fldChar w:fldCharType="separate"/>
      </w:r>
      <w:r w:rsidRPr="00B849DC" w:rsidR="00B849DC">
        <w:rPr>
          <w:noProof/>
          <w:lang w:val="en-US"/>
        </w:rPr>
        <w:t>130</w:t>
      </w:r>
      <w:r w:rsidRPr="00B849DC">
        <w:rPr>
          <w:lang w:val="en-US"/>
        </w:rPr>
        <w:fldChar w:fldCharType="end"/>
      </w:r>
      <w:r w:rsidRPr="00B849DC">
        <w:rPr>
          <w:lang w:val="en-US"/>
        </w:rPr>
        <w:t xml:space="preserve">.  For a summary of other relevant provisions of the Articles on Responsibility of States for Internationally Wrongful Acts and the ILC Commentary thereto, see </w:t>
      </w:r>
      <w:r w:rsidRPr="00B849DC">
        <w:rPr>
          <w:i/>
          <w:lang w:val="en-GB"/>
        </w:rPr>
        <w:t xml:space="preserve">Kotov v. Russia </w:t>
      </w:r>
      <w:r w:rsidRPr="00B849DC">
        <w:rPr>
          <w:lang w:val="en-GB"/>
        </w:rPr>
        <w:t>[GC], no. 54522/00</w:t>
      </w:r>
      <w:r w:rsidRPr="00B849DC">
        <w:rPr>
          <w:snapToGrid w:val="0"/>
          <w:szCs w:val="24"/>
          <w:lang w:val="en-GB"/>
        </w:rPr>
        <w:t>, §§ 30</w:t>
      </w:r>
      <w:r w:rsidRPr="00B849DC" w:rsidR="0087244D">
        <w:rPr>
          <w:snapToGrid w:val="0"/>
          <w:szCs w:val="24"/>
          <w:lang w:val="en-GB"/>
        </w:rPr>
        <w:noBreakHyphen/>
      </w:r>
      <w:r w:rsidRPr="00B849DC">
        <w:rPr>
          <w:snapToGrid w:val="0"/>
          <w:szCs w:val="24"/>
          <w:lang w:val="en-GB"/>
        </w:rPr>
        <w:t xml:space="preserve">32, </w:t>
      </w:r>
      <w:r w:rsidRPr="00B849DC">
        <w:rPr>
          <w:szCs w:val="24"/>
          <w:lang w:val="en-GB"/>
        </w:rPr>
        <w:t>3 April</w:t>
      </w:r>
      <w:r w:rsidRPr="00B849DC">
        <w:rPr>
          <w:snapToGrid w:val="0"/>
          <w:szCs w:val="24"/>
          <w:lang w:val="en-GB"/>
        </w:rPr>
        <w:t xml:space="preserve"> 2012).</w:t>
      </w:r>
    </w:p>
    <w:p w:rsidRPr="00B849DC" w:rsidR="00F71A6A" w:rsidP="00B849DC" w:rsidRDefault="00F71A6A">
      <w:pPr>
        <w:pStyle w:val="ECHRTitle1"/>
        <w:rPr>
          <w:lang w:val="en-GB"/>
        </w:rPr>
      </w:pPr>
      <w:r w:rsidRPr="00B849DC">
        <w:rPr>
          <w:lang w:val="en-GB"/>
        </w:rPr>
        <w:t>THE LAW</w:t>
      </w:r>
    </w:p>
    <w:p w:rsidRPr="00B849DC" w:rsidR="00FD2E5B" w:rsidP="00B849DC" w:rsidRDefault="00F71A6A">
      <w:pPr>
        <w:pStyle w:val="ECHRHeading1"/>
        <w:rPr>
          <w:lang w:val="en-GB"/>
        </w:rPr>
      </w:pPr>
      <w:r w:rsidRPr="00B849DC">
        <w:rPr>
          <w:lang w:val="en-GB"/>
        </w:rPr>
        <w:t>I.  </w:t>
      </w:r>
      <w:r w:rsidRPr="00B849DC" w:rsidR="00FD2E5B">
        <w:rPr>
          <w:lang w:val="en-GB"/>
        </w:rPr>
        <w:t>JOINDER OF THE APPLICATIONS</w:t>
      </w:r>
    </w:p>
    <w:p w:rsidRPr="00B849DC" w:rsidR="00FD2E5B" w:rsidP="00B849DC" w:rsidRDefault="00527704">
      <w:pPr>
        <w:pStyle w:val="ECHRPara"/>
        <w:rPr>
          <w:lang w:val="en-GB"/>
        </w:rPr>
      </w:pPr>
      <w:r w:rsidRPr="00B849DC">
        <w:rPr>
          <w:lang w:val="en-US"/>
        </w:rPr>
        <w:fldChar w:fldCharType="begin"/>
      </w:r>
      <w:r w:rsidRPr="00B849DC">
        <w:rPr>
          <w:lang w:val="en-US"/>
        </w:rPr>
        <w:instrText xml:space="preserve"> SEQ level0 \*arabic </w:instrText>
      </w:r>
      <w:r w:rsidRPr="00B849DC">
        <w:rPr>
          <w:lang w:val="en-US"/>
        </w:rPr>
        <w:fldChar w:fldCharType="separate"/>
      </w:r>
      <w:r w:rsidRPr="00B849DC" w:rsidR="00B849DC">
        <w:rPr>
          <w:noProof/>
          <w:lang w:val="en-US"/>
        </w:rPr>
        <w:t>131</w:t>
      </w:r>
      <w:r w:rsidRPr="00B849DC">
        <w:rPr>
          <w:lang w:val="en-US"/>
        </w:rPr>
        <w:fldChar w:fldCharType="end"/>
      </w:r>
      <w:r w:rsidRPr="00B849DC">
        <w:rPr>
          <w:lang w:val="en-US"/>
        </w:rPr>
        <w:t>.  </w:t>
      </w:r>
      <w:r w:rsidRPr="00B849DC" w:rsidR="00FD2E5B">
        <w:rPr>
          <w:lang w:val="en-US"/>
        </w:rPr>
        <w:t xml:space="preserve">Given that the two present applications raise similar issues under the Convention, the Court decides </w:t>
      </w:r>
      <w:r w:rsidRPr="00B849DC" w:rsidR="00811532">
        <w:rPr>
          <w:lang w:val="en-US"/>
        </w:rPr>
        <w:t>join them pursuant to Rule 42 § 1 of the Rules of Court</w:t>
      </w:r>
      <w:r w:rsidRPr="00B849DC" w:rsidR="00FD2E5B">
        <w:rPr>
          <w:lang w:val="en-US"/>
        </w:rPr>
        <w:t>.</w:t>
      </w:r>
    </w:p>
    <w:p w:rsidRPr="00B849DC" w:rsidR="00F71A6A" w:rsidP="00B849DC" w:rsidRDefault="00FD2E5B">
      <w:pPr>
        <w:pStyle w:val="ECHRHeading1"/>
        <w:rPr>
          <w:lang w:val="en-GB"/>
        </w:rPr>
      </w:pPr>
      <w:r w:rsidRPr="00B849DC">
        <w:rPr>
          <w:lang w:val="en-GB"/>
        </w:rPr>
        <w:t>II.</w:t>
      </w:r>
      <w:proofErr w:type="gramStart"/>
      <w:r w:rsidRPr="00B849DC">
        <w:rPr>
          <w:lang w:val="en-GB"/>
        </w:rPr>
        <w:t>  </w:t>
      </w:r>
      <w:r w:rsidRPr="00B849DC" w:rsidR="00F71A6A">
        <w:rPr>
          <w:lang w:val="en-GB"/>
        </w:rPr>
        <w:t>ALLEGED</w:t>
      </w:r>
      <w:proofErr w:type="gramEnd"/>
      <w:r w:rsidRPr="00B849DC" w:rsidR="00F71A6A">
        <w:rPr>
          <w:lang w:val="en-GB"/>
        </w:rPr>
        <w:t xml:space="preserve"> VIOLATION OF ARTICLE</w:t>
      </w:r>
      <w:r w:rsidRPr="00B849DC" w:rsidR="000F7F5C">
        <w:rPr>
          <w:lang w:val="en-GB"/>
        </w:rPr>
        <w:t>S</w:t>
      </w:r>
      <w:r w:rsidRPr="00B849DC" w:rsidR="0016590C">
        <w:rPr>
          <w:lang w:val="en-GB"/>
        </w:rPr>
        <w:t> </w:t>
      </w:r>
      <w:r w:rsidRPr="00B849DC" w:rsidR="00BE5A1F">
        <w:rPr>
          <w:lang w:val="en-GB"/>
        </w:rPr>
        <w:t>6</w:t>
      </w:r>
      <w:r w:rsidRPr="00B849DC" w:rsidR="00F71A6A">
        <w:rPr>
          <w:lang w:val="en-GB"/>
        </w:rPr>
        <w:t xml:space="preserve"> </w:t>
      </w:r>
      <w:r w:rsidRPr="00B849DC" w:rsidR="000F7F5C">
        <w:rPr>
          <w:lang w:val="en-GB"/>
        </w:rPr>
        <w:t xml:space="preserve">AND 13 </w:t>
      </w:r>
      <w:r w:rsidRPr="00B849DC" w:rsidR="00F71A6A">
        <w:rPr>
          <w:lang w:val="en-GB"/>
        </w:rPr>
        <w:t>OF THE CONVENTION</w:t>
      </w:r>
      <w:r w:rsidRPr="00B849DC" w:rsidR="004B647E">
        <w:rPr>
          <w:lang w:val="en-GB"/>
        </w:rPr>
        <w:t xml:space="preserve"> </w:t>
      </w:r>
      <w:r w:rsidRPr="00B849DC" w:rsidR="0076377E">
        <w:rPr>
          <w:lang w:val="en-GB"/>
        </w:rPr>
        <w:t>AND ARTICLE 1 OF PROTOCOL No</w:t>
      </w:r>
      <w:r w:rsidRPr="00B849DC" w:rsidR="0016590C">
        <w:rPr>
          <w:lang w:val="en-GB"/>
        </w:rPr>
        <w:t>. 1</w:t>
      </w:r>
    </w:p>
    <w:p w:rsidRPr="00B849DC" w:rsidR="00CA087B" w:rsidP="00B849DC" w:rsidRDefault="0064309D">
      <w:pPr>
        <w:pStyle w:val="ECHRPara"/>
        <w:rPr>
          <w:lang w:val="en-US"/>
        </w:rPr>
      </w:pPr>
      <w:r w:rsidRPr="00B849DC">
        <w:rPr>
          <w:lang w:val="en-GB"/>
        </w:rPr>
        <w:fldChar w:fldCharType="begin"/>
      </w:r>
      <w:r w:rsidRPr="00B849DC">
        <w:rPr>
          <w:lang w:val="en-GB"/>
        </w:rPr>
        <w:instrText xml:space="preserve"> SEQ level0 \*arabic </w:instrText>
      </w:r>
      <w:r w:rsidRPr="00B849DC">
        <w:rPr>
          <w:lang w:val="en-GB"/>
        </w:rPr>
        <w:fldChar w:fldCharType="separate"/>
      </w:r>
      <w:r w:rsidRPr="00B849DC" w:rsidR="00B849DC">
        <w:rPr>
          <w:noProof/>
          <w:lang w:val="en-GB"/>
        </w:rPr>
        <w:t>132</w:t>
      </w:r>
      <w:r w:rsidRPr="00B849DC">
        <w:rPr>
          <w:lang w:val="en-GB"/>
        </w:rPr>
        <w:fldChar w:fldCharType="end"/>
      </w:r>
      <w:r w:rsidRPr="00B849DC">
        <w:rPr>
          <w:lang w:val="en-GB"/>
        </w:rPr>
        <w:t>.  The applicants complained under Article</w:t>
      </w:r>
      <w:r w:rsidRPr="00B849DC" w:rsidR="006D399B">
        <w:rPr>
          <w:lang w:val="en-GB"/>
        </w:rPr>
        <w:t> </w:t>
      </w:r>
      <w:r w:rsidRPr="00B849DC">
        <w:rPr>
          <w:lang w:val="en-US"/>
        </w:rPr>
        <w:t>6 of the Convention and Article</w:t>
      </w:r>
      <w:r w:rsidRPr="00B849DC" w:rsidR="006D399B">
        <w:rPr>
          <w:lang w:val="en-US"/>
        </w:rPr>
        <w:t> </w:t>
      </w:r>
      <w:r w:rsidRPr="00B849DC">
        <w:rPr>
          <w:lang w:val="en-US"/>
        </w:rPr>
        <w:t xml:space="preserve">1 of Protocol No. 1 about </w:t>
      </w:r>
      <w:r w:rsidRPr="00B849DC" w:rsidR="0060653E">
        <w:rPr>
          <w:lang w:val="en-US"/>
        </w:rPr>
        <w:t xml:space="preserve">the </w:t>
      </w:r>
      <w:r w:rsidRPr="00B849DC">
        <w:rPr>
          <w:lang w:val="en-US"/>
        </w:rPr>
        <w:t>non-enforcement of the judgments in their favour. These provisions, in so far as relevant, read as follows:</w:t>
      </w:r>
    </w:p>
    <w:p w:rsidRPr="00B849DC" w:rsidR="0064309D" w:rsidP="00B849DC" w:rsidRDefault="0064309D">
      <w:pPr>
        <w:pStyle w:val="ECHRTitleCentre3"/>
        <w:rPr>
          <w:lang w:val="en-US"/>
        </w:rPr>
      </w:pPr>
      <w:r w:rsidRPr="00B849DC">
        <w:rPr>
          <w:lang w:val="en-US"/>
        </w:rPr>
        <w:t>Article 6</w:t>
      </w:r>
    </w:p>
    <w:p w:rsidRPr="00B849DC" w:rsidR="0064309D" w:rsidP="00B849DC" w:rsidRDefault="0064309D">
      <w:pPr>
        <w:pStyle w:val="ECHRParaQuote"/>
        <w:rPr>
          <w:lang w:val="en-US"/>
        </w:rPr>
      </w:pPr>
      <w:r w:rsidRPr="00B849DC">
        <w:rPr>
          <w:lang w:val="en-US"/>
        </w:rPr>
        <w:t>“In the determination of his civil rights and obligations ..., everyone is entitled to a fair ... hearing ... by [a] ... tribunal</w:t>
      </w:r>
      <w:r w:rsidRPr="00B849DC" w:rsidR="00A779F4">
        <w:rPr>
          <w:lang w:val="en-US"/>
        </w:rPr>
        <w:t xml:space="preserve"> </w:t>
      </w:r>
      <w:r w:rsidRPr="00B849DC">
        <w:rPr>
          <w:lang w:val="en-US"/>
        </w:rPr>
        <w:t>...”</w:t>
      </w:r>
    </w:p>
    <w:p w:rsidRPr="00B849DC" w:rsidR="0064309D" w:rsidP="00B849DC" w:rsidRDefault="00412A0F">
      <w:pPr>
        <w:pStyle w:val="ECHRTitleCentre3"/>
        <w:rPr>
          <w:lang w:val="en-US"/>
        </w:rPr>
      </w:pPr>
      <w:r w:rsidRPr="00B849DC">
        <w:rPr>
          <w:lang w:val="en-US"/>
        </w:rPr>
        <w:t>Article 1 of Protocol </w:t>
      </w:r>
      <w:r w:rsidRPr="00B849DC" w:rsidR="0064309D">
        <w:rPr>
          <w:lang w:val="en-US"/>
        </w:rPr>
        <w:t>No. 1</w:t>
      </w:r>
    </w:p>
    <w:p w:rsidRPr="00B849DC" w:rsidR="0064309D" w:rsidP="00B849DC" w:rsidRDefault="0064309D">
      <w:pPr>
        <w:pStyle w:val="ECHRParaQuote"/>
        <w:rPr>
          <w:lang w:val="en-US"/>
        </w:rPr>
      </w:pPr>
      <w:r w:rsidRPr="00B849DC">
        <w:rPr>
          <w:lang w:val="en-US"/>
        </w:rPr>
        <w:t>“Every natural or legal person is entitled to the peaceful enjoyment of his possessions. No one shall be deprived of his possessions except in the public interest and subject to the conditions provided for by law and by the general principles of international law.</w:t>
      </w:r>
    </w:p>
    <w:p w:rsidRPr="00B849DC" w:rsidR="0064309D" w:rsidP="00B849DC" w:rsidRDefault="0064309D">
      <w:pPr>
        <w:pStyle w:val="ECHRParaQuote"/>
        <w:rPr>
          <w:lang w:val="en-US"/>
        </w:rPr>
      </w:pPr>
      <w:r w:rsidRPr="00B849DC">
        <w:rPr>
          <w:lang w:val="en-US"/>
        </w:rPr>
        <w:t>The preceding provisions shall not, however, in any way impair the right of a State to enforce such laws as it deems necessary to control the use of property in accordance with the general interest or to secure the payment of taxes or other contributions or penalties.”</w:t>
      </w:r>
    </w:p>
    <w:p w:rsidRPr="00B849DC" w:rsidR="00B051FF" w:rsidP="00B849DC" w:rsidRDefault="00B051FF">
      <w:pPr>
        <w:pStyle w:val="ECHRPara"/>
        <w:rPr>
          <w:lang w:val="en-GB"/>
        </w:rPr>
      </w:pPr>
      <w:r w:rsidRPr="00B849DC">
        <w:rPr>
          <w:lang w:val="en-GB"/>
        </w:rPr>
        <w:fldChar w:fldCharType="begin"/>
      </w:r>
      <w:r w:rsidRPr="00B849DC">
        <w:rPr>
          <w:lang w:val="en-GB"/>
        </w:rPr>
        <w:instrText xml:space="preserve"> SEQ level0 \*arabic </w:instrText>
      </w:r>
      <w:r w:rsidRPr="00B849DC">
        <w:rPr>
          <w:lang w:val="en-GB"/>
        </w:rPr>
        <w:fldChar w:fldCharType="separate"/>
      </w:r>
      <w:r w:rsidRPr="00B849DC" w:rsidR="00B849DC">
        <w:rPr>
          <w:noProof/>
          <w:lang w:val="en-GB"/>
        </w:rPr>
        <w:t>133</w:t>
      </w:r>
      <w:r w:rsidRPr="00B849DC">
        <w:rPr>
          <w:lang w:val="en-GB"/>
        </w:rPr>
        <w:fldChar w:fldCharType="end"/>
      </w:r>
      <w:r w:rsidRPr="00B849DC">
        <w:rPr>
          <w:lang w:val="en-GB"/>
        </w:rPr>
        <w:t>.  The applicants further complained that they did not have effective domestic remedies at their disposal in respect of the non-enforcement of the judgments in their favour. Article 13 of the Convention reads as follows:</w:t>
      </w:r>
    </w:p>
    <w:p w:rsidRPr="00B849DC" w:rsidR="00B051FF" w:rsidP="00B849DC" w:rsidRDefault="00B051FF">
      <w:pPr>
        <w:pStyle w:val="ECHRParaQuote"/>
        <w:rPr>
          <w:lang w:val="en-US"/>
        </w:rPr>
      </w:pPr>
      <w:r w:rsidRPr="00B849DC">
        <w:rPr>
          <w:lang w:val="en-US"/>
        </w:rPr>
        <w:t>“Everyone whose rights and freedoms as set forth in [the] Convention are violated shall have an effective remedy before a national authority notwithstanding that the violation has been committed by persons acting in an official capacity.”</w:t>
      </w:r>
    </w:p>
    <w:p w:rsidRPr="00B849DC" w:rsidR="00F71A6A" w:rsidP="00B849DC" w:rsidRDefault="00F71A6A">
      <w:pPr>
        <w:pStyle w:val="ECHRHeading2"/>
        <w:outlineLvl w:val="0"/>
        <w:rPr>
          <w:lang w:val="en-GB"/>
        </w:rPr>
      </w:pPr>
      <w:r w:rsidRPr="00B849DC">
        <w:rPr>
          <w:lang w:val="en-GB"/>
        </w:rPr>
        <w:t>A.  </w:t>
      </w:r>
      <w:r w:rsidRPr="00B849DC" w:rsidR="00BE5A1F">
        <w:rPr>
          <w:lang w:val="en-GB"/>
        </w:rPr>
        <w:t>Submissions by the parties</w:t>
      </w:r>
    </w:p>
    <w:p w:rsidRPr="00B849DC" w:rsidR="0064309D" w:rsidP="00B849DC" w:rsidRDefault="0064309D">
      <w:pPr>
        <w:pStyle w:val="ECHRHeading3"/>
        <w:rPr>
          <w:lang w:val="en-US"/>
        </w:rPr>
      </w:pPr>
      <w:r w:rsidRPr="00B849DC">
        <w:rPr>
          <w:lang w:val="en-US"/>
        </w:rPr>
        <w:t>1.  The Government</w:t>
      </w:r>
    </w:p>
    <w:p w:rsidRPr="00B849DC" w:rsidR="008A2BD9" w:rsidP="00B849DC" w:rsidRDefault="0012143E">
      <w:pPr>
        <w:pStyle w:val="ECHRPara"/>
        <w:rPr>
          <w:lang w:val="en-US"/>
        </w:rPr>
      </w:pPr>
      <w:r w:rsidRPr="00B849DC">
        <w:rPr>
          <w:lang w:val="en-US"/>
        </w:rPr>
        <w:fldChar w:fldCharType="begin"/>
      </w:r>
      <w:r w:rsidRPr="00B849DC">
        <w:rPr>
          <w:lang w:val="en-US"/>
        </w:rPr>
        <w:instrText xml:space="preserve"> SEQ level0 \*arabic </w:instrText>
      </w:r>
      <w:r w:rsidRPr="00B849DC">
        <w:rPr>
          <w:lang w:val="en-US"/>
        </w:rPr>
        <w:fldChar w:fldCharType="separate"/>
      </w:r>
      <w:r w:rsidRPr="00B849DC" w:rsidR="00B849DC">
        <w:rPr>
          <w:noProof/>
          <w:lang w:val="en-US"/>
        </w:rPr>
        <w:t>134</w:t>
      </w:r>
      <w:r w:rsidRPr="00B849DC">
        <w:rPr>
          <w:lang w:val="en-US"/>
        </w:rPr>
        <w:fldChar w:fldCharType="end"/>
      </w:r>
      <w:r w:rsidRPr="00B849DC">
        <w:rPr>
          <w:lang w:val="en-US"/>
        </w:rPr>
        <w:t>.  </w:t>
      </w:r>
      <w:r w:rsidRPr="00B849DC" w:rsidR="008A2BD9">
        <w:rPr>
          <w:lang w:val="en-US"/>
        </w:rPr>
        <w:t>The Government disagreed with the applicants</w:t>
      </w:r>
      <w:r w:rsidRPr="00B849DC" w:rsidR="00B849DC">
        <w:rPr>
          <w:lang w:val="en-US"/>
        </w:rPr>
        <w:t>’</w:t>
      </w:r>
      <w:r w:rsidRPr="00B849DC" w:rsidR="008A2BD9">
        <w:rPr>
          <w:lang w:val="en-US"/>
        </w:rPr>
        <w:t xml:space="preserve"> claims on the following grounds.</w:t>
      </w:r>
    </w:p>
    <w:p w:rsidRPr="00B849DC" w:rsidR="00A56821" w:rsidP="00B849DC" w:rsidRDefault="00A56821">
      <w:pPr>
        <w:pStyle w:val="ECHRHeading4"/>
        <w:rPr>
          <w:lang w:val="en-US"/>
        </w:rPr>
      </w:pPr>
      <w:r w:rsidRPr="00B849DC">
        <w:rPr>
          <w:lang w:val="en-US"/>
        </w:rPr>
        <w:t>(</w:t>
      </w:r>
      <w:proofErr w:type="gramStart"/>
      <w:r w:rsidRPr="00B849DC">
        <w:rPr>
          <w:lang w:val="en-US"/>
        </w:rPr>
        <w:t>a</w:t>
      </w:r>
      <w:proofErr w:type="gramEnd"/>
      <w:r w:rsidRPr="00B849DC">
        <w:rPr>
          <w:lang w:val="en-US"/>
        </w:rPr>
        <w:t xml:space="preserve">)  As regards compatibility </w:t>
      </w:r>
      <w:r w:rsidRPr="00B849DC">
        <w:rPr>
          <w:i/>
          <w:lang w:val="en-US"/>
        </w:rPr>
        <w:t>ratione personae</w:t>
      </w:r>
    </w:p>
    <w:p w:rsidRPr="00B849DC" w:rsidR="00E77BEE" w:rsidP="00B849DC" w:rsidRDefault="004B647E">
      <w:pPr>
        <w:pStyle w:val="ECHRPara"/>
        <w:rPr>
          <w:lang w:val="en-US"/>
        </w:rPr>
      </w:pPr>
      <w:r w:rsidRPr="00B849DC">
        <w:rPr>
          <w:lang w:val="en-GB"/>
        </w:rPr>
        <w:fldChar w:fldCharType="begin"/>
      </w:r>
      <w:r w:rsidRPr="00B849DC">
        <w:rPr>
          <w:lang w:val="en-GB"/>
        </w:rPr>
        <w:instrText xml:space="preserve"> SEQ level0 \*arabic </w:instrText>
      </w:r>
      <w:r w:rsidRPr="00B849DC">
        <w:rPr>
          <w:lang w:val="en-GB"/>
        </w:rPr>
        <w:fldChar w:fldCharType="separate"/>
      </w:r>
      <w:r w:rsidRPr="00B849DC" w:rsidR="00B849DC">
        <w:rPr>
          <w:noProof/>
          <w:lang w:val="en-GB"/>
        </w:rPr>
        <w:t>135</w:t>
      </w:r>
      <w:r w:rsidRPr="00B849DC">
        <w:rPr>
          <w:lang w:val="en-GB"/>
        </w:rPr>
        <w:fldChar w:fldCharType="end"/>
      </w:r>
      <w:r w:rsidRPr="00B849DC">
        <w:rPr>
          <w:lang w:val="en-GB"/>
        </w:rPr>
        <w:t>.  </w:t>
      </w:r>
      <w:r w:rsidRPr="00B849DC" w:rsidR="0064309D">
        <w:rPr>
          <w:lang w:val="en-GB"/>
        </w:rPr>
        <w:t>The Government argued</w:t>
      </w:r>
      <w:r w:rsidRPr="00B849DC" w:rsidR="008B3435">
        <w:rPr>
          <w:lang w:val="en-GB"/>
        </w:rPr>
        <w:t xml:space="preserve"> </w:t>
      </w:r>
      <w:r w:rsidRPr="00B849DC" w:rsidR="00E77BEE">
        <w:rPr>
          <w:lang w:val="en-GB"/>
        </w:rPr>
        <w:t>that the respondent unitary companies were owned by the respective municipalities,</w:t>
      </w:r>
      <w:r w:rsidRPr="00B849DC" w:rsidR="00E77BEE">
        <w:rPr>
          <w:lang w:val="en-US"/>
        </w:rPr>
        <w:t xml:space="preserve"> which were not “State authorities” within the Convention meaning.</w:t>
      </w:r>
    </w:p>
    <w:p w:rsidRPr="00B849DC" w:rsidR="008B3435" w:rsidP="00B849DC" w:rsidRDefault="0064309D">
      <w:pPr>
        <w:pStyle w:val="ECHRPara"/>
        <w:rPr>
          <w:lang w:val="en-US"/>
        </w:rPr>
      </w:pPr>
      <w:r w:rsidRPr="00B849DC">
        <w:rPr>
          <w:lang w:val="en-GB"/>
        </w:rPr>
        <w:fldChar w:fldCharType="begin"/>
      </w:r>
      <w:r w:rsidRPr="00B849DC">
        <w:rPr>
          <w:lang w:val="en-GB"/>
        </w:rPr>
        <w:instrText xml:space="preserve"> SEQ level0 \*arabic </w:instrText>
      </w:r>
      <w:r w:rsidRPr="00B849DC">
        <w:rPr>
          <w:lang w:val="en-GB"/>
        </w:rPr>
        <w:fldChar w:fldCharType="separate"/>
      </w:r>
      <w:r w:rsidRPr="00B849DC" w:rsidR="00B849DC">
        <w:rPr>
          <w:noProof/>
          <w:lang w:val="en-GB"/>
        </w:rPr>
        <w:t>136</w:t>
      </w:r>
      <w:r w:rsidRPr="00B849DC">
        <w:rPr>
          <w:lang w:val="en-GB"/>
        </w:rPr>
        <w:fldChar w:fldCharType="end"/>
      </w:r>
      <w:r w:rsidRPr="00B849DC">
        <w:rPr>
          <w:lang w:val="en-GB"/>
        </w:rPr>
        <w:t>.  </w:t>
      </w:r>
      <w:r w:rsidRPr="00B849DC" w:rsidR="008B3435">
        <w:rPr>
          <w:lang w:val="en-GB"/>
        </w:rPr>
        <w:t>They further</w:t>
      </w:r>
      <w:r w:rsidRPr="00B849DC" w:rsidR="00E77BEE">
        <w:rPr>
          <w:lang w:val="en-GB"/>
        </w:rPr>
        <w:t xml:space="preserve"> submitted that the municipal unitary </w:t>
      </w:r>
      <w:r w:rsidRPr="00B849DC" w:rsidR="008E6B20">
        <w:rPr>
          <w:lang w:val="en-GB"/>
        </w:rPr>
        <w:t>enterprises</w:t>
      </w:r>
      <w:r w:rsidRPr="00B849DC" w:rsidR="00B849DC">
        <w:rPr>
          <w:lang w:val="en-GB"/>
        </w:rPr>
        <w:t>’</w:t>
      </w:r>
      <w:r w:rsidRPr="00B849DC" w:rsidR="00E77BEE">
        <w:rPr>
          <w:lang w:val="en-GB"/>
        </w:rPr>
        <w:t xml:space="preserve"> debts were not attributable to the State.</w:t>
      </w:r>
      <w:r w:rsidRPr="00B849DC" w:rsidR="00643853">
        <w:rPr>
          <w:lang w:val="en-US"/>
        </w:rPr>
        <w:t xml:space="preserve"> </w:t>
      </w:r>
      <w:r w:rsidRPr="00B849DC" w:rsidR="004766A9">
        <w:rPr>
          <w:lang w:val="en-GB"/>
        </w:rPr>
        <w:t>Referring</w:t>
      </w:r>
      <w:r w:rsidRPr="00B849DC" w:rsidR="00052D4F">
        <w:rPr>
          <w:lang w:val="en-GB"/>
        </w:rPr>
        <w:t xml:space="preserve"> </w:t>
      </w:r>
      <w:r w:rsidRPr="00B849DC" w:rsidR="001468EE">
        <w:rPr>
          <w:lang w:val="en-GB"/>
        </w:rPr>
        <w:t xml:space="preserve">in general terms </w:t>
      </w:r>
      <w:r w:rsidRPr="00B849DC" w:rsidR="00052D4F">
        <w:rPr>
          <w:lang w:val="en-GB"/>
        </w:rPr>
        <w:t xml:space="preserve">to the </w:t>
      </w:r>
      <w:r w:rsidRPr="00B849DC" w:rsidR="004766A9">
        <w:rPr>
          <w:lang w:val="en-GB"/>
        </w:rPr>
        <w:t>ILC</w:t>
      </w:r>
      <w:r w:rsidRPr="00B849DC" w:rsidR="00052D4F">
        <w:rPr>
          <w:lang w:val="en-GB"/>
        </w:rPr>
        <w:t xml:space="preserve"> Articles on State Responsibility</w:t>
      </w:r>
      <w:r w:rsidRPr="00B849DC" w:rsidR="004766A9">
        <w:rPr>
          <w:i/>
          <w:lang w:val="en-GB"/>
        </w:rPr>
        <w:t>,</w:t>
      </w:r>
      <w:r w:rsidRPr="00B849DC" w:rsidR="00052D4F">
        <w:rPr>
          <w:lang w:val="en-GB"/>
        </w:rPr>
        <w:t xml:space="preserve"> they noted that the conduct</w:t>
      </w:r>
      <w:r w:rsidRPr="00B849DC" w:rsidR="009D4552">
        <w:rPr>
          <w:lang w:val="en-GB"/>
        </w:rPr>
        <w:t xml:space="preserve"> of private actors could not</w:t>
      </w:r>
      <w:r w:rsidRPr="00B849DC" w:rsidR="00052D4F">
        <w:rPr>
          <w:lang w:val="en-GB"/>
        </w:rPr>
        <w:t xml:space="preserve">, in principle, </w:t>
      </w:r>
      <w:r w:rsidRPr="00B849DC" w:rsidR="009D4552">
        <w:rPr>
          <w:lang w:val="en-GB"/>
        </w:rPr>
        <w:t>be attribut</w:t>
      </w:r>
      <w:r w:rsidRPr="00B849DC" w:rsidR="00052D4F">
        <w:rPr>
          <w:lang w:val="en-GB"/>
        </w:rPr>
        <w:t>ed</w:t>
      </w:r>
      <w:r w:rsidRPr="00B849DC" w:rsidR="009D4552">
        <w:rPr>
          <w:lang w:val="en-GB"/>
        </w:rPr>
        <w:t xml:space="preserve"> to the State</w:t>
      </w:r>
      <w:r w:rsidRPr="00B849DC" w:rsidR="00052D4F">
        <w:rPr>
          <w:lang w:val="en-GB"/>
        </w:rPr>
        <w:t xml:space="preserve">. </w:t>
      </w:r>
      <w:r w:rsidRPr="00B849DC" w:rsidR="008B3435">
        <w:rPr>
          <w:lang w:val="en-US"/>
        </w:rPr>
        <w:t>Referring to the Court</w:t>
      </w:r>
      <w:r w:rsidRPr="00B849DC" w:rsidR="00B849DC">
        <w:rPr>
          <w:lang w:val="en-US"/>
        </w:rPr>
        <w:t>’</w:t>
      </w:r>
      <w:r w:rsidRPr="00B849DC" w:rsidR="008B3435">
        <w:rPr>
          <w:lang w:val="en-US"/>
        </w:rPr>
        <w:t xml:space="preserve">s case-law, they </w:t>
      </w:r>
      <w:r w:rsidRPr="00B849DC" w:rsidR="00052D4F">
        <w:rPr>
          <w:lang w:val="en-US"/>
        </w:rPr>
        <w:t xml:space="preserve">further </w:t>
      </w:r>
      <w:r w:rsidRPr="00B849DC" w:rsidR="008B3435">
        <w:rPr>
          <w:lang w:val="en-US"/>
        </w:rPr>
        <w:t xml:space="preserve">summarized the applicable criteria </w:t>
      </w:r>
      <w:r w:rsidRPr="00B849DC" w:rsidR="0060653E">
        <w:rPr>
          <w:lang w:val="en-US"/>
        </w:rPr>
        <w:t>for determining</w:t>
      </w:r>
      <w:r w:rsidRPr="00B849DC" w:rsidR="00052D4F">
        <w:rPr>
          <w:lang w:val="en-US"/>
        </w:rPr>
        <w:t xml:space="preserve"> State responsibility </w:t>
      </w:r>
      <w:r w:rsidRPr="00B849DC" w:rsidR="0060653E">
        <w:rPr>
          <w:lang w:val="en-US"/>
        </w:rPr>
        <w:t xml:space="preserve">for a company </w:t>
      </w:r>
      <w:r w:rsidRPr="00B849DC" w:rsidR="008B3435">
        <w:rPr>
          <w:lang w:val="en-US"/>
        </w:rPr>
        <w:t xml:space="preserve">as follows: </w:t>
      </w:r>
      <w:r w:rsidRPr="00B849DC" w:rsidR="00A779F4">
        <w:rPr>
          <w:lang w:val="en-US"/>
        </w:rPr>
        <w:t>(1) </w:t>
      </w:r>
      <w:r w:rsidRPr="00B849DC" w:rsidR="008B3435">
        <w:rPr>
          <w:lang w:val="en-US"/>
        </w:rPr>
        <w:t xml:space="preserve">ownership of the company by the State; </w:t>
      </w:r>
      <w:r w:rsidRPr="00B849DC" w:rsidR="00A779F4">
        <w:rPr>
          <w:lang w:val="en-US"/>
        </w:rPr>
        <w:t>(2) </w:t>
      </w:r>
      <w:r w:rsidRPr="00B849DC" w:rsidR="0060653E">
        <w:rPr>
          <w:lang w:val="en-US"/>
        </w:rPr>
        <w:t xml:space="preserve">a </w:t>
      </w:r>
      <w:r w:rsidRPr="00B849DC" w:rsidR="008B3435">
        <w:rPr>
          <w:lang w:val="en-US"/>
        </w:rPr>
        <w:t xml:space="preserve">degree of State control </w:t>
      </w:r>
      <w:r w:rsidRPr="00B849DC" w:rsidR="0060653E">
        <w:rPr>
          <w:lang w:val="en-US"/>
        </w:rPr>
        <w:t>which leaves the company</w:t>
      </w:r>
      <w:r w:rsidRPr="00B849DC" w:rsidR="008B3435">
        <w:rPr>
          <w:lang w:val="en-US"/>
        </w:rPr>
        <w:t xml:space="preserve"> insufficient institutional and operational independence; and</w:t>
      </w:r>
      <w:r w:rsidRPr="00B849DC" w:rsidR="00140554">
        <w:rPr>
          <w:lang w:val="en-US"/>
        </w:rPr>
        <w:t xml:space="preserve"> (3)</w:t>
      </w:r>
      <w:r w:rsidRPr="00B849DC" w:rsidR="00A779F4">
        <w:rPr>
          <w:lang w:val="en-US"/>
        </w:rPr>
        <w:t> </w:t>
      </w:r>
      <w:r w:rsidRPr="00B849DC" w:rsidR="0060653E">
        <w:rPr>
          <w:lang w:val="en-US"/>
        </w:rPr>
        <w:t xml:space="preserve">a </w:t>
      </w:r>
      <w:r w:rsidRPr="00B849DC" w:rsidR="008B3435">
        <w:rPr>
          <w:lang w:val="en-US"/>
        </w:rPr>
        <w:t>public function</w:t>
      </w:r>
      <w:r w:rsidRPr="00B849DC" w:rsidR="00D7445C">
        <w:rPr>
          <w:lang w:val="en-US"/>
        </w:rPr>
        <w:t>, and su</w:t>
      </w:r>
      <w:r w:rsidRPr="00B849DC" w:rsidR="00140554">
        <w:rPr>
          <w:lang w:val="en-US"/>
        </w:rPr>
        <w:t>bmitted</w:t>
      </w:r>
      <w:r w:rsidRPr="00B849DC" w:rsidR="00D7445C">
        <w:rPr>
          <w:lang w:val="en-US"/>
        </w:rPr>
        <w:t xml:space="preserve"> that municipal unitary enterprises </w:t>
      </w:r>
      <w:r w:rsidRPr="00B849DC" w:rsidR="0060653E">
        <w:rPr>
          <w:lang w:val="en-US"/>
        </w:rPr>
        <w:t xml:space="preserve">with </w:t>
      </w:r>
      <w:r w:rsidRPr="00B849DC" w:rsidR="00D7445C">
        <w:rPr>
          <w:lang w:val="en-US"/>
        </w:rPr>
        <w:t xml:space="preserve">the right of economic control </w:t>
      </w:r>
      <w:r w:rsidRPr="00B849DC" w:rsidR="0060653E">
        <w:rPr>
          <w:lang w:val="en-US"/>
        </w:rPr>
        <w:t xml:space="preserve">did </w:t>
      </w:r>
      <w:r w:rsidRPr="00B849DC" w:rsidR="00D7445C">
        <w:rPr>
          <w:lang w:val="en-US"/>
        </w:rPr>
        <w:t>not satisfy that criteria for the following reasons.</w:t>
      </w:r>
    </w:p>
    <w:p w:rsidRPr="00B849DC" w:rsidR="000A135B" w:rsidP="00B849DC" w:rsidRDefault="000A135B">
      <w:pPr>
        <w:pStyle w:val="ECHRHeading5"/>
        <w:rPr>
          <w:lang w:val="en-US"/>
        </w:rPr>
      </w:pPr>
      <w:r w:rsidRPr="00B849DC">
        <w:rPr>
          <w:lang w:val="en-US"/>
        </w:rPr>
        <w:t xml:space="preserve">(i)  Legal status of unitary enterprises </w:t>
      </w:r>
      <w:r w:rsidRPr="00B849DC" w:rsidR="004C49F2">
        <w:rPr>
          <w:lang w:val="en-US"/>
        </w:rPr>
        <w:t xml:space="preserve">with </w:t>
      </w:r>
      <w:r w:rsidRPr="00B849DC">
        <w:rPr>
          <w:lang w:val="en-US"/>
        </w:rPr>
        <w:t>the right of economic control</w:t>
      </w:r>
    </w:p>
    <w:p w:rsidRPr="00B849DC" w:rsidR="00CA087B" w:rsidP="00B849DC" w:rsidRDefault="008B3435">
      <w:pPr>
        <w:pStyle w:val="ECHRPara"/>
        <w:rPr>
          <w:lang w:val="en-US"/>
        </w:rPr>
      </w:pPr>
      <w:r w:rsidRPr="00B849DC">
        <w:rPr>
          <w:lang w:val="en-US"/>
        </w:rPr>
        <w:fldChar w:fldCharType="begin"/>
      </w:r>
      <w:r w:rsidRPr="00B849DC">
        <w:rPr>
          <w:lang w:val="en-US"/>
        </w:rPr>
        <w:instrText xml:space="preserve"> SEQ level0 \*arabic </w:instrText>
      </w:r>
      <w:r w:rsidRPr="00B849DC">
        <w:rPr>
          <w:lang w:val="en-US"/>
        </w:rPr>
        <w:fldChar w:fldCharType="separate"/>
      </w:r>
      <w:r w:rsidRPr="00B849DC" w:rsidR="00B849DC">
        <w:rPr>
          <w:noProof/>
          <w:lang w:val="en-US"/>
        </w:rPr>
        <w:t>137</w:t>
      </w:r>
      <w:r w:rsidRPr="00B849DC">
        <w:rPr>
          <w:lang w:val="en-US"/>
        </w:rPr>
        <w:fldChar w:fldCharType="end"/>
      </w:r>
      <w:r w:rsidRPr="00B849DC">
        <w:rPr>
          <w:lang w:val="en-US"/>
        </w:rPr>
        <w:t>.  </w:t>
      </w:r>
      <w:r w:rsidRPr="00B849DC" w:rsidR="004018B2">
        <w:rPr>
          <w:lang w:val="en-US"/>
        </w:rPr>
        <w:t>By</w:t>
      </w:r>
      <w:r w:rsidRPr="00B849DC">
        <w:rPr>
          <w:lang w:val="en-US"/>
        </w:rPr>
        <w:t xml:space="preserve"> contrast to similar legal entities in Europe, State and municipal unitary enterprises in Russia </w:t>
      </w:r>
      <w:r w:rsidRPr="00B849DC" w:rsidR="004C49F2">
        <w:rPr>
          <w:lang w:val="en-US"/>
        </w:rPr>
        <w:t xml:space="preserve">are </w:t>
      </w:r>
      <w:r w:rsidRPr="00B849DC" w:rsidR="00A779F4">
        <w:rPr>
          <w:lang w:val="en-US"/>
        </w:rPr>
        <w:t>(a) </w:t>
      </w:r>
      <w:r w:rsidRPr="00B849DC">
        <w:rPr>
          <w:lang w:val="en-US"/>
        </w:rPr>
        <w:t xml:space="preserve">separate legal </w:t>
      </w:r>
      <w:r w:rsidRPr="00B849DC" w:rsidR="00C43D4E">
        <w:rPr>
          <w:lang w:val="en-US"/>
        </w:rPr>
        <w:t>entities</w:t>
      </w:r>
      <w:r w:rsidRPr="00B849DC">
        <w:rPr>
          <w:lang w:val="en-US"/>
        </w:rPr>
        <w:t xml:space="preserve"> </w:t>
      </w:r>
      <w:r w:rsidRPr="00B849DC" w:rsidR="004C49F2">
        <w:rPr>
          <w:lang w:val="en-US"/>
        </w:rPr>
        <w:t xml:space="preserve">and </w:t>
      </w:r>
      <w:r w:rsidRPr="00B849DC" w:rsidR="00A779F4">
        <w:rPr>
          <w:lang w:val="en-US"/>
        </w:rPr>
        <w:t>(b) </w:t>
      </w:r>
      <w:r w:rsidRPr="00B849DC" w:rsidR="00792CD2">
        <w:rPr>
          <w:lang w:val="en-US"/>
        </w:rPr>
        <w:t>are “aimed at</w:t>
      </w:r>
      <w:r w:rsidRPr="00B849DC">
        <w:rPr>
          <w:lang w:val="en-US"/>
        </w:rPr>
        <w:t xml:space="preserve"> </w:t>
      </w:r>
      <w:r w:rsidRPr="00B849DC" w:rsidR="00964321">
        <w:rPr>
          <w:lang w:val="en-US"/>
        </w:rPr>
        <w:t>producing public goods”</w:t>
      </w:r>
      <w:r w:rsidRPr="00B849DC" w:rsidR="00047F46">
        <w:rPr>
          <w:lang w:val="en-US"/>
        </w:rPr>
        <w:t xml:space="preserve"> in the sphere of </w:t>
      </w:r>
      <w:r w:rsidRPr="00B849DC" w:rsidR="001F3EFA">
        <w:rPr>
          <w:lang w:val="en-GB"/>
        </w:rPr>
        <w:t xml:space="preserve">manufacturing </w:t>
      </w:r>
      <w:r w:rsidRPr="00B849DC" w:rsidR="00D7445C">
        <w:rPr>
          <w:lang w:val="en-GB"/>
        </w:rPr>
        <w:t>and services</w:t>
      </w:r>
      <w:r w:rsidRPr="00B849DC" w:rsidR="00792CD2">
        <w:rPr>
          <w:lang w:val="en-GB"/>
        </w:rPr>
        <w:t>.</w:t>
      </w:r>
      <w:r w:rsidRPr="00B849DC" w:rsidR="00D7445C">
        <w:rPr>
          <w:lang w:val="en-GB"/>
        </w:rPr>
        <w:t xml:space="preserve"> </w:t>
      </w:r>
      <w:r w:rsidRPr="00B849DC" w:rsidR="00D7445C">
        <w:rPr>
          <w:lang w:val="en-US"/>
        </w:rPr>
        <w:t>Mu</w:t>
      </w:r>
      <w:r w:rsidRPr="00B849DC" w:rsidR="00617D24">
        <w:rPr>
          <w:lang w:val="en-US"/>
        </w:rPr>
        <w:t xml:space="preserve">nicipal unitary enterprises </w:t>
      </w:r>
      <w:r w:rsidRPr="00B849DC" w:rsidR="004C49F2">
        <w:rPr>
          <w:lang w:val="en-US"/>
        </w:rPr>
        <w:t xml:space="preserve">with </w:t>
      </w:r>
      <w:r w:rsidRPr="00B849DC" w:rsidR="00617D24">
        <w:rPr>
          <w:lang w:val="en-US"/>
        </w:rPr>
        <w:t xml:space="preserve">the right of economic control </w:t>
      </w:r>
      <w:r w:rsidRPr="00B849DC" w:rsidR="00D7445C">
        <w:rPr>
          <w:lang w:val="en-US"/>
        </w:rPr>
        <w:t xml:space="preserve">are not in receipt of budget </w:t>
      </w:r>
      <w:r w:rsidRPr="00B849DC" w:rsidR="00617D24">
        <w:rPr>
          <w:lang w:val="en-US"/>
        </w:rPr>
        <w:t>funds (see paragraph </w:t>
      </w:r>
      <w:r w:rsidRPr="00B849DC" w:rsidR="004458BC">
        <w:rPr>
          <w:lang w:val="en-US"/>
        </w:rPr>
        <w:t xml:space="preserve">120 </w:t>
      </w:r>
      <w:r w:rsidRPr="00B849DC" w:rsidR="00617D24">
        <w:rPr>
          <w:lang w:val="en-US"/>
        </w:rPr>
        <w:t>above)</w:t>
      </w:r>
      <w:r w:rsidRPr="00B849DC" w:rsidR="00792CD2">
        <w:rPr>
          <w:lang w:val="en-US"/>
        </w:rPr>
        <w:t xml:space="preserve"> and are not subject to strict regulation by the budget laws, by contrast to </w:t>
      </w:r>
      <w:r w:rsidRPr="00B849DC" w:rsidR="001F3EFA">
        <w:rPr>
          <w:lang w:val="en-US"/>
        </w:rPr>
        <w:t>entities funded from the State budget</w:t>
      </w:r>
      <w:r w:rsidRPr="00B849DC" w:rsidR="004E26FE">
        <w:rPr>
          <w:lang w:val="en-US"/>
        </w:rPr>
        <w:t xml:space="preserve"> ("budgetary institutions</w:t>
      </w:r>
      <w:r w:rsidRPr="00B849DC" w:rsidR="004E26FE">
        <w:rPr>
          <w:lang w:val="en-GB"/>
        </w:rPr>
        <w:t xml:space="preserve">", </w:t>
      </w:r>
      <w:r w:rsidRPr="00B849DC" w:rsidR="004E26FE">
        <w:rPr>
          <w:i/>
          <w:lang w:val="ru-RU"/>
        </w:rPr>
        <w:t>бюджетные</w:t>
      </w:r>
      <w:r w:rsidRPr="00B849DC" w:rsidR="004E26FE">
        <w:rPr>
          <w:i/>
          <w:lang w:val="en-US"/>
        </w:rPr>
        <w:t xml:space="preserve"> </w:t>
      </w:r>
      <w:r w:rsidRPr="00B849DC" w:rsidR="004E26FE">
        <w:rPr>
          <w:i/>
          <w:lang w:val="ru-RU"/>
        </w:rPr>
        <w:t>учреждения</w:t>
      </w:r>
      <w:r w:rsidRPr="00B849DC" w:rsidR="004E26FE">
        <w:rPr>
          <w:lang w:val="en-US"/>
        </w:rPr>
        <w:t>)</w:t>
      </w:r>
      <w:r w:rsidRPr="00B849DC" w:rsidR="00C43D4E">
        <w:rPr>
          <w:lang w:val="en-US"/>
        </w:rPr>
        <w:t xml:space="preserve">. They exercise purely commercial activities and are governed by company law. </w:t>
      </w:r>
      <w:r w:rsidRPr="00B849DC" w:rsidR="00792CD2">
        <w:rPr>
          <w:lang w:val="en-US"/>
        </w:rPr>
        <w:t>The owner</w:t>
      </w:r>
      <w:r w:rsidRPr="00B849DC" w:rsidR="00B849DC">
        <w:rPr>
          <w:lang w:val="en-US"/>
        </w:rPr>
        <w:t>’</w:t>
      </w:r>
      <w:r w:rsidRPr="00B849DC" w:rsidR="00792CD2">
        <w:rPr>
          <w:lang w:val="en-US"/>
        </w:rPr>
        <w:t>s right to a part of the company</w:t>
      </w:r>
      <w:r w:rsidRPr="00B849DC" w:rsidR="00B849DC">
        <w:rPr>
          <w:lang w:val="en-US"/>
        </w:rPr>
        <w:t>’</w:t>
      </w:r>
      <w:r w:rsidRPr="00B849DC" w:rsidR="00792CD2">
        <w:rPr>
          <w:lang w:val="en-US"/>
        </w:rPr>
        <w:t>s profit</w:t>
      </w:r>
      <w:r w:rsidRPr="00B849DC" w:rsidR="00D7445C">
        <w:rPr>
          <w:lang w:val="en-US"/>
        </w:rPr>
        <w:t xml:space="preserve"> (see paragraph </w:t>
      </w:r>
      <w:r w:rsidRPr="00B849DC" w:rsidR="004458BC">
        <w:rPr>
          <w:lang w:val="en-US"/>
        </w:rPr>
        <w:t>65</w:t>
      </w:r>
      <w:r w:rsidRPr="00B849DC" w:rsidR="00D7445C">
        <w:rPr>
          <w:lang w:val="en-US"/>
        </w:rPr>
        <w:t xml:space="preserve"> above)</w:t>
      </w:r>
      <w:r w:rsidRPr="00B849DC" w:rsidR="00792CD2">
        <w:rPr>
          <w:lang w:val="en-US"/>
        </w:rPr>
        <w:t xml:space="preserve"> is typical for any commercial company.</w:t>
      </w:r>
    </w:p>
    <w:p w:rsidRPr="00B849DC" w:rsidR="00140554" w:rsidP="00B849DC" w:rsidRDefault="00F37A89">
      <w:pPr>
        <w:pStyle w:val="ECHRPara"/>
        <w:rPr>
          <w:lang w:val="en-US"/>
        </w:rPr>
      </w:pPr>
      <w:r w:rsidRPr="00B849DC">
        <w:rPr>
          <w:lang w:val="en-US"/>
        </w:rPr>
        <w:fldChar w:fldCharType="begin"/>
      </w:r>
      <w:r w:rsidRPr="00B849DC">
        <w:rPr>
          <w:lang w:val="en-US"/>
        </w:rPr>
        <w:instrText xml:space="preserve"> SEQ level0 \*arabic </w:instrText>
      </w:r>
      <w:r w:rsidRPr="00B849DC">
        <w:rPr>
          <w:lang w:val="en-US"/>
        </w:rPr>
        <w:fldChar w:fldCharType="separate"/>
      </w:r>
      <w:r w:rsidRPr="00B849DC" w:rsidR="00B849DC">
        <w:rPr>
          <w:noProof/>
          <w:lang w:val="en-US"/>
        </w:rPr>
        <w:t>138</w:t>
      </w:r>
      <w:r w:rsidRPr="00B849DC">
        <w:rPr>
          <w:lang w:val="en-US"/>
        </w:rPr>
        <w:fldChar w:fldCharType="end"/>
      </w:r>
      <w:r w:rsidRPr="00B849DC">
        <w:rPr>
          <w:lang w:val="en-US"/>
        </w:rPr>
        <w:t>.  </w:t>
      </w:r>
      <w:r w:rsidRPr="00B849DC" w:rsidR="007C1B8C">
        <w:rPr>
          <w:lang w:val="en-US"/>
        </w:rPr>
        <w:t xml:space="preserve">Turning to the substance of the right of economic control, the Government argued as follows. </w:t>
      </w:r>
      <w:r w:rsidRPr="00B849DC" w:rsidR="00C43D4E">
        <w:rPr>
          <w:lang w:val="en-US"/>
        </w:rPr>
        <w:t xml:space="preserve">Once the assets are </w:t>
      </w:r>
      <w:r w:rsidRPr="00B849DC" w:rsidR="004C49F2">
        <w:rPr>
          <w:lang w:val="en-US"/>
        </w:rPr>
        <w:t>placed under</w:t>
      </w:r>
      <w:r w:rsidRPr="00B849DC" w:rsidR="00C43D4E">
        <w:rPr>
          <w:lang w:val="en-US"/>
        </w:rPr>
        <w:t xml:space="preserve"> </w:t>
      </w:r>
      <w:r w:rsidRPr="00B849DC" w:rsidR="00047F46">
        <w:rPr>
          <w:lang w:val="en-US"/>
        </w:rPr>
        <w:t xml:space="preserve">a </w:t>
      </w:r>
      <w:r w:rsidRPr="00B849DC" w:rsidR="00C43D4E">
        <w:rPr>
          <w:lang w:val="en-US"/>
        </w:rPr>
        <w:t>company</w:t>
      </w:r>
      <w:r w:rsidRPr="00B849DC" w:rsidR="00B849DC">
        <w:rPr>
          <w:lang w:val="en-US"/>
        </w:rPr>
        <w:t>’</w:t>
      </w:r>
      <w:r w:rsidRPr="00B849DC" w:rsidR="004C49F2">
        <w:rPr>
          <w:lang w:val="en-US"/>
        </w:rPr>
        <w:t>s economic control</w:t>
      </w:r>
      <w:r w:rsidRPr="00B849DC" w:rsidR="00C43D4E">
        <w:rPr>
          <w:lang w:val="en-US"/>
        </w:rPr>
        <w:t>, they are withdrawn from the owner</w:t>
      </w:r>
      <w:r w:rsidRPr="00B849DC" w:rsidR="00B849DC">
        <w:rPr>
          <w:lang w:val="en-US"/>
        </w:rPr>
        <w:t>’</w:t>
      </w:r>
      <w:r w:rsidRPr="00B849DC" w:rsidR="00C43D4E">
        <w:rPr>
          <w:lang w:val="en-US"/>
        </w:rPr>
        <w:t xml:space="preserve">s actual possession. </w:t>
      </w:r>
      <w:r w:rsidRPr="00B849DC">
        <w:rPr>
          <w:rFonts w:ascii="Times New Roman" w:hAnsi="Times New Roman" w:eastAsia="Times New Roman" w:cs="Times New Roman"/>
          <w:szCs w:val="24"/>
          <w:lang w:val="en-US"/>
        </w:rPr>
        <w:t>For instance, execution upon the debtor unitary enterprise</w:t>
      </w:r>
      <w:r w:rsidRPr="00B849DC" w:rsidR="00B849DC">
        <w:rPr>
          <w:rFonts w:ascii="Times New Roman" w:hAnsi="Times New Roman" w:eastAsia="Times New Roman" w:cs="Times New Roman"/>
          <w:szCs w:val="24"/>
          <w:lang w:val="en-US"/>
        </w:rPr>
        <w:t>’</w:t>
      </w:r>
      <w:r w:rsidRPr="00B849DC">
        <w:rPr>
          <w:rFonts w:ascii="Times New Roman" w:hAnsi="Times New Roman" w:eastAsia="Times New Roman" w:cs="Times New Roman"/>
          <w:szCs w:val="24"/>
          <w:lang w:val="en-US"/>
        </w:rPr>
        <w:t xml:space="preserve">s assets in insolvency proceedings </w:t>
      </w:r>
      <w:r w:rsidRPr="00B849DC">
        <w:rPr>
          <w:rFonts w:ascii="Times New Roman" w:hAnsi="Times New Roman" w:eastAsia="Times New Roman" w:cs="Times New Roman"/>
          <w:szCs w:val="24"/>
          <w:lang w:val="en-GB"/>
        </w:rPr>
        <w:t>is made</w:t>
      </w:r>
      <w:r w:rsidRPr="00B849DC">
        <w:rPr>
          <w:rFonts w:ascii="Times New Roman" w:hAnsi="Times New Roman" w:eastAsia="Times New Roman" w:cs="Times New Roman"/>
          <w:szCs w:val="24"/>
          <w:lang w:val="en-US"/>
        </w:rPr>
        <w:t xml:space="preserve"> </w:t>
      </w:r>
      <w:r w:rsidRPr="00B849DC">
        <w:rPr>
          <w:rFonts w:ascii="Times New Roman" w:hAnsi="Times New Roman" w:eastAsia="Times New Roman" w:cs="Times New Roman"/>
          <w:szCs w:val="24"/>
          <w:lang w:val="en-GB"/>
        </w:rPr>
        <w:t>irrespectively of the owner</w:t>
      </w:r>
      <w:r w:rsidRPr="00B849DC" w:rsidR="00B849DC">
        <w:rPr>
          <w:rFonts w:ascii="Times New Roman" w:hAnsi="Times New Roman" w:eastAsia="Times New Roman" w:cs="Times New Roman"/>
          <w:szCs w:val="24"/>
          <w:lang w:val="en-GB"/>
        </w:rPr>
        <w:t>’</w:t>
      </w:r>
      <w:r w:rsidRPr="00B849DC">
        <w:rPr>
          <w:rFonts w:ascii="Times New Roman" w:hAnsi="Times New Roman" w:eastAsia="Times New Roman" w:cs="Times New Roman"/>
          <w:szCs w:val="24"/>
          <w:lang w:val="en-GB"/>
        </w:rPr>
        <w:t xml:space="preserve">s consent, as confirmed by the </w:t>
      </w:r>
      <w:r w:rsidRPr="00B849DC" w:rsidR="00E5106A">
        <w:rPr>
          <w:rFonts w:ascii="Times New Roman" w:hAnsi="Times New Roman" w:eastAsia="Times New Roman" w:cs="Times New Roman"/>
          <w:szCs w:val="24"/>
          <w:lang w:val="en-GB"/>
        </w:rPr>
        <w:t xml:space="preserve">domestic </w:t>
      </w:r>
      <w:r w:rsidRPr="00B849DC">
        <w:rPr>
          <w:rFonts w:ascii="Times New Roman" w:hAnsi="Times New Roman" w:eastAsia="Times New Roman" w:cs="Times New Roman"/>
          <w:szCs w:val="24"/>
          <w:lang w:val="en-GB"/>
        </w:rPr>
        <w:t xml:space="preserve">judgment </w:t>
      </w:r>
      <w:r w:rsidRPr="00B849DC">
        <w:rPr>
          <w:lang w:val="en-US"/>
        </w:rPr>
        <w:t xml:space="preserve">of </w:t>
      </w:r>
      <w:r w:rsidRPr="00B849DC" w:rsidR="00D77E44">
        <w:rPr>
          <w:lang w:val="en-US"/>
        </w:rPr>
        <w:t>15 March 2006</w:t>
      </w:r>
      <w:r w:rsidRPr="00B849DC">
        <w:rPr>
          <w:lang w:val="en-US"/>
        </w:rPr>
        <w:t xml:space="preserve"> (see paragraph </w:t>
      </w:r>
      <w:r w:rsidRPr="00B849DC" w:rsidR="004458BC">
        <w:rPr>
          <w:lang w:val="en-US"/>
        </w:rPr>
        <w:t xml:space="preserve">105 </w:t>
      </w:r>
      <w:r w:rsidRPr="00B849DC">
        <w:rPr>
          <w:lang w:val="en-US"/>
        </w:rPr>
        <w:t>above)</w:t>
      </w:r>
      <w:r w:rsidRPr="00B849DC">
        <w:rPr>
          <w:rFonts w:ascii="Times New Roman" w:hAnsi="Times New Roman" w:eastAsia="Times New Roman" w:cs="Times New Roman"/>
          <w:szCs w:val="24"/>
          <w:lang w:val="en-GB"/>
        </w:rPr>
        <w:t xml:space="preserve">. </w:t>
      </w:r>
      <w:r w:rsidRPr="00B849DC" w:rsidR="00F64A35">
        <w:rPr>
          <w:rFonts w:ascii="Times New Roman" w:hAnsi="Times New Roman" w:eastAsia="Times New Roman" w:cs="Times New Roman"/>
          <w:szCs w:val="24"/>
          <w:lang w:val="en-GB"/>
        </w:rPr>
        <w:t>Even</w:t>
      </w:r>
      <w:r w:rsidRPr="00B849DC" w:rsidR="00962A34">
        <w:rPr>
          <w:lang w:val="en-US"/>
        </w:rPr>
        <w:t xml:space="preserve"> though municipal unitary enterprises cannot, in accordance with Article 295 of the Civil Code, conduct any transaction leading to encumbrance or alienation of real estate, they enjoy sufficient independence </w:t>
      </w:r>
      <w:r w:rsidRPr="00B849DC" w:rsidR="00582CC5">
        <w:rPr>
          <w:lang w:val="en-US"/>
        </w:rPr>
        <w:t xml:space="preserve">across </w:t>
      </w:r>
      <w:r w:rsidRPr="00B849DC" w:rsidR="00962A34">
        <w:rPr>
          <w:lang w:val="en-US"/>
        </w:rPr>
        <w:t xml:space="preserve">the wide range of </w:t>
      </w:r>
      <w:r w:rsidRPr="00B849DC" w:rsidR="00582CC5">
        <w:rPr>
          <w:lang w:val="en-US"/>
        </w:rPr>
        <w:t xml:space="preserve">their </w:t>
      </w:r>
      <w:r w:rsidRPr="00B849DC" w:rsidR="00962A34">
        <w:rPr>
          <w:lang w:val="en-US"/>
        </w:rPr>
        <w:t xml:space="preserve">activities. </w:t>
      </w:r>
      <w:r w:rsidRPr="00B849DC" w:rsidR="00F64A35">
        <w:rPr>
          <w:lang w:val="en-US"/>
        </w:rPr>
        <w:t xml:space="preserve">They </w:t>
      </w:r>
      <w:r w:rsidRPr="00B849DC" w:rsidR="00800CB7">
        <w:rPr>
          <w:lang w:val="en-US"/>
        </w:rPr>
        <w:t xml:space="preserve">may </w:t>
      </w:r>
      <w:r w:rsidRPr="00B849DC" w:rsidR="00F64A35">
        <w:rPr>
          <w:lang w:val="en-US"/>
        </w:rPr>
        <w:t>possess</w:t>
      </w:r>
      <w:r w:rsidRPr="00B849DC" w:rsidR="00962A34">
        <w:rPr>
          <w:lang w:val="en-US"/>
        </w:rPr>
        <w:t>,</w:t>
      </w:r>
      <w:r w:rsidRPr="00B849DC" w:rsidR="00F64A35">
        <w:rPr>
          <w:lang w:val="en-US"/>
        </w:rPr>
        <w:t xml:space="preserve"> use</w:t>
      </w:r>
      <w:r w:rsidRPr="00B849DC" w:rsidR="00962A34">
        <w:rPr>
          <w:lang w:val="en-US"/>
        </w:rPr>
        <w:t xml:space="preserve"> and dispose of movable estate without any restrictions. </w:t>
      </w:r>
      <w:r w:rsidRPr="00B849DC" w:rsidR="00CE1192">
        <w:rPr>
          <w:lang w:val="en-US"/>
        </w:rPr>
        <w:t xml:space="preserve">Furthermore, </w:t>
      </w:r>
      <w:r w:rsidRPr="00B849DC" w:rsidR="00140554">
        <w:rPr>
          <w:lang w:val="en-US"/>
        </w:rPr>
        <w:t xml:space="preserve">according to the </w:t>
      </w:r>
      <w:r w:rsidRPr="00B849DC" w:rsidR="00B72552">
        <w:rPr>
          <w:lang w:val="en-US"/>
        </w:rPr>
        <w:t xml:space="preserve">findings of the </w:t>
      </w:r>
      <w:r w:rsidRPr="00B849DC" w:rsidR="00140554">
        <w:rPr>
          <w:lang w:val="en-US"/>
        </w:rPr>
        <w:t>Presidium of the Supreme Commercial Court of 21 April 1998, where real estate is acquired by the unitary enterprise as a result of its economic activity, the owner</w:t>
      </w:r>
      <w:r w:rsidRPr="00B849DC" w:rsidR="00B849DC">
        <w:rPr>
          <w:lang w:val="en-US"/>
        </w:rPr>
        <w:t>’</w:t>
      </w:r>
      <w:r w:rsidRPr="00B849DC" w:rsidR="00140554">
        <w:rPr>
          <w:lang w:val="en-US"/>
        </w:rPr>
        <w:t xml:space="preserve">s consent for a transaction involving such </w:t>
      </w:r>
      <w:r w:rsidRPr="00B849DC" w:rsidR="004C49F2">
        <w:rPr>
          <w:lang w:val="en-US"/>
        </w:rPr>
        <w:t xml:space="preserve">real </w:t>
      </w:r>
      <w:r w:rsidRPr="00B849DC" w:rsidR="00140554">
        <w:rPr>
          <w:lang w:val="en-US"/>
        </w:rPr>
        <w:t>estate is not required either</w:t>
      </w:r>
      <w:r w:rsidRPr="00B849DC" w:rsidR="00B72552">
        <w:rPr>
          <w:lang w:val="en-US"/>
        </w:rPr>
        <w:t xml:space="preserve"> (see paragraph </w:t>
      </w:r>
      <w:r w:rsidRPr="00B849DC" w:rsidR="004458BC">
        <w:rPr>
          <w:lang w:val="en-US"/>
        </w:rPr>
        <w:t>78</w:t>
      </w:r>
      <w:r w:rsidRPr="00B849DC" w:rsidR="00B72552">
        <w:rPr>
          <w:lang w:val="en-US"/>
        </w:rPr>
        <w:t xml:space="preserve"> above)</w:t>
      </w:r>
      <w:r w:rsidRPr="00B849DC" w:rsidR="008E6B20">
        <w:rPr>
          <w:lang w:val="en-US"/>
        </w:rPr>
        <w:t xml:space="preserve">. </w:t>
      </w:r>
      <w:r w:rsidRPr="00B849DC" w:rsidR="00E40E2A">
        <w:rPr>
          <w:lang w:val="en-US"/>
        </w:rPr>
        <w:t xml:space="preserve">On the other hand, the owner is formally prohibited from disposing of the assets </w:t>
      </w:r>
      <w:r w:rsidRPr="00B849DC" w:rsidR="00904DD4">
        <w:rPr>
          <w:lang w:val="en-US"/>
        </w:rPr>
        <w:t xml:space="preserve">placed </w:t>
      </w:r>
      <w:r w:rsidRPr="00B849DC" w:rsidR="00E40E2A">
        <w:rPr>
          <w:lang w:val="en-US"/>
        </w:rPr>
        <w:t>under the economic control of a unitary enterprise, and any such transaction should be declared void (see paragraph </w:t>
      </w:r>
      <w:r w:rsidRPr="00B849DC" w:rsidR="004458BC">
        <w:rPr>
          <w:lang w:val="en-US"/>
        </w:rPr>
        <w:t>76</w:t>
      </w:r>
      <w:r w:rsidRPr="00B849DC" w:rsidR="00E40E2A">
        <w:rPr>
          <w:lang w:val="en-US"/>
        </w:rPr>
        <w:t xml:space="preserve"> above). </w:t>
      </w:r>
      <w:r w:rsidRPr="00B849DC" w:rsidR="00E5106A">
        <w:rPr>
          <w:lang w:val="en-US"/>
        </w:rPr>
        <w:t>The</w:t>
      </w:r>
      <w:r w:rsidRPr="00B849DC" w:rsidR="00140554">
        <w:rPr>
          <w:lang w:val="en-US"/>
        </w:rPr>
        <w:t xml:space="preserve"> unitary enterprise </w:t>
      </w:r>
      <w:r w:rsidRPr="00B849DC" w:rsidR="00582CC5">
        <w:rPr>
          <w:lang w:val="en-US"/>
        </w:rPr>
        <w:t xml:space="preserve">has the right to </w:t>
      </w:r>
      <w:r w:rsidRPr="00B849DC" w:rsidR="00140554">
        <w:rPr>
          <w:lang w:val="en-US"/>
        </w:rPr>
        <w:t>lodge court actions to protect its assets against the owner</w:t>
      </w:r>
      <w:r w:rsidRPr="00B849DC" w:rsidR="00DB3ACD">
        <w:rPr>
          <w:lang w:val="en-US"/>
        </w:rPr>
        <w:t xml:space="preserve"> (see paragraph </w:t>
      </w:r>
      <w:r w:rsidRPr="00B849DC" w:rsidR="004458BC">
        <w:rPr>
          <w:lang w:val="en-US"/>
        </w:rPr>
        <w:t>77</w:t>
      </w:r>
      <w:r w:rsidRPr="00B849DC" w:rsidR="00DB3ACD">
        <w:rPr>
          <w:lang w:val="en-US"/>
        </w:rPr>
        <w:t xml:space="preserve"> above)</w:t>
      </w:r>
      <w:r w:rsidRPr="00B849DC" w:rsidR="00140554">
        <w:rPr>
          <w:lang w:val="en-US"/>
        </w:rPr>
        <w:t>.</w:t>
      </w:r>
    </w:p>
    <w:p w:rsidRPr="00B849DC" w:rsidR="000A135B" w:rsidP="00B849DC" w:rsidRDefault="008E6B20">
      <w:pPr>
        <w:pStyle w:val="ECHRPara"/>
        <w:rPr>
          <w:lang w:val="en-US"/>
        </w:rPr>
      </w:pPr>
      <w:r w:rsidRPr="00B849DC">
        <w:rPr>
          <w:lang w:val="en-GB"/>
        </w:rPr>
        <w:fldChar w:fldCharType="begin"/>
      </w:r>
      <w:r w:rsidRPr="00B849DC">
        <w:rPr>
          <w:lang w:val="en-GB"/>
        </w:rPr>
        <w:instrText xml:space="preserve"> SEQ level0 \*arabic </w:instrText>
      </w:r>
      <w:r w:rsidRPr="00B849DC">
        <w:rPr>
          <w:lang w:val="en-GB"/>
        </w:rPr>
        <w:fldChar w:fldCharType="separate"/>
      </w:r>
      <w:r w:rsidRPr="00B849DC" w:rsidR="00B849DC">
        <w:rPr>
          <w:noProof/>
          <w:lang w:val="en-GB"/>
        </w:rPr>
        <w:t>139</w:t>
      </w:r>
      <w:r w:rsidRPr="00B849DC">
        <w:rPr>
          <w:lang w:val="en-GB"/>
        </w:rPr>
        <w:fldChar w:fldCharType="end"/>
      </w:r>
      <w:r w:rsidRPr="00B849DC">
        <w:rPr>
          <w:lang w:val="en-GB"/>
        </w:rPr>
        <w:t>.  </w:t>
      </w:r>
      <w:r w:rsidRPr="00B849DC" w:rsidR="000A135B">
        <w:rPr>
          <w:lang w:val="en-GB"/>
        </w:rPr>
        <w:t>The</w:t>
      </w:r>
      <w:r w:rsidRPr="00B849DC" w:rsidR="00F17A55">
        <w:rPr>
          <w:lang w:val="en-GB"/>
        </w:rPr>
        <w:t>y concluded</w:t>
      </w:r>
      <w:r w:rsidRPr="00B849DC" w:rsidR="00582CC5">
        <w:rPr>
          <w:lang w:val="en-GB"/>
        </w:rPr>
        <w:t>,</w:t>
      </w:r>
      <w:r w:rsidRPr="00B849DC" w:rsidR="00F17A55">
        <w:rPr>
          <w:lang w:val="en-GB"/>
        </w:rPr>
        <w:t xml:space="preserve"> therefore</w:t>
      </w:r>
      <w:r w:rsidRPr="00B849DC" w:rsidR="00582CC5">
        <w:rPr>
          <w:lang w:val="en-GB"/>
        </w:rPr>
        <w:t>,</w:t>
      </w:r>
      <w:r w:rsidRPr="00B849DC" w:rsidR="00F17A55">
        <w:rPr>
          <w:lang w:val="en-GB"/>
        </w:rPr>
        <w:t xml:space="preserve"> that</w:t>
      </w:r>
      <w:r w:rsidRPr="00B849DC" w:rsidR="000A135B">
        <w:rPr>
          <w:lang w:val="en-GB"/>
        </w:rPr>
        <w:t xml:space="preserve"> the owner </w:t>
      </w:r>
      <w:r w:rsidRPr="00B849DC" w:rsidR="00F17A55">
        <w:rPr>
          <w:lang w:val="en-GB"/>
        </w:rPr>
        <w:t>was</w:t>
      </w:r>
      <w:r w:rsidRPr="00B849DC" w:rsidR="000A135B">
        <w:rPr>
          <w:lang w:val="en-GB"/>
        </w:rPr>
        <w:t xml:space="preserve"> “so alienated from </w:t>
      </w:r>
      <w:r w:rsidRPr="00B849DC" w:rsidR="000A135B">
        <w:rPr>
          <w:lang w:val="en-US"/>
        </w:rPr>
        <w:t>the assets allocated to the enterprise under the right of economic control” that the owner</w:t>
      </w:r>
      <w:r w:rsidRPr="00B849DC" w:rsidR="00B849DC">
        <w:rPr>
          <w:lang w:val="en-US"/>
        </w:rPr>
        <w:t>’</w:t>
      </w:r>
      <w:r w:rsidRPr="00B849DC" w:rsidR="000A135B">
        <w:rPr>
          <w:lang w:val="en-US"/>
        </w:rPr>
        <w:t>s power of control, namely</w:t>
      </w:r>
      <w:r w:rsidRPr="00B849DC" w:rsidR="00582CC5">
        <w:rPr>
          <w:lang w:val="en-US"/>
        </w:rPr>
        <w:t>,</w:t>
      </w:r>
      <w:r w:rsidRPr="00B849DC" w:rsidR="000A135B">
        <w:rPr>
          <w:lang w:val="en-US"/>
        </w:rPr>
        <w:t xml:space="preserve"> defining </w:t>
      </w:r>
      <w:r w:rsidRPr="00B849DC" w:rsidR="00582CC5">
        <w:rPr>
          <w:lang w:val="en-US"/>
        </w:rPr>
        <w:t xml:space="preserve">the </w:t>
      </w:r>
      <w:r w:rsidRPr="00B849DC" w:rsidR="006B1718">
        <w:rPr>
          <w:lang w:val="en-US"/>
        </w:rPr>
        <w:t>purpose and aims</w:t>
      </w:r>
      <w:r w:rsidRPr="00B849DC" w:rsidR="000A135B">
        <w:rPr>
          <w:lang w:val="en-US"/>
        </w:rPr>
        <w:t xml:space="preserve"> of the </w:t>
      </w:r>
      <w:r w:rsidRPr="00B849DC" w:rsidR="00582CC5">
        <w:rPr>
          <w:lang w:val="en-US"/>
        </w:rPr>
        <w:t>company</w:t>
      </w:r>
      <w:r w:rsidRPr="00B849DC" w:rsidR="00B849DC">
        <w:rPr>
          <w:lang w:val="en-US"/>
        </w:rPr>
        <w:t>’</w:t>
      </w:r>
      <w:r w:rsidRPr="00B849DC" w:rsidR="00582CC5">
        <w:rPr>
          <w:lang w:val="en-US"/>
        </w:rPr>
        <w:t xml:space="preserve">s </w:t>
      </w:r>
      <w:r w:rsidRPr="00B849DC" w:rsidR="000A135B">
        <w:rPr>
          <w:lang w:val="en-US"/>
        </w:rPr>
        <w:t xml:space="preserve">activities, </w:t>
      </w:r>
      <w:r w:rsidRPr="00B849DC" w:rsidR="00582CC5">
        <w:rPr>
          <w:lang w:val="en-US"/>
        </w:rPr>
        <w:t xml:space="preserve">restructuring </w:t>
      </w:r>
      <w:r w:rsidRPr="00B849DC" w:rsidR="00904DD4">
        <w:rPr>
          <w:lang w:val="en-US"/>
        </w:rPr>
        <w:t>or liquidating it</w:t>
      </w:r>
      <w:r w:rsidRPr="00B849DC" w:rsidR="000A135B">
        <w:rPr>
          <w:lang w:val="en-US"/>
        </w:rPr>
        <w:t xml:space="preserve">, </w:t>
      </w:r>
      <w:r w:rsidRPr="00B849DC" w:rsidR="00904DD4">
        <w:rPr>
          <w:lang w:val="en-US"/>
        </w:rPr>
        <w:t>appointing its</w:t>
      </w:r>
      <w:r w:rsidRPr="00B849DC" w:rsidR="00582CC5">
        <w:rPr>
          <w:lang w:val="en-US"/>
        </w:rPr>
        <w:t xml:space="preserve"> director</w:t>
      </w:r>
      <w:r w:rsidRPr="00B849DC" w:rsidR="000A135B">
        <w:rPr>
          <w:lang w:val="en-US"/>
        </w:rPr>
        <w:t xml:space="preserve"> and </w:t>
      </w:r>
      <w:r w:rsidRPr="00B849DC" w:rsidR="00904DD4">
        <w:rPr>
          <w:lang w:val="en-US"/>
        </w:rPr>
        <w:t xml:space="preserve">exercising the </w:t>
      </w:r>
      <w:r w:rsidRPr="00B849DC" w:rsidR="000A135B">
        <w:rPr>
          <w:lang w:val="en-US"/>
        </w:rPr>
        <w:t xml:space="preserve">right to a part of </w:t>
      </w:r>
      <w:r w:rsidRPr="00B849DC" w:rsidR="00904DD4">
        <w:rPr>
          <w:lang w:val="en-US"/>
        </w:rPr>
        <w:t>its</w:t>
      </w:r>
      <w:r w:rsidRPr="00B849DC" w:rsidR="00582CC5">
        <w:rPr>
          <w:lang w:val="en-US"/>
        </w:rPr>
        <w:t xml:space="preserve"> </w:t>
      </w:r>
      <w:r w:rsidRPr="00B849DC" w:rsidR="000A135B">
        <w:rPr>
          <w:lang w:val="en-US"/>
        </w:rPr>
        <w:t>profit, constitute</w:t>
      </w:r>
      <w:r w:rsidRPr="00B849DC" w:rsidR="00F17A55">
        <w:rPr>
          <w:lang w:val="en-US"/>
        </w:rPr>
        <w:t>d</w:t>
      </w:r>
      <w:r w:rsidRPr="00B849DC" w:rsidR="000A135B">
        <w:rPr>
          <w:lang w:val="en-US"/>
        </w:rPr>
        <w:t xml:space="preserve"> “the only means to prese</w:t>
      </w:r>
      <w:r w:rsidRPr="00B849DC" w:rsidR="00A779F4">
        <w:rPr>
          <w:lang w:val="en-US"/>
        </w:rPr>
        <w:t>rve its title to those assets”.</w:t>
      </w:r>
    </w:p>
    <w:p w:rsidRPr="00B849DC" w:rsidR="00CA087B" w:rsidP="00B849DC" w:rsidRDefault="00140554">
      <w:pPr>
        <w:pStyle w:val="ECHRPara"/>
        <w:rPr>
          <w:lang w:val="en-GB"/>
        </w:rPr>
      </w:pPr>
      <w:r w:rsidRPr="00B849DC">
        <w:rPr>
          <w:lang w:val="en-US"/>
        </w:rPr>
        <w:fldChar w:fldCharType="begin"/>
      </w:r>
      <w:r w:rsidRPr="00B849DC">
        <w:rPr>
          <w:lang w:val="en-US"/>
        </w:rPr>
        <w:instrText xml:space="preserve"> SEQ level0 \*arabic </w:instrText>
      </w:r>
      <w:r w:rsidRPr="00B849DC">
        <w:rPr>
          <w:lang w:val="en-US"/>
        </w:rPr>
        <w:fldChar w:fldCharType="separate"/>
      </w:r>
      <w:r w:rsidRPr="00B849DC" w:rsidR="00B849DC">
        <w:rPr>
          <w:noProof/>
          <w:lang w:val="en-US"/>
        </w:rPr>
        <w:t>140</w:t>
      </w:r>
      <w:r w:rsidRPr="00B849DC">
        <w:rPr>
          <w:lang w:val="en-US"/>
        </w:rPr>
        <w:fldChar w:fldCharType="end"/>
      </w:r>
      <w:r w:rsidRPr="00B849DC" w:rsidR="008E6B20">
        <w:rPr>
          <w:lang w:val="en-US"/>
        </w:rPr>
        <w:t>.  In view of the aforesaid – and as</w:t>
      </w:r>
      <w:r w:rsidRPr="00B849DC" w:rsidR="001E00E9">
        <w:rPr>
          <w:lang w:val="en-US"/>
        </w:rPr>
        <w:t xml:space="preserve"> </w:t>
      </w:r>
      <w:r w:rsidRPr="00B849DC" w:rsidR="008E6B20">
        <w:rPr>
          <w:lang w:val="en-US"/>
        </w:rPr>
        <w:t xml:space="preserve">amply </w:t>
      </w:r>
      <w:r w:rsidRPr="00B849DC" w:rsidR="001E00E9">
        <w:rPr>
          <w:lang w:val="en-US"/>
        </w:rPr>
        <w:t>demonstrated by the 1999 Concept (see paragraph </w:t>
      </w:r>
      <w:r w:rsidRPr="00B849DC" w:rsidR="00B50CB8">
        <w:rPr>
          <w:lang w:val="en-US"/>
        </w:rPr>
        <w:t>12</w:t>
      </w:r>
      <w:r w:rsidRPr="00B849DC" w:rsidR="005765D5">
        <w:rPr>
          <w:lang w:val="en-US"/>
        </w:rPr>
        <w:t>6</w:t>
      </w:r>
      <w:r w:rsidRPr="00B849DC" w:rsidR="008E6B20">
        <w:rPr>
          <w:lang w:val="en-US"/>
        </w:rPr>
        <w:t xml:space="preserve"> above)</w:t>
      </w:r>
      <w:r w:rsidRPr="00B849DC" w:rsidR="001E00E9">
        <w:rPr>
          <w:lang w:val="en-US"/>
        </w:rPr>
        <w:t xml:space="preserve"> </w:t>
      </w:r>
      <w:r w:rsidRPr="00B849DC" w:rsidR="008E6B20">
        <w:rPr>
          <w:lang w:val="en-US"/>
        </w:rPr>
        <w:t>–</w:t>
      </w:r>
      <w:r w:rsidRPr="00B849DC" w:rsidR="006B1718">
        <w:rPr>
          <w:lang w:val="en-US"/>
        </w:rPr>
        <w:t xml:space="preserve"> </w:t>
      </w:r>
      <w:r w:rsidRPr="00B849DC" w:rsidR="001E00E9">
        <w:rPr>
          <w:lang w:val="en-US"/>
        </w:rPr>
        <w:t xml:space="preserve">municipal </w:t>
      </w:r>
      <w:r w:rsidRPr="00B849DC" w:rsidR="00C67447">
        <w:rPr>
          <w:lang w:val="en-US"/>
        </w:rPr>
        <w:t xml:space="preserve">unitary </w:t>
      </w:r>
      <w:r w:rsidRPr="00B849DC" w:rsidR="001E00E9">
        <w:rPr>
          <w:lang w:val="en-US"/>
        </w:rPr>
        <w:t xml:space="preserve">enterprises </w:t>
      </w:r>
      <w:r w:rsidRPr="00B849DC" w:rsidR="00C67447">
        <w:rPr>
          <w:lang w:val="en-US"/>
        </w:rPr>
        <w:t xml:space="preserve">with </w:t>
      </w:r>
      <w:r w:rsidRPr="00B849DC" w:rsidR="001E00E9">
        <w:rPr>
          <w:lang w:val="en-US"/>
        </w:rPr>
        <w:t xml:space="preserve">the right of economic control </w:t>
      </w:r>
      <w:r w:rsidRPr="00B849DC" w:rsidR="00784E69">
        <w:rPr>
          <w:lang w:val="en-US"/>
        </w:rPr>
        <w:t xml:space="preserve">enjoy </w:t>
      </w:r>
      <w:r w:rsidRPr="00B849DC" w:rsidR="00E40E2A">
        <w:rPr>
          <w:lang w:val="en-US"/>
        </w:rPr>
        <w:t>nearly</w:t>
      </w:r>
      <w:r w:rsidRPr="00B849DC" w:rsidR="00784E69">
        <w:rPr>
          <w:lang w:val="en-US"/>
        </w:rPr>
        <w:t xml:space="preserve"> complete independence </w:t>
      </w:r>
      <w:r w:rsidRPr="00B849DC" w:rsidR="001E00E9">
        <w:rPr>
          <w:lang w:val="en-US"/>
        </w:rPr>
        <w:t>from the State</w:t>
      </w:r>
      <w:r w:rsidRPr="00B849DC" w:rsidR="00784E69">
        <w:rPr>
          <w:lang w:val="en-US"/>
        </w:rPr>
        <w:t xml:space="preserve">, </w:t>
      </w:r>
      <w:r w:rsidRPr="00B849DC" w:rsidR="00F17A55">
        <w:rPr>
          <w:lang w:val="en-US"/>
        </w:rPr>
        <w:t xml:space="preserve">and so do the </w:t>
      </w:r>
      <w:r w:rsidRPr="00B849DC" w:rsidR="00C67447">
        <w:rPr>
          <w:lang w:val="en-US"/>
        </w:rPr>
        <w:t xml:space="preserve">directors </w:t>
      </w:r>
      <w:r w:rsidRPr="00B849DC" w:rsidR="00784E69">
        <w:rPr>
          <w:lang w:val="en-US"/>
        </w:rPr>
        <w:t xml:space="preserve">of such </w:t>
      </w:r>
      <w:r w:rsidRPr="00B849DC" w:rsidR="00C67447">
        <w:rPr>
          <w:lang w:val="en-US"/>
        </w:rPr>
        <w:t xml:space="preserve">companies </w:t>
      </w:r>
      <w:r w:rsidRPr="00B849DC" w:rsidR="00F17A55">
        <w:rPr>
          <w:lang w:val="en-US"/>
        </w:rPr>
        <w:t xml:space="preserve">in their </w:t>
      </w:r>
      <w:r w:rsidRPr="00B849DC" w:rsidR="00E40E2A">
        <w:rPr>
          <w:lang w:val="en-US"/>
        </w:rPr>
        <w:t xml:space="preserve">management of the </w:t>
      </w:r>
      <w:r w:rsidRPr="00B849DC" w:rsidR="00F17A55">
        <w:rPr>
          <w:lang w:val="en-US"/>
        </w:rPr>
        <w:t>companies</w:t>
      </w:r>
      <w:r w:rsidRPr="00B849DC" w:rsidR="00B849DC">
        <w:rPr>
          <w:lang w:val="en-US"/>
        </w:rPr>
        <w:t>’</w:t>
      </w:r>
      <w:r w:rsidRPr="00B849DC" w:rsidR="00F17A55">
        <w:rPr>
          <w:lang w:val="en-US"/>
        </w:rPr>
        <w:t xml:space="preserve"> </w:t>
      </w:r>
      <w:r w:rsidRPr="00B849DC" w:rsidR="00E40E2A">
        <w:rPr>
          <w:lang w:val="en-US"/>
        </w:rPr>
        <w:t>assets and finances.</w:t>
      </w:r>
      <w:r w:rsidRPr="00B849DC">
        <w:rPr>
          <w:rFonts w:ascii="Times New Roman" w:hAnsi="Times New Roman" w:eastAsia="Times New Roman" w:cs="Times New Roman"/>
          <w:szCs w:val="24"/>
          <w:lang w:val="en-GB"/>
        </w:rPr>
        <w:t xml:space="preserve"> </w:t>
      </w:r>
      <w:r w:rsidRPr="00B849DC" w:rsidR="00CE1192">
        <w:rPr>
          <w:lang w:val="en-US"/>
        </w:rPr>
        <w:t xml:space="preserve">In the light of </w:t>
      </w:r>
      <w:r w:rsidRPr="00B849DC" w:rsidR="00C67447">
        <w:rPr>
          <w:lang w:val="en-US"/>
        </w:rPr>
        <w:t xml:space="preserve">the </w:t>
      </w:r>
      <w:r w:rsidRPr="00B849DC" w:rsidR="00CE1192">
        <w:rPr>
          <w:lang w:val="en-US"/>
        </w:rPr>
        <w:t xml:space="preserve">considerable difficulties </w:t>
      </w:r>
      <w:r w:rsidRPr="00B849DC" w:rsidR="00C67447">
        <w:rPr>
          <w:lang w:val="en-US"/>
        </w:rPr>
        <w:t xml:space="preserve">involved </w:t>
      </w:r>
      <w:r w:rsidRPr="00B849DC" w:rsidR="00CE1192">
        <w:rPr>
          <w:lang w:val="en-US"/>
        </w:rPr>
        <w:t xml:space="preserve">in </w:t>
      </w:r>
      <w:r w:rsidRPr="00B849DC" w:rsidR="00F17A55">
        <w:rPr>
          <w:lang w:val="en-US"/>
        </w:rPr>
        <w:t xml:space="preserve">controlling </w:t>
      </w:r>
      <w:r w:rsidRPr="00B849DC" w:rsidR="00C67447">
        <w:rPr>
          <w:lang w:val="en-US"/>
        </w:rPr>
        <w:t>such companies</w:t>
      </w:r>
      <w:r w:rsidRPr="00B849DC" w:rsidR="00B849DC">
        <w:rPr>
          <w:lang w:val="en-US"/>
        </w:rPr>
        <w:t>’</w:t>
      </w:r>
      <w:r w:rsidRPr="00B849DC" w:rsidR="00F17A55">
        <w:rPr>
          <w:lang w:val="en-US"/>
        </w:rPr>
        <w:t xml:space="preserve"> activities</w:t>
      </w:r>
      <w:r w:rsidRPr="00B849DC" w:rsidR="00CE1192">
        <w:rPr>
          <w:lang w:val="en-US"/>
        </w:rPr>
        <w:t xml:space="preserve">, </w:t>
      </w:r>
      <w:r w:rsidRPr="00B849DC" w:rsidR="000A135B">
        <w:rPr>
          <w:lang w:val="en-US"/>
        </w:rPr>
        <w:t xml:space="preserve">as early as </w:t>
      </w:r>
      <w:r w:rsidRPr="00B849DC" w:rsidR="00C67447">
        <w:rPr>
          <w:lang w:val="en-US"/>
        </w:rPr>
        <w:t xml:space="preserve">the </w:t>
      </w:r>
      <w:r w:rsidRPr="00B849DC" w:rsidR="000A135B">
        <w:rPr>
          <w:lang w:val="en-US"/>
        </w:rPr>
        <w:t xml:space="preserve">1990s </w:t>
      </w:r>
      <w:r w:rsidRPr="00B849DC" w:rsidR="00E40E2A">
        <w:rPr>
          <w:lang w:val="en-US"/>
        </w:rPr>
        <w:t>the Go</w:t>
      </w:r>
      <w:r w:rsidRPr="00B849DC" w:rsidR="00CE1192">
        <w:rPr>
          <w:lang w:val="en-US"/>
        </w:rPr>
        <w:t xml:space="preserve">vernment adopted </w:t>
      </w:r>
      <w:r w:rsidRPr="00B849DC" w:rsidR="00C67447">
        <w:rPr>
          <w:lang w:val="en-US"/>
        </w:rPr>
        <w:t xml:space="preserve">a </w:t>
      </w:r>
      <w:r w:rsidRPr="00B849DC" w:rsidR="00CE1192">
        <w:rPr>
          <w:lang w:val="en-US"/>
        </w:rPr>
        <w:t>policy aimed at reduc</w:t>
      </w:r>
      <w:r w:rsidRPr="00B849DC" w:rsidR="000A135B">
        <w:rPr>
          <w:lang w:val="en-US"/>
        </w:rPr>
        <w:t>ing</w:t>
      </w:r>
      <w:r w:rsidRPr="00B849DC" w:rsidR="00E40E2A">
        <w:rPr>
          <w:lang w:val="en-US"/>
        </w:rPr>
        <w:t xml:space="preserve"> the number of </w:t>
      </w:r>
      <w:r w:rsidRPr="00B849DC" w:rsidR="00BD2D79">
        <w:rPr>
          <w:lang w:val="en-US"/>
        </w:rPr>
        <w:t>unitary enterprises</w:t>
      </w:r>
      <w:r w:rsidRPr="00B849DC" w:rsidR="00E40E2A">
        <w:rPr>
          <w:lang w:val="en-US"/>
        </w:rPr>
        <w:t>.</w:t>
      </w:r>
    </w:p>
    <w:p w:rsidRPr="00B849DC" w:rsidR="00C43D4E" w:rsidP="00B849DC" w:rsidRDefault="00962A34">
      <w:pPr>
        <w:pStyle w:val="ECHRPara"/>
        <w:rPr>
          <w:lang w:val="en-US"/>
        </w:rPr>
      </w:pPr>
      <w:r w:rsidRPr="00B849DC">
        <w:rPr>
          <w:lang w:val="en-GB"/>
        </w:rPr>
        <w:fldChar w:fldCharType="begin"/>
      </w:r>
      <w:r w:rsidRPr="00B849DC">
        <w:rPr>
          <w:lang w:val="en-GB"/>
        </w:rPr>
        <w:instrText xml:space="preserve"> SEQ level0 \*arabic </w:instrText>
      </w:r>
      <w:r w:rsidRPr="00B849DC">
        <w:rPr>
          <w:lang w:val="en-GB"/>
        </w:rPr>
        <w:fldChar w:fldCharType="separate"/>
      </w:r>
      <w:r w:rsidRPr="00B849DC" w:rsidR="00B849DC">
        <w:rPr>
          <w:noProof/>
          <w:lang w:val="en-GB"/>
        </w:rPr>
        <w:t>141</w:t>
      </w:r>
      <w:r w:rsidRPr="00B849DC">
        <w:rPr>
          <w:lang w:val="en-GB"/>
        </w:rPr>
        <w:fldChar w:fldCharType="end"/>
      </w:r>
      <w:r w:rsidRPr="00B849DC">
        <w:rPr>
          <w:lang w:val="en-GB"/>
        </w:rPr>
        <w:t xml:space="preserve">.  The independence of unitary enterprises </w:t>
      </w:r>
      <w:r w:rsidRPr="00B849DC" w:rsidR="00660C78">
        <w:rPr>
          <w:lang w:val="en-GB"/>
        </w:rPr>
        <w:t xml:space="preserve">with </w:t>
      </w:r>
      <w:r w:rsidRPr="00B849DC">
        <w:rPr>
          <w:lang w:val="en-GB"/>
        </w:rPr>
        <w:t xml:space="preserve">the right of economic control is further strengthened by the </w:t>
      </w:r>
      <w:r w:rsidRPr="00B849DC" w:rsidR="00660C78">
        <w:rPr>
          <w:lang w:val="en-GB"/>
        </w:rPr>
        <w:t xml:space="preserve">rules on </w:t>
      </w:r>
      <w:r w:rsidRPr="00B849DC" w:rsidR="00CE1192">
        <w:rPr>
          <w:lang w:val="en-GB"/>
        </w:rPr>
        <w:t xml:space="preserve">liability. </w:t>
      </w:r>
      <w:r w:rsidRPr="00B849DC" w:rsidR="00CE1192">
        <w:rPr>
          <w:lang w:val="en-US"/>
        </w:rPr>
        <w:t xml:space="preserve">Such </w:t>
      </w:r>
      <w:r w:rsidRPr="00B849DC" w:rsidR="00660C78">
        <w:rPr>
          <w:lang w:val="en-US"/>
        </w:rPr>
        <w:t xml:space="preserve">companies </w:t>
      </w:r>
      <w:r w:rsidRPr="00B849DC" w:rsidR="00C43D4E">
        <w:rPr>
          <w:lang w:val="en-US"/>
        </w:rPr>
        <w:t xml:space="preserve">are liable for their debts with all their assets. The authorised </w:t>
      </w:r>
      <w:r w:rsidRPr="00B849DC" w:rsidR="00660C78">
        <w:rPr>
          <w:lang w:val="en-US"/>
        </w:rPr>
        <w:t xml:space="preserve">capital </w:t>
      </w:r>
      <w:r w:rsidRPr="00B849DC" w:rsidR="008C3AA2">
        <w:rPr>
          <w:lang w:val="en-US"/>
        </w:rPr>
        <w:t xml:space="preserve">of a municipal </w:t>
      </w:r>
      <w:r w:rsidRPr="00B849DC" w:rsidR="00C43D4E">
        <w:rPr>
          <w:lang w:val="en-US"/>
        </w:rPr>
        <w:t xml:space="preserve">unitary enterprise is set up </w:t>
      </w:r>
      <w:r w:rsidRPr="00B849DC" w:rsidR="00CE1192">
        <w:rPr>
          <w:lang w:val="en-US"/>
        </w:rPr>
        <w:t>to</w:t>
      </w:r>
      <w:r w:rsidRPr="00B849DC" w:rsidR="00C43D4E">
        <w:rPr>
          <w:lang w:val="en-US"/>
        </w:rPr>
        <w:t xml:space="preserve"> guarantee its creditors</w:t>
      </w:r>
      <w:r w:rsidRPr="00B849DC" w:rsidR="00B849DC">
        <w:rPr>
          <w:lang w:val="en-US"/>
        </w:rPr>
        <w:t>’</w:t>
      </w:r>
      <w:r w:rsidRPr="00B849DC" w:rsidR="00C43D4E">
        <w:rPr>
          <w:lang w:val="en-US"/>
        </w:rPr>
        <w:t xml:space="preserve"> claims. </w:t>
      </w:r>
      <w:r w:rsidRPr="00B849DC" w:rsidR="00CE1192">
        <w:rPr>
          <w:lang w:val="en-US"/>
        </w:rPr>
        <w:t xml:space="preserve">The </w:t>
      </w:r>
      <w:r w:rsidRPr="00B849DC" w:rsidR="006B1718">
        <w:rPr>
          <w:lang w:val="en-US"/>
        </w:rPr>
        <w:t xml:space="preserve">company is </w:t>
      </w:r>
      <w:r w:rsidRPr="00B849DC" w:rsidR="00CE1192">
        <w:rPr>
          <w:lang w:val="en-US"/>
        </w:rPr>
        <w:t>not answerable for the owner</w:t>
      </w:r>
      <w:r w:rsidRPr="00B849DC" w:rsidR="00B849DC">
        <w:rPr>
          <w:lang w:val="en-US"/>
        </w:rPr>
        <w:t>’</w:t>
      </w:r>
      <w:r w:rsidRPr="00B849DC" w:rsidR="00CE1192">
        <w:rPr>
          <w:lang w:val="en-US"/>
        </w:rPr>
        <w:t>s debts. Similarly, the owner is not liable for the company</w:t>
      </w:r>
      <w:r w:rsidRPr="00B849DC" w:rsidR="00B849DC">
        <w:rPr>
          <w:lang w:val="en-US"/>
        </w:rPr>
        <w:t>’</w:t>
      </w:r>
      <w:r w:rsidRPr="00B849DC" w:rsidR="00CE1192">
        <w:rPr>
          <w:lang w:val="en-US"/>
        </w:rPr>
        <w:t>s debts except where it has caused the company</w:t>
      </w:r>
      <w:r w:rsidRPr="00B849DC" w:rsidR="00B849DC">
        <w:rPr>
          <w:lang w:val="en-US"/>
        </w:rPr>
        <w:t>’</w:t>
      </w:r>
      <w:r w:rsidRPr="00B849DC" w:rsidR="00CE1192">
        <w:rPr>
          <w:lang w:val="en-US"/>
        </w:rPr>
        <w:t xml:space="preserve">s insolvency, as stipulated in Article 56 § 3 of the Civil Code </w:t>
      </w:r>
      <w:r w:rsidRPr="00B849DC" w:rsidR="006A0BE7">
        <w:rPr>
          <w:lang w:val="en-US"/>
        </w:rPr>
        <w:t>establishing the</w:t>
      </w:r>
      <w:r w:rsidRPr="00B849DC" w:rsidR="00CE1192">
        <w:rPr>
          <w:lang w:val="en-US"/>
        </w:rPr>
        <w:t xml:space="preserve"> </w:t>
      </w:r>
      <w:r w:rsidRPr="00B849DC" w:rsidR="00660C78">
        <w:rPr>
          <w:lang w:val="en-US"/>
        </w:rPr>
        <w:t xml:space="preserve">rules on </w:t>
      </w:r>
      <w:r w:rsidRPr="00B849DC" w:rsidR="00CE1192">
        <w:rPr>
          <w:lang w:val="en-US"/>
        </w:rPr>
        <w:t>subsidiary liability (see paragraph</w:t>
      </w:r>
      <w:r w:rsidRPr="00B849DC" w:rsidR="00B65A77">
        <w:rPr>
          <w:lang w:val="en-US"/>
        </w:rPr>
        <w:t>s</w:t>
      </w:r>
      <w:r w:rsidRPr="00B849DC" w:rsidR="00CE1192">
        <w:rPr>
          <w:lang w:val="en-US"/>
        </w:rPr>
        <w:t> </w:t>
      </w:r>
      <w:r w:rsidRPr="00B849DC" w:rsidR="00B50CB8">
        <w:rPr>
          <w:lang w:val="en-US"/>
        </w:rPr>
        <w:t>92-94</w:t>
      </w:r>
      <w:r w:rsidRPr="00B849DC" w:rsidR="00CE1192">
        <w:rPr>
          <w:lang w:val="en-US"/>
        </w:rPr>
        <w:t xml:space="preserve"> above). </w:t>
      </w:r>
      <w:proofErr w:type="gramStart"/>
      <w:r w:rsidRPr="00B849DC" w:rsidR="00CE1192">
        <w:rPr>
          <w:lang w:val="en-US"/>
        </w:rPr>
        <w:t xml:space="preserve">According to the Government, subsidiary liability proceedings under that provision </w:t>
      </w:r>
      <w:r w:rsidRPr="00B849DC" w:rsidR="00EC4CD3">
        <w:rPr>
          <w:lang w:val="en-US"/>
        </w:rPr>
        <w:t xml:space="preserve">could </w:t>
      </w:r>
      <w:r w:rsidRPr="00B849DC" w:rsidR="00CE1192">
        <w:rPr>
          <w:lang w:val="en-US"/>
        </w:rPr>
        <w:t xml:space="preserve">only be instituted by </w:t>
      </w:r>
      <w:r w:rsidRPr="00B849DC" w:rsidR="00BF2CC2">
        <w:rPr>
          <w:lang w:val="en-US"/>
        </w:rPr>
        <w:t xml:space="preserve">a </w:t>
      </w:r>
      <w:r w:rsidRPr="00B849DC" w:rsidR="00CE1192">
        <w:rPr>
          <w:lang w:val="en-US"/>
        </w:rPr>
        <w:t>liquidator within insolvency</w:t>
      </w:r>
      <w:r w:rsidRPr="00B849DC" w:rsidR="00A779F4">
        <w:rPr>
          <w:lang w:val="en-US"/>
        </w:rPr>
        <w:t xml:space="preserve"> proceedings (see, for the case</w:t>
      </w:r>
      <w:r w:rsidRPr="00B849DC" w:rsidR="00A779F4">
        <w:rPr>
          <w:lang w:val="en-US"/>
        </w:rPr>
        <w:noBreakHyphen/>
      </w:r>
      <w:r w:rsidRPr="00B849DC" w:rsidR="00CE1192">
        <w:rPr>
          <w:lang w:val="en-US"/>
        </w:rPr>
        <w:t>law</w:t>
      </w:r>
      <w:r w:rsidRPr="00B849DC" w:rsidR="008E6B20">
        <w:rPr>
          <w:lang w:val="en-US"/>
        </w:rPr>
        <w:t xml:space="preserve"> they referred to</w:t>
      </w:r>
      <w:r w:rsidRPr="00B849DC" w:rsidR="00CE1192">
        <w:rPr>
          <w:lang w:val="en-US"/>
        </w:rPr>
        <w:t xml:space="preserve">, </w:t>
      </w:r>
      <w:r w:rsidRPr="00B849DC" w:rsidR="00B65A77">
        <w:rPr>
          <w:lang w:val="en-US"/>
        </w:rPr>
        <w:t>paragraph</w:t>
      </w:r>
      <w:r w:rsidRPr="00B849DC" w:rsidR="00CE1192">
        <w:rPr>
          <w:lang w:val="en-US"/>
        </w:rPr>
        <w:t> </w:t>
      </w:r>
      <w:r w:rsidRPr="00B849DC" w:rsidR="00B50CB8">
        <w:rPr>
          <w:lang w:val="en-US"/>
        </w:rPr>
        <w:t xml:space="preserve">106 </w:t>
      </w:r>
      <w:r w:rsidRPr="00B849DC" w:rsidR="00CE1192">
        <w:rPr>
          <w:lang w:val="en-US"/>
        </w:rPr>
        <w:t>above).</w:t>
      </w:r>
      <w:proofErr w:type="gramEnd"/>
    </w:p>
    <w:p w:rsidRPr="00B849DC" w:rsidR="000A135B" w:rsidP="00B849DC" w:rsidRDefault="000A135B">
      <w:pPr>
        <w:pStyle w:val="ECHRHeading5"/>
        <w:rPr>
          <w:lang w:val="en-US"/>
        </w:rPr>
      </w:pPr>
      <w:r w:rsidRPr="00B849DC">
        <w:rPr>
          <w:lang w:val="en-US"/>
        </w:rPr>
        <w:t xml:space="preserve">(ii)  Arguments concerning the debtor </w:t>
      </w:r>
      <w:r w:rsidRPr="00B849DC" w:rsidR="00EC4CD3">
        <w:rPr>
          <w:lang w:val="en-US"/>
        </w:rPr>
        <w:t xml:space="preserve">companies </w:t>
      </w:r>
      <w:r w:rsidRPr="00B849DC">
        <w:rPr>
          <w:lang w:val="en-US"/>
        </w:rPr>
        <w:t xml:space="preserve">in the present </w:t>
      </w:r>
      <w:r w:rsidRPr="00B849DC" w:rsidR="000141D7">
        <w:rPr>
          <w:lang w:val="en-US"/>
        </w:rPr>
        <w:t xml:space="preserve">two </w:t>
      </w:r>
      <w:r w:rsidRPr="00B849DC" w:rsidR="00A779F4">
        <w:rPr>
          <w:lang w:val="en-US"/>
        </w:rPr>
        <w:t>cases</w:t>
      </w:r>
    </w:p>
    <w:p w:rsidRPr="00B849DC" w:rsidR="00CA087B" w:rsidP="00B849DC" w:rsidRDefault="000141D7">
      <w:pPr>
        <w:pStyle w:val="ECHRPara"/>
        <w:rPr>
          <w:lang w:val="en-US"/>
        </w:rPr>
      </w:pPr>
      <w:r w:rsidRPr="00B849DC">
        <w:rPr>
          <w:lang w:val="en-US"/>
        </w:rPr>
        <w:fldChar w:fldCharType="begin"/>
      </w:r>
      <w:r w:rsidRPr="00B849DC">
        <w:rPr>
          <w:lang w:val="en-US"/>
        </w:rPr>
        <w:instrText xml:space="preserve"> SEQ level0 \*arabic </w:instrText>
      </w:r>
      <w:r w:rsidRPr="00B849DC">
        <w:rPr>
          <w:lang w:val="en-US"/>
        </w:rPr>
        <w:fldChar w:fldCharType="separate"/>
      </w:r>
      <w:r w:rsidRPr="00B849DC" w:rsidR="00B849DC">
        <w:rPr>
          <w:noProof/>
          <w:lang w:val="en-US"/>
        </w:rPr>
        <w:t>142</w:t>
      </w:r>
      <w:r w:rsidRPr="00B849DC">
        <w:rPr>
          <w:lang w:val="en-US"/>
        </w:rPr>
        <w:fldChar w:fldCharType="end"/>
      </w:r>
      <w:r w:rsidRPr="00B849DC">
        <w:rPr>
          <w:lang w:val="en-US"/>
        </w:rPr>
        <w:t>.  </w:t>
      </w:r>
      <w:r w:rsidRPr="00B849DC" w:rsidR="000A135B">
        <w:rPr>
          <w:lang w:val="en-US"/>
        </w:rPr>
        <w:t xml:space="preserve">As regards the debtor company in </w:t>
      </w:r>
      <w:r w:rsidRPr="00B849DC" w:rsidR="000A135B">
        <w:rPr>
          <w:i/>
          <w:lang w:val="en-US"/>
        </w:rPr>
        <w:t>Liseytseva</w:t>
      </w:r>
      <w:r w:rsidRPr="00B849DC" w:rsidR="000A135B">
        <w:rPr>
          <w:lang w:val="en-US"/>
        </w:rPr>
        <w:t xml:space="preserve">, the Government </w:t>
      </w:r>
      <w:r w:rsidRPr="00B849DC" w:rsidR="00DF3976">
        <w:rPr>
          <w:lang w:val="en-US"/>
        </w:rPr>
        <w:t>submitted that it had not performed any public functions and its activities were purely commercial. The local administration</w:t>
      </w:r>
      <w:r w:rsidRPr="00B849DC" w:rsidR="00B849DC">
        <w:rPr>
          <w:lang w:val="en-US"/>
        </w:rPr>
        <w:t>’</w:t>
      </w:r>
      <w:r w:rsidRPr="00B849DC" w:rsidR="00DF3976">
        <w:rPr>
          <w:lang w:val="en-US"/>
        </w:rPr>
        <w:t xml:space="preserve">s subsidiary liability could not be engaged since the owner had not caused the insolvency of the </w:t>
      </w:r>
      <w:r w:rsidRPr="00B849DC" w:rsidR="00EC4CD3">
        <w:rPr>
          <w:lang w:val="en-US"/>
        </w:rPr>
        <w:t>company</w:t>
      </w:r>
      <w:r w:rsidRPr="00B849DC" w:rsidR="00DF3976">
        <w:rPr>
          <w:lang w:val="en-US"/>
        </w:rPr>
        <w:t xml:space="preserve">. In particular, it “had not given any binding instructions or otherwise defined the </w:t>
      </w:r>
      <w:r w:rsidRPr="00B849DC" w:rsidR="00EC4CD3">
        <w:rPr>
          <w:lang w:val="en-US"/>
        </w:rPr>
        <w:t>company</w:t>
      </w:r>
      <w:r w:rsidRPr="00B849DC" w:rsidR="00B849DC">
        <w:rPr>
          <w:lang w:val="en-US"/>
        </w:rPr>
        <w:t>’</w:t>
      </w:r>
      <w:r w:rsidRPr="00B849DC" w:rsidR="00EC4CD3">
        <w:rPr>
          <w:lang w:val="en-US"/>
        </w:rPr>
        <w:t xml:space="preserve">s </w:t>
      </w:r>
      <w:r w:rsidRPr="00B849DC" w:rsidR="00DF3976">
        <w:rPr>
          <w:lang w:val="en-US"/>
        </w:rPr>
        <w:t>actions”.</w:t>
      </w:r>
    </w:p>
    <w:p w:rsidRPr="00B849DC" w:rsidR="00DF3976" w:rsidP="00B849DC" w:rsidRDefault="000141D7">
      <w:pPr>
        <w:pStyle w:val="ECHRPara"/>
        <w:rPr>
          <w:lang w:val="en-US"/>
        </w:rPr>
      </w:pPr>
      <w:r w:rsidRPr="00B849DC">
        <w:rPr>
          <w:lang w:val="en-US"/>
        </w:rPr>
        <w:fldChar w:fldCharType="begin"/>
      </w:r>
      <w:r w:rsidRPr="00B849DC">
        <w:rPr>
          <w:lang w:val="en-US"/>
        </w:rPr>
        <w:instrText xml:space="preserve"> SEQ level0 \*arabic </w:instrText>
      </w:r>
      <w:r w:rsidRPr="00B849DC">
        <w:rPr>
          <w:lang w:val="en-US"/>
        </w:rPr>
        <w:fldChar w:fldCharType="separate"/>
      </w:r>
      <w:r w:rsidRPr="00B849DC" w:rsidR="00B849DC">
        <w:rPr>
          <w:noProof/>
          <w:lang w:val="en-US"/>
        </w:rPr>
        <w:t>143</w:t>
      </w:r>
      <w:r w:rsidRPr="00B849DC">
        <w:rPr>
          <w:lang w:val="en-US"/>
        </w:rPr>
        <w:fldChar w:fldCharType="end"/>
      </w:r>
      <w:r w:rsidRPr="00B849DC">
        <w:rPr>
          <w:lang w:val="en-US"/>
        </w:rPr>
        <w:t>.  </w:t>
      </w:r>
      <w:r w:rsidRPr="00B849DC" w:rsidR="00DF3976">
        <w:rPr>
          <w:lang w:val="en-US"/>
        </w:rPr>
        <w:t xml:space="preserve">Similarly, as regards the debtor company in </w:t>
      </w:r>
      <w:r w:rsidRPr="00B849DC" w:rsidR="00DF3976">
        <w:rPr>
          <w:i/>
          <w:lang w:val="en-US"/>
        </w:rPr>
        <w:t>Maslov</w:t>
      </w:r>
      <w:r w:rsidRPr="00B849DC" w:rsidR="00DF3976">
        <w:rPr>
          <w:lang w:val="en-US"/>
        </w:rPr>
        <w:t>, the Government listed some of its statutory functions</w:t>
      </w:r>
      <w:r w:rsidRPr="00B849DC" w:rsidR="00EC4CD3">
        <w:rPr>
          <w:lang w:val="en-US"/>
        </w:rPr>
        <w:t>,</w:t>
      </w:r>
      <w:r w:rsidRPr="00B849DC" w:rsidR="00DF3976">
        <w:rPr>
          <w:lang w:val="en-US"/>
        </w:rPr>
        <w:t xml:space="preserve"> </w:t>
      </w:r>
      <w:r w:rsidRPr="00B849DC" w:rsidR="00607F30">
        <w:rPr>
          <w:lang w:val="en-US"/>
        </w:rPr>
        <w:t>such as transportation, funeral services, production of fast</w:t>
      </w:r>
      <w:r w:rsidRPr="00B849DC" w:rsidR="00EC4CD3">
        <w:rPr>
          <w:lang w:val="en-US"/>
        </w:rPr>
        <w:t>-</w:t>
      </w:r>
      <w:r w:rsidRPr="00B849DC" w:rsidR="00607F30">
        <w:rPr>
          <w:lang w:val="en-US"/>
        </w:rPr>
        <w:t xml:space="preserve">moving consumer goods </w:t>
      </w:r>
      <w:r w:rsidRPr="00B849DC" w:rsidR="00EC4CD3">
        <w:rPr>
          <w:lang w:val="en-US"/>
        </w:rPr>
        <w:t xml:space="preserve">and </w:t>
      </w:r>
      <w:r w:rsidRPr="00B849DC" w:rsidR="00607F30">
        <w:rPr>
          <w:lang w:val="en-US"/>
        </w:rPr>
        <w:t>disposal of dry waste</w:t>
      </w:r>
      <w:r w:rsidRPr="00B849DC" w:rsidR="00EC4CD3">
        <w:rPr>
          <w:lang w:val="en-US"/>
        </w:rPr>
        <w:t>,</w:t>
      </w:r>
      <w:r w:rsidRPr="00B849DC" w:rsidR="00DF3976">
        <w:rPr>
          <w:lang w:val="en-US"/>
        </w:rPr>
        <w:t xml:space="preserve"> and concluded that the company did not have any State powers. Its insolvency was not caused by the owner, but was </w:t>
      </w:r>
      <w:r w:rsidRPr="00B849DC" w:rsidR="00BF2CC2">
        <w:rPr>
          <w:lang w:val="en-US"/>
        </w:rPr>
        <w:t>the result of</w:t>
      </w:r>
      <w:r w:rsidRPr="00B849DC" w:rsidR="00DF3976">
        <w:rPr>
          <w:lang w:val="en-US"/>
        </w:rPr>
        <w:t xml:space="preserve"> </w:t>
      </w:r>
      <w:r w:rsidRPr="00B849DC" w:rsidR="005A4F8F">
        <w:rPr>
          <w:lang w:val="en-US"/>
        </w:rPr>
        <w:t>external</w:t>
      </w:r>
      <w:r w:rsidRPr="00B849DC" w:rsidR="00EC4CD3">
        <w:rPr>
          <w:lang w:val="en-US"/>
        </w:rPr>
        <w:t xml:space="preserve"> </w:t>
      </w:r>
      <w:r w:rsidRPr="00B849DC" w:rsidR="00DF3976">
        <w:rPr>
          <w:lang w:val="en-US"/>
        </w:rPr>
        <w:t xml:space="preserve">economic factors, including the </w:t>
      </w:r>
      <w:r w:rsidRPr="00B849DC" w:rsidR="008E711E">
        <w:rPr>
          <w:lang w:val="en-US"/>
        </w:rPr>
        <w:t>accumulation of debt by the company</w:t>
      </w:r>
      <w:r w:rsidRPr="00B849DC" w:rsidR="00A779F4">
        <w:rPr>
          <w:lang w:val="en-US"/>
        </w:rPr>
        <w:t>.</w:t>
      </w:r>
    </w:p>
    <w:p w:rsidRPr="00B849DC" w:rsidR="00AF0341" w:rsidP="00B849DC" w:rsidRDefault="000141D7">
      <w:pPr>
        <w:pStyle w:val="ECHRPara"/>
        <w:rPr>
          <w:rFonts w:ascii="Times New Roman" w:hAnsi="Times New Roman" w:eastAsia="Times New Roman" w:cs="Times New Roman"/>
          <w:szCs w:val="24"/>
          <w:lang w:val="en-GB"/>
        </w:rPr>
      </w:pPr>
      <w:r w:rsidRPr="00B849DC">
        <w:rPr>
          <w:rFonts w:ascii="Times New Roman" w:hAnsi="Times New Roman" w:eastAsia="Times New Roman" w:cs="Times New Roman"/>
          <w:szCs w:val="24"/>
          <w:lang w:val="en-GB"/>
        </w:rPr>
        <w:fldChar w:fldCharType="begin"/>
      </w:r>
      <w:r w:rsidRPr="00B849DC">
        <w:rPr>
          <w:rFonts w:ascii="Times New Roman" w:hAnsi="Times New Roman" w:eastAsia="Times New Roman" w:cs="Times New Roman"/>
          <w:szCs w:val="24"/>
          <w:lang w:val="en-GB"/>
        </w:rPr>
        <w:instrText xml:space="preserve"> SEQ level0 \*arabic </w:instrText>
      </w:r>
      <w:r w:rsidRPr="00B849DC">
        <w:rPr>
          <w:rFonts w:ascii="Times New Roman" w:hAnsi="Times New Roman" w:eastAsia="Times New Roman" w:cs="Times New Roman"/>
          <w:szCs w:val="24"/>
          <w:lang w:val="en-GB"/>
        </w:rPr>
        <w:fldChar w:fldCharType="separate"/>
      </w:r>
      <w:r w:rsidRPr="00B849DC" w:rsidR="00B849DC">
        <w:rPr>
          <w:rFonts w:ascii="Times New Roman" w:hAnsi="Times New Roman" w:eastAsia="Times New Roman" w:cs="Times New Roman"/>
          <w:noProof/>
          <w:szCs w:val="24"/>
          <w:lang w:val="en-GB"/>
        </w:rPr>
        <w:t>144</w:t>
      </w:r>
      <w:r w:rsidRPr="00B849DC">
        <w:rPr>
          <w:rFonts w:ascii="Times New Roman" w:hAnsi="Times New Roman" w:eastAsia="Times New Roman" w:cs="Times New Roman"/>
          <w:szCs w:val="24"/>
          <w:lang w:val="en-GB"/>
        </w:rPr>
        <w:fldChar w:fldCharType="end"/>
      </w:r>
      <w:r w:rsidRPr="00B849DC">
        <w:rPr>
          <w:rFonts w:ascii="Times New Roman" w:hAnsi="Times New Roman" w:eastAsia="Times New Roman" w:cs="Times New Roman"/>
          <w:szCs w:val="24"/>
          <w:lang w:val="en-GB"/>
        </w:rPr>
        <w:t>.  </w:t>
      </w:r>
      <w:r w:rsidRPr="00B849DC" w:rsidR="00CE1192">
        <w:rPr>
          <w:rFonts w:ascii="Times New Roman" w:hAnsi="Times New Roman" w:eastAsia="Times New Roman" w:cs="Times New Roman"/>
          <w:szCs w:val="24"/>
          <w:lang w:val="en-GB"/>
        </w:rPr>
        <w:t>The</w:t>
      </w:r>
      <w:r w:rsidRPr="00B849DC" w:rsidR="0010634B">
        <w:rPr>
          <w:rFonts w:ascii="Times New Roman" w:hAnsi="Times New Roman" w:eastAsia="Times New Roman" w:cs="Times New Roman"/>
          <w:szCs w:val="24"/>
          <w:lang w:val="en-GB"/>
        </w:rPr>
        <w:t>y</w:t>
      </w:r>
      <w:r w:rsidRPr="00B849DC" w:rsidR="00CE1192">
        <w:rPr>
          <w:rFonts w:ascii="Times New Roman" w:hAnsi="Times New Roman" w:eastAsia="Times New Roman" w:cs="Times New Roman"/>
          <w:szCs w:val="24"/>
          <w:lang w:val="en-GB"/>
        </w:rPr>
        <w:t xml:space="preserve"> concluded that </w:t>
      </w:r>
      <w:r w:rsidRPr="00B849DC" w:rsidR="000A135B">
        <w:rPr>
          <w:rFonts w:ascii="Times New Roman" w:hAnsi="Times New Roman" w:eastAsia="Times New Roman" w:cs="Times New Roman"/>
          <w:szCs w:val="24"/>
          <w:lang w:val="en-GB"/>
        </w:rPr>
        <w:t>the debts of the unitary enterprises in the present two cases were not attributable to the State. The</w:t>
      </w:r>
      <w:r w:rsidRPr="00B849DC" w:rsidR="00AF0341">
        <w:rPr>
          <w:lang w:val="en-GB"/>
        </w:rPr>
        <w:t xml:space="preserve"> judgments </w:t>
      </w:r>
      <w:r w:rsidRPr="00B849DC" w:rsidR="000A135B">
        <w:rPr>
          <w:lang w:val="en-GB"/>
        </w:rPr>
        <w:t>in the applicants</w:t>
      </w:r>
      <w:r w:rsidRPr="00B849DC" w:rsidR="00B849DC">
        <w:rPr>
          <w:lang w:val="en-GB"/>
        </w:rPr>
        <w:t>’</w:t>
      </w:r>
      <w:r w:rsidRPr="00B849DC" w:rsidR="000A135B">
        <w:rPr>
          <w:lang w:val="en-GB"/>
        </w:rPr>
        <w:t xml:space="preserve"> favour </w:t>
      </w:r>
      <w:r w:rsidRPr="00B849DC" w:rsidR="00AF0341">
        <w:rPr>
          <w:lang w:val="en-GB"/>
        </w:rPr>
        <w:t xml:space="preserve">were issued against private debtors and could not have been enforced </w:t>
      </w:r>
      <w:r w:rsidRPr="00B849DC" w:rsidR="00EC4CD3">
        <w:rPr>
          <w:lang w:val="en-GB"/>
        </w:rPr>
        <w:t xml:space="preserve">owing </w:t>
      </w:r>
      <w:r w:rsidRPr="00B849DC" w:rsidR="00AF0341">
        <w:rPr>
          <w:lang w:val="en-GB"/>
        </w:rPr>
        <w:t>to the companies</w:t>
      </w:r>
      <w:r w:rsidRPr="00B849DC" w:rsidR="00B849DC">
        <w:rPr>
          <w:lang w:val="en-GB"/>
        </w:rPr>
        <w:t>’</w:t>
      </w:r>
      <w:r w:rsidRPr="00B849DC" w:rsidR="00AF0341">
        <w:rPr>
          <w:lang w:val="en-GB"/>
        </w:rPr>
        <w:t xml:space="preserve"> insolvency. The </w:t>
      </w:r>
      <w:r w:rsidRPr="00B849DC" w:rsidR="007B1BCF">
        <w:rPr>
          <w:lang w:val="en-GB"/>
        </w:rPr>
        <w:t>authorities</w:t>
      </w:r>
      <w:r w:rsidRPr="00B849DC" w:rsidR="00AF0341">
        <w:rPr>
          <w:lang w:val="en-GB"/>
        </w:rPr>
        <w:t xml:space="preserve"> </w:t>
      </w:r>
      <w:r w:rsidRPr="00B849DC" w:rsidR="00EC4CD3">
        <w:rPr>
          <w:lang w:val="en-GB"/>
        </w:rPr>
        <w:t xml:space="preserve">had </w:t>
      </w:r>
      <w:r w:rsidRPr="00B849DC" w:rsidR="00AF0341">
        <w:rPr>
          <w:lang w:val="en-GB"/>
        </w:rPr>
        <w:t xml:space="preserve">provided requisite assistance to the applicants in </w:t>
      </w:r>
      <w:r w:rsidRPr="00B849DC" w:rsidR="00EC4CD3">
        <w:rPr>
          <w:lang w:val="en-GB"/>
        </w:rPr>
        <w:t>the</w:t>
      </w:r>
      <w:r w:rsidRPr="00B849DC" w:rsidR="005A4F8F">
        <w:rPr>
          <w:lang w:val="en-GB"/>
        </w:rPr>
        <w:t>ir efforts to have</w:t>
      </w:r>
      <w:r w:rsidRPr="00B849DC" w:rsidR="00EC4CD3">
        <w:rPr>
          <w:lang w:val="en-GB"/>
        </w:rPr>
        <w:t xml:space="preserve"> </w:t>
      </w:r>
      <w:r w:rsidRPr="00B849DC" w:rsidR="00AF0341">
        <w:rPr>
          <w:lang w:val="en-GB"/>
        </w:rPr>
        <w:t xml:space="preserve">the </w:t>
      </w:r>
      <w:r w:rsidRPr="00B849DC" w:rsidR="00EC4CD3">
        <w:rPr>
          <w:lang w:val="en-GB"/>
        </w:rPr>
        <w:t xml:space="preserve">court </w:t>
      </w:r>
      <w:r w:rsidRPr="00B849DC" w:rsidR="00AF0341">
        <w:rPr>
          <w:lang w:val="en-GB"/>
        </w:rPr>
        <w:t>awards</w:t>
      </w:r>
      <w:r w:rsidRPr="00B849DC" w:rsidR="005A4F8F">
        <w:rPr>
          <w:lang w:val="en-GB"/>
        </w:rPr>
        <w:t xml:space="preserve"> enforced</w:t>
      </w:r>
      <w:r w:rsidRPr="00B849DC" w:rsidR="00AF0341">
        <w:rPr>
          <w:lang w:val="en-GB"/>
        </w:rPr>
        <w:t>.</w:t>
      </w:r>
    </w:p>
    <w:p w:rsidRPr="00B849DC" w:rsidR="00A56821" w:rsidP="00B849DC" w:rsidRDefault="00617D24">
      <w:pPr>
        <w:pStyle w:val="ECHRHeading4"/>
        <w:rPr>
          <w:lang w:val="en-US"/>
        </w:rPr>
      </w:pPr>
      <w:r w:rsidRPr="00B849DC">
        <w:rPr>
          <w:lang w:val="en-US"/>
        </w:rPr>
        <w:t>(</w:t>
      </w:r>
      <w:proofErr w:type="gramStart"/>
      <w:r w:rsidRPr="00B849DC">
        <w:rPr>
          <w:lang w:val="en-US"/>
        </w:rPr>
        <w:t>b</w:t>
      </w:r>
      <w:proofErr w:type="gramEnd"/>
      <w:r w:rsidRPr="00B849DC">
        <w:rPr>
          <w:lang w:val="en-US"/>
        </w:rPr>
        <w:t xml:space="preserve">)  As regards </w:t>
      </w:r>
      <w:r w:rsidRPr="00B849DC" w:rsidR="00A56821">
        <w:rPr>
          <w:lang w:val="en-US"/>
        </w:rPr>
        <w:t>exhaustion</w:t>
      </w:r>
    </w:p>
    <w:p w:rsidRPr="00B849DC" w:rsidR="00F90623" w:rsidP="00B849DC" w:rsidRDefault="00E77BEE">
      <w:pPr>
        <w:pStyle w:val="ECHRPara"/>
        <w:rPr>
          <w:lang w:val="en-GB"/>
        </w:rPr>
      </w:pPr>
      <w:r w:rsidRPr="00B849DC">
        <w:rPr>
          <w:lang w:val="en-GB"/>
        </w:rPr>
        <w:fldChar w:fldCharType="begin"/>
      </w:r>
      <w:r w:rsidRPr="00B849DC">
        <w:rPr>
          <w:lang w:val="en-GB"/>
        </w:rPr>
        <w:instrText xml:space="preserve"> SEQ level0 \*arabic </w:instrText>
      </w:r>
      <w:r w:rsidRPr="00B849DC">
        <w:rPr>
          <w:lang w:val="en-GB"/>
        </w:rPr>
        <w:fldChar w:fldCharType="separate"/>
      </w:r>
      <w:r w:rsidRPr="00B849DC" w:rsidR="00B849DC">
        <w:rPr>
          <w:noProof/>
          <w:lang w:val="en-GB"/>
        </w:rPr>
        <w:t>145</w:t>
      </w:r>
      <w:r w:rsidRPr="00B849DC">
        <w:rPr>
          <w:lang w:val="en-GB"/>
        </w:rPr>
        <w:fldChar w:fldCharType="end"/>
      </w:r>
      <w:r w:rsidRPr="00B849DC">
        <w:rPr>
          <w:lang w:val="en-GB"/>
        </w:rPr>
        <w:t>.  </w:t>
      </w:r>
      <w:r w:rsidRPr="00B849DC" w:rsidR="00CB74CB">
        <w:rPr>
          <w:lang w:val="en-GB"/>
        </w:rPr>
        <w:t>The</w:t>
      </w:r>
      <w:r w:rsidRPr="00B849DC" w:rsidR="003F7284">
        <w:rPr>
          <w:lang w:val="en-GB"/>
        </w:rPr>
        <w:t xml:space="preserve"> Government</w:t>
      </w:r>
      <w:r w:rsidRPr="00B849DC" w:rsidR="00CB74CB">
        <w:rPr>
          <w:lang w:val="en-GB"/>
        </w:rPr>
        <w:t xml:space="preserve"> further claimed that the applicants</w:t>
      </w:r>
      <w:r w:rsidRPr="00B849DC" w:rsidR="00261D54">
        <w:rPr>
          <w:lang w:val="en-GB"/>
        </w:rPr>
        <w:t xml:space="preserve"> had </w:t>
      </w:r>
      <w:r w:rsidRPr="00B849DC" w:rsidR="00CB74CB">
        <w:rPr>
          <w:lang w:val="en-GB"/>
        </w:rPr>
        <w:t xml:space="preserve">failed to exhaust </w:t>
      </w:r>
      <w:r w:rsidRPr="00B849DC" w:rsidR="000215DC">
        <w:rPr>
          <w:lang w:val="en-GB"/>
        </w:rPr>
        <w:t xml:space="preserve">the </w:t>
      </w:r>
      <w:r w:rsidRPr="00B849DC" w:rsidR="00CB74CB">
        <w:rPr>
          <w:lang w:val="en-GB"/>
        </w:rPr>
        <w:t>domestic remedies available to them. Ms</w:t>
      </w:r>
      <w:r w:rsidRPr="00B849DC" w:rsidR="00CA7035">
        <w:rPr>
          <w:lang w:val="en-GB"/>
        </w:rPr>
        <w:t> </w:t>
      </w:r>
      <w:r w:rsidRPr="00B849DC" w:rsidR="00CB74CB">
        <w:rPr>
          <w:lang w:val="en-GB"/>
        </w:rPr>
        <w:t>Liseytseva had failed to complain about the bailiffs</w:t>
      </w:r>
      <w:r w:rsidRPr="00B849DC" w:rsidR="00B849DC">
        <w:rPr>
          <w:lang w:val="en-GB"/>
        </w:rPr>
        <w:t>’</w:t>
      </w:r>
      <w:r w:rsidRPr="00B849DC" w:rsidR="00CB74CB">
        <w:rPr>
          <w:lang w:val="en-GB"/>
        </w:rPr>
        <w:t xml:space="preserve"> inaction under </w:t>
      </w:r>
      <w:r w:rsidRPr="00B849DC" w:rsidR="00A84761">
        <w:rPr>
          <w:lang w:val="en-GB"/>
        </w:rPr>
        <w:t>section </w:t>
      </w:r>
      <w:r w:rsidRPr="00B849DC" w:rsidR="00CB74CB">
        <w:rPr>
          <w:lang w:val="en-GB"/>
        </w:rPr>
        <w:t>121 of the Enforcement Act and Article</w:t>
      </w:r>
      <w:r w:rsidRPr="00B849DC" w:rsidR="00EA6D4D">
        <w:rPr>
          <w:lang w:val="en-GB"/>
        </w:rPr>
        <w:t> </w:t>
      </w:r>
      <w:r w:rsidRPr="00B849DC" w:rsidR="00CB74CB">
        <w:rPr>
          <w:lang w:val="en-GB"/>
        </w:rPr>
        <w:t>441 of the Code</w:t>
      </w:r>
      <w:r w:rsidRPr="00B849DC" w:rsidR="00EA6D4D">
        <w:rPr>
          <w:lang w:val="en-GB"/>
        </w:rPr>
        <w:t xml:space="preserve"> of Civil Procedure</w:t>
      </w:r>
      <w:r w:rsidRPr="00B849DC" w:rsidR="000215DC">
        <w:rPr>
          <w:lang w:val="en-GB"/>
        </w:rPr>
        <w:t>,</w:t>
      </w:r>
      <w:r w:rsidRPr="00B849DC" w:rsidR="00CB74CB">
        <w:rPr>
          <w:lang w:val="en-GB"/>
        </w:rPr>
        <w:t xml:space="preserve"> </w:t>
      </w:r>
      <w:r w:rsidRPr="00B849DC" w:rsidR="000215DC">
        <w:rPr>
          <w:lang w:val="en-GB"/>
        </w:rPr>
        <w:t xml:space="preserve">which set </w:t>
      </w:r>
      <w:r w:rsidRPr="00B849DC" w:rsidR="00CB74CB">
        <w:rPr>
          <w:lang w:val="en-GB"/>
        </w:rPr>
        <w:t>out the procedure for challenging the bailiffs</w:t>
      </w:r>
      <w:r w:rsidRPr="00B849DC" w:rsidR="00B849DC">
        <w:rPr>
          <w:lang w:val="en-GB"/>
        </w:rPr>
        <w:t>’</w:t>
      </w:r>
      <w:r w:rsidRPr="00B849DC" w:rsidR="00CB74CB">
        <w:rPr>
          <w:lang w:val="en-GB"/>
        </w:rPr>
        <w:t xml:space="preserve"> service</w:t>
      </w:r>
      <w:r w:rsidRPr="00B849DC" w:rsidR="00B849DC">
        <w:rPr>
          <w:lang w:val="en-GB"/>
        </w:rPr>
        <w:t>’</w:t>
      </w:r>
      <w:r w:rsidRPr="00B849DC" w:rsidR="00CB74CB">
        <w:rPr>
          <w:lang w:val="en-GB"/>
        </w:rPr>
        <w:t xml:space="preserve">s decisions. They further referred, without further details, to </w:t>
      </w:r>
      <w:r w:rsidRPr="00B849DC" w:rsidR="00A84761">
        <w:rPr>
          <w:lang w:val="en-GB"/>
        </w:rPr>
        <w:t>section </w:t>
      </w:r>
      <w:r w:rsidRPr="00B849DC" w:rsidR="00530608">
        <w:rPr>
          <w:lang w:val="en-GB"/>
        </w:rPr>
        <w:t>142</w:t>
      </w:r>
      <w:r w:rsidRPr="00B849DC" w:rsidR="00A84761">
        <w:rPr>
          <w:lang w:val="en-GB"/>
        </w:rPr>
        <w:t>(</w:t>
      </w:r>
      <w:r w:rsidRPr="00B849DC" w:rsidR="00530608">
        <w:rPr>
          <w:lang w:val="en-US"/>
        </w:rPr>
        <w:t>11</w:t>
      </w:r>
      <w:r w:rsidRPr="00B849DC" w:rsidR="00A84761">
        <w:rPr>
          <w:lang w:val="en-US"/>
        </w:rPr>
        <w:t>)</w:t>
      </w:r>
      <w:r w:rsidRPr="00B849DC" w:rsidR="000215DC">
        <w:rPr>
          <w:lang w:val="en-US"/>
        </w:rPr>
        <w:t xml:space="preserve"> </w:t>
      </w:r>
      <w:r w:rsidRPr="00B849DC" w:rsidR="00530608">
        <w:rPr>
          <w:lang w:val="en-US"/>
        </w:rPr>
        <w:t>of the</w:t>
      </w:r>
      <w:r w:rsidRPr="00B849DC" w:rsidR="00CB74CB">
        <w:rPr>
          <w:lang w:val="en-GB"/>
        </w:rPr>
        <w:t xml:space="preserve"> Insolvency Act</w:t>
      </w:r>
      <w:r w:rsidRPr="00B849DC" w:rsidR="000215DC">
        <w:rPr>
          <w:lang w:val="en-GB"/>
        </w:rPr>
        <w:t>,</w:t>
      </w:r>
      <w:r w:rsidRPr="00B849DC" w:rsidR="00CB74CB">
        <w:rPr>
          <w:lang w:val="en-GB"/>
        </w:rPr>
        <w:t xml:space="preserve"> </w:t>
      </w:r>
      <w:r w:rsidRPr="00B849DC" w:rsidR="000215DC">
        <w:rPr>
          <w:lang w:val="en-GB"/>
        </w:rPr>
        <w:t xml:space="preserve">which provides </w:t>
      </w:r>
      <w:r w:rsidRPr="00B849DC" w:rsidR="00530608">
        <w:rPr>
          <w:lang w:val="en-GB"/>
        </w:rPr>
        <w:t>for the creditor</w:t>
      </w:r>
      <w:r w:rsidRPr="00B849DC" w:rsidR="00B849DC">
        <w:rPr>
          <w:lang w:val="en-GB"/>
        </w:rPr>
        <w:t>’</w:t>
      </w:r>
      <w:r w:rsidRPr="00B849DC" w:rsidR="00530608">
        <w:rPr>
          <w:lang w:val="en-GB"/>
        </w:rPr>
        <w:t xml:space="preserve">s right to </w:t>
      </w:r>
      <w:r w:rsidRPr="00B849DC" w:rsidR="00CB74CB">
        <w:rPr>
          <w:lang w:val="en-GB"/>
        </w:rPr>
        <w:t xml:space="preserve">claim </w:t>
      </w:r>
      <w:r w:rsidRPr="00B849DC" w:rsidR="001B1795">
        <w:rPr>
          <w:lang w:val="en-GB"/>
        </w:rPr>
        <w:t>execution upon the debtor</w:t>
      </w:r>
      <w:r w:rsidRPr="00B849DC" w:rsidR="00B849DC">
        <w:rPr>
          <w:lang w:val="en-GB"/>
        </w:rPr>
        <w:t>’</w:t>
      </w:r>
      <w:r w:rsidRPr="00B849DC" w:rsidR="001B1795">
        <w:rPr>
          <w:lang w:val="en-GB"/>
        </w:rPr>
        <w:t>s assets</w:t>
      </w:r>
      <w:r w:rsidRPr="00B849DC" w:rsidR="00CB74CB">
        <w:rPr>
          <w:lang w:val="en-US"/>
        </w:rPr>
        <w:t xml:space="preserve"> </w:t>
      </w:r>
      <w:r w:rsidRPr="00B849DC" w:rsidR="00CB74CB">
        <w:rPr>
          <w:lang w:val="en-GB"/>
        </w:rPr>
        <w:t xml:space="preserve">in </w:t>
      </w:r>
      <w:r w:rsidRPr="00B849DC" w:rsidR="000215DC">
        <w:rPr>
          <w:lang w:val="en-GB"/>
        </w:rPr>
        <w:t xml:space="preserve">the </w:t>
      </w:r>
      <w:r w:rsidRPr="00B849DC" w:rsidR="00CB74CB">
        <w:rPr>
          <w:lang w:val="en-GB"/>
        </w:rPr>
        <w:t>unlawful possession of third persons</w:t>
      </w:r>
      <w:r w:rsidRPr="00B849DC" w:rsidR="00DE0F59">
        <w:rPr>
          <w:lang w:val="en-GB"/>
        </w:rPr>
        <w:t xml:space="preserve"> (see paragraph </w:t>
      </w:r>
      <w:r w:rsidRPr="00B849DC" w:rsidR="00EA6D4D">
        <w:rPr>
          <w:lang w:val="en-GB"/>
        </w:rPr>
        <w:t>12</w:t>
      </w:r>
      <w:r w:rsidRPr="00B849DC" w:rsidR="005765D5">
        <w:rPr>
          <w:lang w:val="en-GB"/>
        </w:rPr>
        <w:t>1</w:t>
      </w:r>
      <w:r w:rsidRPr="00B849DC" w:rsidR="00DE0F59">
        <w:rPr>
          <w:lang w:val="en-GB"/>
        </w:rPr>
        <w:t xml:space="preserve"> above)</w:t>
      </w:r>
      <w:r w:rsidRPr="00B849DC" w:rsidR="00CB74CB">
        <w:rPr>
          <w:lang w:val="en-GB"/>
        </w:rPr>
        <w:t>.</w:t>
      </w:r>
      <w:r w:rsidRPr="00B849DC" w:rsidR="001B1795">
        <w:rPr>
          <w:lang w:val="en-GB"/>
        </w:rPr>
        <w:t xml:space="preserve"> Mr</w:t>
      </w:r>
      <w:r w:rsidRPr="00B849DC" w:rsidR="00CA7035">
        <w:rPr>
          <w:lang w:val="en-GB"/>
        </w:rPr>
        <w:t> </w:t>
      </w:r>
      <w:r w:rsidRPr="00B849DC" w:rsidR="001B1795">
        <w:rPr>
          <w:lang w:val="en-GB"/>
        </w:rPr>
        <w:t xml:space="preserve">Maslov </w:t>
      </w:r>
      <w:r w:rsidRPr="00B849DC" w:rsidR="007266EB">
        <w:rPr>
          <w:lang w:val="en-GB"/>
        </w:rPr>
        <w:t>had failed to make use of the enforcement procedure. Even though the enforcement proc</w:t>
      </w:r>
      <w:r w:rsidRPr="00B849DC" w:rsidR="00643853">
        <w:rPr>
          <w:lang w:val="en-GB"/>
        </w:rPr>
        <w:t>eedings were to be discontinued</w:t>
      </w:r>
      <w:r w:rsidRPr="00B849DC" w:rsidR="007266EB">
        <w:rPr>
          <w:lang w:val="en-GB"/>
        </w:rPr>
        <w:t xml:space="preserve"> </w:t>
      </w:r>
      <w:r w:rsidRPr="00B849DC" w:rsidR="00142C74">
        <w:rPr>
          <w:lang w:val="en-GB"/>
        </w:rPr>
        <w:t xml:space="preserve">once </w:t>
      </w:r>
      <w:r w:rsidRPr="00B849DC" w:rsidR="00EA6D4D">
        <w:rPr>
          <w:lang w:val="en-GB"/>
        </w:rPr>
        <w:t xml:space="preserve">the wind-up procedure commenced, </w:t>
      </w:r>
      <w:r w:rsidRPr="00B849DC" w:rsidR="007266EB">
        <w:rPr>
          <w:lang w:val="en-GB"/>
        </w:rPr>
        <w:t xml:space="preserve">he was not absolved from </w:t>
      </w:r>
      <w:r w:rsidRPr="00B849DC" w:rsidR="000215DC">
        <w:rPr>
          <w:lang w:val="en-GB"/>
        </w:rPr>
        <w:t xml:space="preserve">the </w:t>
      </w:r>
      <w:r w:rsidRPr="00B849DC" w:rsidR="007266EB">
        <w:rPr>
          <w:lang w:val="en-GB"/>
        </w:rPr>
        <w:t xml:space="preserve">obligation to submit his claims to a commercial court </w:t>
      </w:r>
      <w:r w:rsidRPr="00B849DC" w:rsidR="00142C74">
        <w:rPr>
          <w:lang w:val="en-GB"/>
        </w:rPr>
        <w:t xml:space="preserve">for the purposes of </w:t>
      </w:r>
      <w:r w:rsidRPr="00B849DC" w:rsidR="00A84761">
        <w:rPr>
          <w:lang w:val="en-GB"/>
        </w:rPr>
        <w:t>section </w:t>
      </w:r>
      <w:r w:rsidRPr="00B849DC" w:rsidR="00142C74">
        <w:rPr>
          <w:lang w:val="en-GB"/>
        </w:rPr>
        <w:t>142</w:t>
      </w:r>
      <w:r w:rsidRPr="00B849DC" w:rsidR="00A84761">
        <w:rPr>
          <w:lang w:val="en-GB"/>
        </w:rPr>
        <w:t>(</w:t>
      </w:r>
      <w:r w:rsidRPr="00B849DC" w:rsidR="00142C74">
        <w:rPr>
          <w:lang w:val="en-GB"/>
        </w:rPr>
        <w:t>1</w:t>
      </w:r>
      <w:r w:rsidRPr="00B849DC" w:rsidR="00A84761">
        <w:rPr>
          <w:lang w:val="en-GB"/>
        </w:rPr>
        <w:t>)</w:t>
      </w:r>
      <w:r w:rsidRPr="00B849DC" w:rsidR="00142C74">
        <w:rPr>
          <w:lang w:val="en-GB"/>
        </w:rPr>
        <w:t xml:space="preserve"> of the Insolvency Act </w:t>
      </w:r>
      <w:r w:rsidRPr="00B849DC" w:rsidR="007266EB">
        <w:rPr>
          <w:lang w:val="en-GB"/>
        </w:rPr>
        <w:t xml:space="preserve">(see, for </w:t>
      </w:r>
      <w:r w:rsidRPr="00B849DC" w:rsidR="00BF2CC2">
        <w:rPr>
          <w:lang w:val="en-GB"/>
        </w:rPr>
        <w:t xml:space="preserve">a </w:t>
      </w:r>
      <w:r w:rsidRPr="00B849DC" w:rsidR="007266EB">
        <w:rPr>
          <w:lang w:val="en-GB"/>
        </w:rPr>
        <w:t xml:space="preserve">summary of the relevant part of Supreme Commercial Court </w:t>
      </w:r>
      <w:r w:rsidRPr="00B849DC" w:rsidR="007266EB">
        <w:rPr>
          <w:lang w:val="en-US"/>
        </w:rPr>
        <w:t>Ruling no. 59 of 23</w:t>
      </w:r>
      <w:r w:rsidRPr="00B849DC" w:rsidR="00DE0F59">
        <w:rPr>
          <w:lang w:val="en-US"/>
        </w:rPr>
        <w:t> </w:t>
      </w:r>
      <w:r w:rsidRPr="00B849DC" w:rsidR="007266EB">
        <w:rPr>
          <w:lang w:val="en-US"/>
        </w:rPr>
        <w:t>July 2009</w:t>
      </w:r>
      <w:r w:rsidRPr="00B849DC" w:rsidR="007266EB">
        <w:rPr>
          <w:lang w:val="en-GB"/>
        </w:rPr>
        <w:t>, paragraph </w:t>
      </w:r>
      <w:r w:rsidRPr="00B849DC" w:rsidR="00EA6D4D">
        <w:rPr>
          <w:lang w:val="en-GB"/>
        </w:rPr>
        <w:t>11</w:t>
      </w:r>
      <w:r w:rsidRPr="00B849DC" w:rsidR="005765D5">
        <w:rPr>
          <w:lang w:val="en-GB"/>
        </w:rPr>
        <w:t>5</w:t>
      </w:r>
      <w:r w:rsidRPr="00B849DC" w:rsidR="007266EB">
        <w:rPr>
          <w:lang w:val="en-GB"/>
        </w:rPr>
        <w:t xml:space="preserve"> above). However, he had failed to either petition a commercial court for his claims to be included in the register </w:t>
      </w:r>
      <w:r w:rsidRPr="00B849DC" w:rsidR="000215DC">
        <w:rPr>
          <w:lang w:val="en-GB"/>
        </w:rPr>
        <w:t xml:space="preserve">of creditors </w:t>
      </w:r>
      <w:r w:rsidRPr="00B849DC" w:rsidR="007266EB">
        <w:rPr>
          <w:lang w:val="en-GB"/>
        </w:rPr>
        <w:t>or to challenge the liquidator</w:t>
      </w:r>
      <w:r w:rsidRPr="00B849DC" w:rsidR="00B849DC">
        <w:rPr>
          <w:lang w:val="en-GB"/>
        </w:rPr>
        <w:t>’</w:t>
      </w:r>
      <w:r w:rsidRPr="00B849DC" w:rsidR="007266EB">
        <w:rPr>
          <w:lang w:val="en-GB"/>
        </w:rPr>
        <w:t>s actions.</w:t>
      </w:r>
      <w:r w:rsidRPr="00B849DC" w:rsidR="00CA7035">
        <w:rPr>
          <w:lang w:val="en-GB"/>
        </w:rPr>
        <w:t xml:space="preserve"> </w:t>
      </w:r>
      <w:r w:rsidRPr="00B849DC" w:rsidR="007266EB">
        <w:rPr>
          <w:lang w:val="en-GB"/>
        </w:rPr>
        <w:t xml:space="preserve">Further, he </w:t>
      </w:r>
      <w:r w:rsidRPr="00B849DC" w:rsidR="001B1795">
        <w:rPr>
          <w:lang w:val="en-GB"/>
        </w:rPr>
        <w:t>could have</w:t>
      </w:r>
      <w:r w:rsidRPr="00B849DC" w:rsidR="001B1795">
        <w:rPr>
          <w:i/>
          <w:lang w:val="en-GB"/>
        </w:rPr>
        <w:t xml:space="preserve"> </w:t>
      </w:r>
      <w:r w:rsidRPr="00B849DC" w:rsidR="007266EB">
        <w:rPr>
          <w:lang w:val="en-GB"/>
        </w:rPr>
        <w:t xml:space="preserve">claimed compensation </w:t>
      </w:r>
      <w:r w:rsidRPr="00B849DC" w:rsidR="000215DC">
        <w:rPr>
          <w:lang w:val="en-GB"/>
        </w:rPr>
        <w:t xml:space="preserve">for </w:t>
      </w:r>
      <w:r w:rsidRPr="00B849DC" w:rsidR="007266EB">
        <w:rPr>
          <w:lang w:val="en-GB"/>
        </w:rPr>
        <w:t xml:space="preserve">damage under Articles 1069 and 1070 of the </w:t>
      </w:r>
      <w:r w:rsidRPr="00B849DC" w:rsidR="00DE0F59">
        <w:rPr>
          <w:lang w:val="en-GB"/>
        </w:rPr>
        <w:t>Civil Code</w:t>
      </w:r>
      <w:r w:rsidRPr="00B849DC" w:rsidR="007266EB">
        <w:rPr>
          <w:lang w:val="en-GB"/>
        </w:rPr>
        <w:t>, as well as non-pecuniary damage under Article 151 of the Civil Code</w:t>
      </w:r>
      <w:r w:rsidRPr="00B849DC" w:rsidR="000215DC">
        <w:rPr>
          <w:lang w:val="en-GB"/>
        </w:rPr>
        <w:t>,</w:t>
      </w:r>
      <w:r w:rsidRPr="00B849DC" w:rsidR="007266EB">
        <w:rPr>
          <w:lang w:val="en-GB"/>
        </w:rPr>
        <w:t xml:space="preserve"> </w:t>
      </w:r>
      <w:r w:rsidRPr="00B849DC" w:rsidR="00530608">
        <w:rPr>
          <w:lang w:val="en-GB"/>
        </w:rPr>
        <w:t>or</w:t>
      </w:r>
      <w:r w:rsidRPr="00B849DC" w:rsidR="00CA7035">
        <w:rPr>
          <w:lang w:val="en-GB"/>
        </w:rPr>
        <w:t xml:space="preserve"> lodge an action against the bailiffs, but had omitted to do so.</w:t>
      </w:r>
    </w:p>
    <w:p w:rsidRPr="00B849DC" w:rsidR="009C2CDC" w:rsidP="00B849DC" w:rsidRDefault="00F90623">
      <w:pPr>
        <w:pStyle w:val="ECHRPara"/>
        <w:rPr>
          <w:lang w:val="en-GB"/>
        </w:rPr>
      </w:pPr>
      <w:r w:rsidRPr="00B849DC">
        <w:rPr>
          <w:lang w:val="en-GB"/>
        </w:rPr>
        <w:fldChar w:fldCharType="begin"/>
      </w:r>
      <w:r w:rsidRPr="00B849DC">
        <w:rPr>
          <w:lang w:val="en-GB"/>
        </w:rPr>
        <w:instrText xml:space="preserve"> SEQ level0 \*arabic </w:instrText>
      </w:r>
      <w:r w:rsidRPr="00B849DC">
        <w:rPr>
          <w:lang w:val="en-GB"/>
        </w:rPr>
        <w:fldChar w:fldCharType="separate"/>
      </w:r>
      <w:r w:rsidRPr="00B849DC" w:rsidR="00B849DC">
        <w:rPr>
          <w:noProof/>
          <w:lang w:val="en-GB"/>
        </w:rPr>
        <w:t>146</w:t>
      </w:r>
      <w:r w:rsidRPr="00B849DC">
        <w:rPr>
          <w:lang w:val="en-GB"/>
        </w:rPr>
        <w:fldChar w:fldCharType="end"/>
      </w:r>
      <w:r w:rsidRPr="00B849DC">
        <w:rPr>
          <w:lang w:val="en-GB"/>
        </w:rPr>
        <w:t>.  </w:t>
      </w:r>
      <w:r w:rsidRPr="00B849DC" w:rsidR="009C2CDC">
        <w:rPr>
          <w:lang w:val="en-GB"/>
        </w:rPr>
        <w:t>In reply to the Court</w:t>
      </w:r>
      <w:r w:rsidRPr="00B849DC" w:rsidR="00B849DC">
        <w:rPr>
          <w:lang w:val="en-GB"/>
        </w:rPr>
        <w:t>’</w:t>
      </w:r>
      <w:r w:rsidRPr="00B849DC" w:rsidR="009C2CDC">
        <w:rPr>
          <w:lang w:val="en-GB"/>
        </w:rPr>
        <w:t xml:space="preserve">s specific question they submitted that the Compensation Act </w:t>
      </w:r>
      <w:r w:rsidRPr="00B849DC">
        <w:rPr>
          <w:lang w:val="en-GB"/>
        </w:rPr>
        <w:t>(see paragraph </w:t>
      </w:r>
      <w:r w:rsidRPr="00B849DC" w:rsidR="005765D5">
        <w:rPr>
          <w:lang w:val="en-GB"/>
        </w:rPr>
        <w:t>116</w:t>
      </w:r>
      <w:r w:rsidRPr="00B849DC">
        <w:rPr>
          <w:lang w:val="en-GB"/>
        </w:rPr>
        <w:t xml:space="preserve"> above) </w:t>
      </w:r>
      <w:r w:rsidRPr="00B849DC" w:rsidR="009C2CDC">
        <w:rPr>
          <w:lang w:val="en-GB"/>
        </w:rPr>
        <w:t>was not applicable to the cases where a domestic judgment was given against a State or municipal unitary company having the right of economic control.</w:t>
      </w:r>
    </w:p>
    <w:p w:rsidRPr="00B849DC" w:rsidR="00A56821" w:rsidP="00B849DC" w:rsidRDefault="00A56821">
      <w:pPr>
        <w:pStyle w:val="ECHRHeading4"/>
        <w:rPr>
          <w:lang w:val="en-US"/>
        </w:rPr>
      </w:pPr>
      <w:r w:rsidRPr="00B849DC">
        <w:rPr>
          <w:lang w:val="en-US"/>
        </w:rPr>
        <w:t>(c)  Other points raised by the Government</w:t>
      </w:r>
    </w:p>
    <w:p w:rsidRPr="00B849DC" w:rsidR="00CB74CB" w:rsidP="00B849DC" w:rsidRDefault="00CB74CB">
      <w:pPr>
        <w:pStyle w:val="ECHRPara"/>
        <w:rPr>
          <w:lang w:val="en-GB"/>
        </w:rPr>
      </w:pPr>
      <w:r w:rsidRPr="00B849DC">
        <w:rPr>
          <w:lang w:val="en-GB"/>
        </w:rPr>
        <w:fldChar w:fldCharType="begin"/>
      </w:r>
      <w:r w:rsidRPr="00B849DC">
        <w:rPr>
          <w:lang w:val="en-GB"/>
        </w:rPr>
        <w:instrText xml:space="preserve"> SEQ level0 \*arabic </w:instrText>
      </w:r>
      <w:r w:rsidRPr="00B849DC">
        <w:rPr>
          <w:lang w:val="en-GB"/>
        </w:rPr>
        <w:fldChar w:fldCharType="separate"/>
      </w:r>
      <w:r w:rsidRPr="00B849DC" w:rsidR="00B849DC">
        <w:rPr>
          <w:noProof/>
          <w:lang w:val="en-GB"/>
        </w:rPr>
        <w:t>147</w:t>
      </w:r>
      <w:r w:rsidRPr="00B849DC">
        <w:rPr>
          <w:lang w:val="en-GB"/>
        </w:rPr>
        <w:fldChar w:fldCharType="end"/>
      </w:r>
      <w:r w:rsidRPr="00B849DC">
        <w:rPr>
          <w:lang w:val="en-GB"/>
        </w:rPr>
        <w:t>.  </w:t>
      </w:r>
      <w:r w:rsidRPr="00B849DC" w:rsidR="00F90623">
        <w:rPr>
          <w:lang w:val="en-GB"/>
        </w:rPr>
        <w:t>Finally, in</w:t>
      </w:r>
      <w:r w:rsidRPr="00B849DC">
        <w:rPr>
          <w:lang w:val="en-GB"/>
        </w:rPr>
        <w:t xml:space="preserve"> case of Ms Liseytseva they argued that two of the judgments in her favour had been issued when the insolvency proceedings had been</w:t>
      </w:r>
      <w:r w:rsidRPr="00B849DC" w:rsidR="00797EFB">
        <w:rPr>
          <w:lang w:val="en-GB"/>
        </w:rPr>
        <w:t xml:space="preserve"> in progress. Therefore, she</w:t>
      </w:r>
      <w:r w:rsidRPr="00B849DC">
        <w:rPr>
          <w:lang w:val="en-GB"/>
        </w:rPr>
        <w:t xml:space="preserve"> had been fully aware of the financial situation of the debtor </w:t>
      </w:r>
      <w:r w:rsidRPr="00B849DC" w:rsidR="000215DC">
        <w:rPr>
          <w:lang w:val="en-GB"/>
        </w:rPr>
        <w:t xml:space="preserve">company </w:t>
      </w:r>
      <w:r w:rsidRPr="00B849DC">
        <w:rPr>
          <w:lang w:val="en-GB"/>
        </w:rPr>
        <w:t>and could not have had a legitimate expectation to have the judgments enforced. Further, she had not forwarded the writ of execution in respect of the judgment of 25 November 2003 to the bailiffs.</w:t>
      </w:r>
    </w:p>
    <w:p w:rsidRPr="00B849DC" w:rsidR="0064309D" w:rsidP="00B849DC" w:rsidRDefault="0064309D">
      <w:pPr>
        <w:pStyle w:val="ECHRHeading3"/>
        <w:rPr>
          <w:lang w:val="en-US"/>
        </w:rPr>
      </w:pPr>
      <w:r w:rsidRPr="00B849DC">
        <w:rPr>
          <w:lang w:val="en-US"/>
        </w:rPr>
        <w:t>2.  The applicants</w:t>
      </w:r>
    </w:p>
    <w:p w:rsidRPr="00B849DC" w:rsidR="003964D4" w:rsidP="00B849DC" w:rsidRDefault="0064309D">
      <w:pPr>
        <w:pStyle w:val="ECHRPara"/>
        <w:rPr>
          <w:lang w:val="en-US"/>
        </w:rPr>
      </w:pPr>
      <w:r w:rsidRPr="00B849DC">
        <w:fldChar w:fldCharType="begin"/>
      </w:r>
      <w:r w:rsidRPr="00B849DC">
        <w:rPr>
          <w:lang w:val="en-US"/>
        </w:rPr>
        <w:instrText xml:space="preserve"> SEQ level0 \*arabic </w:instrText>
      </w:r>
      <w:r w:rsidRPr="00B849DC">
        <w:fldChar w:fldCharType="separate"/>
      </w:r>
      <w:r w:rsidRPr="00B849DC" w:rsidR="00B849DC">
        <w:rPr>
          <w:noProof/>
          <w:lang w:val="en-US"/>
        </w:rPr>
        <w:t>148</w:t>
      </w:r>
      <w:r w:rsidRPr="00B849DC">
        <w:fldChar w:fldCharType="end"/>
      </w:r>
      <w:r w:rsidRPr="00B849DC">
        <w:rPr>
          <w:lang w:val="en-US"/>
        </w:rPr>
        <w:t>.  Ms Liseyt</w:t>
      </w:r>
      <w:r w:rsidRPr="00B849DC" w:rsidR="00A66653">
        <w:rPr>
          <w:lang w:val="en-US"/>
        </w:rPr>
        <w:t>s</w:t>
      </w:r>
      <w:r w:rsidRPr="00B849DC">
        <w:rPr>
          <w:lang w:val="en-US"/>
        </w:rPr>
        <w:t xml:space="preserve">eva maintained </w:t>
      </w:r>
      <w:r w:rsidRPr="00B849DC" w:rsidR="003964D4">
        <w:rPr>
          <w:lang w:val="en-US"/>
        </w:rPr>
        <w:t>that the debtor company was, in fact, a State</w:t>
      </w:r>
      <w:r w:rsidRPr="00B849DC" w:rsidR="00A779F4">
        <w:rPr>
          <w:lang w:val="en-US"/>
        </w:rPr>
        <w:noBreakHyphen/>
      </w:r>
      <w:r w:rsidRPr="00B849DC" w:rsidR="003964D4">
        <w:rPr>
          <w:lang w:val="en-US"/>
        </w:rPr>
        <w:t xml:space="preserve">run enterprise controlled by the local administration. First, by </w:t>
      </w:r>
      <w:r w:rsidRPr="00B849DC" w:rsidR="000215DC">
        <w:rPr>
          <w:lang w:val="en-US"/>
        </w:rPr>
        <w:t xml:space="preserve">failing </w:t>
      </w:r>
      <w:r w:rsidRPr="00B849DC" w:rsidR="003964D4">
        <w:rPr>
          <w:lang w:val="en-US"/>
        </w:rPr>
        <w:t xml:space="preserve">to honour its obligations under the agreements existing between the </w:t>
      </w:r>
      <w:r w:rsidRPr="00B849DC" w:rsidR="000215DC">
        <w:rPr>
          <w:lang w:val="en-US"/>
        </w:rPr>
        <w:t xml:space="preserve">company </w:t>
      </w:r>
      <w:r w:rsidRPr="00B849DC" w:rsidR="003964D4">
        <w:rPr>
          <w:lang w:val="en-US"/>
        </w:rPr>
        <w:t>and various State bodies (see paragraph </w:t>
      </w:r>
      <w:r w:rsidRPr="00B849DC" w:rsidR="00DE0F59">
        <w:rPr>
          <w:lang w:val="en-US"/>
        </w:rPr>
        <w:t>9</w:t>
      </w:r>
      <w:r w:rsidRPr="00B849DC" w:rsidR="003964D4">
        <w:rPr>
          <w:lang w:val="en-US"/>
        </w:rPr>
        <w:t xml:space="preserve"> above), the State had contributed to the company</w:t>
      </w:r>
      <w:r w:rsidRPr="00B849DC" w:rsidR="00B849DC">
        <w:rPr>
          <w:lang w:val="en-US"/>
        </w:rPr>
        <w:t>’</w:t>
      </w:r>
      <w:r w:rsidRPr="00B849DC" w:rsidR="003964D4">
        <w:rPr>
          <w:lang w:val="en-US"/>
        </w:rPr>
        <w:t>s insolvency</w:t>
      </w:r>
      <w:r w:rsidRPr="00B849DC" w:rsidR="00712220">
        <w:rPr>
          <w:lang w:val="en-US"/>
        </w:rPr>
        <w:t xml:space="preserve"> to a decisive extent</w:t>
      </w:r>
      <w:r w:rsidRPr="00B849DC" w:rsidR="003964D4">
        <w:rPr>
          <w:lang w:val="en-US"/>
        </w:rPr>
        <w:t xml:space="preserve">. </w:t>
      </w:r>
      <w:r w:rsidRPr="00B849DC" w:rsidR="00E17795">
        <w:rPr>
          <w:lang w:val="en-US"/>
        </w:rPr>
        <w:t xml:space="preserve">Second, </w:t>
      </w:r>
      <w:r w:rsidRPr="00B849DC" w:rsidR="000215DC">
        <w:rPr>
          <w:lang w:val="en-US"/>
        </w:rPr>
        <w:t>the company</w:t>
      </w:r>
      <w:r w:rsidRPr="00B849DC" w:rsidR="00B849DC">
        <w:rPr>
          <w:lang w:val="en-US"/>
        </w:rPr>
        <w:t>’</w:t>
      </w:r>
      <w:r w:rsidRPr="00B849DC" w:rsidR="000215DC">
        <w:rPr>
          <w:lang w:val="en-US"/>
        </w:rPr>
        <w:t xml:space="preserve">s </w:t>
      </w:r>
      <w:r w:rsidRPr="00B849DC" w:rsidR="003964D4">
        <w:rPr>
          <w:lang w:val="en-US"/>
        </w:rPr>
        <w:t xml:space="preserve">liquidation was ordered by the authorities. Moreover, the administration had </w:t>
      </w:r>
      <w:r w:rsidRPr="00B849DC" w:rsidR="00E17795">
        <w:rPr>
          <w:lang w:val="en-US"/>
        </w:rPr>
        <w:t>transferred the company</w:t>
      </w:r>
      <w:r w:rsidRPr="00B849DC" w:rsidR="00B849DC">
        <w:rPr>
          <w:lang w:val="en-US"/>
        </w:rPr>
        <w:t>’</w:t>
      </w:r>
      <w:r w:rsidRPr="00B849DC" w:rsidR="003964D4">
        <w:rPr>
          <w:lang w:val="en-US"/>
        </w:rPr>
        <w:t xml:space="preserve">s property to </w:t>
      </w:r>
      <w:r w:rsidRPr="00B849DC" w:rsidR="00E17795">
        <w:rPr>
          <w:lang w:val="en-US"/>
        </w:rPr>
        <w:t>the</w:t>
      </w:r>
      <w:r w:rsidRPr="00B849DC" w:rsidR="003964D4">
        <w:rPr>
          <w:lang w:val="en-US"/>
        </w:rPr>
        <w:t xml:space="preserve"> newly</w:t>
      </w:r>
      <w:r w:rsidRPr="00B849DC" w:rsidR="00105275">
        <w:rPr>
          <w:lang w:val="en-US"/>
        </w:rPr>
        <w:t xml:space="preserve"> </w:t>
      </w:r>
      <w:r w:rsidRPr="00B849DC" w:rsidR="003964D4">
        <w:rPr>
          <w:lang w:val="en-US"/>
        </w:rPr>
        <w:t>created MUP “Avto</w:t>
      </w:r>
      <w:r w:rsidRPr="00B849DC" w:rsidR="00B066FA">
        <w:rPr>
          <w:lang w:val="en-US"/>
        </w:rPr>
        <w:t>k</w:t>
      </w:r>
      <w:r w:rsidRPr="00B849DC" w:rsidR="003964D4">
        <w:rPr>
          <w:lang w:val="en-US"/>
        </w:rPr>
        <w:t>olonna 1126 plus”</w:t>
      </w:r>
      <w:r w:rsidRPr="00B849DC" w:rsidR="00EA086E">
        <w:rPr>
          <w:lang w:val="en-US"/>
        </w:rPr>
        <w:t>,</w:t>
      </w:r>
      <w:r w:rsidRPr="00B849DC" w:rsidR="003964D4">
        <w:rPr>
          <w:lang w:val="en-US"/>
        </w:rPr>
        <w:t xml:space="preserve"> which performed exactly the same functions, so that the newly</w:t>
      </w:r>
      <w:r w:rsidRPr="00B849DC" w:rsidR="00105275">
        <w:rPr>
          <w:lang w:val="en-US"/>
        </w:rPr>
        <w:t xml:space="preserve"> </w:t>
      </w:r>
      <w:r w:rsidRPr="00B849DC" w:rsidR="003964D4">
        <w:rPr>
          <w:lang w:val="en-US"/>
        </w:rPr>
        <w:t>created company had obtained the debtor</w:t>
      </w:r>
      <w:r w:rsidRPr="00B849DC" w:rsidR="00B849DC">
        <w:rPr>
          <w:lang w:val="en-US"/>
        </w:rPr>
        <w:t>’</w:t>
      </w:r>
      <w:r w:rsidRPr="00B849DC" w:rsidR="003964D4">
        <w:rPr>
          <w:lang w:val="en-US"/>
        </w:rPr>
        <w:t xml:space="preserve">s assets, whilst the aggregated debt to the employees had remained with </w:t>
      </w:r>
      <w:r w:rsidRPr="00B849DC" w:rsidR="00712220">
        <w:rPr>
          <w:lang w:val="en-US"/>
        </w:rPr>
        <w:t xml:space="preserve">her </w:t>
      </w:r>
      <w:r w:rsidRPr="00B849DC" w:rsidR="003964D4">
        <w:rPr>
          <w:lang w:val="en-US"/>
        </w:rPr>
        <w:t xml:space="preserve">employer. </w:t>
      </w:r>
      <w:r w:rsidRPr="00B849DC" w:rsidR="00CA69B2">
        <w:rPr>
          <w:lang w:val="en-US"/>
        </w:rPr>
        <w:t>Therefore, the</w:t>
      </w:r>
      <w:r w:rsidRPr="00B849DC" w:rsidR="003964D4">
        <w:rPr>
          <w:lang w:val="en-US"/>
        </w:rPr>
        <w:t xml:space="preserve"> local administration was liable for the debts of the company. She submitted copies of the writs of execution in respect of the three judgments in her favour, each of them containing notes by the liquidator and information on the amounts paid against those documents.</w:t>
      </w:r>
    </w:p>
    <w:p w:rsidRPr="00B849DC" w:rsidR="00CA087B" w:rsidP="00B849DC" w:rsidRDefault="0064309D">
      <w:pPr>
        <w:pStyle w:val="ECHRPara"/>
        <w:rPr>
          <w:lang w:val="en-US"/>
        </w:rPr>
      </w:pPr>
      <w:r w:rsidRPr="00B849DC">
        <w:rPr>
          <w:lang w:val="en-US"/>
        </w:rPr>
        <w:fldChar w:fldCharType="begin"/>
      </w:r>
      <w:r w:rsidRPr="00B849DC">
        <w:rPr>
          <w:lang w:val="en-US"/>
        </w:rPr>
        <w:instrText xml:space="preserve"> SEQ level0 \*arabic </w:instrText>
      </w:r>
      <w:r w:rsidRPr="00B849DC">
        <w:rPr>
          <w:lang w:val="en-US"/>
        </w:rPr>
        <w:fldChar w:fldCharType="separate"/>
      </w:r>
      <w:r w:rsidRPr="00B849DC" w:rsidR="00B849DC">
        <w:rPr>
          <w:noProof/>
          <w:lang w:val="en-US"/>
        </w:rPr>
        <w:t>149</w:t>
      </w:r>
      <w:r w:rsidRPr="00B849DC">
        <w:rPr>
          <w:lang w:val="en-US"/>
        </w:rPr>
        <w:fldChar w:fldCharType="end"/>
      </w:r>
      <w:r w:rsidRPr="00B849DC">
        <w:rPr>
          <w:lang w:val="en-US"/>
        </w:rPr>
        <w:t xml:space="preserve">.  Mr Maslov argued that </w:t>
      </w:r>
      <w:r w:rsidRPr="00B849DC" w:rsidR="00A16620">
        <w:rPr>
          <w:lang w:val="en-US"/>
        </w:rPr>
        <w:t>the</w:t>
      </w:r>
      <w:r w:rsidRPr="00B849DC" w:rsidR="003964D4">
        <w:rPr>
          <w:lang w:val="en-US"/>
        </w:rPr>
        <w:t xml:space="preserve"> </w:t>
      </w:r>
      <w:r w:rsidRPr="00B849DC" w:rsidR="00A16620">
        <w:rPr>
          <w:lang w:val="en-US"/>
        </w:rPr>
        <w:t xml:space="preserve">district administration had </w:t>
      </w:r>
      <w:r w:rsidRPr="00B849DC" w:rsidR="000B1E96">
        <w:rPr>
          <w:lang w:val="en-US"/>
        </w:rPr>
        <w:t>“</w:t>
      </w:r>
      <w:r w:rsidRPr="00B849DC" w:rsidR="00EA086E">
        <w:rPr>
          <w:lang w:val="en-US"/>
        </w:rPr>
        <w:t>controlled</w:t>
      </w:r>
      <w:r w:rsidRPr="00B849DC" w:rsidR="000B1E96">
        <w:rPr>
          <w:lang w:val="en-US"/>
        </w:rPr>
        <w:t>”</w:t>
      </w:r>
      <w:r w:rsidRPr="00B849DC" w:rsidR="00EA086E">
        <w:rPr>
          <w:lang w:val="en-US"/>
        </w:rPr>
        <w:t xml:space="preserve"> </w:t>
      </w:r>
      <w:r w:rsidRPr="00B849DC" w:rsidR="00A16620">
        <w:rPr>
          <w:lang w:val="en-US"/>
        </w:rPr>
        <w:t xml:space="preserve">the </w:t>
      </w:r>
      <w:r w:rsidRPr="00B849DC" w:rsidR="000B1E96">
        <w:rPr>
          <w:lang w:val="en-US"/>
        </w:rPr>
        <w:t xml:space="preserve">company which employed him </w:t>
      </w:r>
      <w:r w:rsidRPr="00B849DC" w:rsidR="00A16620">
        <w:rPr>
          <w:lang w:val="en-US"/>
        </w:rPr>
        <w:t xml:space="preserve">within the meaning of </w:t>
      </w:r>
      <w:r w:rsidRPr="00B849DC" w:rsidR="00A84761">
        <w:rPr>
          <w:lang w:val="en-US"/>
        </w:rPr>
        <w:t>section </w:t>
      </w:r>
      <w:r w:rsidRPr="00B849DC" w:rsidR="00A16620">
        <w:rPr>
          <w:lang w:val="en-US"/>
        </w:rPr>
        <w:t>10</w:t>
      </w:r>
      <w:r w:rsidRPr="00B849DC" w:rsidR="00A84761">
        <w:rPr>
          <w:lang w:val="en-US"/>
        </w:rPr>
        <w:t>(</w:t>
      </w:r>
      <w:r w:rsidRPr="00B849DC" w:rsidR="00A16620">
        <w:rPr>
          <w:lang w:val="en-US"/>
        </w:rPr>
        <w:t>4</w:t>
      </w:r>
      <w:r w:rsidRPr="00B849DC" w:rsidR="00A84761">
        <w:rPr>
          <w:lang w:val="en-US"/>
        </w:rPr>
        <w:t>)</w:t>
      </w:r>
      <w:r w:rsidRPr="00B849DC" w:rsidR="00A16620">
        <w:rPr>
          <w:lang w:val="en-US"/>
        </w:rPr>
        <w:t xml:space="preserve"> of the </w:t>
      </w:r>
      <w:r w:rsidRPr="00B849DC" w:rsidR="00EA086E">
        <w:rPr>
          <w:lang w:val="en-US"/>
        </w:rPr>
        <w:t>Insolvency</w:t>
      </w:r>
      <w:r w:rsidRPr="00B849DC" w:rsidR="00A16620">
        <w:rPr>
          <w:lang w:val="en-US"/>
        </w:rPr>
        <w:t xml:space="preserve"> Act (see paragraph </w:t>
      </w:r>
      <w:r w:rsidRPr="00B849DC" w:rsidR="00EA6D4D">
        <w:rPr>
          <w:lang w:val="en-US"/>
        </w:rPr>
        <w:t>100</w:t>
      </w:r>
      <w:r w:rsidRPr="00B849DC" w:rsidR="00A16620">
        <w:rPr>
          <w:lang w:val="en-US"/>
        </w:rPr>
        <w:t xml:space="preserve"> above). The </w:t>
      </w:r>
      <w:r w:rsidRPr="00B849DC" w:rsidR="00E17795">
        <w:rPr>
          <w:lang w:val="en-US"/>
        </w:rPr>
        <w:t>administration</w:t>
      </w:r>
      <w:r w:rsidRPr="00B849DC" w:rsidR="00B849DC">
        <w:rPr>
          <w:lang w:val="en-US"/>
        </w:rPr>
        <w:t>’</w:t>
      </w:r>
      <w:r w:rsidRPr="00B849DC" w:rsidR="00205B56">
        <w:rPr>
          <w:lang w:val="en-US"/>
        </w:rPr>
        <w:t>s decision</w:t>
      </w:r>
      <w:r w:rsidRPr="00B849DC" w:rsidR="00E17795">
        <w:rPr>
          <w:lang w:val="en-US"/>
        </w:rPr>
        <w:t xml:space="preserve"> to liquidate the company was the only reason for </w:t>
      </w:r>
      <w:r w:rsidRPr="00B849DC" w:rsidR="00205B56">
        <w:rPr>
          <w:lang w:val="en-US"/>
        </w:rPr>
        <w:t xml:space="preserve">the </w:t>
      </w:r>
      <w:r w:rsidRPr="00B849DC" w:rsidR="00A779F4">
        <w:rPr>
          <w:lang w:val="en-US"/>
        </w:rPr>
        <w:t>non</w:t>
      </w:r>
      <w:r w:rsidRPr="00B849DC" w:rsidR="00A779F4">
        <w:rPr>
          <w:lang w:val="en-US"/>
        </w:rPr>
        <w:noBreakHyphen/>
      </w:r>
      <w:r w:rsidRPr="00B849DC" w:rsidR="00E17795">
        <w:rPr>
          <w:lang w:val="en-US"/>
        </w:rPr>
        <w:t xml:space="preserve">enforcement of the judgment in his favour. </w:t>
      </w:r>
      <w:r w:rsidRPr="00B849DC" w:rsidR="00A16620">
        <w:rPr>
          <w:lang w:val="en-US"/>
        </w:rPr>
        <w:t>The local authority failed to demonstrate in court that it acted reasonably and in the interests of the debtor enterprise</w:t>
      </w:r>
      <w:r w:rsidRPr="00B849DC" w:rsidR="00205B56">
        <w:rPr>
          <w:lang w:val="en-US"/>
        </w:rPr>
        <w:t xml:space="preserve">, as required by the </w:t>
      </w:r>
      <w:r w:rsidRPr="00B849DC" w:rsidR="00EA086E">
        <w:rPr>
          <w:lang w:val="en-US"/>
        </w:rPr>
        <w:t>same provision</w:t>
      </w:r>
      <w:r w:rsidRPr="00B849DC" w:rsidR="00A16620">
        <w:rPr>
          <w:lang w:val="en-US"/>
        </w:rPr>
        <w:t>.</w:t>
      </w:r>
      <w:r w:rsidRPr="00B849DC" w:rsidR="00E17795">
        <w:rPr>
          <w:lang w:val="en-US"/>
        </w:rPr>
        <w:t xml:space="preserve"> Hence, it was liable for the company</w:t>
      </w:r>
      <w:r w:rsidRPr="00B849DC" w:rsidR="00B849DC">
        <w:rPr>
          <w:lang w:val="en-US"/>
        </w:rPr>
        <w:t>’</w:t>
      </w:r>
      <w:r w:rsidRPr="00B849DC" w:rsidR="00E17795">
        <w:rPr>
          <w:lang w:val="en-US"/>
        </w:rPr>
        <w:t>s debts.</w:t>
      </w:r>
      <w:r w:rsidRPr="00B849DC" w:rsidR="00142C74">
        <w:rPr>
          <w:lang w:val="en-US"/>
        </w:rPr>
        <w:t xml:space="preserve"> </w:t>
      </w:r>
      <w:r w:rsidRPr="00B849DC" w:rsidR="00205B56">
        <w:rPr>
          <w:lang w:val="en-US"/>
        </w:rPr>
        <w:t>Regarding</w:t>
      </w:r>
      <w:r w:rsidRPr="00B849DC" w:rsidR="00142C74">
        <w:rPr>
          <w:lang w:val="en-US"/>
        </w:rPr>
        <w:t xml:space="preserve"> the Government</w:t>
      </w:r>
      <w:r w:rsidRPr="00B849DC" w:rsidR="00B849DC">
        <w:rPr>
          <w:lang w:val="en-US"/>
        </w:rPr>
        <w:t>’</w:t>
      </w:r>
      <w:r w:rsidRPr="00B849DC" w:rsidR="00142C74">
        <w:rPr>
          <w:lang w:val="en-US"/>
        </w:rPr>
        <w:t xml:space="preserve">s objection as to his failure to bring a court action to have his claims included in the register of creditors under </w:t>
      </w:r>
      <w:r w:rsidRPr="00B849DC" w:rsidR="006E03CE">
        <w:rPr>
          <w:lang w:val="en-US"/>
        </w:rPr>
        <w:t xml:space="preserve">section </w:t>
      </w:r>
      <w:r w:rsidRPr="00B849DC" w:rsidR="00142C74">
        <w:rPr>
          <w:lang w:val="en-US"/>
        </w:rPr>
        <w:t>142</w:t>
      </w:r>
      <w:r w:rsidRPr="00B849DC" w:rsidR="006E03CE">
        <w:rPr>
          <w:lang w:val="en-US"/>
        </w:rPr>
        <w:t>(</w:t>
      </w:r>
      <w:r w:rsidRPr="00B849DC" w:rsidR="00142C74">
        <w:rPr>
          <w:lang w:val="en-US"/>
        </w:rPr>
        <w:t>1</w:t>
      </w:r>
      <w:r w:rsidRPr="00B849DC" w:rsidR="006E03CE">
        <w:rPr>
          <w:lang w:val="en-US"/>
        </w:rPr>
        <w:t>)</w:t>
      </w:r>
      <w:r w:rsidRPr="00B849DC" w:rsidR="00142C74">
        <w:rPr>
          <w:lang w:val="en-US"/>
        </w:rPr>
        <w:t xml:space="preserve"> of the </w:t>
      </w:r>
      <w:r w:rsidRPr="00B849DC" w:rsidR="00C81CD3">
        <w:rPr>
          <w:lang w:val="en-US"/>
        </w:rPr>
        <w:t>Insolvency</w:t>
      </w:r>
      <w:r w:rsidRPr="00B849DC" w:rsidR="00142C74">
        <w:rPr>
          <w:lang w:val="en-US"/>
        </w:rPr>
        <w:t xml:space="preserve"> Act, he submitted that, first, his claims concerned “current payments” and therefore they </w:t>
      </w:r>
      <w:r w:rsidRPr="00B849DC" w:rsidR="00EA086E">
        <w:rPr>
          <w:lang w:val="en-US"/>
        </w:rPr>
        <w:t xml:space="preserve">could </w:t>
      </w:r>
      <w:r w:rsidRPr="00B849DC" w:rsidR="00142C74">
        <w:rPr>
          <w:lang w:val="en-US"/>
        </w:rPr>
        <w:t xml:space="preserve">not, in principle, have been included in the respective register and he could not be a party to the liquidation proceedings (see, for the respective provisions of the Insolvency Act, </w:t>
      </w:r>
      <w:r w:rsidRPr="00B849DC" w:rsidR="00EA6D4D">
        <w:rPr>
          <w:lang w:val="en-US"/>
        </w:rPr>
        <w:t xml:space="preserve">paragraphs 90-91 </w:t>
      </w:r>
      <w:r w:rsidRPr="00B849DC" w:rsidR="00142C74">
        <w:rPr>
          <w:lang w:val="en-US"/>
        </w:rPr>
        <w:t>above). In any event, his claims were at some point included in the register of creditors (see paragraph </w:t>
      </w:r>
      <w:r w:rsidRPr="00B849DC" w:rsidR="00DE0F59">
        <w:rPr>
          <w:lang w:val="en-US"/>
        </w:rPr>
        <w:t>42</w:t>
      </w:r>
      <w:r w:rsidRPr="00B849DC" w:rsidR="00142C74">
        <w:rPr>
          <w:lang w:val="en-US"/>
        </w:rPr>
        <w:t xml:space="preserve"> above).</w:t>
      </w:r>
    </w:p>
    <w:p w:rsidRPr="00B849DC" w:rsidR="00CA087B" w:rsidP="00B849DC" w:rsidRDefault="009C2CDC">
      <w:pPr>
        <w:pStyle w:val="ECHRPara"/>
        <w:rPr>
          <w:lang w:val="en-US"/>
        </w:rPr>
      </w:pPr>
      <w:r w:rsidRPr="00B849DC">
        <w:fldChar w:fldCharType="begin"/>
      </w:r>
      <w:r w:rsidRPr="00B849DC">
        <w:rPr>
          <w:lang w:val="en-US"/>
        </w:rPr>
        <w:instrText xml:space="preserve"> SEQ level0 \*arabic </w:instrText>
      </w:r>
      <w:r w:rsidRPr="00B849DC">
        <w:fldChar w:fldCharType="separate"/>
      </w:r>
      <w:r w:rsidRPr="00B849DC" w:rsidR="00B849DC">
        <w:rPr>
          <w:noProof/>
          <w:lang w:val="en-US"/>
        </w:rPr>
        <w:t>150</w:t>
      </w:r>
      <w:r w:rsidRPr="00B849DC">
        <w:fldChar w:fldCharType="end"/>
      </w:r>
      <w:r w:rsidRPr="00B849DC">
        <w:rPr>
          <w:lang w:val="en-US"/>
        </w:rPr>
        <w:t>.  The applicants further emphasised that the proceedings for subsidiary liability brought by them had proved ineff</w:t>
      </w:r>
      <w:r w:rsidRPr="00B849DC" w:rsidR="008C3AA2">
        <w:rPr>
          <w:lang w:val="en-US"/>
        </w:rPr>
        <w:t>ective. Mr </w:t>
      </w:r>
      <w:r w:rsidRPr="00B849DC">
        <w:rPr>
          <w:lang w:val="en-US"/>
        </w:rPr>
        <w:t xml:space="preserve">Maslov argued, referring to section 10 of the Insolvency Act as in force at the material </w:t>
      </w:r>
      <w:proofErr w:type="gramStart"/>
      <w:r w:rsidRPr="00B849DC">
        <w:rPr>
          <w:lang w:val="en-US"/>
        </w:rPr>
        <w:t>time, that</w:t>
      </w:r>
      <w:proofErr w:type="gramEnd"/>
      <w:r w:rsidRPr="00B849DC">
        <w:rPr>
          <w:lang w:val="en-US"/>
        </w:rPr>
        <w:t xml:space="preserve"> he could not have been required to prove the owner</w:t>
      </w:r>
      <w:r w:rsidRPr="00B849DC" w:rsidR="00B849DC">
        <w:rPr>
          <w:lang w:val="en-US"/>
        </w:rPr>
        <w:t>’</w:t>
      </w:r>
      <w:r w:rsidRPr="00B849DC">
        <w:rPr>
          <w:lang w:val="en-US"/>
        </w:rPr>
        <w:t>s fault in the subsidiary liability proceedings. According to the applicants, though the relevant facts were established by the domestic courts, in each case they reached the conclusion that the debtors</w:t>
      </w:r>
      <w:r w:rsidRPr="00B849DC" w:rsidR="00B849DC">
        <w:rPr>
          <w:lang w:val="en-US"/>
        </w:rPr>
        <w:t>’</w:t>
      </w:r>
      <w:r w:rsidRPr="00B849DC">
        <w:rPr>
          <w:lang w:val="en-US"/>
        </w:rPr>
        <w:t xml:space="preserve"> insolvency had occurred through no fault of the owners.</w:t>
      </w:r>
    </w:p>
    <w:p w:rsidRPr="00B849DC" w:rsidR="00F71A6A" w:rsidP="00B849DC" w:rsidRDefault="00F71A6A">
      <w:pPr>
        <w:pStyle w:val="ECHRHeading2"/>
        <w:outlineLvl w:val="0"/>
        <w:rPr>
          <w:lang w:val="en-GB"/>
        </w:rPr>
      </w:pPr>
      <w:r w:rsidRPr="00B849DC">
        <w:rPr>
          <w:lang w:val="en-GB"/>
        </w:rPr>
        <w:t>B.  </w:t>
      </w:r>
      <w:r w:rsidRPr="00B849DC" w:rsidR="00A740C8">
        <w:rPr>
          <w:lang w:val="en-GB"/>
        </w:rPr>
        <w:t>Admissibility</w:t>
      </w:r>
    </w:p>
    <w:p w:rsidRPr="00B849DC" w:rsidR="00A740C8" w:rsidP="00B849DC" w:rsidRDefault="00A740C8">
      <w:pPr>
        <w:pStyle w:val="ECHRHeading3"/>
        <w:rPr>
          <w:lang w:val="en-US"/>
        </w:rPr>
      </w:pPr>
      <w:r w:rsidRPr="00B849DC">
        <w:rPr>
          <w:lang w:val="en-US"/>
        </w:rPr>
        <w:t>1.  Compatibility ratione personae (municipalities as public authorities)</w:t>
      </w:r>
    </w:p>
    <w:p w:rsidRPr="00B849DC" w:rsidR="00A740C8" w:rsidP="00B849DC" w:rsidRDefault="00A740C8">
      <w:pPr>
        <w:pStyle w:val="ECHRPara"/>
        <w:rPr>
          <w:i/>
          <w:lang w:val="en-GB"/>
        </w:rPr>
      </w:pPr>
      <w:r w:rsidRPr="00B849DC">
        <w:rPr>
          <w:lang w:val="en-US"/>
        </w:rPr>
        <w:fldChar w:fldCharType="begin"/>
      </w:r>
      <w:r w:rsidRPr="00B849DC">
        <w:rPr>
          <w:lang w:val="en-US"/>
        </w:rPr>
        <w:instrText xml:space="preserve"> SEQ level0 \*arabic </w:instrText>
      </w:r>
      <w:r w:rsidRPr="00B849DC">
        <w:rPr>
          <w:lang w:val="en-US"/>
        </w:rPr>
        <w:fldChar w:fldCharType="separate"/>
      </w:r>
      <w:r w:rsidRPr="00B849DC" w:rsidR="00B849DC">
        <w:rPr>
          <w:noProof/>
          <w:lang w:val="en-US"/>
        </w:rPr>
        <w:t>151</w:t>
      </w:r>
      <w:r w:rsidRPr="00B849DC">
        <w:rPr>
          <w:lang w:val="en-US"/>
        </w:rPr>
        <w:fldChar w:fldCharType="end"/>
      </w:r>
      <w:r w:rsidRPr="00B849DC">
        <w:rPr>
          <w:lang w:val="en-US"/>
        </w:rPr>
        <w:t xml:space="preserve">.  The Court has previously established on several occasions that municipal bodies are “a public authority” within the Convention meaning, and the Court is competent </w:t>
      </w:r>
      <w:r w:rsidRPr="00B849DC">
        <w:rPr>
          <w:i/>
          <w:lang w:val="en-US"/>
        </w:rPr>
        <w:t>ratione personae</w:t>
      </w:r>
      <w:r w:rsidRPr="00B849DC">
        <w:rPr>
          <w:lang w:val="en-US"/>
        </w:rPr>
        <w:t xml:space="preserve"> to examine their actions (see, among others, </w:t>
      </w:r>
      <w:r w:rsidRPr="00B849DC">
        <w:rPr>
          <w:i/>
          <w:lang w:val="en-US"/>
        </w:rPr>
        <w:t>Saliyev v. Russia</w:t>
      </w:r>
      <w:r w:rsidRPr="00B849DC">
        <w:rPr>
          <w:lang w:val="en-US"/>
        </w:rPr>
        <w:t xml:space="preserve">, no. 35016/03, §§ 69-70, 21 October 2010, and </w:t>
      </w:r>
      <w:r w:rsidRPr="00B849DC">
        <w:rPr>
          <w:i/>
          <w:lang w:val="en-GB"/>
        </w:rPr>
        <w:t>Dzugayeva v. Russia</w:t>
      </w:r>
      <w:r w:rsidRPr="00B849DC">
        <w:rPr>
          <w:lang w:val="en-GB"/>
        </w:rPr>
        <w:t>, no. 44971/04, § 17, 12 February 2013</w:t>
      </w:r>
      <w:r w:rsidRPr="00B849DC">
        <w:rPr>
          <w:lang w:val="en-US"/>
        </w:rPr>
        <w:t>). The Court does not see any reason to reach a different conclusion in the present two cases and rejects the Government</w:t>
      </w:r>
      <w:r w:rsidRPr="00B849DC" w:rsidR="00B849DC">
        <w:rPr>
          <w:lang w:val="en-US"/>
        </w:rPr>
        <w:t>’</w:t>
      </w:r>
      <w:r w:rsidRPr="00B849DC">
        <w:rPr>
          <w:lang w:val="en-US"/>
        </w:rPr>
        <w:t>s objection.</w:t>
      </w:r>
    </w:p>
    <w:p w:rsidRPr="00B849DC" w:rsidR="00A740C8" w:rsidP="00B849DC" w:rsidRDefault="00A740C8">
      <w:pPr>
        <w:pStyle w:val="ECHRHeading3"/>
        <w:rPr>
          <w:lang w:val="en-US"/>
        </w:rPr>
      </w:pPr>
      <w:r w:rsidRPr="00B849DC">
        <w:rPr>
          <w:lang w:val="en-US"/>
        </w:rPr>
        <w:t>2.  Compatibility ratione personae (whether the debts of the respondent companies can be attributed to the respondent State within the meaning of the Convention)</w:t>
      </w:r>
    </w:p>
    <w:p w:rsidRPr="00B849DC" w:rsidR="00A740C8" w:rsidP="00B849DC" w:rsidRDefault="00A740C8">
      <w:pPr>
        <w:pStyle w:val="ECHRPara"/>
        <w:rPr>
          <w:lang w:val="en-US"/>
        </w:rPr>
      </w:pPr>
      <w:r w:rsidRPr="00B849DC">
        <w:fldChar w:fldCharType="begin"/>
      </w:r>
      <w:r w:rsidRPr="00B849DC">
        <w:rPr>
          <w:lang w:val="en-US"/>
        </w:rPr>
        <w:instrText xml:space="preserve"> SEQ level0 \*arabic </w:instrText>
      </w:r>
      <w:r w:rsidRPr="00B849DC">
        <w:fldChar w:fldCharType="separate"/>
      </w:r>
      <w:r w:rsidRPr="00B849DC" w:rsidR="00B849DC">
        <w:rPr>
          <w:noProof/>
          <w:lang w:val="en-US"/>
        </w:rPr>
        <w:t>152</w:t>
      </w:r>
      <w:r w:rsidRPr="00B849DC">
        <w:fldChar w:fldCharType="end"/>
      </w:r>
      <w:r w:rsidRPr="00B849DC">
        <w:rPr>
          <w:lang w:val="en-US"/>
        </w:rPr>
        <w:t xml:space="preserve">.  The Court considers that the issue of whether the judgment debts can be attributed to the State is closely linked to the merits of the </w:t>
      </w:r>
      <w:r w:rsidRPr="00B849DC" w:rsidR="00936BC8">
        <w:rPr>
          <w:lang w:val="en-US"/>
        </w:rPr>
        <w:t>applicants</w:t>
      </w:r>
      <w:r w:rsidRPr="00B849DC" w:rsidR="00B849DC">
        <w:rPr>
          <w:lang w:val="en-US"/>
        </w:rPr>
        <w:t>’</w:t>
      </w:r>
      <w:r w:rsidRPr="00B849DC" w:rsidR="00936BC8">
        <w:rPr>
          <w:lang w:val="en-US"/>
        </w:rPr>
        <w:t xml:space="preserve"> </w:t>
      </w:r>
      <w:r w:rsidRPr="00B849DC">
        <w:rPr>
          <w:lang w:val="en-US"/>
        </w:rPr>
        <w:t>non</w:t>
      </w:r>
      <w:r w:rsidRPr="00B849DC">
        <w:rPr>
          <w:lang w:val="en-US"/>
        </w:rPr>
        <w:noBreakHyphen/>
        <w:t>enforcement complaint. The Court therefore finds it necessary to join the Government</w:t>
      </w:r>
      <w:r w:rsidRPr="00B849DC" w:rsidR="00B849DC">
        <w:rPr>
          <w:lang w:val="en-US"/>
        </w:rPr>
        <w:t>’</w:t>
      </w:r>
      <w:r w:rsidRPr="00B849DC">
        <w:rPr>
          <w:lang w:val="en-US"/>
        </w:rPr>
        <w:t>s objection to the merits of the complaint under Article 6 of the Convention and Article 1 of Protocol No.</w:t>
      </w:r>
      <w:r w:rsidRPr="00B849DC" w:rsidR="0076136A">
        <w:rPr>
          <w:lang w:val="en-US"/>
        </w:rPr>
        <w:t> </w:t>
      </w:r>
      <w:r w:rsidRPr="00B849DC">
        <w:rPr>
          <w:lang w:val="en-US"/>
        </w:rPr>
        <w:t>1.</w:t>
      </w:r>
    </w:p>
    <w:p w:rsidRPr="00B849DC" w:rsidR="00A740C8" w:rsidP="00B849DC" w:rsidRDefault="00A740C8">
      <w:pPr>
        <w:pStyle w:val="ECHRHeading3"/>
        <w:rPr>
          <w:lang w:val="en-US"/>
        </w:rPr>
      </w:pPr>
      <w:r w:rsidRPr="00B849DC">
        <w:rPr>
          <w:lang w:val="en-US"/>
        </w:rPr>
        <w:t>3.  </w:t>
      </w:r>
      <w:r w:rsidRPr="00B849DC" w:rsidR="00936BC8">
        <w:rPr>
          <w:lang w:val="en-US"/>
        </w:rPr>
        <w:t>Exhaustion issue</w:t>
      </w:r>
    </w:p>
    <w:p w:rsidRPr="00B849DC" w:rsidR="00A740C8" w:rsidP="00B849DC" w:rsidRDefault="00A740C8">
      <w:pPr>
        <w:pStyle w:val="ECHRPara"/>
        <w:rPr>
          <w:i/>
          <w:szCs w:val="24"/>
          <w:lang w:val="en-GB"/>
        </w:rPr>
      </w:pPr>
      <w:r w:rsidRPr="00B849DC">
        <w:fldChar w:fldCharType="begin"/>
      </w:r>
      <w:r w:rsidRPr="00B849DC">
        <w:rPr>
          <w:lang w:val="en-US"/>
        </w:rPr>
        <w:instrText xml:space="preserve"> SEQ level0 \*arabic </w:instrText>
      </w:r>
      <w:r w:rsidRPr="00B849DC">
        <w:fldChar w:fldCharType="separate"/>
      </w:r>
      <w:r w:rsidRPr="00B849DC" w:rsidR="00B849DC">
        <w:rPr>
          <w:noProof/>
          <w:lang w:val="en-US"/>
        </w:rPr>
        <w:t>153</w:t>
      </w:r>
      <w:r w:rsidRPr="00B849DC">
        <w:fldChar w:fldCharType="end"/>
      </w:r>
      <w:r w:rsidRPr="00B849DC">
        <w:rPr>
          <w:lang w:val="en-US"/>
        </w:rPr>
        <w:t>.  </w:t>
      </w:r>
      <w:r w:rsidRPr="00B849DC" w:rsidR="00AD6F55">
        <w:rPr>
          <w:lang w:val="en-US"/>
        </w:rPr>
        <w:t>The Government raised the objection of non-exhaustion of domestic remedies by the applicants. The Court considers that the issue of exhaustion of domestic remedies is closely linked to the merits of the applicants</w:t>
      </w:r>
      <w:r w:rsidRPr="00B849DC" w:rsidR="00B849DC">
        <w:rPr>
          <w:lang w:val="en-US"/>
        </w:rPr>
        <w:t>’</w:t>
      </w:r>
      <w:r w:rsidRPr="00B849DC" w:rsidR="00AD6F55">
        <w:rPr>
          <w:lang w:val="en-US"/>
        </w:rPr>
        <w:t xml:space="preserve"> complaint that they did not have at their disposal an effective remedy in respect of the non-enforcement complaint. Thus, the Court finds it necessary to join the Government</w:t>
      </w:r>
      <w:r w:rsidRPr="00B849DC" w:rsidR="00B849DC">
        <w:rPr>
          <w:lang w:val="en-US"/>
        </w:rPr>
        <w:t>’</w:t>
      </w:r>
      <w:r w:rsidRPr="00B849DC" w:rsidR="00AD6F55">
        <w:rPr>
          <w:lang w:val="en-US"/>
        </w:rPr>
        <w:t>s objection to the merits of the applicants</w:t>
      </w:r>
      <w:r w:rsidRPr="00B849DC" w:rsidR="00B849DC">
        <w:rPr>
          <w:lang w:val="en-US"/>
        </w:rPr>
        <w:t>’</w:t>
      </w:r>
      <w:r w:rsidRPr="00B849DC" w:rsidR="00AD6F55">
        <w:rPr>
          <w:lang w:val="en-US"/>
        </w:rPr>
        <w:t xml:space="preserve"> complaint under Article 13 of the Convention (see, </w:t>
      </w:r>
      <w:r w:rsidRPr="00B849DC" w:rsidR="00AD6F55">
        <w:rPr>
          <w:i/>
          <w:lang w:val="en-US"/>
        </w:rPr>
        <w:t>mutatis mutandis</w:t>
      </w:r>
      <w:r w:rsidRPr="00B849DC" w:rsidR="00AD6F55">
        <w:rPr>
          <w:lang w:val="en-US"/>
        </w:rPr>
        <w:t xml:space="preserve">, </w:t>
      </w:r>
      <w:r w:rsidRPr="00B849DC" w:rsidR="00AD6F55">
        <w:rPr>
          <w:i/>
          <w:lang w:val="en-GB"/>
        </w:rPr>
        <w:t>Reshetnyak v. Russia</w:t>
      </w:r>
      <w:r w:rsidRPr="00B849DC" w:rsidR="00AD6F55">
        <w:rPr>
          <w:lang w:val="en-GB"/>
        </w:rPr>
        <w:t>, no. 56027/10</w:t>
      </w:r>
      <w:r w:rsidRPr="00B849DC" w:rsidR="00AD6F55">
        <w:rPr>
          <w:snapToGrid w:val="0"/>
          <w:lang w:val="en-GB"/>
        </w:rPr>
        <w:t>, § 54, 8 January 2013</w:t>
      </w:r>
      <w:r w:rsidRPr="00B849DC" w:rsidR="008C3AA2">
        <w:rPr>
          <w:lang w:val="en-US"/>
        </w:rPr>
        <w:t>,</w:t>
      </w:r>
      <w:r w:rsidRPr="00B849DC" w:rsidR="00AD6F55">
        <w:rPr>
          <w:lang w:val="en-US"/>
        </w:rPr>
        <w:t xml:space="preserve"> </w:t>
      </w:r>
      <w:r w:rsidRPr="00B849DC" w:rsidR="00936BC8">
        <w:rPr>
          <w:lang w:val="en-US"/>
        </w:rPr>
        <w:t xml:space="preserve">and </w:t>
      </w:r>
      <w:r w:rsidRPr="00B849DC" w:rsidR="00AD6F55">
        <w:rPr>
          <w:i/>
          <w:lang w:val="en-GB"/>
        </w:rPr>
        <w:t>Ananyev and Others v. Russia</w:t>
      </w:r>
      <w:r w:rsidRPr="00B849DC" w:rsidR="00936BC8">
        <w:rPr>
          <w:lang w:val="en-GB"/>
        </w:rPr>
        <w:t>, nos. </w:t>
      </w:r>
      <w:r w:rsidRPr="00B849DC" w:rsidR="00AD6F55">
        <w:rPr>
          <w:lang w:val="en-GB"/>
        </w:rPr>
        <w:t>42525/07 and 60800/08</w:t>
      </w:r>
      <w:r w:rsidRPr="00B849DC" w:rsidR="00AD6F55">
        <w:rPr>
          <w:snapToGrid w:val="0"/>
          <w:szCs w:val="24"/>
          <w:lang w:val="en-GB"/>
        </w:rPr>
        <w:t>, §</w:t>
      </w:r>
      <w:r w:rsidRPr="00B849DC" w:rsidR="00936BC8">
        <w:rPr>
          <w:snapToGrid w:val="0"/>
          <w:szCs w:val="24"/>
          <w:lang w:val="en-GB"/>
        </w:rPr>
        <w:t> 70, 10 </w:t>
      </w:r>
      <w:r w:rsidRPr="00B849DC" w:rsidR="00AD6F55">
        <w:rPr>
          <w:snapToGrid w:val="0"/>
          <w:szCs w:val="24"/>
          <w:lang w:val="en-GB"/>
        </w:rPr>
        <w:t>January 2012</w:t>
      </w:r>
      <w:r w:rsidRPr="00B849DC" w:rsidR="00936BC8">
        <w:rPr>
          <w:snapToGrid w:val="0"/>
          <w:szCs w:val="24"/>
          <w:lang w:val="en-GB"/>
        </w:rPr>
        <w:t>).</w:t>
      </w:r>
    </w:p>
    <w:p w:rsidRPr="00B849DC" w:rsidR="00CA087B" w:rsidP="00B849DC" w:rsidRDefault="00A740C8">
      <w:pPr>
        <w:pStyle w:val="ECHRHeading3"/>
        <w:rPr>
          <w:lang w:val="en-US"/>
        </w:rPr>
      </w:pPr>
      <w:r w:rsidRPr="00B849DC">
        <w:rPr>
          <w:lang w:val="en-US"/>
        </w:rPr>
        <w:t>4.  Conclusion</w:t>
      </w:r>
    </w:p>
    <w:bookmarkStart w:name="para47" w:id="7"/>
    <w:bookmarkEnd w:id="7"/>
    <w:p w:rsidRPr="00B849DC" w:rsidR="00A740C8" w:rsidP="00B849DC" w:rsidRDefault="00A740C8">
      <w:pPr>
        <w:pStyle w:val="ECHRPara"/>
        <w:rPr>
          <w:lang w:val="en-US"/>
        </w:rPr>
      </w:pPr>
      <w:r w:rsidRPr="00B849DC">
        <w:rPr>
          <w:lang w:val="en-US"/>
        </w:rPr>
        <w:fldChar w:fldCharType="begin"/>
      </w:r>
      <w:r w:rsidRPr="00B849DC">
        <w:rPr>
          <w:lang w:val="en-US"/>
        </w:rPr>
        <w:instrText xml:space="preserve"> SEQ level0 \*arabic </w:instrText>
      </w:r>
      <w:r w:rsidRPr="00B849DC">
        <w:rPr>
          <w:lang w:val="en-US"/>
        </w:rPr>
        <w:fldChar w:fldCharType="separate"/>
      </w:r>
      <w:r w:rsidRPr="00B849DC" w:rsidR="00B849DC">
        <w:rPr>
          <w:noProof/>
          <w:lang w:val="en-US"/>
        </w:rPr>
        <w:t>154</w:t>
      </w:r>
      <w:r w:rsidRPr="00B849DC">
        <w:rPr>
          <w:lang w:val="en-US"/>
        </w:rPr>
        <w:fldChar w:fldCharType="end"/>
      </w:r>
      <w:r w:rsidRPr="00B849DC">
        <w:rPr>
          <w:lang w:val="en-US"/>
        </w:rPr>
        <w:t>.  The Court further notes that the applicants</w:t>
      </w:r>
      <w:r w:rsidRPr="00B849DC" w:rsidR="00B849DC">
        <w:rPr>
          <w:lang w:val="en-US"/>
        </w:rPr>
        <w:t>’</w:t>
      </w:r>
      <w:r w:rsidRPr="00B849DC">
        <w:rPr>
          <w:lang w:val="en-US"/>
        </w:rPr>
        <w:t xml:space="preserve"> complaint</w:t>
      </w:r>
      <w:r w:rsidRPr="00B849DC" w:rsidR="00AD6F55">
        <w:rPr>
          <w:lang w:val="en-US"/>
        </w:rPr>
        <w:t>s</w:t>
      </w:r>
      <w:r w:rsidRPr="00B849DC">
        <w:rPr>
          <w:lang w:val="en-US"/>
        </w:rPr>
        <w:t xml:space="preserve"> </w:t>
      </w:r>
      <w:r w:rsidRPr="00B849DC" w:rsidR="00AD6F55">
        <w:rPr>
          <w:lang w:val="en-US"/>
        </w:rPr>
        <w:t>under Articles 6 and 1</w:t>
      </w:r>
      <w:r w:rsidRPr="00B849DC" w:rsidR="00A03A30">
        <w:rPr>
          <w:lang w:val="en-US"/>
        </w:rPr>
        <w:t>3 and Article 1 of Protocol No. </w:t>
      </w:r>
      <w:r w:rsidRPr="00B849DC" w:rsidR="00AD6F55">
        <w:rPr>
          <w:lang w:val="en-US"/>
        </w:rPr>
        <w:t>1 are</w:t>
      </w:r>
      <w:r w:rsidRPr="00B849DC" w:rsidR="0065109E">
        <w:rPr>
          <w:lang w:val="en-US"/>
        </w:rPr>
        <w:t xml:space="preserve"> not manifestly ill</w:t>
      </w:r>
      <w:r w:rsidRPr="00B849DC" w:rsidR="0065109E">
        <w:rPr>
          <w:lang w:val="en-US"/>
        </w:rPr>
        <w:noBreakHyphen/>
      </w:r>
      <w:r w:rsidRPr="00B849DC">
        <w:rPr>
          <w:lang w:val="en-US"/>
        </w:rPr>
        <w:t xml:space="preserve">founded within the meaning of Article 35 § 3 (a) of the Convention and </w:t>
      </w:r>
      <w:r w:rsidRPr="00B849DC" w:rsidR="00AD6F55">
        <w:rPr>
          <w:lang w:val="en-US"/>
        </w:rPr>
        <w:t>they are</w:t>
      </w:r>
      <w:r w:rsidRPr="00B849DC">
        <w:rPr>
          <w:lang w:val="en-US"/>
        </w:rPr>
        <w:t xml:space="preserve"> not inadmissible on any other grounds. </w:t>
      </w:r>
      <w:r w:rsidRPr="00B849DC" w:rsidR="00AD6F55">
        <w:rPr>
          <w:lang w:val="en-US"/>
        </w:rPr>
        <w:t>They</w:t>
      </w:r>
      <w:r w:rsidRPr="00B849DC">
        <w:rPr>
          <w:lang w:val="en-US"/>
        </w:rPr>
        <w:t xml:space="preserve"> must therefore be declared admissible.</w:t>
      </w:r>
    </w:p>
    <w:p w:rsidRPr="00B849DC" w:rsidR="00A740C8" w:rsidP="00B849DC" w:rsidRDefault="00A740C8">
      <w:pPr>
        <w:pStyle w:val="ECHRHeading2"/>
        <w:outlineLvl w:val="0"/>
        <w:rPr>
          <w:lang w:val="en-GB"/>
        </w:rPr>
      </w:pPr>
      <w:r w:rsidRPr="00B849DC">
        <w:rPr>
          <w:lang w:val="en-GB"/>
        </w:rPr>
        <w:t>C.  Merits</w:t>
      </w:r>
    </w:p>
    <w:p w:rsidRPr="00B849DC" w:rsidR="00710386" w:rsidP="00B849DC" w:rsidRDefault="00710386">
      <w:pPr>
        <w:pStyle w:val="ECHRPara"/>
        <w:rPr>
          <w:lang w:val="en-GB"/>
        </w:rPr>
      </w:pPr>
      <w:r w:rsidRPr="00B849DC">
        <w:rPr>
          <w:lang w:val="en-GB"/>
        </w:rPr>
        <w:fldChar w:fldCharType="begin"/>
      </w:r>
      <w:r w:rsidRPr="00B849DC">
        <w:rPr>
          <w:lang w:val="en-GB"/>
        </w:rPr>
        <w:instrText xml:space="preserve"> SEQ level0 \*arabic </w:instrText>
      </w:r>
      <w:r w:rsidRPr="00B849DC">
        <w:rPr>
          <w:lang w:val="en-GB"/>
        </w:rPr>
        <w:fldChar w:fldCharType="separate"/>
      </w:r>
      <w:r w:rsidRPr="00B849DC" w:rsidR="00B849DC">
        <w:rPr>
          <w:noProof/>
          <w:lang w:val="en-GB"/>
        </w:rPr>
        <w:t>155</w:t>
      </w:r>
      <w:r w:rsidRPr="00B849DC">
        <w:rPr>
          <w:lang w:val="en-GB"/>
        </w:rPr>
        <w:fldChar w:fldCharType="end"/>
      </w:r>
      <w:r w:rsidRPr="00B849DC">
        <w:rPr>
          <w:lang w:val="en-GB"/>
        </w:rPr>
        <w:t>.  The Court reiterates that the complaints declared admissible above relate, on the one hand, to the State responsibility for the unitary companies</w:t>
      </w:r>
      <w:r w:rsidRPr="00B849DC" w:rsidR="00B849DC">
        <w:rPr>
          <w:lang w:val="en-GB"/>
        </w:rPr>
        <w:t>’</w:t>
      </w:r>
      <w:r w:rsidRPr="00B849DC">
        <w:rPr>
          <w:lang w:val="en-GB"/>
        </w:rPr>
        <w:t xml:space="preserve"> debts and, on the other hand, to the question whether the applicants exhausted domestic remedies or whether the remedies used complied with the requirements of Article 13 of the Convention. Whereas a </w:t>
      </w:r>
      <w:r w:rsidRPr="00B849DC" w:rsidR="00A00A05">
        <w:rPr>
          <w:lang w:val="en-GB"/>
        </w:rPr>
        <w:t>conclusion on</w:t>
      </w:r>
      <w:r w:rsidRPr="00B849DC">
        <w:rPr>
          <w:lang w:val="en-GB"/>
        </w:rPr>
        <w:t xml:space="preserve"> either point could to some extent </w:t>
      </w:r>
      <w:r w:rsidRPr="00B849DC" w:rsidR="00A03A30">
        <w:rPr>
          <w:lang w:val="en-GB"/>
        </w:rPr>
        <w:t>“prejudge” to conclusion of the other, the Court considers it appropriate in the circumstances of the present cases to commence its examination of the issues related to exhaustion and the alleged violation of Article 13 of the Convention.</w:t>
      </w:r>
    </w:p>
    <w:p w:rsidRPr="00B849DC" w:rsidR="00A740C8" w:rsidP="00B849DC" w:rsidRDefault="00A740C8">
      <w:pPr>
        <w:pStyle w:val="ECHRHeading3"/>
        <w:rPr>
          <w:lang w:val="en-US"/>
        </w:rPr>
      </w:pPr>
      <w:r w:rsidRPr="00B849DC">
        <w:rPr>
          <w:lang w:val="en-US"/>
        </w:rPr>
        <w:t>1.  </w:t>
      </w:r>
      <w:r w:rsidRPr="00B849DC" w:rsidR="00AD6F55">
        <w:rPr>
          <w:lang w:val="en-US"/>
        </w:rPr>
        <w:t>Exhaustion of domestic remedies and alleged violation of Article 13 of the Convention</w:t>
      </w:r>
    </w:p>
    <w:p w:rsidRPr="00B849DC" w:rsidR="00A740C8" w:rsidP="00B849DC" w:rsidRDefault="00A740C8">
      <w:pPr>
        <w:pStyle w:val="ECHRHeading4"/>
        <w:rPr>
          <w:lang w:val="en-US"/>
        </w:rPr>
      </w:pPr>
      <w:r w:rsidRPr="00B849DC">
        <w:rPr>
          <w:lang w:val="en-US"/>
        </w:rPr>
        <w:t>(a)  General principles</w:t>
      </w:r>
    </w:p>
    <w:p w:rsidRPr="00B849DC" w:rsidR="00A740C8" w:rsidP="00B849DC" w:rsidRDefault="00B051FF">
      <w:pPr>
        <w:pStyle w:val="ECHRPara"/>
        <w:rPr>
          <w:lang w:val="en-US"/>
        </w:rPr>
      </w:pPr>
      <w:r w:rsidRPr="00B849DC">
        <w:rPr>
          <w:lang w:val="en-US"/>
        </w:rPr>
        <w:fldChar w:fldCharType="begin"/>
      </w:r>
      <w:r w:rsidRPr="00B849DC">
        <w:rPr>
          <w:lang w:val="en-US"/>
        </w:rPr>
        <w:instrText xml:space="preserve"> SEQ level0 \*arabic </w:instrText>
      </w:r>
      <w:r w:rsidRPr="00B849DC">
        <w:rPr>
          <w:lang w:val="en-US"/>
        </w:rPr>
        <w:fldChar w:fldCharType="separate"/>
      </w:r>
      <w:r w:rsidRPr="00B849DC" w:rsidR="00B849DC">
        <w:rPr>
          <w:noProof/>
          <w:lang w:val="en-US"/>
        </w:rPr>
        <w:t>156</w:t>
      </w:r>
      <w:r w:rsidRPr="00B849DC">
        <w:rPr>
          <w:lang w:val="en-US"/>
        </w:rPr>
        <w:fldChar w:fldCharType="end"/>
      </w:r>
      <w:r w:rsidRPr="00B849DC">
        <w:rPr>
          <w:lang w:val="en-US"/>
        </w:rPr>
        <w:t>.  </w:t>
      </w:r>
      <w:r w:rsidRPr="00B849DC" w:rsidR="00A740C8">
        <w:rPr>
          <w:lang w:val="en-US"/>
        </w:rPr>
        <w:t xml:space="preserve">The Court reiterates that when the existence of domestic remedies under Article 35 § 1 is at issue, it is the Government who bear the burden of proof. The Government must show that the remedy was effective, accessible, capable of providing redress, and that it offered reasonable prospects of success (see, mutatis mutandis, </w:t>
      </w:r>
      <w:r w:rsidRPr="00B849DC" w:rsidR="00A740C8">
        <w:rPr>
          <w:i/>
          <w:lang w:val="en-US"/>
        </w:rPr>
        <w:t>Selmouni v. France </w:t>
      </w:r>
      <w:r w:rsidRPr="00B849DC" w:rsidR="00A740C8">
        <w:rPr>
          <w:lang w:val="en-US"/>
        </w:rPr>
        <w:t xml:space="preserve">[GC], no. 25803/94, § 76, </w:t>
      </w:r>
      <w:r w:rsidRPr="00B849DC" w:rsidR="00A740C8">
        <w:rPr>
          <w:lang w:val="it-IT"/>
        </w:rPr>
        <w:t>ECHR 1999</w:t>
      </w:r>
      <w:r w:rsidRPr="00B849DC" w:rsidR="00A740C8">
        <w:rPr>
          <w:lang w:val="it-IT"/>
        </w:rPr>
        <w:noBreakHyphen/>
        <w:t>V</w:t>
      </w:r>
      <w:r w:rsidRPr="00B849DC" w:rsidR="00A740C8">
        <w:rPr>
          <w:lang w:val="en-US"/>
        </w:rPr>
        <w:t>).</w:t>
      </w:r>
    </w:p>
    <w:p w:rsidRPr="00B849DC" w:rsidR="00CA087B" w:rsidP="00B849DC" w:rsidRDefault="00A740C8">
      <w:pPr>
        <w:pStyle w:val="ECHRPara"/>
        <w:rPr>
          <w:lang w:val="en-US"/>
        </w:rPr>
      </w:pPr>
      <w:r w:rsidRPr="00B849DC">
        <w:rPr>
          <w:lang w:val="en-US"/>
        </w:rPr>
        <w:fldChar w:fldCharType="begin"/>
      </w:r>
      <w:r w:rsidRPr="00B849DC">
        <w:rPr>
          <w:lang w:val="en-US"/>
        </w:rPr>
        <w:instrText xml:space="preserve"> SEQ level0 \*arabic </w:instrText>
      </w:r>
      <w:r w:rsidRPr="00B849DC">
        <w:rPr>
          <w:lang w:val="en-US"/>
        </w:rPr>
        <w:fldChar w:fldCharType="separate"/>
      </w:r>
      <w:r w:rsidRPr="00B849DC" w:rsidR="00B849DC">
        <w:rPr>
          <w:noProof/>
          <w:lang w:val="en-US"/>
        </w:rPr>
        <w:t>157</w:t>
      </w:r>
      <w:r w:rsidRPr="00B849DC">
        <w:rPr>
          <w:lang w:val="en-US"/>
        </w:rPr>
        <w:fldChar w:fldCharType="end"/>
      </w:r>
      <w:r w:rsidRPr="00B849DC">
        <w:rPr>
          <w:lang w:val="en-US"/>
        </w:rPr>
        <w:t>.  The Court further reiterates that Article 13 gives direct expression to the States</w:t>
      </w:r>
      <w:r w:rsidRPr="00B849DC" w:rsidR="00B849DC">
        <w:rPr>
          <w:lang w:val="en-US"/>
        </w:rPr>
        <w:t>’</w:t>
      </w:r>
      <w:r w:rsidRPr="00B849DC">
        <w:rPr>
          <w:lang w:val="en-US"/>
        </w:rPr>
        <w:t xml:space="preserve"> obligation, enshrined in Article 1 of the Convention, to protect human rights first and foremost within their own legal systems. It therefore requires that the States provide a domestic remedy to deal with the substance of an “arguable complaint” under the Convention and to grant appropriate relief (see </w:t>
      </w:r>
      <w:r w:rsidRPr="00B849DC">
        <w:rPr>
          <w:i/>
          <w:lang w:val="en-US"/>
        </w:rPr>
        <w:t xml:space="preserve">Kudła v. Poland </w:t>
      </w:r>
      <w:r w:rsidRPr="00B849DC">
        <w:rPr>
          <w:lang w:val="en-US"/>
        </w:rPr>
        <w:t>[GC], no. 30210/96, § 152, ECHR 2000</w:t>
      </w:r>
      <w:r w:rsidRPr="00B849DC">
        <w:rPr>
          <w:lang w:val="en-US"/>
        </w:rPr>
        <w:noBreakHyphen/>
        <w:t xml:space="preserve">XI). Article 13 thus requires the provision of a domestic remedy to deal with the substance of an “arguable complaint” under the Convention and to grant appropriate relief, although the Contracting States are afforded some discretion as to the manner in which they conform to their Convention obligations under this provision (see </w:t>
      </w:r>
      <w:r w:rsidRPr="00B849DC" w:rsidR="0065109E">
        <w:rPr>
          <w:i/>
          <w:lang w:val="en-GB"/>
        </w:rPr>
        <w:t>T.P. and K.M. v. </w:t>
      </w:r>
      <w:r w:rsidRPr="00B849DC">
        <w:rPr>
          <w:i/>
          <w:lang w:val="en-GB"/>
        </w:rPr>
        <w:t xml:space="preserve">the United Kingdom </w:t>
      </w:r>
      <w:r w:rsidRPr="00B849DC">
        <w:rPr>
          <w:lang w:val="en-GB"/>
        </w:rPr>
        <w:t>[GC], no. 28945/95, § 107, ECHR 2001</w:t>
      </w:r>
      <w:r w:rsidRPr="00B849DC">
        <w:rPr>
          <w:lang w:val="en-GB"/>
        </w:rPr>
        <w:noBreakHyphen/>
        <w:t>V (extracts)</w:t>
      </w:r>
      <w:r w:rsidRPr="00B849DC" w:rsidR="0065109E">
        <w:rPr>
          <w:lang w:val="en-GB"/>
        </w:rPr>
        <w:t>)</w:t>
      </w:r>
      <w:r w:rsidRPr="00B849DC">
        <w:rPr>
          <w:lang w:val="en-US"/>
        </w:rPr>
        <w:t>.</w:t>
      </w:r>
      <w:r w:rsidRPr="00B849DC">
        <w:rPr>
          <w:lang w:val="en-GB"/>
        </w:rPr>
        <w:t xml:space="preserve"> </w:t>
      </w:r>
      <w:r w:rsidRPr="00B849DC">
        <w:rPr>
          <w:lang w:val="en-US"/>
        </w:rPr>
        <w:t>The scope of the Contracting States</w:t>
      </w:r>
      <w:r w:rsidRPr="00B849DC" w:rsidR="00B849DC">
        <w:rPr>
          <w:lang w:val="en-US"/>
        </w:rPr>
        <w:t>’</w:t>
      </w:r>
      <w:r w:rsidRPr="00B849DC">
        <w:rPr>
          <w:lang w:val="en-US"/>
        </w:rPr>
        <w:t xml:space="preserve"> </w:t>
      </w:r>
      <w:bookmarkStart w:name="HIT1" w:id="8"/>
      <w:bookmarkEnd w:id="8"/>
      <w:r w:rsidRPr="00B849DC">
        <w:rPr>
          <w:lang w:val="en-US"/>
        </w:rPr>
        <w:t xml:space="preserve">obligations under </w:t>
      </w:r>
      <w:bookmarkStart w:name="HIT2" w:id="9"/>
      <w:bookmarkEnd w:id="9"/>
      <w:r w:rsidRPr="00B849DC">
        <w:rPr>
          <w:lang w:val="en-US"/>
        </w:rPr>
        <w:t>Article</w:t>
      </w:r>
      <w:bookmarkStart w:name="HIT3" w:id="10"/>
      <w:bookmarkEnd w:id="10"/>
      <w:r w:rsidRPr="00B849DC">
        <w:rPr>
          <w:lang w:val="en-US"/>
        </w:rPr>
        <w:t> 13 varies depending on the nature of the applicant</w:t>
      </w:r>
      <w:r w:rsidRPr="00B849DC" w:rsidR="00B849DC">
        <w:rPr>
          <w:lang w:val="en-US"/>
        </w:rPr>
        <w:t>’</w:t>
      </w:r>
      <w:r w:rsidRPr="00B849DC">
        <w:rPr>
          <w:lang w:val="en-US"/>
        </w:rPr>
        <w:t xml:space="preserve">s complaint; the “effectiveness” of a “remedy” within the meaning of Article 13 does not depend on the certainty of a favourable outcome for the applicant. At the same time, the remedy required by Article 13 must be “effective” in practice as well as in law in the sense either of preventing the alleged violation or its continuation, or of providing adequate redress for any violation that has already occurred. Even if a single remedy does not by itself entirely satisfy the requirements of Article 13, the aggregate of remedies provided for under domestic law may do so (see </w:t>
      </w:r>
      <w:r w:rsidRPr="00B849DC" w:rsidR="00EE1F28">
        <w:rPr>
          <w:i/>
          <w:lang w:val="it-IT"/>
        </w:rPr>
        <w:t>Burdov v. Russia (no. 2)</w:t>
      </w:r>
      <w:r w:rsidRPr="00B849DC" w:rsidR="00EE1F28">
        <w:rPr>
          <w:lang w:val="it-IT"/>
        </w:rPr>
        <w:t xml:space="preserve">, no. 33509/04, </w:t>
      </w:r>
      <w:r w:rsidRPr="00B849DC" w:rsidR="006F3A20">
        <w:rPr>
          <w:lang w:val="en-US"/>
        </w:rPr>
        <w:t>§§ 96</w:t>
      </w:r>
      <w:r w:rsidRPr="00B849DC" w:rsidR="006F3A20">
        <w:rPr>
          <w:lang w:val="en-US"/>
        </w:rPr>
        <w:noBreakHyphen/>
      </w:r>
      <w:r w:rsidRPr="00B849DC" w:rsidR="00EE1F28">
        <w:rPr>
          <w:lang w:val="en-US"/>
        </w:rPr>
        <w:t>97</w:t>
      </w:r>
      <w:r w:rsidRPr="00B849DC" w:rsidR="00EE1F28">
        <w:rPr>
          <w:lang w:val="it-IT"/>
        </w:rPr>
        <w:t>, ECHR 2009</w:t>
      </w:r>
      <w:r w:rsidRPr="00B849DC">
        <w:rPr>
          <w:lang w:val="en-US"/>
        </w:rPr>
        <w:t>, with further references).</w:t>
      </w:r>
    </w:p>
    <w:p w:rsidRPr="00B849DC" w:rsidR="00A740C8" w:rsidP="00B849DC" w:rsidRDefault="00A740C8">
      <w:pPr>
        <w:pStyle w:val="ECHRPara"/>
        <w:rPr>
          <w:lang w:val="en-US"/>
        </w:rPr>
      </w:pPr>
      <w:r w:rsidRPr="00B849DC">
        <w:fldChar w:fldCharType="begin"/>
      </w:r>
      <w:r w:rsidRPr="00B849DC">
        <w:rPr>
          <w:lang w:val="en-US"/>
        </w:rPr>
        <w:instrText xml:space="preserve"> SEQ level0 \*arabic </w:instrText>
      </w:r>
      <w:r w:rsidRPr="00B849DC">
        <w:fldChar w:fldCharType="separate"/>
      </w:r>
      <w:r w:rsidRPr="00B849DC" w:rsidR="00B849DC">
        <w:rPr>
          <w:noProof/>
          <w:lang w:val="en-US"/>
        </w:rPr>
        <w:t>158</w:t>
      </w:r>
      <w:r w:rsidRPr="00B849DC">
        <w:fldChar w:fldCharType="end"/>
      </w:r>
      <w:r w:rsidRPr="00B849DC">
        <w:rPr>
          <w:lang w:val="en-US"/>
        </w:rPr>
        <w:t>.  In particular, where a compensatory remedy is available in the domestic legal system, the Court must leave a wider margin of appreciation to the State to allow it to organise the remedy in a manner consistent with its own legal system and traditions and consonant with the standard of living in the country concerned. The Court is nonetheless required to verify whether the way in which the domestic law is interpreted and applied produces consequences that are consistent with the Convention principles, as interpreted in the light of the Court</w:t>
      </w:r>
      <w:r w:rsidRPr="00B849DC" w:rsidR="00B849DC">
        <w:rPr>
          <w:lang w:val="en-US"/>
        </w:rPr>
        <w:t>’</w:t>
      </w:r>
      <w:r w:rsidRPr="00B849DC">
        <w:rPr>
          <w:lang w:val="en-US"/>
        </w:rPr>
        <w:t xml:space="preserve">s case-law (see </w:t>
      </w:r>
      <w:r w:rsidRPr="00B849DC">
        <w:rPr>
          <w:i/>
          <w:lang w:val="en-US"/>
        </w:rPr>
        <w:t>Scordino</w:t>
      </w:r>
      <w:r w:rsidRPr="00B849DC">
        <w:rPr>
          <w:lang w:val="en-US"/>
        </w:rPr>
        <w:t xml:space="preserve"> </w:t>
      </w:r>
      <w:r w:rsidRPr="00B849DC">
        <w:rPr>
          <w:i/>
          <w:lang w:val="it-IT"/>
        </w:rPr>
        <w:t>v. </w:t>
      </w:r>
      <w:r w:rsidRPr="00B849DC" w:rsidR="006F3A20">
        <w:rPr>
          <w:i/>
          <w:iCs/>
          <w:lang w:val="it-IT"/>
        </w:rPr>
        <w:t>Italy </w:t>
      </w:r>
      <w:r w:rsidRPr="00B849DC">
        <w:rPr>
          <w:i/>
          <w:iCs/>
          <w:lang w:val="it-IT"/>
        </w:rPr>
        <w:t xml:space="preserve">(no. 1) </w:t>
      </w:r>
      <w:r w:rsidRPr="00B849DC">
        <w:rPr>
          <w:lang w:val="it-IT"/>
        </w:rPr>
        <w:t>[GC], no. 36813/97</w:t>
      </w:r>
      <w:r w:rsidRPr="00B849DC">
        <w:rPr>
          <w:lang w:val="en-US"/>
        </w:rPr>
        <w:t>, §§ 187-91</w:t>
      </w:r>
      <w:r w:rsidRPr="00B849DC">
        <w:rPr>
          <w:lang w:val="it-IT"/>
        </w:rPr>
        <w:t>, ECHR 2006</w:t>
      </w:r>
      <w:r w:rsidRPr="00B849DC">
        <w:rPr>
          <w:lang w:val="it-IT"/>
        </w:rPr>
        <w:noBreakHyphen/>
        <w:t>V</w:t>
      </w:r>
      <w:r w:rsidRPr="00B849DC">
        <w:rPr>
          <w:lang w:val="en-US"/>
        </w:rPr>
        <w:t xml:space="preserve">). The Court has set key criteria for verification of the effectiveness of a compensatory remedy in respect of the excessive length of judicial proceedings. These criteria, which </w:t>
      </w:r>
      <w:r w:rsidRPr="00B849DC" w:rsidR="00811532">
        <w:rPr>
          <w:lang w:val="en-US"/>
        </w:rPr>
        <w:t>were applied by the Court</w:t>
      </w:r>
      <w:r w:rsidRPr="00B849DC" w:rsidR="000C5C5C">
        <w:rPr>
          <w:lang w:val="en-US"/>
        </w:rPr>
        <w:t xml:space="preserve">, </w:t>
      </w:r>
      <w:r w:rsidRPr="00B849DC" w:rsidR="000C5C5C">
        <w:rPr>
          <w:i/>
          <w:lang w:val="en-US"/>
        </w:rPr>
        <w:t>inter alia</w:t>
      </w:r>
      <w:r w:rsidRPr="00B849DC" w:rsidR="000C5C5C">
        <w:rPr>
          <w:lang w:val="en-US"/>
        </w:rPr>
        <w:t>,</w:t>
      </w:r>
      <w:r w:rsidRPr="00B849DC" w:rsidR="00811532">
        <w:rPr>
          <w:lang w:val="en-US"/>
        </w:rPr>
        <w:t xml:space="preserve"> in</w:t>
      </w:r>
      <w:r w:rsidRPr="00B849DC">
        <w:rPr>
          <w:lang w:val="en-US"/>
        </w:rPr>
        <w:t xml:space="preserve"> non</w:t>
      </w:r>
      <w:r w:rsidRPr="00B849DC">
        <w:rPr>
          <w:lang w:val="en-US"/>
        </w:rPr>
        <w:noBreakHyphen/>
        <w:t xml:space="preserve">enforcement cases against the State (see </w:t>
      </w:r>
      <w:r w:rsidRPr="00B849DC">
        <w:rPr>
          <w:i/>
          <w:lang w:val="en-GB"/>
        </w:rPr>
        <w:t>Wasserman v. Russia (no. 2)</w:t>
      </w:r>
      <w:r w:rsidRPr="00B849DC">
        <w:rPr>
          <w:lang w:val="en-GB"/>
        </w:rPr>
        <w:t xml:space="preserve">, no. 21071/05, </w:t>
      </w:r>
      <w:r w:rsidRPr="00B849DC">
        <w:rPr>
          <w:lang w:val="en-US"/>
        </w:rPr>
        <w:t>§§ 49 and 51</w:t>
      </w:r>
      <w:r w:rsidRPr="00B849DC">
        <w:rPr>
          <w:lang w:val="en-GB"/>
        </w:rPr>
        <w:t>, 10 April 2008</w:t>
      </w:r>
      <w:r w:rsidRPr="00B849DC">
        <w:rPr>
          <w:lang w:val="en-US"/>
        </w:rPr>
        <w:t>), are as follows:</w:t>
      </w:r>
    </w:p>
    <w:p w:rsidRPr="00B849DC" w:rsidR="00A740C8" w:rsidP="00B849DC" w:rsidRDefault="00A740C8">
      <w:pPr>
        <w:pStyle w:val="ECHRPara"/>
        <w:rPr>
          <w:lang w:val="it-IT"/>
        </w:rPr>
      </w:pPr>
      <w:r w:rsidRPr="00B849DC">
        <w:rPr>
          <w:lang w:val="en-US"/>
        </w:rPr>
        <w:t>– </w:t>
      </w:r>
      <w:proofErr w:type="gramStart"/>
      <w:r w:rsidRPr="00B849DC">
        <w:rPr>
          <w:lang w:val="en-US"/>
        </w:rPr>
        <w:t>an</w:t>
      </w:r>
      <w:proofErr w:type="gramEnd"/>
      <w:r w:rsidRPr="00B849DC">
        <w:rPr>
          <w:lang w:val="en-US"/>
        </w:rPr>
        <w:t xml:space="preserve"> action for compensation must be heard within a reasonable time (see </w:t>
      </w:r>
      <w:r w:rsidRPr="00B849DC">
        <w:rPr>
          <w:i/>
          <w:lang w:val="it-IT"/>
        </w:rPr>
        <w:t>Scordino</w:t>
      </w:r>
      <w:r w:rsidRPr="00B849DC">
        <w:rPr>
          <w:lang w:val="it-IT"/>
        </w:rPr>
        <w:t>, cited above, § 195 in fine</w:t>
      </w:r>
      <w:r w:rsidRPr="00B849DC">
        <w:rPr>
          <w:lang w:val="en-US"/>
        </w:rPr>
        <w:t>);</w:t>
      </w:r>
    </w:p>
    <w:p w:rsidRPr="00B849DC" w:rsidR="00A740C8" w:rsidP="00B849DC" w:rsidRDefault="00A740C8">
      <w:pPr>
        <w:pStyle w:val="ECHRPara"/>
        <w:rPr>
          <w:lang w:val="en-US"/>
        </w:rPr>
      </w:pPr>
      <w:r w:rsidRPr="00B849DC">
        <w:rPr>
          <w:lang w:val="en-US"/>
        </w:rPr>
        <w:t>– </w:t>
      </w:r>
      <w:proofErr w:type="gramStart"/>
      <w:r w:rsidRPr="00B849DC">
        <w:rPr>
          <w:lang w:val="en-US"/>
        </w:rPr>
        <w:t>the</w:t>
      </w:r>
      <w:proofErr w:type="gramEnd"/>
      <w:r w:rsidRPr="00B849DC">
        <w:rPr>
          <w:lang w:val="en-US"/>
        </w:rPr>
        <w:t xml:space="preserve"> compensation must be paid promptly and generally no later than six months from the date on which the decision awarding compensation becomes enforceable (ibid., § 198);</w:t>
      </w:r>
    </w:p>
    <w:p w:rsidRPr="00B849DC" w:rsidR="00A740C8" w:rsidP="00B849DC" w:rsidRDefault="00A740C8">
      <w:pPr>
        <w:pStyle w:val="ECHRPara"/>
        <w:rPr>
          <w:lang w:val="en-US"/>
        </w:rPr>
      </w:pPr>
      <w:r w:rsidRPr="00B849DC">
        <w:rPr>
          <w:lang w:val="en-US"/>
        </w:rPr>
        <w:t>– </w:t>
      </w:r>
      <w:proofErr w:type="gramStart"/>
      <w:r w:rsidRPr="00B849DC">
        <w:rPr>
          <w:lang w:val="en-US"/>
        </w:rPr>
        <w:t>the</w:t>
      </w:r>
      <w:proofErr w:type="gramEnd"/>
      <w:r w:rsidRPr="00B849DC">
        <w:rPr>
          <w:lang w:val="en-US"/>
        </w:rPr>
        <w:t xml:space="preserve"> procedural rules governing an action for compensation must conform to the principle of fairness guaranteed by Article 6 of the Convention (ibid., § 200);</w:t>
      </w:r>
    </w:p>
    <w:p w:rsidRPr="00B849DC" w:rsidR="00A740C8" w:rsidP="00B849DC" w:rsidRDefault="00A740C8">
      <w:pPr>
        <w:pStyle w:val="ECHRPara"/>
        <w:rPr>
          <w:lang w:val="en-US"/>
        </w:rPr>
      </w:pPr>
      <w:r w:rsidRPr="00B849DC">
        <w:rPr>
          <w:lang w:val="en-US"/>
        </w:rPr>
        <w:t>– </w:t>
      </w:r>
      <w:proofErr w:type="gramStart"/>
      <w:r w:rsidRPr="00B849DC">
        <w:rPr>
          <w:lang w:val="en-US"/>
        </w:rPr>
        <w:t>the</w:t>
      </w:r>
      <w:proofErr w:type="gramEnd"/>
      <w:r w:rsidRPr="00B849DC">
        <w:rPr>
          <w:lang w:val="en-US"/>
        </w:rPr>
        <w:t xml:space="preserve"> rules regarding legal costs must not place an excessive burden on litigants where their action is justified (ibid., § 201);</w:t>
      </w:r>
    </w:p>
    <w:p w:rsidRPr="00B849DC" w:rsidR="00A740C8" w:rsidP="00B849DC" w:rsidRDefault="00A740C8">
      <w:pPr>
        <w:pStyle w:val="ECHRPara"/>
        <w:rPr>
          <w:lang w:val="en-US"/>
        </w:rPr>
      </w:pPr>
      <w:r w:rsidRPr="00B849DC">
        <w:rPr>
          <w:lang w:val="en-US"/>
        </w:rPr>
        <w:t>– </w:t>
      </w:r>
      <w:proofErr w:type="gramStart"/>
      <w:r w:rsidRPr="00B849DC">
        <w:rPr>
          <w:lang w:val="en-US"/>
        </w:rPr>
        <w:t>the</w:t>
      </w:r>
      <w:proofErr w:type="gramEnd"/>
      <w:r w:rsidRPr="00B849DC">
        <w:rPr>
          <w:lang w:val="en-US"/>
        </w:rPr>
        <w:t xml:space="preserve"> level of compensation must not be unreasonable in comparison with the awards made by the Court in similar cases (ibid., §§ 202-06 and 213).</w:t>
      </w:r>
    </w:p>
    <w:p w:rsidRPr="00B849DC" w:rsidR="00A740C8" w:rsidP="00B849DC" w:rsidRDefault="00A740C8">
      <w:pPr>
        <w:pStyle w:val="ECHRHeading4"/>
        <w:rPr>
          <w:lang w:val="en-US"/>
        </w:rPr>
      </w:pPr>
      <w:r w:rsidRPr="00B849DC">
        <w:rPr>
          <w:lang w:val="en-US"/>
        </w:rPr>
        <w:t>(b)  Application to the present case</w:t>
      </w:r>
    </w:p>
    <w:p w:rsidRPr="00B849DC" w:rsidR="000F7F5C" w:rsidP="00B849DC" w:rsidRDefault="00064A29">
      <w:pPr>
        <w:pStyle w:val="ECHRPara"/>
        <w:rPr>
          <w:strike/>
          <w:lang w:val="en-US"/>
        </w:rPr>
      </w:pPr>
      <w:r w:rsidRPr="00B849DC">
        <w:rPr>
          <w:lang w:val="en-US"/>
        </w:rPr>
        <w:fldChar w:fldCharType="begin"/>
      </w:r>
      <w:r w:rsidRPr="00B849DC">
        <w:rPr>
          <w:lang w:val="en-US"/>
        </w:rPr>
        <w:instrText xml:space="preserve"> SEQ level0 \*arabic </w:instrText>
      </w:r>
      <w:r w:rsidRPr="00B849DC">
        <w:rPr>
          <w:lang w:val="en-US"/>
        </w:rPr>
        <w:fldChar w:fldCharType="separate"/>
      </w:r>
      <w:r w:rsidRPr="00B849DC" w:rsidR="00B849DC">
        <w:rPr>
          <w:noProof/>
          <w:lang w:val="en-US"/>
        </w:rPr>
        <w:t>159</w:t>
      </w:r>
      <w:r w:rsidRPr="00B849DC">
        <w:rPr>
          <w:lang w:val="en-US"/>
        </w:rPr>
        <w:fldChar w:fldCharType="end"/>
      </w:r>
      <w:r w:rsidRPr="00B849DC">
        <w:rPr>
          <w:lang w:val="en-US"/>
        </w:rPr>
        <w:t>.  </w:t>
      </w:r>
      <w:r w:rsidRPr="00B849DC" w:rsidR="000F7F5C">
        <w:rPr>
          <w:lang w:val="en-US"/>
        </w:rPr>
        <w:t xml:space="preserve">The </w:t>
      </w:r>
      <w:r w:rsidRPr="00B849DC">
        <w:rPr>
          <w:lang w:val="en-US"/>
        </w:rPr>
        <w:t>applicants claimed that the State was responsible for the companies</w:t>
      </w:r>
      <w:r w:rsidRPr="00B849DC" w:rsidR="00B849DC">
        <w:rPr>
          <w:lang w:val="en-US"/>
        </w:rPr>
        <w:t>’</w:t>
      </w:r>
      <w:r w:rsidRPr="00B849DC">
        <w:rPr>
          <w:lang w:val="en-US"/>
        </w:rPr>
        <w:t xml:space="preserve"> debts. </w:t>
      </w:r>
      <w:r w:rsidRPr="00B849DC" w:rsidR="000F7F5C">
        <w:rPr>
          <w:lang w:val="en-US"/>
        </w:rPr>
        <w:t>By the time the judgments entered into force, the insolvency proceedings had been set in motion in respect of the respondent companies because of their inability to meet the creditors</w:t>
      </w:r>
      <w:r w:rsidRPr="00B849DC" w:rsidR="00B849DC">
        <w:rPr>
          <w:lang w:val="en-US"/>
        </w:rPr>
        <w:t>’</w:t>
      </w:r>
      <w:r w:rsidRPr="00B849DC" w:rsidR="000F7F5C">
        <w:rPr>
          <w:lang w:val="en-US"/>
        </w:rPr>
        <w:t xml:space="preserve"> claims. Both respondents had been declared insolvent and ceased to exist, whilst the judgments remained unenforced. The Court will now examine whether, in this particular context, any domestic legal avenues were available to the applicants.</w:t>
      </w:r>
    </w:p>
    <w:p w:rsidRPr="00B849DC" w:rsidR="00C660DD" w:rsidP="00B849DC" w:rsidRDefault="00DD0701">
      <w:pPr>
        <w:pStyle w:val="ECHRHeading5"/>
        <w:rPr>
          <w:lang w:val="en-US"/>
        </w:rPr>
      </w:pPr>
      <w:r w:rsidRPr="00B849DC">
        <w:rPr>
          <w:lang w:val="en-US"/>
        </w:rPr>
        <w:t>(i)  </w:t>
      </w:r>
      <w:r w:rsidRPr="00B849DC" w:rsidR="00C660DD">
        <w:rPr>
          <w:lang w:val="en-US"/>
        </w:rPr>
        <w:t>Requirement to submit a writ of execution to the bailiffs (Liseytseva)</w:t>
      </w:r>
    </w:p>
    <w:p w:rsidRPr="00B849DC" w:rsidR="00CA087B" w:rsidP="00B849DC" w:rsidRDefault="00C660DD">
      <w:pPr>
        <w:pStyle w:val="ECHRPara"/>
        <w:rPr>
          <w:lang w:val="en-US"/>
        </w:rPr>
      </w:pPr>
      <w:r w:rsidRPr="00B849DC">
        <w:rPr>
          <w:lang w:val="en-US"/>
        </w:rPr>
        <w:fldChar w:fldCharType="begin"/>
      </w:r>
      <w:r w:rsidRPr="00B849DC">
        <w:rPr>
          <w:lang w:val="en-US"/>
        </w:rPr>
        <w:instrText xml:space="preserve"> SEQ level0 \*arabic </w:instrText>
      </w:r>
      <w:r w:rsidRPr="00B849DC">
        <w:rPr>
          <w:lang w:val="en-US"/>
        </w:rPr>
        <w:fldChar w:fldCharType="separate"/>
      </w:r>
      <w:r w:rsidRPr="00B849DC" w:rsidR="00B849DC">
        <w:rPr>
          <w:noProof/>
          <w:lang w:val="en-US"/>
        </w:rPr>
        <w:t>160</w:t>
      </w:r>
      <w:r w:rsidRPr="00B849DC">
        <w:rPr>
          <w:lang w:val="en-US"/>
        </w:rPr>
        <w:fldChar w:fldCharType="end"/>
      </w:r>
      <w:r w:rsidRPr="00B849DC">
        <w:rPr>
          <w:lang w:val="en-US"/>
        </w:rPr>
        <w:t xml:space="preserve">.  The Government pointed out that Ms Liseytseva had failed to submit the writ of execution in respect of the judgment of 25 November 2003 to the bailiffs. In </w:t>
      </w:r>
      <w:r w:rsidRPr="00B849DC">
        <w:rPr>
          <w:i/>
          <w:iCs/>
          <w:lang w:val="en-US"/>
        </w:rPr>
        <w:t xml:space="preserve">Gadzhikhanov and Saukov </w:t>
      </w:r>
      <w:r w:rsidRPr="00B849DC">
        <w:rPr>
          <w:lang w:val="en-US"/>
        </w:rPr>
        <w:t xml:space="preserve">the Court found that if </w:t>
      </w:r>
      <w:r w:rsidRPr="00B849DC" w:rsidR="00EA086E">
        <w:rPr>
          <w:lang w:val="en-US"/>
        </w:rPr>
        <w:t xml:space="preserve">for any reason an </w:t>
      </w:r>
      <w:r w:rsidRPr="00B849DC">
        <w:rPr>
          <w:lang w:val="en-US"/>
        </w:rPr>
        <w:t>applicant obtain</w:t>
      </w:r>
      <w:r w:rsidRPr="00B849DC" w:rsidR="0018610E">
        <w:rPr>
          <w:lang w:val="en-US"/>
        </w:rPr>
        <w:t>ed</w:t>
      </w:r>
      <w:r w:rsidRPr="00B849DC">
        <w:rPr>
          <w:lang w:val="en-US"/>
        </w:rPr>
        <w:t xml:space="preserve"> the writ of execution from </w:t>
      </w:r>
      <w:r w:rsidRPr="00B849DC" w:rsidR="00EA086E">
        <w:rPr>
          <w:lang w:val="en-US"/>
        </w:rPr>
        <w:t xml:space="preserve">a </w:t>
      </w:r>
      <w:r w:rsidRPr="00B849DC">
        <w:rPr>
          <w:lang w:val="en-US"/>
        </w:rPr>
        <w:t>court</w:t>
      </w:r>
      <w:r w:rsidRPr="00B849DC" w:rsidR="00EA086E">
        <w:rPr>
          <w:lang w:val="en-US"/>
        </w:rPr>
        <w:t xml:space="preserve"> him or herself</w:t>
      </w:r>
      <w:r w:rsidRPr="00B849DC">
        <w:rPr>
          <w:lang w:val="en-US"/>
        </w:rPr>
        <w:t>, it would appear logical to require that he or she submit it to the competent authority</w:t>
      </w:r>
      <w:r w:rsidRPr="00B849DC" w:rsidR="00EA086E">
        <w:rPr>
          <w:lang w:val="en-US"/>
        </w:rPr>
        <w:t>.</w:t>
      </w:r>
      <w:r w:rsidRPr="00B849DC">
        <w:rPr>
          <w:lang w:val="en-US"/>
        </w:rPr>
        <w:t xml:space="preserve"> </w:t>
      </w:r>
      <w:r w:rsidRPr="00B849DC" w:rsidR="00EA086E">
        <w:rPr>
          <w:lang w:val="en-US"/>
        </w:rPr>
        <w:t>T</w:t>
      </w:r>
      <w:r w:rsidRPr="00B849DC">
        <w:rPr>
          <w:lang w:val="en-US"/>
        </w:rPr>
        <w:t xml:space="preserve">he authorities </w:t>
      </w:r>
      <w:r w:rsidRPr="00B849DC" w:rsidR="00EA086E">
        <w:rPr>
          <w:lang w:val="en-US"/>
        </w:rPr>
        <w:t xml:space="preserve">in that case </w:t>
      </w:r>
      <w:r w:rsidRPr="00B849DC">
        <w:rPr>
          <w:lang w:val="en-US"/>
        </w:rPr>
        <w:t xml:space="preserve">could not </w:t>
      </w:r>
      <w:r w:rsidRPr="00B849DC" w:rsidR="00EA086E">
        <w:rPr>
          <w:lang w:val="en-US"/>
        </w:rPr>
        <w:t>be</w:t>
      </w:r>
      <w:r w:rsidRPr="00B849DC">
        <w:rPr>
          <w:lang w:val="en-US"/>
        </w:rPr>
        <w:t xml:space="preserve"> held responsible for the applicants</w:t>
      </w:r>
      <w:r w:rsidRPr="00B849DC" w:rsidR="00B849DC">
        <w:rPr>
          <w:lang w:val="en-US"/>
        </w:rPr>
        <w:t>’</w:t>
      </w:r>
      <w:r w:rsidRPr="00B849DC">
        <w:rPr>
          <w:lang w:val="en-US"/>
        </w:rPr>
        <w:t xml:space="preserve"> unexplained failure to follow the domestic enforcement procedure and, notably, for their deliberate and persistent refusal to provide the writs of enforcement (</w:t>
      </w:r>
      <w:r w:rsidRPr="00B849DC" w:rsidR="00BD6EFE">
        <w:rPr>
          <w:lang w:val="en-US"/>
        </w:rPr>
        <w:t xml:space="preserve">see </w:t>
      </w:r>
      <w:r w:rsidRPr="00B849DC">
        <w:rPr>
          <w:i/>
          <w:iCs/>
          <w:lang w:val="en-US"/>
        </w:rPr>
        <w:t>Gadzhikhanov and Saukov v. Russia</w:t>
      </w:r>
      <w:r w:rsidRPr="00B849DC">
        <w:rPr>
          <w:lang w:val="en-US"/>
        </w:rPr>
        <w:t xml:space="preserve">, nos. 10511/08 and 5866/09, §§ 27-31, 31 January 2012). However, the present case is different in two </w:t>
      </w:r>
      <w:r w:rsidRPr="00B849DC" w:rsidR="00EA086E">
        <w:rPr>
          <w:lang w:val="en-US"/>
        </w:rPr>
        <w:t>respects</w:t>
      </w:r>
      <w:r w:rsidRPr="00B849DC">
        <w:rPr>
          <w:lang w:val="en-US"/>
        </w:rPr>
        <w:t xml:space="preserve">: first, </w:t>
      </w:r>
      <w:r w:rsidRPr="00B849DC" w:rsidR="00EA086E">
        <w:rPr>
          <w:lang w:val="en-US"/>
        </w:rPr>
        <w:t>when</w:t>
      </w:r>
      <w:r w:rsidRPr="00B849DC">
        <w:rPr>
          <w:lang w:val="en-US"/>
        </w:rPr>
        <w:t xml:space="preserve"> the </w:t>
      </w:r>
      <w:r w:rsidRPr="00B849DC" w:rsidR="00F477CB">
        <w:rPr>
          <w:lang w:val="en-US"/>
        </w:rPr>
        <w:t xml:space="preserve">second </w:t>
      </w:r>
      <w:r w:rsidRPr="00B849DC">
        <w:rPr>
          <w:lang w:val="en-US"/>
        </w:rPr>
        <w:t>award in the applicant</w:t>
      </w:r>
      <w:r w:rsidRPr="00B849DC" w:rsidR="00B849DC">
        <w:rPr>
          <w:lang w:val="en-US"/>
        </w:rPr>
        <w:t>’</w:t>
      </w:r>
      <w:r w:rsidRPr="00B849DC" w:rsidR="0018610E">
        <w:rPr>
          <w:lang w:val="en-US"/>
        </w:rPr>
        <w:t>s favour became enforceable</w:t>
      </w:r>
      <w:r w:rsidRPr="00B849DC">
        <w:rPr>
          <w:lang w:val="en-US"/>
        </w:rPr>
        <w:t xml:space="preserve"> the insolvency proce</w:t>
      </w:r>
      <w:r w:rsidRPr="00B849DC" w:rsidR="00575519">
        <w:rPr>
          <w:lang w:val="en-US"/>
        </w:rPr>
        <w:t>dure</w:t>
      </w:r>
      <w:r w:rsidRPr="00B849DC">
        <w:rPr>
          <w:lang w:val="en-US"/>
        </w:rPr>
        <w:t xml:space="preserve"> </w:t>
      </w:r>
      <w:r w:rsidRPr="00B849DC" w:rsidR="00EA086E">
        <w:rPr>
          <w:lang w:val="en-US"/>
        </w:rPr>
        <w:t xml:space="preserve">was </w:t>
      </w:r>
      <w:r w:rsidRPr="00B849DC">
        <w:rPr>
          <w:lang w:val="en-US"/>
        </w:rPr>
        <w:t xml:space="preserve">already in progress, and, accordingly, the enforcement proceedings </w:t>
      </w:r>
      <w:r w:rsidRPr="00B849DC" w:rsidR="00EA086E">
        <w:rPr>
          <w:lang w:val="en-US"/>
        </w:rPr>
        <w:t xml:space="preserve">had </w:t>
      </w:r>
      <w:r w:rsidRPr="00B849DC">
        <w:rPr>
          <w:lang w:val="en-US"/>
        </w:rPr>
        <w:t xml:space="preserve">to be suspended, as required by </w:t>
      </w:r>
      <w:r w:rsidRPr="00B849DC" w:rsidR="006E03CE">
        <w:rPr>
          <w:lang w:val="en-US"/>
        </w:rPr>
        <w:t>section </w:t>
      </w:r>
      <w:r w:rsidRPr="00B849DC">
        <w:rPr>
          <w:lang w:val="en-US"/>
        </w:rPr>
        <w:t>22 of the Enforcement Act of 1997</w:t>
      </w:r>
      <w:r w:rsidRPr="00B849DC" w:rsidR="0018610E">
        <w:rPr>
          <w:lang w:val="en-US"/>
        </w:rPr>
        <w:t xml:space="preserve"> (</w:t>
      </w:r>
      <w:r w:rsidRPr="00B849DC">
        <w:rPr>
          <w:lang w:val="en-US"/>
        </w:rPr>
        <w:t>as in force at the material time</w:t>
      </w:r>
      <w:r w:rsidRPr="00B849DC" w:rsidR="007730BB">
        <w:rPr>
          <w:lang w:val="en-US"/>
        </w:rPr>
        <w:t>, see paragraph </w:t>
      </w:r>
      <w:r w:rsidRPr="00B849DC" w:rsidR="00EA6D4D">
        <w:rPr>
          <w:lang w:val="en-US"/>
        </w:rPr>
        <w:t>11</w:t>
      </w:r>
      <w:r w:rsidRPr="00B849DC" w:rsidR="005765D5">
        <w:rPr>
          <w:lang w:val="en-US"/>
        </w:rPr>
        <w:t>2</w:t>
      </w:r>
      <w:r w:rsidRPr="00B849DC" w:rsidR="007730BB">
        <w:rPr>
          <w:lang w:val="en-US"/>
        </w:rPr>
        <w:t xml:space="preserve"> above</w:t>
      </w:r>
      <w:r w:rsidRPr="00B849DC" w:rsidR="0018610E">
        <w:rPr>
          <w:lang w:val="en-US"/>
        </w:rPr>
        <w:t>)</w:t>
      </w:r>
      <w:r w:rsidRPr="00B849DC">
        <w:rPr>
          <w:lang w:val="en-US"/>
        </w:rPr>
        <w:t>. It therefore appears that it was no longer the bailiffs</w:t>
      </w:r>
      <w:r w:rsidRPr="00B849DC" w:rsidR="00B849DC">
        <w:rPr>
          <w:lang w:val="en-US"/>
        </w:rPr>
        <w:t>’</w:t>
      </w:r>
      <w:r w:rsidRPr="00B849DC">
        <w:rPr>
          <w:lang w:val="en-US"/>
        </w:rPr>
        <w:t xml:space="preserve"> service but the liquidator </w:t>
      </w:r>
      <w:r w:rsidRPr="00B849DC" w:rsidR="00EA086E">
        <w:rPr>
          <w:lang w:val="en-US"/>
        </w:rPr>
        <w:t xml:space="preserve">who was </w:t>
      </w:r>
      <w:r w:rsidRPr="00B849DC">
        <w:rPr>
          <w:lang w:val="en-US"/>
        </w:rPr>
        <w:t>responsible for the execution of the award. Second, as the copy of the writ of execution in respect of the judgment in question</w:t>
      </w:r>
      <w:r w:rsidRPr="00B849DC" w:rsidR="000B1E96">
        <w:rPr>
          <w:lang w:val="en-US"/>
        </w:rPr>
        <w:t xml:space="preserve"> clearly shows</w:t>
      </w:r>
      <w:r w:rsidRPr="00B849DC">
        <w:rPr>
          <w:lang w:val="en-US"/>
        </w:rPr>
        <w:t xml:space="preserve">, at some point the liquidator received it and made a note on </w:t>
      </w:r>
      <w:r w:rsidRPr="00B849DC" w:rsidR="007730BB">
        <w:rPr>
          <w:lang w:val="en-US"/>
        </w:rPr>
        <w:t xml:space="preserve">it regarding its </w:t>
      </w:r>
      <w:r w:rsidRPr="00B849DC">
        <w:rPr>
          <w:lang w:val="en-US"/>
        </w:rPr>
        <w:t>enforcement status</w:t>
      </w:r>
      <w:r w:rsidRPr="00B849DC" w:rsidR="00575519">
        <w:rPr>
          <w:lang w:val="en-US"/>
        </w:rPr>
        <w:t xml:space="preserve"> (see paragraph</w:t>
      </w:r>
      <w:r w:rsidRPr="00B849DC" w:rsidR="00DE0F59">
        <w:rPr>
          <w:lang w:val="en-US"/>
        </w:rPr>
        <w:t>s</w:t>
      </w:r>
      <w:r w:rsidRPr="00B849DC" w:rsidR="00575519">
        <w:rPr>
          <w:lang w:val="en-US"/>
        </w:rPr>
        <w:t> </w:t>
      </w:r>
      <w:r w:rsidRPr="00B849DC" w:rsidR="00A779F4">
        <w:rPr>
          <w:lang w:val="en-US"/>
        </w:rPr>
        <w:t>19</w:t>
      </w:r>
      <w:r w:rsidRPr="00B849DC" w:rsidR="00A779F4">
        <w:rPr>
          <w:lang w:val="en-US"/>
        </w:rPr>
        <w:noBreakHyphen/>
      </w:r>
      <w:r w:rsidRPr="00B849DC" w:rsidR="00DE0F59">
        <w:rPr>
          <w:lang w:val="en-US"/>
        </w:rPr>
        <w:t>20</w:t>
      </w:r>
      <w:r w:rsidRPr="00B849DC" w:rsidR="00575519">
        <w:rPr>
          <w:lang w:val="en-US"/>
        </w:rPr>
        <w:t xml:space="preserve"> above)</w:t>
      </w:r>
      <w:r w:rsidRPr="00B849DC">
        <w:rPr>
          <w:lang w:val="en-US"/>
        </w:rPr>
        <w:t xml:space="preserve">. Therefore, the Court considers that the applicant discharged </w:t>
      </w:r>
      <w:r w:rsidRPr="00B849DC" w:rsidR="00EA086E">
        <w:rPr>
          <w:lang w:val="en-US"/>
        </w:rPr>
        <w:t>her</w:t>
      </w:r>
      <w:r w:rsidRPr="00B849DC">
        <w:rPr>
          <w:lang w:val="en-US"/>
        </w:rPr>
        <w:t xml:space="preserve"> duty </w:t>
      </w:r>
      <w:r w:rsidRPr="00B849DC" w:rsidR="00EA086E">
        <w:rPr>
          <w:lang w:val="en-US"/>
        </w:rPr>
        <w:t xml:space="preserve">of cooperation </w:t>
      </w:r>
      <w:r w:rsidRPr="00B849DC" w:rsidR="00575519">
        <w:rPr>
          <w:lang w:val="en-US"/>
        </w:rPr>
        <w:t xml:space="preserve">by forwarding the writ to a competent </w:t>
      </w:r>
      <w:r w:rsidRPr="00B849DC" w:rsidR="007730BB">
        <w:rPr>
          <w:lang w:val="en-US"/>
        </w:rPr>
        <w:t>person</w:t>
      </w:r>
      <w:r w:rsidRPr="00B849DC" w:rsidR="00575519">
        <w:rPr>
          <w:lang w:val="en-US"/>
        </w:rPr>
        <w:t xml:space="preserve"> </w:t>
      </w:r>
      <w:r w:rsidRPr="00B849DC">
        <w:rPr>
          <w:lang w:val="en-US"/>
        </w:rPr>
        <w:t>and rejects the Government</w:t>
      </w:r>
      <w:r w:rsidRPr="00B849DC" w:rsidR="00B849DC">
        <w:rPr>
          <w:lang w:val="en-US"/>
        </w:rPr>
        <w:t>’</w:t>
      </w:r>
      <w:r w:rsidRPr="00B849DC">
        <w:rPr>
          <w:lang w:val="en-US"/>
        </w:rPr>
        <w:t>s objection.</w:t>
      </w:r>
    </w:p>
    <w:p w:rsidRPr="00B849DC" w:rsidR="00DD0701" w:rsidP="00B849DC" w:rsidRDefault="00C660DD">
      <w:pPr>
        <w:pStyle w:val="ECHRHeading5"/>
        <w:rPr>
          <w:lang w:val="en-US"/>
        </w:rPr>
      </w:pPr>
      <w:r w:rsidRPr="00B849DC">
        <w:rPr>
          <w:lang w:val="en-US"/>
        </w:rPr>
        <w:t>(ii)  </w:t>
      </w:r>
      <w:r w:rsidRPr="00B849DC" w:rsidR="00C02A30">
        <w:rPr>
          <w:lang w:val="en-US"/>
        </w:rPr>
        <w:t>Complaint to the bailiffs</w:t>
      </w:r>
      <w:r w:rsidRPr="00B849DC" w:rsidR="00B849DC">
        <w:rPr>
          <w:lang w:val="en-US"/>
        </w:rPr>
        <w:t>’</w:t>
      </w:r>
      <w:r w:rsidRPr="00B849DC" w:rsidR="00C02A30">
        <w:rPr>
          <w:lang w:val="en-US"/>
        </w:rPr>
        <w:t xml:space="preserve"> service (Maslov)</w:t>
      </w:r>
      <w:r w:rsidRPr="00B849DC">
        <w:rPr>
          <w:lang w:val="en-US"/>
        </w:rPr>
        <w:t xml:space="preserve"> and </w:t>
      </w:r>
      <w:r w:rsidRPr="00B849DC" w:rsidR="00AC4A13">
        <w:rPr>
          <w:lang w:val="en-US"/>
        </w:rPr>
        <w:t xml:space="preserve">a court </w:t>
      </w:r>
      <w:r w:rsidRPr="00B849DC">
        <w:rPr>
          <w:lang w:val="en-US"/>
        </w:rPr>
        <w:t>action</w:t>
      </w:r>
      <w:r w:rsidRPr="00B849DC" w:rsidR="00DD0701">
        <w:rPr>
          <w:lang w:val="en-US"/>
        </w:rPr>
        <w:t xml:space="preserve"> against </w:t>
      </w:r>
      <w:r w:rsidRPr="00B849DC" w:rsidR="00E95C18">
        <w:rPr>
          <w:lang w:val="en-US"/>
        </w:rPr>
        <w:t xml:space="preserve">the </w:t>
      </w:r>
      <w:r w:rsidRPr="00B849DC" w:rsidR="00DD0701">
        <w:rPr>
          <w:lang w:val="en-US"/>
        </w:rPr>
        <w:t>bailiffs</w:t>
      </w:r>
      <w:r w:rsidRPr="00B849DC" w:rsidR="00C02A30">
        <w:rPr>
          <w:lang w:val="en-US"/>
        </w:rPr>
        <w:t xml:space="preserve"> (Maslov, Liseytseva)</w:t>
      </w:r>
    </w:p>
    <w:p w:rsidRPr="00B849DC" w:rsidR="0018610E" w:rsidP="00B849DC" w:rsidRDefault="00DD0701">
      <w:pPr>
        <w:pStyle w:val="ECHRPara"/>
        <w:rPr>
          <w:lang w:val="en-GB"/>
        </w:rPr>
      </w:pPr>
      <w:r w:rsidRPr="00B849DC">
        <w:rPr>
          <w:lang w:val="en-US"/>
        </w:rPr>
        <w:fldChar w:fldCharType="begin"/>
      </w:r>
      <w:r w:rsidRPr="00B849DC">
        <w:rPr>
          <w:lang w:val="en-US"/>
        </w:rPr>
        <w:instrText xml:space="preserve"> SEQ level0 \*arabic </w:instrText>
      </w:r>
      <w:r w:rsidRPr="00B849DC">
        <w:rPr>
          <w:lang w:val="en-US"/>
        </w:rPr>
        <w:fldChar w:fldCharType="separate"/>
      </w:r>
      <w:r w:rsidRPr="00B849DC" w:rsidR="00B849DC">
        <w:rPr>
          <w:noProof/>
          <w:lang w:val="en-US"/>
        </w:rPr>
        <w:t>161</w:t>
      </w:r>
      <w:r w:rsidRPr="00B849DC">
        <w:rPr>
          <w:lang w:val="en-US"/>
        </w:rPr>
        <w:fldChar w:fldCharType="end"/>
      </w:r>
      <w:r w:rsidRPr="00B849DC">
        <w:rPr>
          <w:lang w:val="en-US"/>
        </w:rPr>
        <w:t>.  </w:t>
      </w:r>
      <w:r w:rsidRPr="00B849DC" w:rsidR="00575519">
        <w:rPr>
          <w:lang w:val="en-US"/>
        </w:rPr>
        <w:t>As</w:t>
      </w:r>
      <w:r w:rsidRPr="00B849DC" w:rsidR="0018610E">
        <w:rPr>
          <w:lang w:val="en-US"/>
        </w:rPr>
        <w:t xml:space="preserve"> regards </w:t>
      </w:r>
      <w:r w:rsidRPr="00B849DC" w:rsidR="000316F5">
        <w:rPr>
          <w:lang w:val="en-US"/>
        </w:rPr>
        <w:t xml:space="preserve">a </w:t>
      </w:r>
      <w:r w:rsidRPr="00B849DC" w:rsidR="0018610E">
        <w:rPr>
          <w:lang w:val="en-US"/>
        </w:rPr>
        <w:t>complaint to the bailiffs</w:t>
      </w:r>
      <w:r w:rsidRPr="00B849DC" w:rsidR="00B849DC">
        <w:rPr>
          <w:lang w:val="en-US"/>
        </w:rPr>
        <w:t>’</w:t>
      </w:r>
      <w:r w:rsidRPr="00B849DC" w:rsidR="0018610E">
        <w:rPr>
          <w:lang w:val="en-US"/>
        </w:rPr>
        <w:t xml:space="preserve"> service and a court action concerning the bailiffs</w:t>
      </w:r>
      <w:r w:rsidRPr="00B849DC" w:rsidR="00B849DC">
        <w:rPr>
          <w:lang w:val="en-US"/>
        </w:rPr>
        <w:t>’</w:t>
      </w:r>
      <w:r w:rsidRPr="00B849DC" w:rsidR="0018610E">
        <w:rPr>
          <w:lang w:val="en-US"/>
        </w:rPr>
        <w:t xml:space="preserve"> inaction </w:t>
      </w:r>
      <w:r w:rsidRPr="00B849DC" w:rsidR="009B662E">
        <w:rPr>
          <w:lang w:val="en-US"/>
        </w:rPr>
        <w:t>as potential remedies for the applicants</w:t>
      </w:r>
      <w:r w:rsidRPr="00B849DC" w:rsidR="00B849DC">
        <w:rPr>
          <w:lang w:val="en-US"/>
        </w:rPr>
        <w:t>’</w:t>
      </w:r>
      <w:r w:rsidRPr="00B849DC" w:rsidR="009B662E">
        <w:rPr>
          <w:lang w:val="en-US"/>
        </w:rPr>
        <w:t xml:space="preserve"> complaints </w:t>
      </w:r>
      <w:r w:rsidRPr="00B849DC" w:rsidR="0018610E">
        <w:rPr>
          <w:lang w:val="en-US"/>
        </w:rPr>
        <w:t>(see paragraphs </w:t>
      </w:r>
      <w:r w:rsidRPr="00B849DC" w:rsidR="005765D5">
        <w:rPr>
          <w:lang w:val="en-US"/>
        </w:rPr>
        <w:t>112</w:t>
      </w:r>
      <w:r w:rsidRPr="00B849DC" w:rsidR="00B2146B">
        <w:rPr>
          <w:lang w:val="en-US"/>
        </w:rPr>
        <w:t xml:space="preserve"> and </w:t>
      </w:r>
      <w:r w:rsidRPr="00B849DC" w:rsidR="005B316A">
        <w:rPr>
          <w:lang w:val="en-US"/>
        </w:rPr>
        <w:t>1</w:t>
      </w:r>
      <w:r w:rsidRPr="00B849DC" w:rsidR="005765D5">
        <w:rPr>
          <w:lang w:val="en-US"/>
        </w:rPr>
        <w:t>19</w:t>
      </w:r>
      <w:r w:rsidRPr="00B849DC" w:rsidR="0018610E">
        <w:rPr>
          <w:lang w:val="en-US"/>
        </w:rPr>
        <w:t xml:space="preserve"> above</w:t>
      </w:r>
      <w:r w:rsidRPr="00B849DC" w:rsidR="009B662E">
        <w:rPr>
          <w:lang w:val="en-US"/>
        </w:rPr>
        <w:t xml:space="preserve"> for the relevant domestic law provisions</w:t>
      </w:r>
      <w:r w:rsidRPr="00B849DC" w:rsidR="0018610E">
        <w:rPr>
          <w:lang w:val="en-US"/>
        </w:rPr>
        <w:t xml:space="preserve">) the Court </w:t>
      </w:r>
      <w:r w:rsidRPr="00B849DC" w:rsidR="00AC4A13">
        <w:rPr>
          <w:lang w:val="en-US"/>
        </w:rPr>
        <w:t xml:space="preserve">considers that the effectiveness of the suggested </w:t>
      </w:r>
      <w:r w:rsidRPr="00B849DC" w:rsidR="000316F5">
        <w:rPr>
          <w:lang w:val="en-US"/>
        </w:rPr>
        <w:t xml:space="preserve">remedies </w:t>
      </w:r>
      <w:r w:rsidRPr="00B849DC" w:rsidR="00AC4A13">
        <w:rPr>
          <w:lang w:val="en-US"/>
        </w:rPr>
        <w:t xml:space="preserve">should be assessed in the context of the specific cases under consideration. It </w:t>
      </w:r>
      <w:r w:rsidRPr="00B849DC" w:rsidR="0018610E">
        <w:rPr>
          <w:lang w:val="en-US"/>
        </w:rPr>
        <w:t xml:space="preserve">notes </w:t>
      </w:r>
      <w:r w:rsidRPr="00B849DC" w:rsidR="002D568B">
        <w:rPr>
          <w:lang w:val="en-US"/>
        </w:rPr>
        <w:t xml:space="preserve">that the </w:t>
      </w:r>
      <w:r w:rsidRPr="00B849DC" w:rsidR="00EE3917">
        <w:rPr>
          <w:lang w:val="en-US"/>
        </w:rPr>
        <w:t>first judgment in favour of Ms</w:t>
      </w:r>
      <w:r w:rsidRPr="00B849DC" w:rsidR="00A779F4">
        <w:rPr>
          <w:lang w:val="en-US"/>
        </w:rPr>
        <w:t> </w:t>
      </w:r>
      <w:r w:rsidRPr="00B849DC" w:rsidR="00EE3917">
        <w:rPr>
          <w:lang w:val="en-US"/>
        </w:rPr>
        <w:t>Liseytseva entered into force six days before the liquidation procedure in respect of the debtor commenced (see paragraph</w:t>
      </w:r>
      <w:r w:rsidRPr="00B849DC" w:rsidR="00B2146B">
        <w:rPr>
          <w:lang w:val="en-US"/>
        </w:rPr>
        <w:t>s</w:t>
      </w:r>
      <w:r w:rsidRPr="00B849DC" w:rsidR="00EE3917">
        <w:rPr>
          <w:lang w:val="en-US"/>
        </w:rPr>
        <w:t> </w:t>
      </w:r>
      <w:r w:rsidRPr="00B849DC" w:rsidR="00B2146B">
        <w:rPr>
          <w:lang w:val="en-US"/>
        </w:rPr>
        <w:t>11 and 13</w:t>
      </w:r>
      <w:r w:rsidRPr="00B849DC" w:rsidR="00EE3917">
        <w:rPr>
          <w:lang w:val="en-US"/>
        </w:rPr>
        <w:t xml:space="preserve"> above), and all </w:t>
      </w:r>
      <w:r w:rsidRPr="00B849DC" w:rsidR="00E95C18">
        <w:rPr>
          <w:lang w:val="en-US"/>
        </w:rPr>
        <w:t xml:space="preserve">the </w:t>
      </w:r>
      <w:r w:rsidRPr="00B849DC" w:rsidR="00EE3917">
        <w:rPr>
          <w:lang w:val="en-US"/>
        </w:rPr>
        <w:t>other judgments in both applicants</w:t>
      </w:r>
      <w:r w:rsidRPr="00B849DC" w:rsidR="00B849DC">
        <w:rPr>
          <w:lang w:val="en-US"/>
        </w:rPr>
        <w:t>’</w:t>
      </w:r>
      <w:r w:rsidRPr="00B849DC" w:rsidR="00EE3917">
        <w:rPr>
          <w:lang w:val="en-US"/>
        </w:rPr>
        <w:t xml:space="preserve"> favour were issued when the liquidation in respect of </w:t>
      </w:r>
      <w:r w:rsidRPr="00B849DC" w:rsidR="00F477CB">
        <w:rPr>
          <w:lang w:val="en-US"/>
        </w:rPr>
        <w:t>the</w:t>
      </w:r>
      <w:r w:rsidRPr="00B849DC" w:rsidR="00EE3917">
        <w:rPr>
          <w:lang w:val="en-US"/>
        </w:rPr>
        <w:t xml:space="preserve"> debtor enterprises was underway. </w:t>
      </w:r>
      <w:r w:rsidRPr="00B849DC" w:rsidR="00AC4A13">
        <w:rPr>
          <w:lang w:val="en-US"/>
        </w:rPr>
        <w:t>In that situation, the bailiffs</w:t>
      </w:r>
      <w:r w:rsidRPr="00B849DC" w:rsidR="00B849DC">
        <w:rPr>
          <w:lang w:val="en-US"/>
        </w:rPr>
        <w:t>’</w:t>
      </w:r>
      <w:r w:rsidRPr="00B849DC" w:rsidR="00AC4A13">
        <w:rPr>
          <w:lang w:val="en-US"/>
        </w:rPr>
        <w:t xml:space="preserve"> duty was confined to forwarding the writs of execution to the liquidator in due time (see paragraphs </w:t>
      </w:r>
      <w:r w:rsidRPr="00B849DC" w:rsidR="00B2146B">
        <w:rPr>
          <w:lang w:val="en-US"/>
        </w:rPr>
        <w:t>17</w:t>
      </w:r>
      <w:r w:rsidRPr="00B849DC" w:rsidR="00AC4A13">
        <w:rPr>
          <w:lang w:val="en-US"/>
        </w:rPr>
        <w:t xml:space="preserve"> and </w:t>
      </w:r>
      <w:r w:rsidRPr="00B849DC" w:rsidR="00B2146B">
        <w:rPr>
          <w:lang w:val="en-US"/>
        </w:rPr>
        <w:t>41</w:t>
      </w:r>
      <w:r w:rsidRPr="00B849DC" w:rsidR="00AC4A13">
        <w:rPr>
          <w:lang w:val="en-US"/>
        </w:rPr>
        <w:t xml:space="preserve"> above). </w:t>
      </w:r>
      <w:r w:rsidRPr="00B849DC" w:rsidR="00D3440B">
        <w:rPr>
          <w:lang w:val="en-US"/>
        </w:rPr>
        <w:t xml:space="preserve">At </w:t>
      </w:r>
      <w:r w:rsidRPr="00B849DC" w:rsidR="00AC4A13">
        <w:rPr>
          <w:lang w:val="en-US"/>
        </w:rPr>
        <w:t xml:space="preserve">no point </w:t>
      </w:r>
      <w:r w:rsidRPr="00B849DC" w:rsidR="00E95C18">
        <w:rPr>
          <w:lang w:val="en-US"/>
        </w:rPr>
        <w:t xml:space="preserve">did </w:t>
      </w:r>
      <w:r w:rsidRPr="00B849DC" w:rsidR="00AC4A13">
        <w:rPr>
          <w:lang w:val="en-US"/>
        </w:rPr>
        <w:t xml:space="preserve">the applicants allege in their complaints to the Court that the bailiffs had unduly </w:t>
      </w:r>
      <w:r w:rsidRPr="00B849DC" w:rsidR="00E95C18">
        <w:rPr>
          <w:lang w:val="en-US"/>
        </w:rPr>
        <w:t xml:space="preserve">delayed </w:t>
      </w:r>
      <w:r w:rsidRPr="00B849DC" w:rsidR="00AC4A13">
        <w:rPr>
          <w:lang w:val="en-US"/>
        </w:rPr>
        <w:t xml:space="preserve">the transfer of the writs or, for instance, failed to verify </w:t>
      </w:r>
      <w:r w:rsidRPr="00B849DC" w:rsidR="00E95C18">
        <w:rPr>
          <w:lang w:val="en-US"/>
        </w:rPr>
        <w:t xml:space="preserve">the </w:t>
      </w:r>
      <w:r w:rsidRPr="00B849DC" w:rsidR="00AC4A13">
        <w:rPr>
          <w:lang w:val="en-US"/>
        </w:rPr>
        <w:t>correctness of the</w:t>
      </w:r>
      <w:r w:rsidRPr="00B849DC" w:rsidR="00BD6EFE">
        <w:rPr>
          <w:lang w:val="en-US"/>
        </w:rPr>
        <w:t>ir</w:t>
      </w:r>
      <w:r w:rsidRPr="00B849DC" w:rsidR="00AC4A13">
        <w:rPr>
          <w:lang w:val="en-US"/>
        </w:rPr>
        <w:t xml:space="preserve"> execution as </w:t>
      </w:r>
      <w:r w:rsidRPr="00B849DC" w:rsidR="000316F5">
        <w:rPr>
          <w:lang w:val="en-US"/>
        </w:rPr>
        <w:t xml:space="preserve">they were required to do </w:t>
      </w:r>
      <w:r w:rsidRPr="00B849DC" w:rsidR="00AC4A13">
        <w:rPr>
          <w:lang w:val="en-US"/>
        </w:rPr>
        <w:t xml:space="preserve">by </w:t>
      </w:r>
      <w:r w:rsidRPr="00B849DC" w:rsidR="000316F5">
        <w:rPr>
          <w:lang w:val="en-US"/>
        </w:rPr>
        <w:t xml:space="preserve">virtue of </w:t>
      </w:r>
      <w:r w:rsidRPr="00B849DC" w:rsidR="006E03CE">
        <w:rPr>
          <w:lang w:val="en-US"/>
        </w:rPr>
        <w:t>section </w:t>
      </w:r>
      <w:r w:rsidRPr="00B849DC" w:rsidR="00AC4A13">
        <w:rPr>
          <w:lang w:val="en-US"/>
        </w:rPr>
        <w:t>96</w:t>
      </w:r>
      <w:r w:rsidRPr="00B849DC" w:rsidR="006E03CE">
        <w:rPr>
          <w:lang w:val="en-US"/>
        </w:rPr>
        <w:t>(</w:t>
      </w:r>
      <w:r w:rsidRPr="00B849DC" w:rsidR="00AC4A13">
        <w:rPr>
          <w:lang w:val="en-US"/>
        </w:rPr>
        <w:t>6</w:t>
      </w:r>
      <w:r w:rsidRPr="00B849DC" w:rsidR="006E03CE">
        <w:rPr>
          <w:lang w:val="en-US"/>
        </w:rPr>
        <w:t>)</w:t>
      </w:r>
      <w:r w:rsidRPr="00B849DC" w:rsidR="00AC4A13">
        <w:rPr>
          <w:lang w:val="en-US"/>
        </w:rPr>
        <w:t xml:space="preserve"> of the </w:t>
      </w:r>
      <w:r w:rsidRPr="00B849DC" w:rsidR="00AC4A13">
        <w:rPr>
          <w:lang w:val="en-GB"/>
        </w:rPr>
        <w:t>Enforcement Act of 2007 (see paragraph </w:t>
      </w:r>
      <w:r w:rsidRPr="00B849DC" w:rsidR="005765D5">
        <w:rPr>
          <w:lang w:val="en-GB"/>
        </w:rPr>
        <w:t>114</w:t>
      </w:r>
      <w:r w:rsidRPr="00B849DC" w:rsidR="00AC4A13">
        <w:rPr>
          <w:lang w:val="en-GB"/>
        </w:rPr>
        <w:t xml:space="preserve"> above), </w:t>
      </w:r>
      <w:r w:rsidRPr="00B849DC" w:rsidR="00AC4A13">
        <w:rPr>
          <w:lang w:val="en-US"/>
        </w:rPr>
        <w:t xml:space="preserve">or otherwise </w:t>
      </w:r>
      <w:r w:rsidRPr="00B849DC" w:rsidR="00E95C18">
        <w:rPr>
          <w:lang w:val="en-US"/>
        </w:rPr>
        <w:t>failed to carry out their duty properly</w:t>
      </w:r>
      <w:r w:rsidRPr="00B849DC" w:rsidR="00AC4A13">
        <w:rPr>
          <w:lang w:val="en-GB"/>
        </w:rPr>
        <w:t>.</w:t>
      </w:r>
      <w:r w:rsidRPr="00B849DC" w:rsidR="00D3440B">
        <w:rPr>
          <w:lang w:val="en-GB"/>
        </w:rPr>
        <w:t xml:space="preserve"> </w:t>
      </w:r>
      <w:r w:rsidRPr="00B849DC" w:rsidR="00F80C7C">
        <w:rPr>
          <w:lang w:val="en-US"/>
        </w:rPr>
        <w:t>The crux of the</w:t>
      </w:r>
      <w:r w:rsidRPr="00B849DC" w:rsidR="00441A95">
        <w:rPr>
          <w:lang w:val="en-US"/>
        </w:rPr>
        <w:t xml:space="preserve"> applicants</w:t>
      </w:r>
      <w:r w:rsidRPr="00B849DC" w:rsidR="00B849DC">
        <w:rPr>
          <w:lang w:val="en-US"/>
        </w:rPr>
        <w:t>’</w:t>
      </w:r>
      <w:r w:rsidRPr="00B849DC" w:rsidR="00F80C7C">
        <w:rPr>
          <w:lang w:val="en-US"/>
        </w:rPr>
        <w:t xml:space="preserve"> grievance </w:t>
      </w:r>
      <w:r w:rsidRPr="00B849DC" w:rsidR="0003176B">
        <w:rPr>
          <w:lang w:val="en-US"/>
        </w:rPr>
        <w:t>is</w:t>
      </w:r>
      <w:r w:rsidRPr="00B849DC" w:rsidR="00F80C7C">
        <w:rPr>
          <w:lang w:val="en-US"/>
        </w:rPr>
        <w:t xml:space="preserve"> rather the debtor companies</w:t>
      </w:r>
      <w:r w:rsidRPr="00B849DC" w:rsidR="00B849DC">
        <w:rPr>
          <w:lang w:val="en-US"/>
        </w:rPr>
        <w:t>’</w:t>
      </w:r>
      <w:r w:rsidRPr="00B849DC" w:rsidR="00F80C7C">
        <w:rPr>
          <w:lang w:val="en-US"/>
        </w:rPr>
        <w:t xml:space="preserve"> inability to satisfy their </w:t>
      </w:r>
      <w:r w:rsidRPr="00B849DC" w:rsidR="00824FA0">
        <w:rPr>
          <w:lang w:val="en-US"/>
        </w:rPr>
        <w:t xml:space="preserve">respective </w:t>
      </w:r>
      <w:r w:rsidRPr="00B849DC" w:rsidR="00F80C7C">
        <w:rPr>
          <w:lang w:val="en-US"/>
        </w:rPr>
        <w:t>claims</w:t>
      </w:r>
      <w:r w:rsidRPr="00B849DC" w:rsidR="00E95C18">
        <w:rPr>
          <w:lang w:val="en-US"/>
        </w:rPr>
        <w:t>,</w:t>
      </w:r>
      <w:r w:rsidRPr="00B849DC" w:rsidR="00F80C7C">
        <w:rPr>
          <w:lang w:val="en-US"/>
        </w:rPr>
        <w:t xml:space="preserve"> </w:t>
      </w:r>
      <w:r w:rsidRPr="00B849DC" w:rsidR="00E95C18">
        <w:rPr>
          <w:lang w:val="en-US"/>
        </w:rPr>
        <w:t xml:space="preserve">which were </w:t>
      </w:r>
      <w:r w:rsidRPr="00B849DC" w:rsidR="00F80C7C">
        <w:rPr>
          <w:lang w:val="en-US"/>
        </w:rPr>
        <w:t>confirmed by the final judgments in their favour. The Court notes that by</w:t>
      </w:r>
      <w:r w:rsidRPr="00B849DC" w:rsidR="005D392A">
        <w:rPr>
          <w:lang w:val="en-US"/>
        </w:rPr>
        <w:t xml:space="preserve"> the time the </w:t>
      </w:r>
      <w:r w:rsidRPr="00B849DC" w:rsidR="0018610E">
        <w:rPr>
          <w:lang w:val="en-US"/>
        </w:rPr>
        <w:t>applicant</w:t>
      </w:r>
      <w:r w:rsidRPr="00B849DC" w:rsidR="005D392A">
        <w:rPr>
          <w:lang w:val="en-US"/>
        </w:rPr>
        <w:t>s</w:t>
      </w:r>
      <w:r w:rsidRPr="00B849DC" w:rsidR="0018610E">
        <w:rPr>
          <w:lang w:val="en-US"/>
        </w:rPr>
        <w:t xml:space="preserve"> </w:t>
      </w:r>
      <w:r w:rsidRPr="00B849DC" w:rsidR="005D392A">
        <w:rPr>
          <w:lang w:val="en-US"/>
        </w:rPr>
        <w:t>were</w:t>
      </w:r>
      <w:r w:rsidRPr="00B849DC" w:rsidR="0018610E">
        <w:rPr>
          <w:lang w:val="en-US"/>
        </w:rPr>
        <w:t xml:space="preserve"> placed on the </w:t>
      </w:r>
      <w:r w:rsidRPr="00B849DC" w:rsidR="00487D87">
        <w:rPr>
          <w:lang w:val="en-US"/>
        </w:rPr>
        <w:t>list</w:t>
      </w:r>
      <w:r w:rsidRPr="00B849DC" w:rsidR="00824FA0">
        <w:rPr>
          <w:lang w:val="en-US"/>
        </w:rPr>
        <w:t>s</w:t>
      </w:r>
      <w:r w:rsidRPr="00B849DC" w:rsidR="00487D87">
        <w:rPr>
          <w:lang w:val="en-US"/>
        </w:rPr>
        <w:t xml:space="preserve"> of the respective companies</w:t>
      </w:r>
      <w:r w:rsidRPr="00B849DC" w:rsidR="00B849DC">
        <w:rPr>
          <w:lang w:val="en-US"/>
        </w:rPr>
        <w:t>’</w:t>
      </w:r>
      <w:r w:rsidRPr="00B849DC" w:rsidR="0018610E">
        <w:rPr>
          <w:lang w:val="en-US"/>
        </w:rPr>
        <w:t xml:space="preserve"> creditors and notified thereof by the </w:t>
      </w:r>
      <w:r w:rsidRPr="00B849DC" w:rsidR="00F80C7C">
        <w:rPr>
          <w:lang w:val="en-US"/>
        </w:rPr>
        <w:t>liquidators,</w:t>
      </w:r>
      <w:r w:rsidRPr="00B849DC" w:rsidR="005D392A">
        <w:rPr>
          <w:lang w:val="en-US"/>
        </w:rPr>
        <w:t xml:space="preserve"> </w:t>
      </w:r>
      <w:r w:rsidRPr="00B849DC" w:rsidR="0018610E">
        <w:rPr>
          <w:lang w:val="en-US"/>
        </w:rPr>
        <w:t>the insolvency proceedings</w:t>
      </w:r>
      <w:r w:rsidRPr="00B849DC" w:rsidR="005D392A">
        <w:rPr>
          <w:lang w:val="en-US"/>
        </w:rPr>
        <w:t xml:space="preserve"> in respect of </w:t>
      </w:r>
      <w:r w:rsidRPr="00B849DC" w:rsidR="004344A8">
        <w:rPr>
          <w:lang w:val="en-US"/>
        </w:rPr>
        <w:t xml:space="preserve">the </w:t>
      </w:r>
      <w:r w:rsidRPr="00B849DC" w:rsidR="005D392A">
        <w:rPr>
          <w:lang w:val="en-US"/>
        </w:rPr>
        <w:t>debtor enterprises had</w:t>
      </w:r>
      <w:r w:rsidRPr="00B849DC" w:rsidR="0018610E">
        <w:rPr>
          <w:lang w:val="en-US"/>
        </w:rPr>
        <w:t xml:space="preserve"> commenced</w:t>
      </w:r>
      <w:r w:rsidRPr="00B849DC" w:rsidR="004344A8">
        <w:rPr>
          <w:lang w:val="en-US"/>
        </w:rPr>
        <w:t xml:space="preserve"> in both cases</w:t>
      </w:r>
      <w:r w:rsidRPr="00B849DC" w:rsidR="0018610E">
        <w:rPr>
          <w:lang w:val="en-US"/>
        </w:rPr>
        <w:t>, and the debtor compan</w:t>
      </w:r>
      <w:r w:rsidRPr="00B849DC" w:rsidR="00487D87">
        <w:rPr>
          <w:lang w:val="en-US"/>
        </w:rPr>
        <w:t>ies</w:t>
      </w:r>
      <w:r w:rsidRPr="00B849DC" w:rsidR="0018610E">
        <w:rPr>
          <w:lang w:val="en-US"/>
        </w:rPr>
        <w:t xml:space="preserve"> had already be</w:t>
      </w:r>
      <w:r w:rsidRPr="00B849DC" w:rsidR="00487D87">
        <w:rPr>
          <w:lang w:val="en-US"/>
        </w:rPr>
        <w:t>en unable to meet the creditors</w:t>
      </w:r>
      <w:r w:rsidRPr="00B849DC" w:rsidR="00B849DC">
        <w:rPr>
          <w:lang w:val="en-US"/>
        </w:rPr>
        <w:t>’</w:t>
      </w:r>
      <w:r w:rsidRPr="00B849DC" w:rsidR="0018610E">
        <w:rPr>
          <w:lang w:val="en-US"/>
        </w:rPr>
        <w:t xml:space="preserve"> claims for some time. The Court concludes that, in these circumstances, a </w:t>
      </w:r>
      <w:r w:rsidRPr="00B849DC" w:rsidR="002A7300">
        <w:rPr>
          <w:lang w:val="en-US"/>
        </w:rPr>
        <w:t>complaint to the bailiffs</w:t>
      </w:r>
      <w:r w:rsidRPr="00B849DC" w:rsidR="00B849DC">
        <w:rPr>
          <w:lang w:val="en-US"/>
        </w:rPr>
        <w:t>’</w:t>
      </w:r>
      <w:r w:rsidRPr="00B849DC" w:rsidR="002A7300">
        <w:rPr>
          <w:lang w:val="en-US"/>
        </w:rPr>
        <w:t xml:space="preserve"> service or a </w:t>
      </w:r>
      <w:r w:rsidRPr="00B849DC" w:rsidR="0018610E">
        <w:rPr>
          <w:lang w:val="en-US"/>
        </w:rPr>
        <w:t xml:space="preserve">civil action against the bailiffs would not </w:t>
      </w:r>
      <w:r w:rsidRPr="00B849DC" w:rsidR="00E95C18">
        <w:rPr>
          <w:lang w:val="en-US"/>
        </w:rPr>
        <w:t xml:space="preserve">have brought </w:t>
      </w:r>
      <w:r w:rsidRPr="00B849DC" w:rsidR="0018610E">
        <w:rPr>
          <w:lang w:val="en-US"/>
        </w:rPr>
        <w:t>the applicant</w:t>
      </w:r>
      <w:r w:rsidRPr="00B849DC" w:rsidR="005D392A">
        <w:rPr>
          <w:lang w:val="en-US"/>
        </w:rPr>
        <w:t>s</w:t>
      </w:r>
      <w:r w:rsidRPr="00B849DC" w:rsidR="0018610E">
        <w:rPr>
          <w:lang w:val="en-US"/>
        </w:rPr>
        <w:t xml:space="preserve"> closer to </w:t>
      </w:r>
      <w:r w:rsidRPr="00B849DC" w:rsidR="005D392A">
        <w:rPr>
          <w:lang w:val="en-US"/>
        </w:rPr>
        <w:t>their</w:t>
      </w:r>
      <w:r w:rsidRPr="00B849DC" w:rsidR="0018610E">
        <w:rPr>
          <w:lang w:val="en-US"/>
        </w:rPr>
        <w:t xml:space="preserve"> goal, that is</w:t>
      </w:r>
      <w:r w:rsidRPr="00B849DC" w:rsidR="00E95C18">
        <w:rPr>
          <w:lang w:val="en-US"/>
        </w:rPr>
        <w:t>,</w:t>
      </w:r>
      <w:r w:rsidRPr="00B849DC" w:rsidR="0018610E">
        <w:rPr>
          <w:lang w:val="en-US"/>
        </w:rPr>
        <w:t xml:space="preserve"> the payment of the judgment debt (see </w:t>
      </w:r>
      <w:r w:rsidRPr="00B849DC" w:rsidR="0018610E">
        <w:rPr>
          <w:i/>
          <w:lang w:val="en-GB"/>
        </w:rPr>
        <w:t>Yershova</w:t>
      </w:r>
      <w:r w:rsidRPr="00B849DC" w:rsidR="0018610E">
        <w:rPr>
          <w:lang w:val="en-GB"/>
        </w:rPr>
        <w:t>, cited above</w:t>
      </w:r>
      <w:r w:rsidRPr="00B849DC" w:rsidR="0018610E">
        <w:rPr>
          <w:snapToGrid w:val="0"/>
          <w:lang w:val="en-GB"/>
        </w:rPr>
        <w:t>, § 65</w:t>
      </w:r>
      <w:r w:rsidRPr="00B849DC" w:rsidR="00E95C18">
        <w:rPr>
          <w:snapToGrid w:val="0"/>
          <w:lang w:val="en-GB"/>
        </w:rPr>
        <w:t>,</w:t>
      </w:r>
      <w:r w:rsidRPr="00B849DC" w:rsidR="0018610E">
        <w:rPr>
          <w:snapToGrid w:val="0"/>
          <w:lang w:val="en-GB"/>
        </w:rPr>
        <w:t xml:space="preserve"> and </w:t>
      </w:r>
      <w:r w:rsidRPr="00B849DC" w:rsidR="0018610E">
        <w:rPr>
          <w:i/>
          <w:szCs w:val="24"/>
          <w:lang w:val="en-GB"/>
        </w:rPr>
        <w:t>Grigoryev and Kakaurova</w:t>
      </w:r>
      <w:r w:rsidRPr="00B849DC" w:rsidR="0018610E">
        <w:rPr>
          <w:szCs w:val="24"/>
          <w:lang w:val="en-GB"/>
        </w:rPr>
        <w:t xml:space="preserve">, </w:t>
      </w:r>
      <w:r w:rsidRPr="00B849DC" w:rsidR="00261377">
        <w:rPr>
          <w:szCs w:val="24"/>
          <w:lang w:val="en-GB"/>
        </w:rPr>
        <w:t>cited above, § 29</w:t>
      </w:r>
      <w:r w:rsidRPr="00B849DC" w:rsidR="0018610E">
        <w:rPr>
          <w:lang w:val="en-US"/>
        </w:rPr>
        <w:t>).</w:t>
      </w:r>
    </w:p>
    <w:p w:rsidRPr="00B849DC" w:rsidR="003F3017" w:rsidP="00B849DC" w:rsidRDefault="00757C28">
      <w:pPr>
        <w:pStyle w:val="ECHRPara"/>
        <w:rPr>
          <w:lang w:val="en-US"/>
        </w:rPr>
      </w:pPr>
      <w:r w:rsidRPr="00B849DC">
        <w:rPr>
          <w:lang w:val="en-US"/>
        </w:rPr>
        <w:fldChar w:fldCharType="begin"/>
      </w:r>
      <w:r w:rsidRPr="00B849DC">
        <w:rPr>
          <w:lang w:val="en-US"/>
        </w:rPr>
        <w:instrText xml:space="preserve"> SEQ level0 \*arabic </w:instrText>
      </w:r>
      <w:r w:rsidRPr="00B849DC">
        <w:rPr>
          <w:lang w:val="en-US"/>
        </w:rPr>
        <w:fldChar w:fldCharType="separate"/>
      </w:r>
      <w:r w:rsidRPr="00B849DC" w:rsidR="00B849DC">
        <w:rPr>
          <w:noProof/>
          <w:lang w:val="en-US"/>
        </w:rPr>
        <w:t>162</w:t>
      </w:r>
      <w:r w:rsidRPr="00B849DC">
        <w:rPr>
          <w:lang w:val="en-US"/>
        </w:rPr>
        <w:fldChar w:fldCharType="end"/>
      </w:r>
      <w:r w:rsidRPr="00B849DC">
        <w:rPr>
          <w:lang w:val="en-US"/>
        </w:rPr>
        <w:t>.  </w:t>
      </w:r>
      <w:r w:rsidRPr="00B849DC" w:rsidR="003F3017">
        <w:rPr>
          <w:lang w:val="en-US"/>
        </w:rPr>
        <w:t xml:space="preserve">Accordingly, </w:t>
      </w:r>
      <w:r w:rsidRPr="00B849DC">
        <w:rPr>
          <w:lang w:val="en-US"/>
        </w:rPr>
        <w:t>the Government</w:t>
      </w:r>
      <w:r w:rsidRPr="00B849DC" w:rsidR="00B849DC">
        <w:rPr>
          <w:lang w:val="en-US"/>
        </w:rPr>
        <w:t>’</w:t>
      </w:r>
      <w:r w:rsidRPr="00B849DC">
        <w:rPr>
          <w:lang w:val="en-US"/>
        </w:rPr>
        <w:t xml:space="preserve">s objection </w:t>
      </w:r>
      <w:r w:rsidRPr="00B849DC" w:rsidR="00AC4A13">
        <w:rPr>
          <w:lang w:val="en-US"/>
        </w:rPr>
        <w:t xml:space="preserve">in this part </w:t>
      </w:r>
      <w:r w:rsidRPr="00B849DC">
        <w:rPr>
          <w:lang w:val="en-US"/>
        </w:rPr>
        <w:t>should be dismissed.</w:t>
      </w:r>
    </w:p>
    <w:p w:rsidRPr="00B849DC" w:rsidR="00757C28" w:rsidP="00B849DC" w:rsidRDefault="00757C28">
      <w:pPr>
        <w:pStyle w:val="ECHRHeading5"/>
        <w:rPr>
          <w:lang w:val="en-US"/>
        </w:rPr>
      </w:pPr>
      <w:r w:rsidRPr="00B849DC">
        <w:rPr>
          <w:lang w:val="en-US"/>
        </w:rPr>
        <w:t>(iii)  Proceedings against the liquidator (Maslov)</w:t>
      </w:r>
    </w:p>
    <w:p w:rsidRPr="00B849DC" w:rsidR="00757C28" w:rsidP="00B849DC" w:rsidRDefault="00757C28">
      <w:pPr>
        <w:pStyle w:val="ECHRPara"/>
        <w:rPr>
          <w:rFonts w:asciiTheme="majorHAnsi" w:hAnsiTheme="majorHAnsi" w:eastAsiaTheme="majorEastAsia" w:cstheme="majorBidi"/>
          <w:bCs/>
          <w:szCs w:val="24"/>
          <w:lang w:val="en-US"/>
        </w:rPr>
      </w:pPr>
      <w:r w:rsidRPr="00B849DC">
        <w:rPr>
          <w:rFonts w:asciiTheme="majorHAnsi" w:hAnsiTheme="majorHAnsi" w:eastAsiaTheme="majorEastAsia" w:cstheme="majorBidi"/>
          <w:bCs/>
          <w:szCs w:val="24"/>
        </w:rPr>
        <w:fldChar w:fldCharType="begin"/>
      </w:r>
      <w:r w:rsidRPr="00B849DC">
        <w:rPr>
          <w:rFonts w:asciiTheme="majorHAnsi" w:hAnsiTheme="majorHAnsi" w:eastAsiaTheme="majorEastAsia" w:cstheme="majorBidi"/>
          <w:bCs/>
          <w:szCs w:val="24"/>
          <w:lang w:val="en-US"/>
        </w:rPr>
        <w:instrText xml:space="preserve"> SEQ level0 \*arabic </w:instrText>
      </w:r>
      <w:r w:rsidRPr="00B849DC">
        <w:rPr>
          <w:rFonts w:asciiTheme="majorHAnsi" w:hAnsiTheme="majorHAnsi" w:eastAsiaTheme="majorEastAsia" w:cstheme="majorBidi"/>
          <w:bCs/>
          <w:szCs w:val="24"/>
        </w:rPr>
        <w:fldChar w:fldCharType="separate"/>
      </w:r>
      <w:r w:rsidRPr="00B849DC" w:rsidR="00B849DC">
        <w:rPr>
          <w:rFonts w:asciiTheme="majorHAnsi" w:hAnsiTheme="majorHAnsi" w:eastAsiaTheme="majorEastAsia" w:cstheme="majorBidi"/>
          <w:bCs/>
          <w:noProof/>
          <w:szCs w:val="24"/>
          <w:lang w:val="en-US"/>
        </w:rPr>
        <w:t>163</w:t>
      </w:r>
      <w:r w:rsidRPr="00B849DC">
        <w:rPr>
          <w:rFonts w:asciiTheme="majorHAnsi" w:hAnsiTheme="majorHAnsi" w:eastAsiaTheme="majorEastAsia" w:cstheme="majorBidi"/>
          <w:bCs/>
          <w:szCs w:val="24"/>
        </w:rPr>
        <w:fldChar w:fldCharType="end"/>
      </w:r>
      <w:r w:rsidRPr="00B849DC">
        <w:rPr>
          <w:szCs w:val="24"/>
          <w:lang w:val="en-US"/>
        </w:rPr>
        <w:t>.</w:t>
      </w:r>
      <w:r w:rsidRPr="00B849DC">
        <w:rPr>
          <w:rFonts w:asciiTheme="majorHAnsi" w:hAnsiTheme="majorHAnsi" w:eastAsiaTheme="majorEastAsia" w:cstheme="majorBidi"/>
          <w:bCs/>
          <w:szCs w:val="24"/>
          <w:lang w:val="en-US"/>
        </w:rPr>
        <w:t>  </w:t>
      </w:r>
      <w:r w:rsidRPr="00B849DC" w:rsidR="00203CFE">
        <w:rPr>
          <w:rFonts w:asciiTheme="majorHAnsi" w:hAnsiTheme="majorHAnsi" w:eastAsiaTheme="majorEastAsia" w:cstheme="majorBidi"/>
          <w:bCs/>
          <w:szCs w:val="24"/>
          <w:lang w:val="en-US"/>
        </w:rPr>
        <w:t xml:space="preserve">As regards </w:t>
      </w:r>
      <w:r w:rsidRPr="00B849DC" w:rsidR="000B1E96">
        <w:rPr>
          <w:rFonts w:asciiTheme="majorHAnsi" w:hAnsiTheme="majorHAnsi" w:eastAsiaTheme="majorEastAsia" w:cstheme="majorBidi"/>
          <w:bCs/>
          <w:szCs w:val="24"/>
          <w:lang w:val="en-US"/>
        </w:rPr>
        <w:t xml:space="preserve">bringing </w:t>
      </w:r>
      <w:r w:rsidRPr="00B849DC" w:rsidR="00203CFE">
        <w:rPr>
          <w:rFonts w:asciiTheme="majorHAnsi" w:hAnsiTheme="majorHAnsi" w:eastAsiaTheme="majorEastAsia" w:cstheme="majorBidi"/>
          <w:bCs/>
          <w:szCs w:val="24"/>
          <w:lang w:val="en-US"/>
        </w:rPr>
        <w:t xml:space="preserve">proceedings against the liquidator, </w:t>
      </w:r>
      <w:r w:rsidRPr="00B849DC" w:rsidR="006361FB">
        <w:rPr>
          <w:rFonts w:asciiTheme="majorHAnsi" w:hAnsiTheme="majorHAnsi" w:eastAsiaTheme="majorEastAsia" w:cstheme="majorBidi"/>
          <w:bCs/>
          <w:szCs w:val="24"/>
          <w:lang w:val="en-US"/>
        </w:rPr>
        <w:t xml:space="preserve">the Government themselves submitted that </w:t>
      </w:r>
      <w:r w:rsidRPr="00B849DC" w:rsidR="00AA489A">
        <w:rPr>
          <w:rFonts w:asciiTheme="majorHAnsi" w:hAnsiTheme="majorHAnsi" w:eastAsiaTheme="majorEastAsia" w:cstheme="majorBidi"/>
          <w:bCs/>
          <w:szCs w:val="24"/>
          <w:lang w:val="en-US"/>
        </w:rPr>
        <w:t xml:space="preserve">at some point </w:t>
      </w:r>
      <w:r w:rsidRPr="00B849DC" w:rsidR="006361FB">
        <w:rPr>
          <w:rFonts w:asciiTheme="majorHAnsi" w:hAnsiTheme="majorHAnsi" w:eastAsiaTheme="majorEastAsia" w:cstheme="majorBidi"/>
          <w:bCs/>
          <w:szCs w:val="24"/>
          <w:lang w:val="en-US"/>
        </w:rPr>
        <w:t xml:space="preserve">the applicant had </w:t>
      </w:r>
      <w:r w:rsidRPr="00B849DC" w:rsidR="00A406F1">
        <w:rPr>
          <w:rFonts w:asciiTheme="majorHAnsi" w:hAnsiTheme="majorHAnsi" w:eastAsiaTheme="majorEastAsia" w:cstheme="majorBidi"/>
          <w:bCs/>
          <w:szCs w:val="24"/>
          <w:lang w:val="en-US"/>
        </w:rPr>
        <w:t xml:space="preserve">lodged </w:t>
      </w:r>
      <w:r w:rsidRPr="00B849DC" w:rsidR="00CF2316">
        <w:rPr>
          <w:rFonts w:asciiTheme="majorHAnsi" w:hAnsiTheme="majorHAnsi" w:eastAsiaTheme="majorEastAsia" w:cstheme="majorBidi"/>
          <w:bCs/>
          <w:szCs w:val="24"/>
          <w:lang w:val="en-US"/>
        </w:rPr>
        <w:t xml:space="preserve">such </w:t>
      </w:r>
      <w:r w:rsidRPr="00B849DC" w:rsidR="00630D32">
        <w:rPr>
          <w:rFonts w:asciiTheme="majorHAnsi" w:hAnsiTheme="majorHAnsi" w:eastAsiaTheme="majorEastAsia" w:cstheme="majorBidi"/>
          <w:bCs/>
          <w:szCs w:val="24"/>
          <w:lang w:val="en-US"/>
        </w:rPr>
        <w:t>application</w:t>
      </w:r>
      <w:r w:rsidRPr="00B849DC" w:rsidR="00203CFE">
        <w:rPr>
          <w:rFonts w:asciiTheme="majorHAnsi" w:hAnsiTheme="majorHAnsi" w:eastAsiaTheme="majorEastAsia" w:cstheme="majorBidi"/>
          <w:bCs/>
          <w:szCs w:val="24"/>
          <w:lang w:val="en-US"/>
        </w:rPr>
        <w:t xml:space="preserve"> but </w:t>
      </w:r>
      <w:r w:rsidRPr="00B849DC" w:rsidR="00CF2316">
        <w:rPr>
          <w:rFonts w:asciiTheme="majorHAnsi" w:hAnsiTheme="majorHAnsi" w:eastAsiaTheme="majorEastAsia" w:cstheme="majorBidi"/>
          <w:bCs/>
          <w:szCs w:val="24"/>
          <w:lang w:val="en-US"/>
        </w:rPr>
        <w:t>it</w:t>
      </w:r>
      <w:r w:rsidRPr="00B849DC" w:rsidR="00203CFE">
        <w:rPr>
          <w:rFonts w:asciiTheme="majorHAnsi" w:hAnsiTheme="majorHAnsi" w:eastAsiaTheme="majorEastAsia" w:cstheme="majorBidi"/>
          <w:bCs/>
          <w:szCs w:val="24"/>
          <w:lang w:val="en-US"/>
        </w:rPr>
        <w:t xml:space="preserve"> </w:t>
      </w:r>
      <w:r w:rsidRPr="00B849DC" w:rsidR="007E7B80">
        <w:rPr>
          <w:rFonts w:asciiTheme="majorHAnsi" w:hAnsiTheme="majorHAnsi" w:eastAsiaTheme="majorEastAsia" w:cstheme="majorBidi"/>
          <w:bCs/>
          <w:szCs w:val="24"/>
          <w:lang w:val="en-US"/>
        </w:rPr>
        <w:t xml:space="preserve">had </w:t>
      </w:r>
      <w:r w:rsidRPr="00B849DC" w:rsidR="00630D32">
        <w:rPr>
          <w:rFonts w:asciiTheme="majorHAnsi" w:hAnsiTheme="majorHAnsi" w:eastAsiaTheme="majorEastAsia" w:cstheme="majorBidi"/>
          <w:bCs/>
          <w:szCs w:val="24"/>
          <w:lang w:val="en-US"/>
        </w:rPr>
        <w:t>been returned to him</w:t>
      </w:r>
      <w:r w:rsidRPr="00B849DC" w:rsidR="00AA489A">
        <w:rPr>
          <w:rFonts w:asciiTheme="majorHAnsi" w:hAnsiTheme="majorHAnsi" w:eastAsiaTheme="majorEastAsia" w:cstheme="majorBidi"/>
          <w:bCs/>
          <w:szCs w:val="24"/>
          <w:lang w:val="en-US"/>
        </w:rPr>
        <w:t xml:space="preserve"> (see paragraph </w:t>
      </w:r>
      <w:r w:rsidRPr="00B849DC" w:rsidR="00B2146B">
        <w:rPr>
          <w:rFonts w:asciiTheme="majorHAnsi" w:hAnsiTheme="majorHAnsi" w:eastAsiaTheme="majorEastAsia" w:cstheme="majorBidi"/>
          <w:bCs/>
          <w:szCs w:val="24"/>
          <w:lang w:val="en-US"/>
        </w:rPr>
        <w:t>44</w:t>
      </w:r>
      <w:r w:rsidRPr="00B849DC" w:rsidR="00AA489A">
        <w:rPr>
          <w:rFonts w:asciiTheme="majorHAnsi" w:hAnsiTheme="majorHAnsi" w:eastAsiaTheme="majorEastAsia" w:cstheme="majorBidi"/>
          <w:bCs/>
          <w:szCs w:val="24"/>
          <w:lang w:val="en-US"/>
        </w:rPr>
        <w:t xml:space="preserve"> above)</w:t>
      </w:r>
      <w:r w:rsidRPr="00B849DC" w:rsidR="00203CFE">
        <w:rPr>
          <w:rFonts w:asciiTheme="majorHAnsi" w:hAnsiTheme="majorHAnsi" w:eastAsiaTheme="majorEastAsia" w:cstheme="majorBidi"/>
          <w:bCs/>
          <w:szCs w:val="24"/>
          <w:lang w:val="en-US"/>
        </w:rPr>
        <w:t xml:space="preserve"> </w:t>
      </w:r>
      <w:r w:rsidRPr="00B849DC" w:rsidR="00A406F1">
        <w:rPr>
          <w:rFonts w:asciiTheme="majorHAnsi" w:hAnsiTheme="majorHAnsi" w:eastAsiaTheme="majorEastAsia" w:cstheme="majorBidi"/>
          <w:bCs/>
          <w:szCs w:val="24"/>
          <w:lang w:val="en-US"/>
        </w:rPr>
        <w:t xml:space="preserve">on account of </w:t>
      </w:r>
      <w:r w:rsidRPr="00B849DC" w:rsidR="00C97F87">
        <w:rPr>
          <w:rFonts w:asciiTheme="majorHAnsi" w:hAnsiTheme="majorHAnsi" w:eastAsiaTheme="majorEastAsia" w:cstheme="majorBidi"/>
          <w:bCs/>
          <w:szCs w:val="24"/>
          <w:lang w:val="en-US"/>
        </w:rPr>
        <w:t xml:space="preserve">his lack of </w:t>
      </w:r>
      <w:r w:rsidRPr="00B849DC" w:rsidR="00AA489A">
        <w:rPr>
          <w:rFonts w:asciiTheme="majorHAnsi" w:hAnsiTheme="majorHAnsi" w:eastAsiaTheme="majorEastAsia" w:cstheme="majorBidi"/>
          <w:bCs/>
          <w:szCs w:val="24"/>
          <w:lang w:val="en-US"/>
        </w:rPr>
        <w:t>standing to challenge the liquidator</w:t>
      </w:r>
      <w:r w:rsidRPr="00B849DC" w:rsidR="00B849DC">
        <w:rPr>
          <w:rFonts w:asciiTheme="majorHAnsi" w:hAnsiTheme="majorHAnsi" w:eastAsiaTheme="majorEastAsia" w:cstheme="majorBidi"/>
          <w:bCs/>
          <w:szCs w:val="24"/>
          <w:lang w:val="en-US"/>
        </w:rPr>
        <w:t>’</w:t>
      </w:r>
      <w:r w:rsidRPr="00B849DC" w:rsidR="00AA489A">
        <w:rPr>
          <w:rFonts w:asciiTheme="majorHAnsi" w:hAnsiTheme="majorHAnsi" w:eastAsiaTheme="majorEastAsia" w:cstheme="majorBidi"/>
          <w:bCs/>
          <w:szCs w:val="24"/>
          <w:lang w:val="en-US"/>
        </w:rPr>
        <w:t xml:space="preserve">s actions </w:t>
      </w:r>
      <w:r w:rsidRPr="00B849DC" w:rsidR="00C97F87">
        <w:rPr>
          <w:rFonts w:asciiTheme="majorHAnsi" w:hAnsiTheme="majorHAnsi" w:eastAsiaTheme="majorEastAsia" w:cstheme="majorBidi"/>
          <w:bCs/>
          <w:szCs w:val="24"/>
          <w:lang w:val="en-US"/>
        </w:rPr>
        <w:t xml:space="preserve">within the meaning of </w:t>
      </w:r>
      <w:r w:rsidRPr="00B849DC" w:rsidR="006E03CE">
        <w:rPr>
          <w:rFonts w:asciiTheme="majorHAnsi" w:hAnsiTheme="majorHAnsi" w:eastAsiaTheme="majorEastAsia" w:cstheme="majorBidi"/>
          <w:bCs/>
          <w:szCs w:val="24"/>
          <w:lang w:val="en-US"/>
        </w:rPr>
        <w:t>section </w:t>
      </w:r>
      <w:r w:rsidRPr="00B849DC" w:rsidR="00C97F87">
        <w:rPr>
          <w:rFonts w:asciiTheme="majorHAnsi" w:hAnsiTheme="majorHAnsi" w:eastAsiaTheme="majorEastAsia" w:cstheme="majorBidi"/>
          <w:bCs/>
          <w:szCs w:val="24"/>
          <w:lang w:val="en-US"/>
        </w:rPr>
        <w:t xml:space="preserve">60 of the </w:t>
      </w:r>
      <w:r w:rsidRPr="00B849DC" w:rsidR="00CF2316">
        <w:rPr>
          <w:rFonts w:asciiTheme="majorHAnsi" w:hAnsiTheme="majorHAnsi" w:eastAsiaTheme="majorEastAsia" w:cstheme="majorBidi"/>
          <w:bCs/>
          <w:szCs w:val="24"/>
          <w:lang w:val="en-US"/>
        </w:rPr>
        <w:t xml:space="preserve">Insolvency Act </w:t>
      </w:r>
      <w:r w:rsidRPr="00B849DC" w:rsidR="00773880">
        <w:rPr>
          <w:rFonts w:asciiTheme="majorHAnsi" w:hAnsiTheme="majorHAnsi" w:eastAsiaTheme="majorEastAsia" w:cstheme="majorBidi"/>
          <w:bCs/>
          <w:szCs w:val="24"/>
          <w:lang w:val="en-US"/>
        </w:rPr>
        <w:t>(see paragraph </w:t>
      </w:r>
      <w:r w:rsidRPr="00B849DC" w:rsidR="00B2146B">
        <w:rPr>
          <w:rFonts w:asciiTheme="majorHAnsi" w:hAnsiTheme="majorHAnsi" w:eastAsiaTheme="majorEastAsia" w:cstheme="majorBidi"/>
          <w:bCs/>
          <w:szCs w:val="24"/>
          <w:lang w:val="en-US"/>
        </w:rPr>
        <w:t>1</w:t>
      </w:r>
      <w:r w:rsidRPr="00B849DC" w:rsidR="005B316A">
        <w:rPr>
          <w:rFonts w:asciiTheme="majorHAnsi" w:hAnsiTheme="majorHAnsi" w:eastAsiaTheme="majorEastAsia" w:cstheme="majorBidi"/>
          <w:bCs/>
          <w:szCs w:val="24"/>
          <w:lang w:val="en-US"/>
        </w:rPr>
        <w:t>2</w:t>
      </w:r>
      <w:r w:rsidRPr="00B849DC" w:rsidR="005765D5">
        <w:rPr>
          <w:rFonts w:asciiTheme="majorHAnsi" w:hAnsiTheme="majorHAnsi" w:eastAsiaTheme="majorEastAsia" w:cstheme="majorBidi"/>
          <w:bCs/>
          <w:szCs w:val="24"/>
          <w:lang w:val="en-US"/>
        </w:rPr>
        <w:t>0</w:t>
      </w:r>
      <w:r w:rsidRPr="00B849DC" w:rsidR="00773880">
        <w:rPr>
          <w:rFonts w:asciiTheme="majorHAnsi" w:hAnsiTheme="majorHAnsi" w:eastAsiaTheme="majorEastAsia" w:cstheme="majorBidi"/>
          <w:bCs/>
          <w:szCs w:val="24"/>
          <w:lang w:val="en-US"/>
        </w:rPr>
        <w:t xml:space="preserve"> above)</w:t>
      </w:r>
      <w:r w:rsidRPr="00B849DC" w:rsidR="00203CFE">
        <w:rPr>
          <w:rFonts w:asciiTheme="majorHAnsi" w:hAnsiTheme="majorHAnsi" w:eastAsiaTheme="majorEastAsia" w:cstheme="majorBidi"/>
          <w:bCs/>
          <w:szCs w:val="24"/>
          <w:lang w:val="en-US"/>
        </w:rPr>
        <w:t xml:space="preserve">. </w:t>
      </w:r>
      <w:r w:rsidRPr="00B849DC" w:rsidR="006361FB">
        <w:rPr>
          <w:rFonts w:asciiTheme="majorHAnsi" w:hAnsiTheme="majorHAnsi" w:eastAsiaTheme="majorEastAsia" w:cstheme="majorBidi"/>
          <w:bCs/>
          <w:szCs w:val="24"/>
          <w:lang w:val="en-US"/>
        </w:rPr>
        <w:t>In the absence of any further clarification</w:t>
      </w:r>
      <w:r w:rsidRPr="00B849DC" w:rsidR="00160904">
        <w:rPr>
          <w:rFonts w:asciiTheme="majorHAnsi" w:hAnsiTheme="majorHAnsi" w:eastAsiaTheme="majorEastAsia" w:cstheme="majorBidi"/>
          <w:bCs/>
          <w:szCs w:val="24"/>
          <w:lang w:val="en-US"/>
        </w:rPr>
        <w:t>,</w:t>
      </w:r>
      <w:r w:rsidRPr="00B849DC" w:rsidR="00773880">
        <w:rPr>
          <w:rFonts w:asciiTheme="majorHAnsi" w:hAnsiTheme="majorHAnsi" w:eastAsiaTheme="majorEastAsia" w:cstheme="majorBidi"/>
          <w:bCs/>
          <w:szCs w:val="24"/>
          <w:lang w:val="en-US"/>
        </w:rPr>
        <w:t xml:space="preserve"> a copy of the court</w:t>
      </w:r>
      <w:r w:rsidRPr="00B849DC" w:rsidR="00B849DC">
        <w:rPr>
          <w:rFonts w:asciiTheme="majorHAnsi" w:hAnsiTheme="majorHAnsi" w:eastAsiaTheme="majorEastAsia" w:cstheme="majorBidi"/>
          <w:bCs/>
          <w:szCs w:val="24"/>
          <w:lang w:val="en-US"/>
        </w:rPr>
        <w:t>’</w:t>
      </w:r>
      <w:r w:rsidRPr="00B849DC" w:rsidR="00773880">
        <w:rPr>
          <w:rFonts w:asciiTheme="majorHAnsi" w:hAnsiTheme="majorHAnsi" w:eastAsiaTheme="majorEastAsia" w:cstheme="majorBidi"/>
          <w:bCs/>
          <w:szCs w:val="24"/>
          <w:lang w:val="en-US"/>
        </w:rPr>
        <w:t>s decision</w:t>
      </w:r>
      <w:r w:rsidRPr="00B849DC" w:rsidR="006361FB">
        <w:rPr>
          <w:rFonts w:asciiTheme="majorHAnsi" w:hAnsiTheme="majorHAnsi" w:eastAsiaTheme="majorEastAsia" w:cstheme="majorBidi"/>
          <w:bCs/>
          <w:szCs w:val="24"/>
          <w:lang w:val="en-US"/>
        </w:rPr>
        <w:t xml:space="preserve"> </w:t>
      </w:r>
      <w:r w:rsidRPr="00B849DC" w:rsidR="00160904">
        <w:rPr>
          <w:rFonts w:asciiTheme="majorHAnsi" w:hAnsiTheme="majorHAnsi" w:eastAsiaTheme="majorEastAsia" w:cstheme="majorBidi"/>
          <w:bCs/>
          <w:szCs w:val="24"/>
          <w:lang w:val="en-US"/>
        </w:rPr>
        <w:t xml:space="preserve">or any minimum explanation by the Government on </w:t>
      </w:r>
      <w:r w:rsidRPr="00B849DC" w:rsidR="00261AEF">
        <w:rPr>
          <w:rFonts w:asciiTheme="majorHAnsi" w:hAnsiTheme="majorHAnsi" w:eastAsiaTheme="majorEastAsia" w:cstheme="majorBidi"/>
          <w:bCs/>
          <w:szCs w:val="24"/>
          <w:lang w:val="en-US"/>
        </w:rPr>
        <w:t xml:space="preserve">either the scope of the claim or </w:t>
      </w:r>
      <w:r w:rsidRPr="00B849DC" w:rsidR="00160904">
        <w:rPr>
          <w:rFonts w:asciiTheme="majorHAnsi" w:hAnsiTheme="majorHAnsi" w:eastAsiaTheme="majorEastAsia" w:cstheme="majorBidi"/>
          <w:bCs/>
          <w:szCs w:val="24"/>
          <w:lang w:val="en-US"/>
        </w:rPr>
        <w:t xml:space="preserve">the </w:t>
      </w:r>
      <w:r w:rsidRPr="00B849DC" w:rsidR="00A406F1">
        <w:rPr>
          <w:rFonts w:asciiTheme="majorHAnsi" w:hAnsiTheme="majorHAnsi" w:eastAsiaTheme="majorEastAsia" w:cstheme="majorBidi"/>
          <w:bCs/>
          <w:szCs w:val="24"/>
          <w:lang w:val="en-US"/>
        </w:rPr>
        <w:t xml:space="preserve">proper </w:t>
      </w:r>
      <w:r w:rsidRPr="00B849DC" w:rsidR="00160904">
        <w:rPr>
          <w:rFonts w:asciiTheme="majorHAnsi" w:hAnsiTheme="majorHAnsi" w:eastAsiaTheme="majorEastAsia" w:cstheme="majorBidi"/>
          <w:bCs/>
          <w:szCs w:val="24"/>
          <w:lang w:val="en-US"/>
        </w:rPr>
        <w:t xml:space="preserve">procedure to be followed by the applicant, </w:t>
      </w:r>
      <w:r w:rsidRPr="00B849DC" w:rsidR="006361FB">
        <w:rPr>
          <w:rFonts w:asciiTheme="majorHAnsi" w:hAnsiTheme="majorHAnsi" w:eastAsiaTheme="majorEastAsia" w:cstheme="majorBidi"/>
          <w:bCs/>
          <w:szCs w:val="24"/>
          <w:lang w:val="en-US"/>
        </w:rPr>
        <w:t xml:space="preserve">the Court </w:t>
      </w:r>
      <w:r w:rsidRPr="00B849DC" w:rsidR="00414610">
        <w:rPr>
          <w:rFonts w:asciiTheme="majorHAnsi" w:hAnsiTheme="majorHAnsi" w:eastAsiaTheme="majorEastAsia" w:cstheme="majorBidi"/>
          <w:bCs/>
          <w:szCs w:val="24"/>
          <w:lang w:val="en-US"/>
        </w:rPr>
        <w:t xml:space="preserve">does not consider it necessary to assess the suggested remedy </w:t>
      </w:r>
      <w:r w:rsidRPr="00B849DC" w:rsidR="00414610">
        <w:rPr>
          <w:rFonts w:asciiTheme="majorHAnsi" w:hAnsiTheme="majorHAnsi" w:eastAsiaTheme="majorEastAsia" w:cstheme="majorBidi"/>
          <w:bCs/>
          <w:i/>
          <w:szCs w:val="24"/>
          <w:lang w:val="en-US"/>
        </w:rPr>
        <w:t>in ab</w:t>
      </w:r>
      <w:r w:rsidRPr="00B849DC" w:rsidR="003113C3">
        <w:rPr>
          <w:rFonts w:asciiTheme="majorHAnsi" w:hAnsiTheme="majorHAnsi" w:eastAsiaTheme="majorEastAsia" w:cstheme="majorBidi"/>
          <w:bCs/>
          <w:i/>
          <w:szCs w:val="24"/>
          <w:lang w:val="en-US"/>
        </w:rPr>
        <w:t>s</w:t>
      </w:r>
      <w:r w:rsidRPr="00B849DC" w:rsidR="00414610">
        <w:rPr>
          <w:rFonts w:asciiTheme="majorHAnsi" w:hAnsiTheme="majorHAnsi" w:eastAsiaTheme="majorEastAsia" w:cstheme="majorBidi"/>
          <w:bCs/>
          <w:i/>
          <w:szCs w:val="24"/>
          <w:lang w:val="en-US"/>
        </w:rPr>
        <w:t>tracto</w:t>
      </w:r>
      <w:r w:rsidRPr="00B849DC" w:rsidR="00414610">
        <w:rPr>
          <w:rFonts w:asciiTheme="majorHAnsi" w:hAnsiTheme="majorHAnsi" w:eastAsiaTheme="majorEastAsia" w:cstheme="majorBidi"/>
          <w:bCs/>
          <w:szCs w:val="24"/>
          <w:lang w:val="en-US"/>
        </w:rPr>
        <w:t>. In the Court</w:t>
      </w:r>
      <w:r w:rsidRPr="00B849DC" w:rsidR="00B849DC">
        <w:rPr>
          <w:rFonts w:asciiTheme="majorHAnsi" w:hAnsiTheme="majorHAnsi" w:eastAsiaTheme="majorEastAsia" w:cstheme="majorBidi"/>
          <w:bCs/>
          <w:szCs w:val="24"/>
          <w:lang w:val="en-US"/>
        </w:rPr>
        <w:t>’</w:t>
      </w:r>
      <w:r w:rsidRPr="00B849DC" w:rsidR="00414610">
        <w:rPr>
          <w:rFonts w:asciiTheme="majorHAnsi" w:hAnsiTheme="majorHAnsi" w:eastAsiaTheme="majorEastAsia" w:cstheme="majorBidi"/>
          <w:bCs/>
          <w:szCs w:val="24"/>
          <w:lang w:val="en-US"/>
        </w:rPr>
        <w:t xml:space="preserve">s view, it has not been demonstrated that </w:t>
      </w:r>
      <w:r w:rsidRPr="00B849DC" w:rsidR="006361FB">
        <w:rPr>
          <w:rFonts w:asciiTheme="majorHAnsi" w:hAnsiTheme="majorHAnsi" w:eastAsiaTheme="majorEastAsia" w:cstheme="majorBidi"/>
          <w:bCs/>
          <w:szCs w:val="24"/>
          <w:lang w:val="en-US"/>
        </w:rPr>
        <w:t xml:space="preserve">the </w:t>
      </w:r>
      <w:r w:rsidRPr="00B849DC" w:rsidR="00C976B8">
        <w:rPr>
          <w:rFonts w:asciiTheme="majorHAnsi" w:hAnsiTheme="majorHAnsi" w:eastAsiaTheme="majorEastAsia" w:cstheme="majorBidi"/>
          <w:bCs/>
          <w:szCs w:val="24"/>
          <w:lang w:val="en-US"/>
        </w:rPr>
        <w:t>purported</w:t>
      </w:r>
      <w:r w:rsidRPr="00B849DC" w:rsidR="00773880">
        <w:rPr>
          <w:rFonts w:asciiTheme="majorHAnsi" w:hAnsiTheme="majorHAnsi" w:eastAsiaTheme="majorEastAsia" w:cstheme="majorBidi"/>
          <w:bCs/>
          <w:szCs w:val="24"/>
          <w:lang w:val="en-US"/>
        </w:rPr>
        <w:t xml:space="preserve"> </w:t>
      </w:r>
      <w:r w:rsidRPr="00B849DC" w:rsidR="00B50C5F">
        <w:rPr>
          <w:rFonts w:asciiTheme="majorHAnsi" w:hAnsiTheme="majorHAnsi" w:eastAsiaTheme="majorEastAsia" w:cstheme="majorBidi"/>
          <w:bCs/>
          <w:szCs w:val="24"/>
          <w:lang w:val="en-US"/>
        </w:rPr>
        <w:t>a</w:t>
      </w:r>
      <w:r w:rsidRPr="00B849DC" w:rsidR="00414610">
        <w:rPr>
          <w:rFonts w:asciiTheme="majorHAnsi" w:hAnsiTheme="majorHAnsi" w:eastAsiaTheme="majorEastAsia" w:cstheme="majorBidi"/>
          <w:bCs/>
          <w:szCs w:val="24"/>
          <w:lang w:val="en-US"/>
        </w:rPr>
        <w:t>venue of exhaustion</w:t>
      </w:r>
      <w:r w:rsidRPr="00B849DC" w:rsidR="00773880">
        <w:rPr>
          <w:rFonts w:asciiTheme="majorHAnsi" w:hAnsiTheme="majorHAnsi" w:eastAsiaTheme="majorEastAsia" w:cstheme="majorBidi"/>
          <w:bCs/>
          <w:szCs w:val="24"/>
          <w:lang w:val="en-US"/>
        </w:rPr>
        <w:t xml:space="preserve"> was, in fact, </w:t>
      </w:r>
      <w:r w:rsidRPr="00B849DC" w:rsidR="00C976B8">
        <w:rPr>
          <w:rFonts w:asciiTheme="majorHAnsi" w:hAnsiTheme="majorHAnsi" w:eastAsiaTheme="majorEastAsia" w:cstheme="majorBidi"/>
          <w:bCs/>
          <w:szCs w:val="24"/>
          <w:lang w:val="en-US"/>
        </w:rPr>
        <w:t>accessible</w:t>
      </w:r>
      <w:r w:rsidRPr="00B849DC" w:rsidR="006361FB">
        <w:rPr>
          <w:rFonts w:asciiTheme="majorHAnsi" w:hAnsiTheme="majorHAnsi" w:eastAsiaTheme="majorEastAsia" w:cstheme="majorBidi"/>
          <w:bCs/>
          <w:szCs w:val="24"/>
          <w:lang w:val="en-US"/>
        </w:rPr>
        <w:t xml:space="preserve"> to the applicant</w:t>
      </w:r>
      <w:r w:rsidRPr="00B849DC" w:rsidR="00160904">
        <w:rPr>
          <w:rFonts w:asciiTheme="majorHAnsi" w:hAnsiTheme="majorHAnsi" w:eastAsiaTheme="majorEastAsia" w:cstheme="majorBidi"/>
          <w:bCs/>
          <w:szCs w:val="24"/>
          <w:lang w:val="en-US"/>
        </w:rPr>
        <w:t>. The Government</w:t>
      </w:r>
      <w:r w:rsidRPr="00B849DC" w:rsidR="00B849DC">
        <w:rPr>
          <w:rFonts w:asciiTheme="majorHAnsi" w:hAnsiTheme="majorHAnsi" w:eastAsiaTheme="majorEastAsia" w:cstheme="majorBidi"/>
          <w:bCs/>
          <w:szCs w:val="24"/>
          <w:lang w:val="en-US"/>
        </w:rPr>
        <w:t>’</w:t>
      </w:r>
      <w:r w:rsidRPr="00B849DC" w:rsidR="00160904">
        <w:rPr>
          <w:rFonts w:asciiTheme="majorHAnsi" w:hAnsiTheme="majorHAnsi" w:eastAsiaTheme="majorEastAsia" w:cstheme="majorBidi"/>
          <w:bCs/>
          <w:szCs w:val="24"/>
          <w:lang w:val="en-US"/>
        </w:rPr>
        <w:t xml:space="preserve">s objection must therefore </w:t>
      </w:r>
      <w:r w:rsidRPr="00B849DC" w:rsidR="00B50C5F">
        <w:rPr>
          <w:rFonts w:asciiTheme="majorHAnsi" w:hAnsiTheme="majorHAnsi" w:eastAsiaTheme="majorEastAsia" w:cstheme="majorBidi"/>
          <w:bCs/>
          <w:szCs w:val="24"/>
          <w:lang w:val="en-US"/>
        </w:rPr>
        <w:t xml:space="preserve">also </w:t>
      </w:r>
      <w:r w:rsidRPr="00B849DC" w:rsidR="00160904">
        <w:rPr>
          <w:rFonts w:asciiTheme="majorHAnsi" w:hAnsiTheme="majorHAnsi" w:eastAsiaTheme="majorEastAsia" w:cstheme="majorBidi"/>
          <w:bCs/>
          <w:szCs w:val="24"/>
          <w:lang w:val="en-US"/>
        </w:rPr>
        <w:t>be rejected</w:t>
      </w:r>
      <w:r w:rsidRPr="00B849DC" w:rsidR="001E714D">
        <w:rPr>
          <w:rFonts w:asciiTheme="majorHAnsi" w:hAnsiTheme="majorHAnsi" w:eastAsiaTheme="majorEastAsia" w:cstheme="majorBidi"/>
          <w:bCs/>
          <w:szCs w:val="24"/>
          <w:lang w:val="en-US"/>
        </w:rPr>
        <w:t>.</w:t>
      </w:r>
    </w:p>
    <w:p w:rsidRPr="00B849DC" w:rsidR="00757C28" w:rsidP="00B849DC" w:rsidRDefault="00757C28">
      <w:pPr>
        <w:pStyle w:val="ECHRHeading5"/>
        <w:rPr>
          <w:lang w:val="en-US"/>
        </w:rPr>
      </w:pPr>
      <w:proofErr w:type="gramStart"/>
      <w:r w:rsidRPr="00B849DC">
        <w:rPr>
          <w:lang w:val="en-US"/>
        </w:rPr>
        <w:t>(iv)  </w:t>
      </w:r>
      <w:r w:rsidRPr="00B849DC" w:rsidR="00773880">
        <w:rPr>
          <w:lang w:val="en-US"/>
        </w:rPr>
        <w:t>Application</w:t>
      </w:r>
      <w:proofErr w:type="gramEnd"/>
      <w:r w:rsidRPr="00B849DC" w:rsidR="00773880">
        <w:rPr>
          <w:lang w:val="en-US"/>
        </w:rPr>
        <w:t xml:space="preserve"> to a court</w:t>
      </w:r>
      <w:r w:rsidRPr="00B849DC">
        <w:rPr>
          <w:lang w:val="en-US"/>
        </w:rPr>
        <w:t xml:space="preserve"> </w:t>
      </w:r>
      <w:r w:rsidRPr="00B849DC" w:rsidR="00773880">
        <w:rPr>
          <w:lang w:val="en-US"/>
        </w:rPr>
        <w:t xml:space="preserve">under </w:t>
      </w:r>
      <w:r w:rsidRPr="00B849DC" w:rsidR="006E03CE">
        <w:rPr>
          <w:lang w:val="en-US"/>
        </w:rPr>
        <w:t>section </w:t>
      </w:r>
      <w:r w:rsidRPr="00B849DC" w:rsidR="00773880">
        <w:rPr>
          <w:lang w:val="en-US"/>
        </w:rPr>
        <w:t>142</w:t>
      </w:r>
      <w:r w:rsidRPr="00B849DC" w:rsidR="006E03CE">
        <w:rPr>
          <w:lang w:val="en-US"/>
        </w:rPr>
        <w:t>(</w:t>
      </w:r>
      <w:r w:rsidRPr="00B849DC" w:rsidR="00773880">
        <w:rPr>
          <w:lang w:val="en-US"/>
        </w:rPr>
        <w:t>1</w:t>
      </w:r>
      <w:r w:rsidRPr="00B849DC" w:rsidR="006E03CE">
        <w:rPr>
          <w:lang w:val="en-US"/>
        </w:rPr>
        <w:t>)</w:t>
      </w:r>
      <w:r w:rsidRPr="00B849DC" w:rsidR="00773880">
        <w:rPr>
          <w:lang w:val="en-US"/>
        </w:rPr>
        <w:t xml:space="preserve"> of the Insolvency Act</w:t>
      </w:r>
      <w:r w:rsidRPr="00B849DC">
        <w:rPr>
          <w:lang w:val="en-US"/>
        </w:rPr>
        <w:t xml:space="preserve"> (Maslov)</w:t>
      </w:r>
    </w:p>
    <w:p w:rsidRPr="00B849DC" w:rsidR="007E5D5F" w:rsidP="00B849DC" w:rsidRDefault="00757C28">
      <w:pPr>
        <w:pStyle w:val="ECHRPara"/>
        <w:rPr>
          <w:lang w:val="en-US"/>
        </w:rPr>
      </w:pPr>
      <w:r w:rsidRPr="00B849DC">
        <w:rPr>
          <w:lang w:val="en-US"/>
        </w:rPr>
        <w:fldChar w:fldCharType="begin"/>
      </w:r>
      <w:r w:rsidRPr="00B849DC">
        <w:rPr>
          <w:lang w:val="en-US"/>
        </w:rPr>
        <w:instrText xml:space="preserve"> SEQ level0 \*arabic </w:instrText>
      </w:r>
      <w:r w:rsidRPr="00B849DC">
        <w:rPr>
          <w:lang w:val="en-US"/>
        </w:rPr>
        <w:fldChar w:fldCharType="separate"/>
      </w:r>
      <w:r w:rsidRPr="00B849DC" w:rsidR="00B849DC">
        <w:rPr>
          <w:noProof/>
          <w:lang w:val="en-US"/>
        </w:rPr>
        <w:t>164</w:t>
      </w:r>
      <w:r w:rsidRPr="00B849DC">
        <w:rPr>
          <w:lang w:val="en-US"/>
        </w:rPr>
        <w:fldChar w:fldCharType="end"/>
      </w:r>
      <w:r w:rsidRPr="00B849DC">
        <w:rPr>
          <w:lang w:val="en-US"/>
        </w:rPr>
        <w:t>.  </w:t>
      </w:r>
      <w:r w:rsidRPr="00B849DC" w:rsidR="007E5D5F">
        <w:rPr>
          <w:lang w:val="en-US"/>
        </w:rPr>
        <w:t>The Government argued, with reference to the Plenary Supreme Commercial Court</w:t>
      </w:r>
      <w:r w:rsidRPr="00B849DC" w:rsidR="00B849DC">
        <w:rPr>
          <w:lang w:val="en-US"/>
        </w:rPr>
        <w:t>’</w:t>
      </w:r>
      <w:r w:rsidRPr="00B849DC" w:rsidR="007E5D5F">
        <w:rPr>
          <w:lang w:val="en-US"/>
        </w:rPr>
        <w:t>s Ruling of 23</w:t>
      </w:r>
      <w:r w:rsidRPr="00B849DC" w:rsidR="00EC0AA8">
        <w:rPr>
          <w:lang w:val="en-US"/>
        </w:rPr>
        <w:t> </w:t>
      </w:r>
      <w:r w:rsidRPr="00B849DC" w:rsidR="007E5D5F">
        <w:rPr>
          <w:lang w:val="en-US"/>
        </w:rPr>
        <w:t>July 2009 (see paragraph </w:t>
      </w:r>
      <w:r w:rsidRPr="00B849DC" w:rsidR="00B2146B">
        <w:rPr>
          <w:lang w:val="en-US"/>
        </w:rPr>
        <w:t>1</w:t>
      </w:r>
      <w:r w:rsidRPr="00B849DC" w:rsidR="005B316A">
        <w:rPr>
          <w:lang w:val="en-US"/>
        </w:rPr>
        <w:t>1</w:t>
      </w:r>
      <w:r w:rsidRPr="00B849DC" w:rsidR="005765D5">
        <w:rPr>
          <w:lang w:val="en-US"/>
        </w:rPr>
        <w:t>5</w:t>
      </w:r>
      <w:r w:rsidRPr="00B849DC" w:rsidR="007E5D5F">
        <w:rPr>
          <w:lang w:val="en-US"/>
        </w:rPr>
        <w:t xml:space="preserve"> above)</w:t>
      </w:r>
      <w:r w:rsidRPr="00B849DC" w:rsidR="00203CFE">
        <w:rPr>
          <w:lang w:val="en-US"/>
        </w:rPr>
        <w:t xml:space="preserve">, </w:t>
      </w:r>
      <w:r w:rsidRPr="00B849DC" w:rsidR="007E5D5F">
        <w:rPr>
          <w:lang w:val="en-US"/>
        </w:rPr>
        <w:t>that Mr</w:t>
      </w:r>
      <w:r w:rsidRPr="00B849DC" w:rsidR="00A779F4">
        <w:rPr>
          <w:lang w:val="en-US"/>
        </w:rPr>
        <w:t> </w:t>
      </w:r>
      <w:r w:rsidRPr="00B849DC" w:rsidR="007E5D5F">
        <w:rPr>
          <w:lang w:val="en-US"/>
        </w:rPr>
        <w:t xml:space="preserve">Maslov had failed to </w:t>
      </w:r>
      <w:r w:rsidRPr="00B849DC" w:rsidR="000B1E96">
        <w:rPr>
          <w:lang w:val="en-US"/>
        </w:rPr>
        <w:t xml:space="preserve">lodge </w:t>
      </w:r>
      <w:r w:rsidRPr="00B849DC" w:rsidR="007E5D5F">
        <w:rPr>
          <w:lang w:val="en-US"/>
        </w:rPr>
        <w:t xml:space="preserve">a claim </w:t>
      </w:r>
      <w:r w:rsidRPr="00B849DC" w:rsidR="00203CFE">
        <w:rPr>
          <w:lang w:val="en-US"/>
        </w:rPr>
        <w:t>with</w:t>
      </w:r>
      <w:r w:rsidRPr="00B849DC" w:rsidR="007E5D5F">
        <w:rPr>
          <w:lang w:val="en-US"/>
        </w:rPr>
        <w:t xml:space="preserve"> the commercial court on the basis of </w:t>
      </w:r>
      <w:r w:rsidRPr="00B849DC" w:rsidR="006E03CE">
        <w:rPr>
          <w:lang w:val="en-US"/>
        </w:rPr>
        <w:t>section </w:t>
      </w:r>
      <w:r w:rsidRPr="00B849DC" w:rsidR="007E5D5F">
        <w:rPr>
          <w:lang w:val="en-US"/>
        </w:rPr>
        <w:t>142</w:t>
      </w:r>
      <w:r w:rsidRPr="00B849DC" w:rsidR="006E03CE">
        <w:rPr>
          <w:lang w:val="en-US"/>
        </w:rPr>
        <w:t>(</w:t>
      </w:r>
      <w:r w:rsidRPr="00B849DC" w:rsidR="007E5D5F">
        <w:rPr>
          <w:lang w:val="en-US"/>
        </w:rPr>
        <w:t>1</w:t>
      </w:r>
      <w:r w:rsidRPr="00B849DC" w:rsidR="006E03CE">
        <w:rPr>
          <w:lang w:val="en-US"/>
        </w:rPr>
        <w:t>)</w:t>
      </w:r>
      <w:r w:rsidRPr="00B849DC" w:rsidR="007E5D5F">
        <w:rPr>
          <w:lang w:val="en-US"/>
        </w:rPr>
        <w:t xml:space="preserve"> of the Insolvency Act (see paragraph </w:t>
      </w:r>
      <w:r w:rsidRPr="00B849DC" w:rsidR="005B316A">
        <w:rPr>
          <w:lang w:val="en-US"/>
        </w:rPr>
        <w:t>87</w:t>
      </w:r>
      <w:r w:rsidRPr="00B849DC" w:rsidR="00D11EE4">
        <w:rPr>
          <w:lang w:val="en-US"/>
        </w:rPr>
        <w:t xml:space="preserve"> </w:t>
      </w:r>
      <w:r w:rsidRPr="00B849DC" w:rsidR="007E5D5F">
        <w:rPr>
          <w:lang w:val="en-US"/>
        </w:rPr>
        <w:t xml:space="preserve">above). </w:t>
      </w:r>
      <w:r w:rsidRPr="00B849DC" w:rsidR="00BE339F">
        <w:rPr>
          <w:lang w:val="en-US"/>
        </w:rPr>
        <w:t>In the Court</w:t>
      </w:r>
      <w:r w:rsidRPr="00B849DC" w:rsidR="00B849DC">
        <w:rPr>
          <w:lang w:val="en-US"/>
        </w:rPr>
        <w:t>’</w:t>
      </w:r>
      <w:r w:rsidRPr="00B849DC" w:rsidR="00BE339F">
        <w:rPr>
          <w:lang w:val="en-US"/>
        </w:rPr>
        <w:t xml:space="preserve">s view, their submissions are </w:t>
      </w:r>
      <w:r w:rsidRPr="00B849DC" w:rsidR="00160904">
        <w:rPr>
          <w:lang w:val="en-US"/>
        </w:rPr>
        <w:t>somewhat</w:t>
      </w:r>
      <w:r w:rsidRPr="00B849DC" w:rsidR="00BE339F">
        <w:rPr>
          <w:lang w:val="en-US"/>
        </w:rPr>
        <w:t xml:space="preserve"> self-contradictory. </w:t>
      </w:r>
      <w:r w:rsidRPr="00B849DC" w:rsidR="007E5D5F">
        <w:rPr>
          <w:lang w:val="en-US"/>
        </w:rPr>
        <w:t xml:space="preserve">First, the Court notes that the </w:t>
      </w:r>
      <w:r w:rsidRPr="00B849DC" w:rsidR="00B50C5F">
        <w:rPr>
          <w:lang w:val="en-US"/>
        </w:rPr>
        <w:t>clarific</w:t>
      </w:r>
      <w:r w:rsidRPr="00B849DC" w:rsidR="00E21D73">
        <w:rPr>
          <w:lang w:val="en-US"/>
        </w:rPr>
        <w:t>a</w:t>
      </w:r>
      <w:r w:rsidRPr="00B849DC" w:rsidR="00B50C5F">
        <w:rPr>
          <w:lang w:val="en-US"/>
        </w:rPr>
        <w:t>tions contained in the above</w:t>
      </w:r>
      <w:r w:rsidRPr="00B849DC" w:rsidR="006F3A20">
        <w:rPr>
          <w:lang w:val="en-US"/>
        </w:rPr>
        <w:noBreakHyphen/>
      </w:r>
      <w:r w:rsidRPr="00B849DC" w:rsidR="00E21D73">
        <w:rPr>
          <w:lang w:val="en-US"/>
        </w:rPr>
        <w:t>mentioned</w:t>
      </w:r>
      <w:r w:rsidRPr="00B849DC" w:rsidR="00B50C5F">
        <w:rPr>
          <w:lang w:val="en-US"/>
        </w:rPr>
        <w:t xml:space="preserve"> </w:t>
      </w:r>
      <w:r w:rsidRPr="00B849DC" w:rsidR="00E21D73">
        <w:rPr>
          <w:lang w:val="en-US"/>
        </w:rPr>
        <w:t xml:space="preserve">ruling </w:t>
      </w:r>
      <w:r w:rsidRPr="00B849DC" w:rsidR="007E5D5F">
        <w:rPr>
          <w:lang w:val="en-US"/>
        </w:rPr>
        <w:t xml:space="preserve">concern </w:t>
      </w:r>
      <w:r w:rsidRPr="00B849DC" w:rsidR="00773880">
        <w:rPr>
          <w:lang w:val="en-US"/>
        </w:rPr>
        <w:t xml:space="preserve">an application by the </w:t>
      </w:r>
      <w:r w:rsidRPr="00B849DC" w:rsidR="007E5D5F">
        <w:rPr>
          <w:lang w:val="en-US"/>
        </w:rPr>
        <w:t xml:space="preserve">insolvency creditors and the competent authorities </w:t>
      </w:r>
      <w:r w:rsidRPr="00B849DC" w:rsidR="00B70C4C">
        <w:rPr>
          <w:lang w:val="en-US"/>
        </w:rPr>
        <w:t xml:space="preserve">only </w:t>
      </w:r>
      <w:r w:rsidRPr="00B849DC" w:rsidR="007E5D5F">
        <w:rPr>
          <w:lang w:val="en-US"/>
        </w:rPr>
        <w:t>(see paragraph</w:t>
      </w:r>
      <w:r w:rsidRPr="00B849DC" w:rsidR="00CF2316">
        <w:rPr>
          <w:lang w:val="en-US"/>
        </w:rPr>
        <w:t> </w:t>
      </w:r>
      <w:r w:rsidRPr="00B849DC" w:rsidR="005B316A">
        <w:rPr>
          <w:lang w:val="en-US"/>
        </w:rPr>
        <w:t>11</w:t>
      </w:r>
      <w:r w:rsidRPr="00B849DC" w:rsidR="005765D5">
        <w:rPr>
          <w:lang w:val="en-US"/>
        </w:rPr>
        <w:t>5</w:t>
      </w:r>
      <w:r w:rsidRPr="00B849DC" w:rsidR="00B2146B">
        <w:rPr>
          <w:lang w:val="en-US"/>
        </w:rPr>
        <w:t xml:space="preserve"> </w:t>
      </w:r>
      <w:r w:rsidRPr="00B849DC" w:rsidR="007E5D5F">
        <w:rPr>
          <w:lang w:val="en-US"/>
        </w:rPr>
        <w:t>above)</w:t>
      </w:r>
      <w:r w:rsidRPr="00B849DC" w:rsidR="00656869">
        <w:rPr>
          <w:lang w:val="en-US"/>
        </w:rPr>
        <w:t xml:space="preserve">, whilst </w:t>
      </w:r>
      <w:r w:rsidRPr="00B849DC" w:rsidR="00160904">
        <w:rPr>
          <w:lang w:val="en-US"/>
        </w:rPr>
        <w:t xml:space="preserve">it appears that </w:t>
      </w:r>
      <w:r w:rsidRPr="00B849DC" w:rsidR="00656869">
        <w:rPr>
          <w:lang w:val="en-US"/>
        </w:rPr>
        <w:t>the applicant did not belong to either category</w:t>
      </w:r>
      <w:r w:rsidRPr="00B849DC" w:rsidR="00203CFE">
        <w:rPr>
          <w:lang w:val="en-US"/>
        </w:rPr>
        <w:t xml:space="preserve">. </w:t>
      </w:r>
      <w:r w:rsidRPr="00B849DC" w:rsidR="00656869">
        <w:rPr>
          <w:lang w:val="en-US"/>
        </w:rPr>
        <w:t>In fact, as</w:t>
      </w:r>
      <w:r w:rsidRPr="00B849DC" w:rsidR="00203CFE">
        <w:rPr>
          <w:lang w:val="en-US"/>
        </w:rPr>
        <w:t xml:space="preserve"> pointed out by the applicant – and not disputed by the Government at that point – his claims concerned “current payments” and </w:t>
      </w:r>
      <w:r w:rsidRPr="00B849DC" w:rsidR="007E5D5F">
        <w:rPr>
          <w:lang w:val="en-US"/>
        </w:rPr>
        <w:t xml:space="preserve">therefore </w:t>
      </w:r>
      <w:r w:rsidRPr="00B849DC" w:rsidR="00F14D85">
        <w:rPr>
          <w:lang w:val="en-US"/>
        </w:rPr>
        <w:t>he could not be considered a</w:t>
      </w:r>
      <w:r w:rsidRPr="00B849DC" w:rsidR="00BE339F">
        <w:rPr>
          <w:lang w:val="en-US"/>
        </w:rPr>
        <w:t xml:space="preserve"> party to the insolvency proceedings within the meaning of the Insolvency Act (see paragraph </w:t>
      </w:r>
      <w:r w:rsidRPr="00B849DC" w:rsidR="005B316A">
        <w:rPr>
          <w:lang w:val="en-US"/>
        </w:rPr>
        <w:t>90</w:t>
      </w:r>
      <w:r w:rsidRPr="00B849DC" w:rsidR="00BE339F">
        <w:rPr>
          <w:lang w:val="en-US"/>
        </w:rPr>
        <w:t xml:space="preserve"> above)</w:t>
      </w:r>
      <w:r w:rsidRPr="00B849DC" w:rsidR="007E5D5F">
        <w:rPr>
          <w:lang w:val="en-US"/>
        </w:rPr>
        <w:t>. Second</w:t>
      </w:r>
      <w:r w:rsidRPr="00B849DC" w:rsidR="00160904">
        <w:rPr>
          <w:lang w:val="en-US"/>
        </w:rPr>
        <w:t>ly</w:t>
      </w:r>
      <w:r w:rsidRPr="00B849DC" w:rsidR="007E5D5F">
        <w:rPr>
          <w:lang w:val="en-US"/>
        </w:rPr>
        <w:t xml:space="preserve">, the </w:t>
      </w:r>
      <w:r w:rsidRPr="00B849DC" w:rsidR="00BE339F">
        <w:rPr>
          <w:lang w:val="en-US"/>
        </w:rPr>
        <w:t xml:space="preserve">Government themselves noted that </w:t>
      </w:r>
      <w:r w:rsidRPr="00B849DC" w:rsidR="00203CFE">
        <w:rPr>
          <w:lang w:val="en-US"/>
        </w:rPr>
        <w:t xml:space="preserve">in any event </w:t>
      </w:r>
      <w:r w:rsidRPr="00B849DC" w:rsidR="00BE339F">
        <w:rPr>
          <w:lang w:val="en-US"/>
        </w:rPr>
        <w:t>the applicant</w:t>
      </w:r>
      <w:r w:rsidRPr="00B849DC" w:rsidR="00B849DC">
        <w:rPr>
          <w:lang w:val="en-US"/>
        </w:rPr>
        <w:t>’</w:t>
      </w:r>
      <w:r w:rsidRPr="00B849DC" w:rsidR="00BE339F">
        <w:rPr>
          <w:lang w:val="en-US"/>
        </w:rPr>
        <w:t>s</w:t>
      </w:r>
      <w:r w:rsidRPr="00B849DC" w:rsidR="007E5D5F">
        <w:rPr>
          <w:lang w:val="en-US"/>
        </w:rPr>
        <w:t xml:space="preserve"> claims </w:t>
      </w:r>
      <w:r w:rsidRPr="00B849DC" w:rsidR="00203CFE">
        <w:rPr>
          <w:lang w:val="en-US"/>
        </w:rPr>
        <w:t>had been</w:t>
      </w:r>
      <w:r w:rsidRPr="00B849DC" w:rsidR="007E5D5F">
        <w:rPr>
          <w:lang w:val="en-US"/>
        </w:rPr>
        <w:t xml:space="preserve"> included in the register of creditors</w:t>
      </w:r>
      <w:r w:rsidRPr="00B849DC" w:rsidR="00B849DC">
        <w:rPr>
          <w:lang w:val="en-US"/>
        </w:rPr>
        <w:t>’</w:t>
      </w:r>
      <w:r w:rsidRPr="00B849DC" w:rsidR="007E5D5F">
        <w:rPr>
          <w:lang w:val="en-US"/>
        </w:rPr>
        <w:t xml:space="preserve"> claims (see paragraph</w:t>
      </w:r>
      <w:r w:rsidRPr="00B849DC" w:rsidR="00CF2316">
        <w:rPr>
          <w:lang w:val="en-US"/>
        </w:rPr>
        <w:t> </w:t>
      </w:r>
      <w:r w:rsidRPr="00B849DC" w:rsidR="00B2146B">
        <w:rPr>
          <w:lang w:val="en-US"/>
        </w:rPr>
        <w:t>42</w:t>
      </w:r>
      <w:r w:rsidRPr="00B849DC" w:rsidR="007E5D5F">
        <w:rPr>
          <w:lang w:val="en-US"/>
        </w:rPr>
        <w:t xml:space="preserve"> above). In those circumstances, the Court does not </w:t>
      </w:r>
      <w:r w:rsidRPr="00B849DC" w:rsidR="00E21D73">
        <w:rPr>
          <w:lang w:val="en-US"/>
        </w:rPr>
        <w:t xml:space="preserve">consider that </w:t>
      </w:r>
      <w:r w:rsidRPr="00B849DC" w:rsidR="00CB4A27">
        <w:rPr>
          <w:lang w:val="en-US"/>
        </w:rPr>
        <w:t xml:space="preserve">the applicant </w:t>
      </w:r>
      <w:r w:rsidRPr="00B849DC" w:rsidR="00E21D73">
        <w:rPr>
          <w:lang w:val="en-US"/>
        </w:rPr>
        <w:t xml:space="preserve">lodging </w:t>
      </w:r>
      <w:r w:rsidRPr="00B849DC" w:rsidR="007E5D5F">
        <w:rPr>
          <w:lang w:val="en-US"/>
        </w:rPr>
        <w:t xml:space="preserve">a separate court action with the aim </w:t>
      </w:r>
      <w:r w:rsidRPr="00B849DC" w:rsidR="00E21D73">
        <w:rPr>
          <w:lang w:val="en-US"/>
        </w:rPr>
        <w:t>of having his</w:t>
      </w:r>
      <w:r w:rsidRPr="00B849DC" w:rsidR="007E5D5F">
        <w:rPr>
          <w:lang w:val="en-US"/>
        </w:rPr>
        <w:t xml:space="preserve"> claims in</w:t>
      </w:r>
      <w:r w:rsidRPr="00B849DC" w:rsidR="00203CFE">
        <w:rPr>
          <w:lang w:val="en-US"/>
        </w:rPr>
        <w:t>cluded in</w:t>
      </w:r>
      <w:r w:rsidRPr="00B849DC" w:rsidR="007E5D5F">
        <w:rPr>
          <w:lang w:val="en-US"/>
        </w:rPr>
        <w:t xml:space="preserve"> th</w:t>
      </w:r>
      <w:r w:rsidRPr="00B849DC" w:rsidR="00BE339F">
        <w:rPr>
          <w:lang w:val="en-US"/>
        </w:rPr>
        <w:t xml:space="preserve">at </w:t>
      </w:r>
      <w:r w:rsidRPr="00B849DC" w:rsidR="00656869">
        <w:rPr>
          <w:lang w:val="en-US"/>
        </w:rPr>
        <w:t xml:space="preserve">very </w:t>
      </w:r>
      <w:r w:rsidRPr="00B849DC" w:rsidR="007E5D5F">
        <w:rPr>
          <w:lang w:val="en-US"/>
        </w:rPr>
        <w:t>register</w:t>
      </w:r>
      <w:r w:rsidRPr="00B849DC" w:rsidR="00E21D73">
        <w:rPr>
          <w:lang w:val="en-US"/>
        </w:rPr>
        <w:t xml:space="preserve"> would have had any meaningful purpose</w:t>
      </w:r>
      <w:r w:rsidRPr="00B849DC" w:rsidR="007E5D5F">
        <w:rPr>
          <w:lang w:val="en-US"/>
        </w:rPr>
        <w:t xml:space="preserve">. </w:t>
      </w:r>
      <w:r w:rsidRPr="00B849DC" w:rsidR="00F65A63">
        <w:rPr>
          <w:lang w:val="en-US"/>
        </w:rPr>
        <w:t>The objection in this part should therefore be dismissed.</w:t>
      </w:r>
    </w:p>
    <w:p w:rsidRPr="00B849DC" w:rsidR="00DD0701" w:rsidP="00B849DC" w:rsidRDefault="00757C28">
      <w:pPr>
        <w:pStyle w:val="ECHRHeading5"/>
        <w:rPr>
          <w:lang w:val="en-US"/>
        </w:rPr>
      </w:pPr>
      <w:r w:rsidRPr="00B849DC">
        <w:rPr>
          <w:lang w:val="en-US"/>
        </w:rPr>
        <w:t>(v</w:t>
      </w:r>
      <w:r w:rsidRPr="00B849DC" w:rsidR="00DD0701">
        <w:rPr>
          <w:lang w:val="en-US"/>
        </w:rPr>
        <w:t xml:space="preserve">)  Claim for compensation </w:t>
      </w:r>
      <w:r w:rsidRPr="00B849DC" w:rsidR="00CB4A27">
        <w:rPr>
          <w:lang w:val="en-US"/>
        </w:rPr>
        <w:t xml:space="preserve">for </w:t>
      </w:r>
      <w:r w:rsidRPr="00B849DC" w:rsidR="00064F88">
        <w:rPr>
          <w:lang w:val="en-US"/>
        </w:rPr>
        <w:t>damage under Chapter 59 of the Civil Code (Liseytseva, Maslov)</w:t>
      </w:r>
    </w:p>
    <w:p w:rsidRPr="00B849DC" w:rsidR="00064F88" w:rsidP="00B849DC" w:rsidRDefault="00DD0701">
      <w:pPr>
        <w:pStyle w:val="ECHRPara"/>
        <w:rPr>
          <w:lang w:val="en-US"/>
        </w:rPr>
      </w:pPr>
      <w:r w:rsidRPr="00B849DC">
        <w:fldChar w:fldCharType="begin"/>
      </w:r>
      <w:r w:rsidRPr="00B849DC">
        <w:rPr>
          <w:lang w:val="en-US"/>
        </w:rPr>
        <w:instrText xml:space="preserve"> SEQ level0 \*arabic </w:instrText>
      </w:r>
      <w:r w:rsidRPr="00B849DC">
        <w:fldChar w:fldCharType="separate"/>
      </w:r>
      <w:r w:rsidRPr="00B849DC" w:rsidR="00B849DC">
        <w:rPr>
          <w:noProof/>
          <w:lang w:val="en-US"/>
        </w:rPr>
        <w:t>165</w:t>
      </w:r>
      <w:r w:rsidRPr="00B849DC">
        <w:fldChar w:fldCharType="end"/>
      </w:r>
      <w:r w:rsidRPr="00B849DC">
        <w:rPr>
          <w:lang w:val="en-US"/>
        </w:rPr>
        <w:t>.  </w:t>
      </w:r>
      <w:r w:rsidRPr="00B849DC" w:rsidR="004F7B87">
        <w:rPr>
          <w:lang w:val="en-US"/>
        </w:rPr>
        <w:t>The Government submitted that</w:t>
      </w:r>
      <w:r w:rsidRPr="00B849DC" w:rsidR="00201C2F">
        <w:rPr>
          <w:lang w:val="en-US"/>
        </w:rPr>
        <w:t>, even though the</w:t>
      </w:r>
      <w:r w:rsidRPr="00B849DC" w:rsidR="004F7B87">
        <w:rPr>
          <w:lang w:val="en-US"/>
        </w:rPr>
        <w:t xml:space="preserve"> Compensation Act did not apply to situations where the debtor </w:t>
      </w:r>
      <w:r w:rsidRPr="00B849DC" w:rsidR="00261A87">
        <w:rPr>
          <w:lang w:val="en-US"/>
        </w:rPr>
        <w:t xml:space="preserve">was </w:t>
      </w:r>
      <w:r w:rsidRPr="00B849DC" w:rsidR="004F7B87">
        <w:rPr>
          <w:lang w:val="en-US"/>
        </w:rPr>
        <w:t>a State or municipal unitary enterprise</w:t>
      </w:r>
      <w:r w:rsidRPr="00B849DC" w:rsidR="00201C2F">
        <w:rPr>
          <w:lang w:val="en-US"/>
        </w:rPr>
        <w:t xml:space="preserve"> (see paragraphs </w:t>
      </w:r>
      <w:r w:rsidRPr="00B849DC" w:rsidR="005B316A">
        <w:rPr>
          <w:lang w:val="en-US"/>
        </w:rPr>
        <w:t>11</w:t>
      </w:r>
      <w:r w:rsidRPr="00B849DC" w:rsidR="005765D5">
        <w:rPr>
          <w:lang w:val="en-US"/>
        </w:rPr>
        <w:t>6</w:t>
      </w:r>
      <w:r w:rsidRPr="00B849DC" w:rsidR="00B2146B">
        <w:rPr>
          <w:lang w:val="en-US"/>
        </w:rPr>
        <w:t>-1</w:t>
      </w:r>
      <w:r w:rsidRPr="00B849DC" w:rsidR="005765D5">
        <w:rPr>
          <w:lang w:val="en-US"/>
        </w:rPr>
        <w:t>18</w:t>
      </w:r>
      <w:r w:rsidRPr="00B849DC" w:rsidR="00201C2F">
        <w:rPr>
          <w:lang w:val="en-US"/>
        </w:rPr>
        <w:t xml:space="preserve"> above),</w:t>
      </w:r>
      <w:r w:rsidRPr="00B849DC" w:rsidR="004F7B87">
        <w:rPr>
          <w:lang w:val="en-US"/>
        </w:rPr>
        <w:t xml:space="preserve"> the applicants </w:t>
      </w:r>
      <w:r w:rsidRPr="00B849DC" w:rsidR="00261A87">
        <w:rPr>
          <w:lang w:val="en-US"/>
        </w:rPr>
        <w:t xml:space="preserve">had been </w:t>
      </w:r>
      <w:r w:rsidRPr="00B849DC" w:rsidR="004F7B87">
        <w:rPr>
          <w:lang w:val="en-US"/>
        </w:rPr>
        <w:t xml:space="preserve">able to make use of the Civil Code provisions </w:t>
      </w:r>
      <w:r w:rsidRPr="00B849DC" w:rsidR="00261A87">
        <w:rPr>
          <w:lang w:val="en-US"/>
        </w:rPr>
        <w:t xml:space="preserve">to </w:t>
      </w:r>
      <w:r w:rsidRPr="00B849DC" w:rsidR="004F7B87">
        <w:rPr>
          <w:lang w:val="en-US"/>
        </w:rPr>
        <w:t xml:space="preserve">claim compensation </w:t>
      </w:r>
      <w:r w:rsidRPr="00B849DC" w:rsidR="00261A87">
        <w:rPr>
          <w:lang w:val="en-US"/>
        </w:rPr>
        <w:t xml:space="preserve">for </w:t>
      </w:r>
      <w:r w:rsidRPr="00B849DC" w:rsidR="004F7B87">
        <w:rPr>
          <w:lang w:val="en-US"/>
        </w:rPr>
        <w:t xml:space="preserve">damage in the event of non-enforcement of a judicial decision. </w:t>
      </w:r>
      <w:r w:rsidRPr="00B849DC" w:rsidR="00C903ED">
        <w:rPr>
          <w:lang w:val="en-US"/>
        </w:rPr>
        <w:t>As regards the Government</w:t>
      </w:r>
      <w:r w:rsidRPr="00B849DC" w:rsidR="00B849DC">
        <w:rPr>
          <w:lang w:val="en-US"/>
        </w:rPr>
        <w:t>’</w:t>
      </w:r>
      <w:r w:rsidRPr="00B849DC" w:rsidR="00C903ED">
        <w:rPr>
          <w:lang w:val="en-US"/>
        </w:rPr>
        <w:t xml:space="preserve">s reference to Article 1070 of the Civil Code, the objection is clearly inapplicable, since that provision deals specifically with damage caused by unlawful conviction, prosecution, detention or prohibition on leaving the place of residence, and the case files do not contain any evidence of any such action having been taken in the present two cases. As regards </w:t>
      </w:r>
      <w:r w:rsidRPr="00B849DC" w:rsidR="00064F88">
        <w:rPr>
          <w:lang w:val="en-US"/>
        </w:rPr>
        <w:t>the remaining provisions of Chapter 59, the</w:t>
      </w:r>
      <w:r w:rsidRPr="00B849DC" w:rsidR="00C903ED">
        <w:rPr>
          <w:lang w:val="en-US"/>
        </w:rPr>
        <w:t xml:space="preserve"> </w:t>
      </w:r>
      <w:r w:rsidRPr="00B849DC" w:rsidR="004F7B87">
        <w:rPr>
          <w:lang w:val="en-US"/>
        </w:rPr>
        <w:t xml:space="preserve">Court has already found on several occasions – </w:t>
      </w:r>
      <w:r w:rsidRPr="00B849DC" w:rsidR="00D11EE4">
        <w:rPr>
          <w:lang w:val="en-US"/>
        </w:rPr>
        <w:t xml:space="preserve">albeit </w:t>
      </w:r>
      <w:r w:rsidRPr="00B849DC" w:rsidR="004F7B87">
        <w:rPr>
          <w:lang w:val="en-US"/>
        </w:rPr>
        <w:t xml:space="preserve">in the context of judgments given against the State authorities – that, while the possibility of such compensation was not totally excluded, this remedy did not offer reasonable prospects of success, notably </w:t>
      </w:r>
      <w:r w:rsidRPr="00B849DC" w:rsidR="008C1A7D">
        <w:rPr>
          <w:lang w:val="en-US"/>
        </w:rPr>
        <w:t xml:space="preserve">because it requires </w:t>
      </w:r>
      <w:r w:rsidRPr="00B849DC" w:rsidR="004F7B87">
        <w:rPr>
          <w:lang w:val="en-US"/>
        </w:rPr>
        <w:t xml:space="preserve">the establishment of </w:t>
      </w:r>
      <w:r w:rsidRPr="00B849DC" w:rsidR="0041691B">
        <w:rPr>
          <w:lang w:val="en-US"/>
        </w:rPr>
        <w:t xml:space="preserve">fault on the part of </w:t>
      </w:r>
      <w:r w:rsidRPr="00B849DC" w:rsidR="004F7B87">
        <w:rPr>
          <w:lang w:val="en-US"/>
        </w:rPr>
        <w:t xml:space="preserve">the authorities (see, </w:t>
      </w:r>
      <w:r w:rsidRPr="00B849DC" w:rsidR="00064F88">
        <w:rPr>
          <w:lang w:val="en-US"/>
        </w:rPr>
        <w:t xml:space="preserve">among many others and </w:t>
      </w:r>
      <w:r w:rsidRPr="00B849DC" w:rsidR="004F7B87">
        <w:rPr>
          <w:lang w:val="en-US"/>
        </w:rPr>
        <w:t xml:space="preserve">in the context of judgments against the State, </w:t>
      </w:r>
      <w:r w:rsidRPr="00B849DC" w:rsidR="00064F88">
        <w:rPr>
          <w:i/>
          <w:lang w:val="en-US"/>
        </w:rPr>
        <w:t>Burdov (no. </w:t>
      </w:r>
      <w:r w:rsidRPr="00B849DC" w:rsidR="00A9751D">
        <w:rPr>
          <w:i/>
          <w:lang w:val="en-US"/>
        </w:rPr>
        <w:t>2)</w:t>
      </w:r>
      <w:r w:rsidRPr="00B849DC" w:rsidR="00A9751D">
        <w:rPr>
          <w:lang w:val="en-US"/>
        </w:rPr>
        <w:t xml:space="preserve">, </w:t>
      </w:r>
      <w:r w:rsidRPr="00B849DC" w:rsidR="00E47085">
        <w:rPr>
          <w:lang w:val="en-US"/>
        </w:rPr>
        <w:t>cited above</w:t>
      </w:r>
      <w:r w:rsidRPr="00B849DC" w:rsidR="00A9751D">
        <w:rPr>
          <w:lang w:val="en-US"/>
        </w:rPr>
        <w:t>, § </w:t>
      </w:r>
      <w:r w:rsidRPr="00B849DC" w:rsidR="00064F88">
        <w:rPr>
          <w:lang w:val="en-US"/>
        </w:rPr>
        <w:t>110</w:t>
      </w:r>
      <w:r w:rsidRPr="00B849DC" w:rsidR="00A9751D">
        <w:rPr>
          <w:lang w:val="en-US"/>
        </w:rPr>
        <w:t xml:space="preserve">, and </w:t>
      </w:r>
      <w:r w:rsidRPr="00B849DC" w:rsidR="006F3A20">
        <w:rPr>
          <w:i/>
          <w:lang w:val="en-GB"/>
        </w:rPr>
        <w:t>Moroko v. </w:t>
      </w:r>
      <w:r w:rsidRPr="00B849DC" w:rsidR="004F7B87">
        <w:rPr>
          <w:i/>
          <w:lang w:val="en-GB"/>
        </w:rPr>
        <w:t>Russia</w:t>
      </w:r>
      <w:r w:rsidRPr="00B849DC" w:rsidR="004F7B87">
        <w:rPr>
          <w:lang w:val="en-GB"/>
        </w:rPr>
        <w:t>, no. 20937/07,</w:t>
      </w:r>
      <w:r w:rsidRPr="00B849DC" w:rsidR="004F7B87">
        <w:rPr>
          <w:lang w:val="en-US"/>
        </w:rPr>
        <w:t xml:space="preserve"> §§ 28-29</w:t>
      </w:r>
      <w:r w:rsidRPr="00B849DC" w:rsidR="004F7B87">
        <w:rPr>
          <w:lang w:val="en-GB"/>
        </w:rPr>
        <w:t xml:space="preserve">, 12 June 2008). </w:t>
      </w:r>
      <w:r w:rsidRPr="00B849DC" w:rsidR="004F7B87">
        <w:rPr>
          <w:lang w:val="en-US"/>
        </w:rPr>
        <w:t>The Government did not contest in the present case</w:t>
      </w:r>
      <w:r w:rsidRPr="00B849DC" w:rsidR="00A9751D">
        <w:rPr>
          <w:lang w:val="en-US"/>
        </w:rPr>
        <w:t>s</w:t>
      </w:r>
      <w:r w:rsidRPr="00B849DC" w:rsidR="004F7B87">
        <w:rPr>
          <w:lang w:val="en-US"/>
        </w:rPr>
        <w:t xml:space="preserve"> that compensation under </w:t>
      </w:r>
      <w:r w:rsidRPr="00B849DC" w:rsidR="00064F88">
        <w:rPr>
          <w:lang w:val="en-US"/>
        </w:rPr>
        <w:t xml:space="preserve">Chapter 59 </w:t>
      </w:r>
      <w:r w:rsidRPr="00B849DC" w:rsidR="004F7B87">
        <w:rPr>
          <w:lang w:val="en-US"/>
        </w:rPr>
        <w:t>was subject to this condition. The Court notes that the Civil Code lists a very limited number of situations in which compensation for non-pecuniary damage is recoverable</w:t>
      </w:r>
      <w:r w:rsidRPr="00B849DC" w:rsidR="00E9357A">
        <w:rPr>
          <w:lang w:val="en-US"/>
        </w:rPr>
        <w:t xml:space="preserve"> irrespective of </w:t>
      </w:r>
      <w:r w:rsidRPr="00B849DC" w:rsidR="002F09FE">
        <w:rPr>
          <w:lang w:val="en-US"/>
        </w:rPr>
        <w:t xml:space="preserve">whether </w:t>
      </w:r>
      <w:r w:rsidRPr="00B849DC" w:rsidR="00E9357A">
        <w:rPr>
          <w:lang w:val="en-US"/>
        </w:rPr>
        <w:t>the respondent</w:t>
      </w:r>
      <w:r w:rsidRPr="00B849DC" w:rsidR="002F09FE">
        <w:rPr>
          <w:lang w:val="en-US"/>
        </w:rPr>
        <w:t xml:space="preserve"> is at</w:t>
      </w:r>
      <w:r w:rsidRPr="00B849DC" w:rsidR="004F7B87">
        <w:rPr>
          <w:lang w:val="en-US"/>
        </w:rPr>
        <w:t xml:space="preserve"> fault (notably</w:t>
      </w:r>
      <w:r w:rsidRPr="00B849DC" w:rsidR="002F09FE">
        <w:rPr>
          <w:lang w:val="en-US"/>
        </w:rPr>
        <w:t>,</w:t>
      </w:r>
      <w:r w:rsidRPr="00B849DC" w:rsidR="004F7B87">
        <w:rPr>
          <w:lang w:val="en-US"/>
        </w:rPr>
        <w:t xml:space="preserve"> Articles 1070 § 1 and 1100, cited in paragraph</w:t>
      </w:r>
      <w:r w:rsidRPr="00B849DC" w:rsidR="00EB3BE6">
        <w:rPr>
          <w:lang w:val="en-US"/>
        </w:rPr>
        <w:t>s</w:t>
      </w:r>
      <w:r w:rsidRPr="00B849DC" w:rsidR="004F7B87">
        <w:rPr>
          <w:lang w:val="en-US"/>
        </w:rPr>
        <w:t> </w:t>
      </w:r>
      <w:r w:rsidRPr="00B849DC" w:rsidR="00A779F4">
        <w:rPr>
          <w:lang w:val="en-US"/>
        </w:rPr>
        <w:t>12</w:t>
      </w:r>
      <w:r w:rsidRPr="00B849DC" w:rsidR="006F3A20">
        <w:rPr>
          <w:lang w:val="en-US"/>
        </w:rPr>
        <w:t>2-</w:t>
      </w:r>
      <w:r w:rsidRPr="00B849DC" w:rsidR="00654621">
        <w:rPr>
          <w:lang w:val="en-US"/>
        </w:rPr>
        <w:t>23</w:t>
      </w:r>
      <w:r w:rsidRPr="00B849DC" w:rsidR="004F7B87">
        <w:rPr>
          <w:lang w:val="en-US"/>
        </w:rPr>
        <w:t xml:space="preserve"> above). </w:t>
      </w:r>
      <w:r w:rsidRPr="00B849DC" w:rsidR="002F09FE">
        <w:rPr>
          <w:lang w:val="en-US"/>
        </w:rPr>
        <w:t>D</w:t>
      </w:r>
      <w:r w:rsidRPr="00B849DC" w:rsidR="00E9357A">
        <w:rPr>
          <w:lang w:val="en-US"/>
        </w:rPr>
        <w:t>elays</w:t>
      </w:r>
      <w:r w:rsidRPr="00B849DC" w:rsidR="004F7B87">
        <w:rPr>
          <w:lang w:val="en-US"/>
        </w:rPr>
        <w:t xml:space="preserve"> in </w:t>
      </w:r>
      <w:r w:rsidRPr="00B849DC" w:rsidR="002F09FE">
        <w:rPr>
          <w:lang w:val="en-US"/>
        </w:rPr>
        <w:t xml:space="preserve">the </w:t>
      </w:r>
      <w:r w:rsidRPr="00B849DC" w:rsidR="004F7B87">
        <w:rPr>
          <w:lang w:val="en-US"/>
        </w:rPr>
        <w:t>enforcement of judicial decisions against unitary enterprise</w:t>
      </w:r>
      <w:r w:rsidRPr="00B849DC" w:rsidR="002F09FE">
        <w:rPr>
          <w:lang w:val="en-US"/>
        </w:rPr>
        <w:t>s</w:t>
      </w:r>
      <w:r w:rsidRPr="00B849DC" w:rsidR="004F7B87">
        <w:rPr>
          <w:lang w:val="en-US"/>
        </w:rPr>
        <w:t xml:space="preserve"> </w:t>
      </w:r>
      <w:r w:rsidRPr="00B849DC" w:rsidR="00E9357A">
        <w:rPr>
          <w:lang w:val="en-US"/>
        </w:rPr>
        <w:t xml:space="preserve">do not </w:t>
      </w:r>
      <w:r w:rsidRPr="00B849DC" w:rsidR="004F7B87">
        <w:rPr>
          <w:lang w:val="en-US"/>
        </w:rPr>
        <w:t xml:space="preserve">appear </w:t>
      </w:r>
      <w:r w:rsidRPr="00B849DC" w:rsidR="002F09FE">
        <w:rPr>
          <w:lang w:val="en-US"/>
        </w:rPr>
        <w:t xml:space="preserve">on </w:t>
      </w:r>
      <w:r w:rsidRPr="00B849DC" w:rsidR="004F7B87">
        <w:rPr>
          <w:lang w:val="en-US"/>
        </w:rPr>
        <w:t>this list</w:t>
      </w:r>
      <w:r w:rsidRPr="00B849DC" w:rsidR="00064F88">
        <w:rPr>
          <w:lang w:val="en-US"/>
        </w:rPr>
        <w:t xml:space="preserve"> (see</w:t>
      </w:r>
      <w:r w:rsidRPr="00B849DC" w:rsidR="00305A86">
        <w:rPr>
          <w:lang w:val="en-US"/>
        </w:rPr>
        <w:t xml:space="preserve">, </w:t>
      </w:r>
      <w:r w:rsidRPr="00B849DC" w:rsidR="00305A86">
        <w:rPr>
          <w:i/>
          <w:lang w:val="en-US"/>
        </w:rPr>
        <w:t>mutatis mutandis</w:t>
      </w:r>
      <w:r w:rsidRPr="00B849DC" w:rsidR="00305A86">
        <w:rPr>
          <w:lang w:val="en-US"/>
        </w:rPr>
        <w:t>,</w:t>
      </w:r>
      <w:r w:rsidRPr="00B849DC" w:rsidR="00064F88">
        <w:rPr>
          <w:lang w:val="en-US"/>
        </w:rPr>
        <w:t xml:space="preserve"> </w:t>
      </w:r>
      <w:r w:rsidRPr="00B849DC" w:rsidR="00064F88">
        <w:rPr>
          <w:i/>
          <w:lang w:val="en-US"/>
        </w:rPr>
        <w:t>Burdov (no. 2)</w:t>
      </w:r>
      <w:r w:rsidRPr="00B849DC" w:rsidR="00064F88">
        <w:rPr>
          <w:lang w:val="en-US"/>
        </w:rPr>
        <w:t>, cited above, § 112)</w:t>
      </w:r>
      <w:r w:rsidRPr="00B849DC" w:rsidR="004F7B87">
        <w:rPr>
          <w:lang w:val="en-US"/>
        </w:rPr>
        <w:t xml:space="preserve">. </w:t>
      </w:r>
      <w:r w:rsidRPr="00B849DC" w:rsidR="00201C2F">
        <w:rPr>
          <w:lang w:val="en-US"/>
        </w:rPr>
        <w:t xml:space="preserve">It was not contested by the Government that at no point </w:t>
      </w:r>
      <w:r w:rsidRPr="00B849DC" w:rsidR="002F09FE">
        <w:rPr>
          <w:lang w:val="en-US"/>
        </w:rPr>
        <w:t xml:space="preserve">had </w:t>
      </w:r>
      <w:r w:rsidRPr="00B849DC" w:rsidR="00201C2F">
        <w:rPr>
          <w:lang w:val="en-US"/>
        </w:rPr>
        <w:t xml:space="preserve">the fault of the authorities </w:t>
      </w:r>
      <w:r w:rsidRPr="00B849DC" w:rsidR="00E9357A">
        <w:rPr>
          <w:lang w:val="en-US"/>
        </w:rPr>
        <w:t>been</w:t>
      </w:r>
      <w:r w:rsidRPr="00B849DC" w:rsidR="00201C2F">
        <w:rPr>
          <w:lang w:val="en-US"/>
        </w:rPr>
        <w:t xml:space="preserve"> established in the two cases</w:t>
      </w:r>
      <w:r w:rsidRPr="00B849DC" w:rsidR="00414610">
        <w:rPr>
          <w:lang w:val="en-US"/>
        </w:rPr>
        <w:t xml:space="preserve"> at hand</w:t>
      </w:r>
      <w:r w:rsidRPr="00B849DC" w:rsidR="00201C2F">
        <w:rPr>
          <w:lang w:val="en-US"/>
        </w:rPr>
        <w:t xml:space="preserve">. </w:t>
      </w:r>
      <w:r w:rsidRPr="00B849DC" w:rsidR="00E9357A">
        <w:rPr>
          <w:lang w:val="en-US"/>
        </w:rPr>
        <w:t xml:space="preserve">On the contrary, in both cases the domestic courts – albeit in the subsidiary liability proceedings – </w:t>
      </w:r>
      <w:r w:rsidRPr="00B849DC" w:rsidR="00414610">
        <w:rPr>
          <w:lang w:val="en-US"/>
        </w:rPr>
        <w:t xml:space="preserve">summarily </w:t>
      </w:r>
      <w:r w:rsidRPr="00B849DC" w:rsidR="00E9357A">
        <w:rPr>
          <w:lang w:val="en-US"/>
        </w:rPr>
        <w:t>assessed the respective local authorities</w:t>
      </w:r>
      <w:r w:rsidRPr="00B849DC" w:rsidR="00B849DC">
        <w:rPr>
          <w:lang w:val="en-US"/>
        </w:rPr>
        <w:t>’</w:t>
      </w:r>
      <w:r w:rsidRPr="00B849DC" w:rsidR="00E9357A">
        <w:rPr>
          <w:lang w:val="en-US"/>
        </w:rPr>
        <w:t xml:space="preserve"> actions as </w:t>
      </w:r>
      <w:r w:rsidRPr="00B849DC" w:rsidR="000B1E96">
        <w:rPr>
          <w:lang w:val="en-US"/>
        </w:rPr>
        <w:t xml:space="preserve">having been </w:t>
      </w:r>
      <w:r w:rsidRPr="00B849DC" w:rsidR="00E9357A">
        <w:rPr>
          <w:lang w:val="en-US"/>
        </w:rPr>
        <w:t xml:space="preserve">taken in accordance with </w:t>
      </w:r>
      <w:r w:rsidRPr="00B849DC" w:rsidR="002F09FE">
        <w:rPr>
          <w:lang w:val="en-US"/>
        </w:rPr>
        <w:t xml:space="preserve">the </w:t>
      </w:r>
      <w:r w:rsidRPr="00B849DC" w:rsidR="00E9357A">
        <w:rPr>
          <w:lang w:val="en-US"/>
        </w:rPr>
        <w:t>law (see paragraph</w:t>
      </w:r>
      <w:r w:rsidRPr="00B849DC" w:rsidR="00B2146B">
        <w:rPr>
          <w:lang w:val="en-US"/>
        </w:rPr>
        <w:t>s</w:t>
      </w:r>
      <w:r w:rsidRPr="00B849DC" w:rsidR="00E9357A">
        <w:rPr>
          <w:lang w:val="en-US"/>
        </w:rPr>
        <w:t> </w:t>
      </w:r>
      <w:r w:rsidRPr="00B849DC" w:rsidR="00A779F4">
        <w:rPr>
          <w:lang w:val="en-US"/>
        </w:rPr>
        <w:t>23 and 26</w:t>
      </w:r>
      <w:r w:rsidRPr="00B849DC" w:rsidR="00A779F4">
        <w:rPr>
          <w:lang w:val="en-US"/>
        </w:rPr>
        <w:noBreakHyphen/>
      </w:r>
      <w:r w:rsidRPr="00B849DC" w:rsidR="00B2146B">
        <w:rPr>
          <w:lang w:val="en-US"/>
        </w:rPr>
        <w:t>27</w:t>
      </w:r>
      <w:r w:rsidRPr="00B849DC" w:rsidR="0075394C">
        <w:rPr>
          <w:lang w:val="en-US"/>
        </w:rPr>
        <w:t xml:space="preserve"> </w:t>
      </w:r>
      <w:r w:rsidRPr="00B849DC" w:rsidR="002F09FE">
        <w:rPr>
          <w:lang w:val="en-US"/>
        </w:rPr>
        <w:t xml:space="preserve">relating to </w:t>
      </w:r>
      <w:r w:rsidRPr="00B849DC" w:rsidR="0075394C">
        <w:rPr>
          <w:i/>
          <w:lang w:val="en-US"/>
        </w:rPr>
        <w:t>Liseytseva</w:t>
      </w:r>
      <w:r w:rsidRPr="00B849DC" w:rsidR="0075394C">
        <w:rPr>
          <w:lang w:val="en-US"/>
        </w:rPr>
        <w:t xml:space="preserve"> and </w:t>
      </w:r>
      <w:r w:rsidRPr="00B849DC" w:rsidR="00E9357A">
        <w:rPr>
          <w:lang w:val="en-US"/>
        </w:rPr>
        <w:t>paragraph </w:t>
      </w:r>
      <w:r w:rsidRPr="00B849DC" w:rsidR="00A56307">
        <w:rPr>
          <w:lang w:val="en-US"/>
        </w:rPr>
        <w:t>50</w:t>
      </w:r>
      <w:r w:rsidRPr="00B849DC" w:rsidR="00E9357A">
        <w:rPr>
          <w:lang w:val="en-US"/>
        </w:rPr>
        <w:t xml:space="preserve"> </w:t>
      </w:r>
      <w:r w:rsidRPr="00B849DC" w:rsidR="002F09FE">
        <w:rPr>
          <w:lang w:val="en-US"/>
        </w:rPr>
        <w:t xml:space="preserve">relating to </w:t>
      </w:r>
      <w:r w:rsidRPr="00B849DC" w:rsidR="00E9357A">
        <w:rPr>
          <w:i/>
          <w:lang w:val="en-US"/>
        </w:rPr>
        <w:t>Maslov</w:t>
      </w:r>
      <w:r w:rsidRPr="00B849DC" w:rsidR="00E9357A">
        <w:rPr>
          <w:lang w:val="en-US"/>
        </w:rPr>
        <w:t xml:space="preserve">). </w:t>
      </w:r>
      <w:r w:rsidRPr="00B849DC" w:rsidR="0085214B">
        <w:rPr>
          <w:lang w:val="en-US"/>
        </w:rPr>
        <w:t>In sum, it</w:t>
      </w:r>
      <w:r w:rsidRPr="00B849DC" w:rsidR="00201C2F">
        <w:rPr>
          <w:lang w:val="en-US"/>
        </w:rPr>
        <w:t xml:space="preserve"> </w:t>
      </w:r>
      <w:r w:rsidRPr="00B849DC" w:rsidR="0085214B">
        <w:rPr>
          <w:lang w:val="en-US"/>
        </w:rPr>
        <w:t>has not been</w:t>
      </w:r>
      <w:r w:rsidRPr="00B849DC" w:rsidR="00201C2F">
        <w:rPr>
          <w:lang w:val="en-US"/>
        </w:rPr>
        <w:t xml:space="preserve"> demonstrated that such </w:t>
      </w:r>
      <w:r w:rsidRPr="00B849DC" w:rsidR="000B1E96">
        <w:rPr>
          <w:lang w:val="en-US"/>
        </w:rPr>
        <w:t xml:space="preserve">an </w:t>
      </w:r>
      <w:r w:rsidRPr="00B849DC" w:rsidR="00201C2F">
        <w:rPr>
          <w:lang w:val="en-US"/>
        </w:rPr>
        <w:t xml:space="preserve">action would have </w:t>
      </w:r>
      <w:r w:rsidRPr="00B849DC" w:rsidR="002F09FE">
        <w:rPr>
          <w:lang w:val="en-US"/>
        </w:rPr>
        <w:t xml:space="preserve">had </w:t>
      </w:r>
      <w:r w:rsidRPr="00B849DC" w:rsidR="00201C2F">
        <w:rPr>
          <w:lang w:val="en-US"/>
        </w:rPr>
        <w:t>any prospects of success</w:t>
      </w:r>
      <w:r w:rsidRPr="00B849DC" w:rsidR="000B1E96">
        <w:rPr>
          <w:lang w:val="en-US"/>
        </w:rPr>
        <w:t xml:space="preserve"> in the present two cases</w:t>
      </w:r>
      <w:r w:rsidRPr="00B849DC" w:rsidR="00201C2F">
        <w:rPr>
          <w:lang w:val="en-US"/>
        </w:rPr>
        <w:t>. The Court accordingly rejects the Government</w:t>
      </w:r>
      <w:r w:rsidRPr="00B849DC" w:rsidR="00B849DC">
        <w:rPr>
          <w:lang w:val="en-US"/>
        </w:rPr>
        <w:t>’</w:t>
      </w:r>
      <w:r w:rsidRPr="00B849DC" w:rsidR="00201C2F">
        <w:rPr>
          <w:lang w:val="en-US"/>
        </w:rPr>
        <w:t>s objection</w:t>
      </w:r>
      <w:r w:rsidRPr="00B849DC" w:rsidR="00064F88">
        <w:rPr>
          <w:lang w:val="en-US"/>
        </w:rPr>
        <w:t xml:space="preserve"> </w:t>
      </w:r>
      <w:r w:rsidRPr="00B849DC" w:rsidR="00DA02CE">
        <w:rPr>
          <w:lang w:val="en-US"/>
        </w:rPr>
        <w:t>in the relevant part.</w:t>
      </w:r>
    </w:p>
    <w:p w:rsidRPr="00B849DC" w:rsidR="00C02A30" w:rsidP="00B849DC" w:rsidRDefault="00C02A30">
      <w:pPr>
        <w:pStyle w:val="ECHRHeading5"/>
        <w:rPr>
          <w:lang w:val="en-US"/>
        </w:rPr>
      </w:pPr>
      <w:proofErr w:type="gramStart"/>
      <w:r w:rsidRPr="00B849DC">
        <w:rPr>
          <w:lang w:val="en-US"/>
        </w:rPr>
        <w:t>(</w:t>
      </w:r>
      <w:r w:rsidRPr="00B849DC" w:rsidR="00DD0701">
        <w:rPr>
          <w:lang w:val="en-US"/>
        </w:rPr>
        <w:t>v</w:t>
      </w:r>
      <w:r w:rsidRPr="00B849DC" w:rsidR="00757C28">
        <w:rPr>
          <w:lang w:val="en-US"/>
        </w:rPr>
        <w:t>i</w:t>
      </w:r>
      <w:r w:rsidRPr="00B849DC" w:rsidR="00DD0701">
        <w:rPr>
          <w:lang w:val="en-US"/>
        </w:rPr>
        <w:t>)  </w:t>
      </w:r>
      <w:r w:rsidRPr="00B849DC">
        <w:rPr>
          <w:lang w:val="en-US"/>
        </w:rPr>
        <w:t>Claim</w:t>
      </w:r>
      <w:proofErr w:type="gramEnd"/>
      <w:r w:rsidRPr="00B849DC">
        <w:rPr>
          <w:lang w:val="en-US"/>
        </w:rPr>
        <w:t xml:space="preserve"> of execution on the debtor</w:t>
      </w:r>
      <w:r w:rsidRPr="00B849DC" w:rsidR="00B849DC">
        <w:rPr>
          <w:lang w:val="en-US"/>
        </w:rPr>
        <w:t>’</w:t>
      </w:r>
      <w:r w:rsidRPr="00B849DC">
        <w:rPr>
          <w:lang w:val="en-US"/>
        </w:rPr>
        <w:t>s property unlawfully obtained by third persons (Liseytseva)</w:t>
      </w:r>
    </w:p>
    <w:p w:rsidRPr="00B849DC" w:rsidR="00BC4A2E" w:rsidP="00B849DC" w:rsidRDefault="00C02A30">
      <w:pPr>
        <w:pStyle w:val="ECHRPara"/>
        <w:rPr>
          <w:lang w:val="en-US"/>
        </w:rPr>
      </w:pPr>
      <w:r w:rsidRPr="00B849DC">
        <w:rPr>
          <w:lang w:val="en-US"/>
        </w:rPr>
        <w:fldChar w:fldCharType="begin"/>
      </w:r>
      <w:r w:rsidRPr="00B849DC">
        <w:rPr>
          <w:lang w:val="en-US"/>
        </w:rPr>
        <w:instrText xml:space="preserve"> SEQ level0 \*arabic </w:instrText>
      </w:r>
      <w:r w:rsidRPr="00B849DC">
        <w:rPr>
          <w:lang w:val="en-US"/>
        </w:rPr>
        <w:fldChar w:fldCharType="separate"/>
      </w:r>
      <w:r w:rsidRPr="00B849DC" w:rsidR="00B849DC">
        <w:rPr>
          <w:noProof/>
          <w:lang w:val="en-US"/>
        </w:rPr>
        <w:t>166</w:t>
      </w:r>
      <w:r w:rsidRPr="00B849DC">
        <w:rPr>
          <w:lang w:val="en-US"/>
        </w:rPr>
        <w:fldChar w:fldCharType="end"/>
      </w:r>
      <w:r w:rsidRPr="00B849DC">
        <w:rPr>
          <w:lang w:val="en-US"/>
        </w:rPr>
        <w:t>.  </w:t>
      </w:r>
      <w:r w:rsidRPr="00B849DC" w:rsidR="007E1FDE">
        <w:rPr>
          <w:lang w:val="en-US"/>
        </w:rPr>
        <w:t>Turning</w:t>
      </w:r>
      <w:r w:rsidRPr="00B849DC" w:rsidR="00A20EA3">
        <w:rPr>
          <w:lang w:val="en-US"/>
        </w:rPr>
        <w:t xml:space="preserve"> to the Government</w:t>
      </w:r>
      <w:r w:rsidRPr="00B849DC" w:rsidR="00B849DC">
        <w:rPr>
          <w:lang w:val="en-US"/>
        </w:rPr>
        <w:t>’</w:t>
      </w:r>
      <w:r w:rsidRPr="00B849DC" w:rsidR="00A20EA3">
        <w:rPr>
          <w:lang w:val="en-US"/>
        </w:rPr>
        <w:t xml:space="preserve">s suggestion that </w:t>
      </w:r>
      <w:r w:rsidRPr="00B849DC" w:rsidR="00656869">
        <w:rPr>
          <w:lang w:val="en-US"/>
        </w:rPr>
        <w:t>Ms Liseytseva</w:t>
      </w:r>
      <w:r w:rsidRPr="00B849DC" w:rsidR="00A20EA3">
        <w:rPr>
          <w:lang w:val="en-US"/>
        </w:rPr>
        <w:t xml:space="preserve"> could have claimed execution on the debtor</w:t>
      </w:r>
      <w:r w:rsidRPr="00B849DC" w:rsidR="00B849DC">
        <w:rPr>
          <w:lang w:val="en-US"/>
        </w:rPr>
        <w:t>’</w:t>
      </w:r>
      <w:r w:rsidRPr="00B849DC" w:rsidR="00A20EA3">
        <w:rPr>
          <w:lang w:val="en-US"/>
        </w:rPr>
        <w:t xml:space="preserve">s property unlawfully </w:t>
      </w:r>
      <w:r w:rsidRPr="00B849DC" w:rsidR="000B1E96">
        <w:rPr>
          <w:lang w:val="en-US"/>
        </w:rPr>
        <w:t xml:space="preserve">acquired </w:t>
      </w:r>
      <w:r w:rsidRPr="00B849DC" w:rsidR="00656869">
        <w:rPr>
          <w:lang w:val="en-US"/>
        </w:rPr>
        <w:t xml:space="preserve">by </w:t>
      </w:r>
      <w:r w:rsidRPr="00B849DC" w:rsidR="00A20EA3">
        <w:rPr>
          <w:lang w:val="en-US"/>
        </w:rPr>
        <w:t>third persons</w:t>
      </w:r>
      <w:r w:rsidRPr="00B849DC" w:rsidR="001B2B99">
        <w:rPr>
          <w:lang w:val="en-US"/>
        </w:rPr>
        <w:t xml:space="preserve"> (see paragraph </w:t>
      </w:r>
      <w:r w:rsidRPr="00B849DC" w:rsidR="00581F52">
        <w:rPr>
          <w:lang w:val="en-US"/>
        </w:rPr>
        <w:t>1</w:t>
      </w:r>
      <w:r w:rsidRPr="00B849DC" w:rsidR="00A93DCE">
        <w:rPr>
          <w:lang w:val="en-US"/>
        </w:rPr>
        <w:t>2</w:t>
      </w:r>
      <w:r w:rsidRPr="00B849DC" w:rsidR="00654621">
        <w:rPr>
          <w:lang w:val="en-US"/>
        </w:rPr>
        <w:t>1</w:t>
      </w:r>
      <w:r w:rsidRPr="00B849DC" w:rsidR="001B2B99">
        <w:rPr>
          <w:lang w:val="en-US"/>
        </w:rPr>
        <w:t xml:space="preserve"> above)</w:t>
      </w:r>
      <w:r w:rsidRPr="00B849DC" w:rsidR="00A20EA3">
        <w:rPr>
          <w:lang w:val="en-US"/>
        </w:rPr>
        <w:t>, the Court note</w:t>
      </w:r>
      <w:r w:rsidRPr="00B849DC" w:rsidR="00414610">
        <w:rPr>
          <w:lang w:val="en-US"/>
        </w:rPr>
        <w:t>s</w:t>
      </w:r>
      <w:r w:rsidRPr="00B849DC" w:rsidR="00A20EA3">
        <w:rPr>
          <w:lang w:val="en-US"/>
        </w:rPr>
        <w:t xml:space="preserve"> that the Government </w:t>
      </w:r>
      <w:proofErr w:type="gramStart"/>
      <w:r w:rsidRPr="00B849DC" w:rsidR="00A20EA3">
        <w:rPr>
          <w:lang w:val="en-US"/>
        </w:rPr>
        <w:t>ha</w:t>
      </w:r>
      <w:r w:rsidRPr="00B849DC" w:rsidR="00414610">
        <w:rPr>
          <w:lang w:val="en-US"/>
        </w:rPr>
        <w:t>ve</w:t>
      </w:r>
      <w:proofErr w:type="gramEnd"/>
      <w:r w:rsidRPr="00B849DC" w:rsidR="00A20EA3">
        <w:rPr>
          <w:lang w:val="en-US"/>
        </w:rPr>
        <w:t xml:space="preserve"> not provided any informat</w:t>
      </w:r>
      <w:r w:rsidRPr="00B849DC" w:rsidR="00305A86">
        <w:rPr>
          <w:lang w:val="en-US"/>
        </w:rPr>
        <w:t>ion</w:t>
      </w:r>
      <w:r w:rsidRPr="00B849DC" w:rsidR="000316F5">
        <w:rPr>
          <w:lang w:val="en-US"/>
        </w:rPr>
        <w:t xml:space="preserve"> </w:t>
      </w:r>
      <w:r w:rsidRPr="00B849DC" w:rsidR="00305A86">
        <w:rPr>
          <w:lang w:val="en-US"/>
        </w:rPr>
        <w:t xml:space="preserve">on </w:t>
      </w:r>
      <w:r w:rsidRPr="00B849DC" w:rsidR="000316F5">
        <w:rPr>
          <w:lang w:val="en-US"/>
        </w:rPr>
        <w:t xml:space="preserve">that </w:t>
      </w:r>
      <w:r w:rsidRPr="00B849DC" w:rsidR="00414610">
        <w:rPr>
          <w:lang w:val="en-US"/>
        </w:rPr>
        <w:t>a</w:t>
      </w:r>
      <w:r w:rsidRPr="00B849DC" w:rsidR="00305A86">
        <w:rPr>
          <w:lang w:val="en-US"/>
        </w:rPr>
        <w:t>venue of exhaustion</w:t>
      </w:r>
      <w:r w:rsidRPr="00B849DC" w:rsidR="0085214B">
        <w:rPr>
          <w:lang w:val="en-US"/>
        </w:rPr>
        <w:t xml:space="preserve">. They </w:t>
      </w:r>
      <w:r w:rsidRPr="00B849DC" w:rsidR="0075394C">
        <w:rPr>
          <w:lang w:val="en-US"/>
        </w:rPr>
        <w:t xml:space="preserve">omitted </w:t>
      </w:r>
      <w:r w:rsidRPr="00B849DC" w:rsidR="00305A86">
        <w:rPr>
          <w:lang w:val="en-US"/>
        </w:rPr>
        <w:t xml:space="preserve">to suggest, for instance, </w:t>
      </w:r>
      <w:r w:rsidRPr="00B849DC" w:rsidR="000316F5">
        <w:rPr>
          <w:lang w:val="en-US"/>
        </w:rPr>
        <w:t>who</w:t>
      </w:r>
      <w:r w:rsidRPr="00B849DC" w:rsidR="00305A86">
        <w:rPr>
          <w:lang w:val="en-US"/>
        </w:rPr>
        <w:t xml:space="preserve"> </w:t>
      </w:r>
      <w:r w:rsidRPr="00B849DC" w:rsidR="000316F5">
        <w:rPr>
          <w:lang w:val="en-US"/>
        </w:rPr>
        <w:t xml:space="preserve">the </w:t>
      </w:r>
      <w:r w:rsidRPr="00B849DC" w:rsidR="00305A86">
        <w:rPr>
          <w:lang w:val="en-US"/>
        </w:rPr>
        <w:t>respondent in such proceedings</w:t>
      </w:r>
      <w:r w:rsidRPr="00B849DC" w:rsidR="000316F5">
        <w:rPr>
          <w:lang w:val="en-US"/>
        </w:rPr>
        <w:t xml:space="preserve"> would be</w:t>
      </w:r>
      <w:r w:rsidRPr="00B849DC" w:rsidR="001B2B99">
        <w:rPr>
          <w:lang w:val="en-US"/>
        </w:rPr>
        <w:t xml:space="preserve"> or to outline, even briefly, the procedure to be followed by the applicant.</w:t>
      </w:r>
      <w:r w:rsidRPr="00B849DC" w:rsidR="00A20EA3">
        <w:rPr>
          <w:lang w:val="en-US"/>
        </w:rPr>
        <w:t xml:space="preserve"> </w:t>
      </w:r>
      <w:r w:rsidRPr="00B849DC" w:rsidR="00305A86">
        <w:rPr>
          <w:lang w:val="en-US"/>
        </w:rPr>
        <w:t>In</w:t>
      </w:r>
      <w:r w:rsidRPr="00B849DC" w:rsidR="00A20EA3">
        <w:rPr>
          <w:lang w:val="en-US"/>
        </w:rPr>
        <w:t xml:space="preserve"> the absence of further clarifications from the parties, the Court considers that </w:t>
      </w:r>
      <w:r w:rsidRPr="00B849DC" w:rsidR="000316F5">
        <w:rPr>
          <w:lang w:val="en-US"/>
        </w:rPr>
        <w:t xml:space="preserve">a </w:t>
      </w:r>
      <w:r w:rsidRPr="00B849DC" w:rsidR="00A20EA3">
        <w:rPr>
          <w:lang w:val="en-US"/>
        </w:rPr>
        <w:t>claim for execut</w:t>
      </w:r>
      <w:r w:rsidRPr="00B849DC" w:rsidR="00D11EE4">
        <w:rPr>
          <w:lang w:val="en-US"/>
        </w:rPr>
        <w:t>ion on the debtor</w:t>
      </w:r>
      <w:r w:rsidRPr="00B849DC" w:rsidR="00B849DC">
        <w:rPr>
          <w:lang w:val="en-US"/>
        </w:rPr>
        <w:t>’</w:t>
      </w:r>
      <w:r w:rsidRPr="00B849DC" w:rsidR="00D11EE4">
        <w:rPr>
          <w:lang w:val="en-US"/>
        </w:rPr>
        <w:t xml:space="preserve">s property under </w:t>
      </w:r>
      <w:r w:rsidRPr="00B849DC" w:rsidR="006E03CE">
        <w:rPr>
          <w:lang w:val="en-US"/>
        </w:rPr>
        <w:t>section </w:t>
      </w:r>
      <w:r w:rsidRPr="00B849DC" w:rsidR="00A20EA3">
        <w:rPr>
          <w:lang w:val="en-US"/>
        </w:rPr>
        <w:t>14</w:t>
      </w:r>
      <w:r w:rsidRPr="00B849DC" w:rsidR="00D11EE4">
        <w:rPr>
          <w:lang w:val="en-US"/>
        </w:rPr>
        <w:t>2</w:t>
      </w:r>
      <w:r w:rsidRPr="00B849DC" w:rsidR="006E03CE">
        <w:rPr>
          <w:lang w:val="en-US"/>
        </w:rPr>
        <w:t>(</w:t>
      </w:r>
      <w:r w:rsidRPr="00B849DC" w:rsidR="00D11EE4">
        <w:rPr>
          <w:lang w:val="en-US"/>
        </w:rPr>
        <w:t>11</w:t>
      </w:r>
      <w:r w:rsidRPr="00B849DC" w:rsidR="006E03CE">
        <w:rPr>
          <w:lang w:val="en-US"/>
        </w:rPr>
        <w:t>)</w:t>
      </w:r>
      <w:r w:rsidRPr="00B849DC" w:rsidR="00D11EE4">
        <w:rPr>
          <w:lang w:val="en-US"/>
        </w:rPr>
        <w:t xml:space="preserve"> of the Insolvency Act</w:t>
      </w:r>
      <w:r w:rsidRPr="00B849DC" w:rsidR="00A20EA3">
        <w:rPr>
          <w:lang w:val="en-US"/>
        </w:rPr>
        <w:t xml:space="preserve"> is</w:t>
      </w:r>
      <w:r w:rsidRPr="00B849DC" w:rsidR="000316F5">
        <w:rPr>
          <w:lang w:val="en-US"/>
        </w:rPr>
        <w:t xml:space="preserve"> </w:t>
      </w:r>
      <w:r w:rsidRPr="00B849DC" w:rsidR="00A20EA3">
        <w:rPr>
          <w:lang w:val="en-US"/>
        </w:rPr>
        <w:t xml:space="preserve">– as </w:t>
      </w:r>
      <w:r w:rsidRPr="00B849DC" w:rsidR="00D11EE4">
        <w:rPr>
          <w:lang w:val="en-US"/>
        </w:rPr>
        <w:t xml:space="preserve">the </w:t>
      </w:r>
      <w:r w:rsidRPr="00B849DC" w:rsidR="00A20EA3">
        <w:rPr>
          <w:lang w:val="en-US"/>
        </w:rPr>
        <w:t>wording of the respective provision</w:t>
      </w:r>
      <w:r w:rsidRPr="00B849DC" w:rsidR="00305A86">
        <w:rPr>
          <w:lang w:val="en-US"/>
        </w:rPr>
        <w:t xml:space="preserve"> suggests</w:t>
      </w:r>
      <w:r w:rsidRPr="00B849DC" w:rsidR="000316F5">
        <w:rPr>
          <w:lang w:val="en-US"/>
        </w:rPr>
        <w:t xml:space="preserve"> </w:t>
      </w:r>
      <w:r w:rsidRPr="00B849DC" w:rsidR="00A20EA3">
        <w:rPr>
          <w:lang w:val="en-US"/>
        </w:rPr>
        <w:t xml:space="preserve">– conditional on </w:t>
      </w:r>
      <w:r w:rsidRPr="00B849DC" w:rsidR="000316F5">
        <w:rPr>
          <w:lang w:val="en-US"/>
        </w:rPr>
        <w:t xml:space="preserve">the </w:t>
      </w:r>
      <w:r w:rsidRPr="00B849DC" w:rsidR="00A20EA3">
        <w:rPr>
          <w:lang w:val="en-US"/>
        </w:rPr>
        <w:t>“unlawfulness” of the third person</w:t>
      </w:r>
      <w:r w:rsidRPr="00B849DC" w:rsidR="00B849DC">
        <w:rPr>
          <w:lang w:val="en-US"/>
        </w:rPr>
        <w:t>’</w:t>
      </w:r>
      <w:r w:rsidRPr="00B849DC" w:rsidR="00A20EA3">
        <w:rPr>
          <w:lang w:val="en-US"/>
        </w:rPr>
        <w:t xml:space="preserve">s </w:t>
      </w:r>
      <w:r w:rsidRPr="00B849DC" w:rsidR="00414610">
        <w:rPr>
          <w:lang w:val="en-US"/>
        </w:rPr>
        <w:t>possession</w:t>
      </w:r>
      <w:r w:rsidRPr="00B849DC" w:rsidR="001B2B99">
        <w:rPr>
          <w:lang w:val="en-US"/>
        </w:rPr>
        <w:t xml:space="preserve"> (ibid.)</w:t>
      </w:r>
      <w:r w:rsidRPr="00B849DC" w:rsidR="00A20EA3">
        <w:rPr>
          <w:lang w:val="en-US"/>
        </w:rPr>
        <w:t xml:space="preserve">. </w:t>
      </w:r>
      <w:r w:rsidRPr="00B849DC" w:rsidR="0075394C">
        <w:rPr>
          <w:lang w:val="en-US"/>
        </w:rPr>
        <w:t>As in paragraph </w:t>
      </w:r>
      <w:r w:rsidRPr="00B849DC" w:rsidR="00581F52">
        <w:rPr>
          <w:lang w:val="en-US"/>
        </w:rPr>
        <w:t>1</w:t>
      </w:r>
      <w:r w:rsidRPr="00B849DC" w:rsidR="00F84062">
        <w:rPr>
          <w:lang w:val="en-US"/>
        </w:rPr>
        <w:t>6</w:t>
      </w:r>
      <w:r w:rsidRPr="00B849DC" w:rsidR="00654621">
        <w:rPr>
          <w:lang w:val="en-US"/>
        </w:rPr>
        <w:t>5</w:t>
      </w:r>
      <w:r w:rsidRPr="00B849DC" w:rsidR="0075394C">
        <w:rPr>
          <w:lang w:val="en-US"/>
        </w:rPr>
        <w:t xml:space="preserve"> above, the Court</w:t>
      </w:r>
      <w:r w:rsidRPr="00B849DC" w:rsidR="00A20EA3">
        <w:rPr>
          <w:lang w:val="en-US"/>
        </w:rPr>
        <w:t xml:space="preserve"> observes that at no stage of the proceedings </w:t>
      </w:r>
      <w:r w:rsidRPr="00B849DC" w:rsidR="000316F5">
        <w:rPr>
          <w:lang w:val="en-US"/>
        </w:rPr>
        <w:t xml:space="preserve">did </w:t>
      </w:r>
      <w:r w:rsidRPr="00B849DC" w:rsidR="00A20EA3">
        <w:rPr>
          <w:lang w:val="en-US"/>
        </w:rPr>
        <w:t xml:space="preserve">the domestic courts </w:t>
      </w:r>
      <w:r w:rsidRPr="00B849DC" w:rsidR="00D11EE4">
        <w:rPr>
          <w:lang w:val="en-US"/>
        </w:rPr>
        <w:t>establish that</w:t>
      </w:r>
      <w:r w:rsidRPr="00B849DC" w:rsidR="00A20EA3">
        <w:rPr>
          <w:lang w:val="en-US"/>
        </w:rPr>
        <w:t xml:space="preserve"> </w:t>
      </w:r>
      <w:r w:rsidRPr="00B849DC" w:rsidR="000316F5">
        <w:rPr>
          <w:lang w:val="en-US"/>
        </w:rPr>
        <w:t xml:space="preserve">the </w:t>
      </w:r>
      <w:r w:rsidRPr="00B849DC" w:rsidR="00D11EE4">
        <w:rPr>
          <w:lang w:val="en-US"/>
        </w:rPr>
        <w:t>debtor</w:t>
      </w:r>
      <w:r w:rsidRPr="00B849DC" w:rsidR="00B849DC">
        <w:rPr>
          <w:lang w:val="en-US"/>
        </w:rPr>
        <w:t>’</w:t>
      </w:r>
      <w:r w:rsidRPr="00B849DC" w:rsidR="00D11EE4">
        <w:rPr>
          <w:lang w:val="en-US"/>
        </w:rPr>
        <w:t xml:space="preserve">s property had been unlawfully acquired </w:t>
      </w:r>
      <w:r w:rsidRPr="00B849DC" w:rsidR="007E1FDE">
        <w:rPr>
          <w:lang w:val="en-US"/>
        </w:rPr>
        <w:t xml:space="preserve">by any </w:t>
      </w:r>
      <w:r w:rsidRPr="00B849DC" w:rsidR="00A20EA3">
        <w:rPr>
          <w:lang w:val="en-US"/>
        </w:rPr>
        <w:t>persons</w:t>
      </w:r>
      <w:r w:rsidRPr="00B849DC" w:rsidR="007E1FDE">
        <w:rPr>
          <w:lang w:val="en-US"/>
        </w:rPr>
        <w:t>, including the local administration</w:t>
      </w:r>
      <w:r w:rsidRPr="00B849DC" w:rsidR="001B2B99">
        <w:rPr>
          <w:lang w:val="en-US"/>
        </w:rPr>
        <w:t xml:space="preserve"> – the founder </w:t>
      </w:r>
      <w:r w:rsidRPr="00B849DC" w:rsidR="00D11EE4">
        <w:rPr>
          <w:lang w:val="en-US"/>
        </w:rPr>
        <w:t xml:space="preserve">of the debtor enterprise </w:t>
      </w:r>
      <w:r w:rsidRPr="00B849DC" w:rsidR="001B2B99">
        <w:rPr>
          <w:lang w:val="en-US"/>
        </w:rPr>
        <w:t>and the owner</w:t>
      </w:r>
      <w:r w:rsidRPr="00B849DC" w:rsidR="00D11EE4">
        <w:rPr>
          <w:lang w:val="en-US"/>
        </w:rPr>
        <w:t xml:space="preserve"> of its property</w:t>
      </w:r>
      <w:r w:rsidRPr="00B849DC" w:rsidR="00A20EA3">
        <w:rPr>
          <w:lang w:val="en-US"/>
        </w:rPr>
        <w:t>. On the contrary, the domestic</w:t>
      </w:r>
      <w:r w:rsidRPr="00B849DC" w:rsidR="00656869">
        <w:rPr>
          <w:lang w:val="en-US"/>
        </w:rPr>
        <w:t xml:space="preserve"> courts emphasized that the </w:t>
      </w:r>
      <w:r w:rsidRPr="00B849DC" w:rsidR="000316F5">
        <w:rPr>
          <w:lang w:val="en-US"/>
        </w:rPr>
        <w:t xml:space="preserve">restructuring </w:t>
      </w:r>
      <w:r w:rsidRPr="00B849DC" w:rsidR="00A20EA3">
        <w:rPr>
          <w:lang w:val="en-US"/>
        </w:rPr>
        <w:t xml:space="preserve">of the enterprise and the transfer </w:t>
      </w:r>
      <w:r w:rsidRPr="00B849DC" w:rsidR="008B2504">
        <w:rPr>
          <w:lang w:val="en-US"/>
        </w:rPr>
        <w:t xml:space="preserve">of </w:t>
      </w:r>
      <w:r w:rsidRPr="00B849DC" w:rsidR="000316F5">
        <w:rPr>
          <w:lang w:val="en-US"/>
        </w:rPr>
        <w:t xml:space="preserve">the assets under its control </w:t>
      </w:r>
      <w:r w:rsidRPr="00B849DC" w:rsidR="00A20EA3">
        <w:rPr>
          <w:lang w:val="en-US"/>
        </w:rPr>
        <w:t>had been the owner</w:t>
      </w:r>
      <w:r w:rsidRPr="00B849DC" w:rsidR="00B849DC">
        <w:rPr>
          <w:lang w:val="en-US"/>
        </w:rPr>
        <w:t>’</w:t>
      </w:r>
      <w:r w:rsidRPr="00B849DC" w:rsidR="00A20EA3">
        <w:rPr>
          <w:lang w:val="en-US"/>
        </w:rPr>
        <w:t>s right</w:t>
      </w:r>
      <w:r w:rsidRPr="00B849DC" w:rsidR="00656869">
        <w:rPr>
          <w:lang w:val="en-US"/>
        </w:rPr>
        <w:t xml:space="preserve"> (see paragraph</w:t>
      </w:r>
      <w:r w:rsidRPr="00B849DC" w:rsidR="00581F52">
        <w:rPr>
          <w:lang w:val="en-US"/>
        </w:rPr>
        <w:t>s</w:t>
      </w:r>
      <w:r w:rsidRPr="00B849DC" w:rsidR="00656869">
        <w:rPr>
          <w:lang w:val="en-US"/>
        </w:rPr>
        <w:t> </w:t>
      </w:r>
      <w:r w:rsidRPr="00B849DC" w:rsidR="00581F52">
        <w:rPr>
          <w:lang w:val="en-US"/>
        </w:rPr>
        <w:t>23 and 26-27</w:t>
      </w:r>
      <w:r w:rsidRPr="00B849DC" w:rsidR="00656869">
        <w:rPr>
          <w:lang w:val="en-US"/>
        </w:rPr>
        <w:t xml:space="preserve"> above)</w:t>
      </w:r>
      <w:r w:rsidRPr="00B849DC" w:rsidR="00A20EA3">
        <w:rPr>
          <w:lang w:val="en-US"/>
        </w:rPr>
        <w:t>.</w:t>
      </w:r>
      <w:r w:rsidRPr="00B849DC" w:rsidR="00BC4A2E">
        <w:rPr>
          <w:lang w:val="en-US"/>
        </w:rPr>
        <w:t xml:space="preserve"> In the light of the above, the Court is not persuaded that the remedy suggested by the Government </w:t>
      </w:r>
      <w:r w:rsidRPr="00B849DC" w:rsidR="00D11EE4">
        <w:rPr>
          <w:lang w:val="en-US"/>
        </w:rPr>
        <w:t xml:space="preserve">offered </w:t>
      </w:r>
      <w:r w:rsidRPr="00B849DC" w:rsidR="00BC4A2E">
        <w:rPr>
          <w:lang w:val="en-US"/>
        </w:rPr>
        <w:t>any reasonable prospect of success.</w:t>
      </w:r>
    </w:p>
    <w:p w:rsidRPr="00B849DC" w:rsidR="00BC4A2E" w:rsidP="00B849DC" w:rsidRDefault="00BC4A2E">
      <w:pPr>
        <w:pStyle w:val="ECHRPara"/>
        <w:rPr>
          <w:lang w:val="en-US"/>
        </w:rPr>
      </w:pPr>
      <w:r w:rsidRPr="00B849DC">
        <w:rPr>
          <w:lang w:val="en-US" w:bidi="en-US"/>
        </w:rPr>
        <w:fldChar w:fldCharType="begin"/>
      </w:r>
      <w:r w:rsidRPr="00B849DC">
        <w:rPr>
          <w:lang w:val="en-US" w:bidi="en-US"/>
        </w:rPr>
        <w:instrText xml:space="preserve"> SEQ level0 \*arabic </w:instrText>
      </w:r>
      <w:r w:rsidRPr="00B849DC">
        <w:rPr>
          <w:lang w:val="en-US" w:bidi="en-US"/>
        </w:rPr>
        <w:fldChar w:fldCharType="separate"/>
      </w:r>
      <w:r w:rsidRPr="00B849DC" w:rsidR="00B849DC">
        <w:rPr>
          <w:noProof/>
          <w:lang w:val="en-US" w:bidi="en-US"/>
        </w:rPr>
        <w:t>167</w:t>
      </w:r>
      <w:r w:rsidRPr="00B849DC">
        <w:rPr>
          <w:lang w:val="en-US" w:bidi="en-US"/>
        </w:rPr>
        <w:fldChar w:fldCharType="end"/>
      </w:r>
      <w:r w:rsidRPr="00B849DC">
        <w:rPr>
          <w:lang w:val="en-US" w:bidi="en-US"/>
        </w:rPr>
        <w:t>.  The doubts about the effectiveness of this remedy are corroborated by the Government</w:t>
      </w:r>
      <w:r w:rsidRPr="00B849DC" w:rsidR="00B849DC">
        <w:rPr>
          <w:lang w:val="en-US" w:bidi="en-US"/>
        </w:rPr>
        <w:t>’</w:t>
      </w:r>
      <w:r w:rsidRPr="00B849DC">
        <w:rPr>
          <w:lang w:val="en-US" w:bidi="en-US"/>
        </w:rPr>
        <w:t xml:space="preserve">s failure to demonstrate </w:t>
      </w:r>
      <w:r w:rsidRPr="00B849DC" w:rsidR="008B2504">
        <w:rPr>
          <w:lang w:val="en-US" w:bidi="en-US"/>
        </w:rPr>
        <w:t xml:space="preserve">to </w:t>
      </w:r>
      <w:r w:rsidRPr="00B849DC">
        <w:rPr>
          <w:lang w:val="en-US" w:bidi="en-US"/>
        </w:rPr>
        <w:t xml:space="preserve">the Court the existence of sufficiently established and consistent case-law proving that </w:t>
      </w:r>
      <w:r w:rsidRPr="00B849DC" w:rsidR="000B1E96">
        <w:rPr>
          <w:lang w:val="en-US" w:bidi="en-US"/>
        </w:rPr>
        <w:t>it</w:t>
      </w:r>
      <w:r w:rsidRPr="00B849DC">
        <w:rPr>
          <w:lang w:val="en-US" w:bidi="en-US"/>
        </w:rPr>
        <w:t xml:space="preserve"> is effective both in theory and in practice (see, mutatis mutandis, </w:t>
      </w:r>
      <w:r w:rsidRPr="00B849DC">
        <w:rPr>
          <w:i/>
          <w:lang w:val="en-US" w:bidi="en-US"/>
        </w:rPr>
        <w:t>Moroko</w:t>
      </w:r>
      <w:r w:rsidRPr="00B849DC">
        <w:rPr>
          <w:lang w:val="en-US" w:bidi="en-US"/>
        </w:rPr>
        <w:t>, cited above, § 29).</w:t>
      </w:r>
      <w:r w:rsidRPr="00B849DC" w:rsidR="00A20EA3">
        <w:rPr>
          <w:lang w:val="en-US"/>
        </w:rPr>
        <w:t xml:space="preserve"> </w:t>
      </w:r>
      <w:r w:rsidRPr="00B849DC" w:rsidR="00D11EE4">
        <w:rPr>
          <w:lang w:val="en-US"/>
        </w:rPr>
        <w:t>The objection should therefore be dismissed.</w:t>
      </w:r>
    </w:p>
    <w:p w:rsidRPr="00B849DC" w:rsidR="00A740C8" w:rsidP="00B849DC" w:rsidRDefault="00A740C8">
      <w:pPr>
        <w:pStyle w:val="ECHRHeading5"/>
        <w:rPr>
          <w:lang w:val="en-US"/>
        </w:rPr>
      </w:pPr>
      <w:r w:rsidRPr="00B849DC">
        <w:rPr>
          <w:lang w:val="en-US"/>
        </w:rPr>
        <w:t>(vii)  Availability of the remedy set out in the Compensation Act</w:t>
      </w:r>
    </w:p>
    <w:p w:rsidRPr="00B849DC" w:rsidR="00A740C8" w:rsidP="00B849DC" w:rsidRDefault="00A740C8">
      <w:pPr>
        <w:pStyle w:val="ECHRPara"/>
        <w:rPr>
          <w:lang w:val="en-US"/>
        </w:rPr>
      </w:pPr>
      <w:r w:rsidRPr="00B849DC">
        <w:rPr>
          <w:lang w:val="en-US"/>
        </w:rPr>
        <w:fldChar w:fldCharType="begin"/>
      </w:r>
      <w:r w:rsidRPr="00B849DC">
        <w:rPr>
          <w:lang w:val="en-US"/>
        </w:rPr>
        <w:instrText xml:space="preserve"> SEQ level0 \*arabic </w:instrText>
      </w:r>
      <w:r w:rsidRPr="00B849DC">
        <w:rPr>
          <w:lang w:val="en-US"/>
        </w:rPr>
        <w:fldChar w:fldCharType="separate"/>
      </w:r>
      <w:r w:rsidRPr="00B849DC" w:rsidR="00B849DC">
        <w:rPr>
          <w:noProof/>
          <w:lang w:val="en-US"/>
        </w:rPr>
        <w:t>168</w:t>
      </w:r>
      <w:r w:rsidRPr="00B849DC">
        <w:rPr>
          <w:lang w:val="en-US"/>
        </w:rPr>
        <w:fldChar w:fldCharType="end"/>
      </w:r>
      <w:r w:rsidRPr="00B849DC">
        <w:rPr>
          <w:lang w:val="en-US"/>
        </w:rPr>
        <w:t>.  The Court observes that application of the Compensation Act, in force since 2010, is limited to claims for compensation for delayed enforcement of domestic judgments where the respective judicial award is to be recovered from the State budget (see paragraph 1</w:t>
      </w:r>
      <w:r w:rsidRPr="00B849DC" w:rsidR="00654621">
        <w:rPr>
          <w:lang w:val="en-US"/>
        </w:rPr>
        <w:t>16</w:t>
      </w:r>
      <w:r w:rsidRPr="00B849DC">
        <w:rPr>
          <w:lang w:val="en-US"/>
        </w:rPr>
        <w:t xml:space="preserve"> above), and it does not apply to final judicial awards against private individuals or entities not in receipt of budget funds (see paragraph 11</w:t>
      </w:r>
      <w:r w:rsidRPr="00B849DC" w:rsidR="00654621">
        <w:rPr>
          <w:lang w:val="en-US"/>
        </w:rPr>
        <w:t>7</w:t>
      </w:r>
      <w:r w:rsidRPr="00B849DC">
        <w:rPr>
          <w:lang w:val="en-US"/>
        </w:rPr>
        <w:t xml:space="preserve"> above). Municipal unitary enterprises do not receive such funds (see paragraph 1</w:t>
      </w:r>
      <w:r w:rsidRPr="00B849DC" w:rsidR="00654621">
        <w:rPr>
          <w:lang w:val="en-US"/>
        </w:rPr>
        <w:t>18</w:t>
      </w:r>
      <w:r w:rsidRPr="00B849DC">
        <w:rPr>
          <w:lang w:val="en-US"/>
        </w:rPr>
        <w:t xml:space="preserve"> above). Further, as demonstrated by the Government, municipal unitary enterprises are regarded in the domestic law as private companies, and the responsibility of their founders and owners – that is, the respective municipal authorities at the expense of the respective local budgets – cannot be engaged unless that authority is held liable for the enterprise</w:t>
      </w:r>
      <w:r w:rsidRPr="00B849DC" w:rsidR="00B849DC">
        <w:rPr>
          <w:lang w:val="en-US"/>
        </w:rPr>
        <w:t>’</w:t>
      </w:r>
      <w:r w:rsidRPr="00B849DC">
        <w:rPr>
          <w:lang w:val="en-US"/>
        </w:rPr>
        <w:t>s debts in subsidiary liability proceedings. In these circumstances, the Court is unable to conclude that a direct court action under the Compensation Act for compensation for non</w:t>
      </w:r>
      <w:r w:rsidRPr="00B849DC">
        <w:rPr>
          <w:lang w:val="en-US"/>
        </w:rPr>
        <w:noBreakHyphen/>
        <w:t>enforcement of a judgment against a municipal unitary enterprise would have offered the applicants a reasonable prospect of success.</w:t>
      </w:r>
    </w:p>
    <w:p w:rsidRPr="00B849DC" w:rsidR="00A740C8" w:rsidP="00B849DC" w:rsidRDefault="00A740C8">
      <w:pPr>
        <w:pStyle w:val="ECHRHeading5"/>
        <w:rPr>
          <w:lang w:val="en-US"/>
        </w:rPr>
      </w:pPr>
      <w:r w:rsidRPr="00B849DC">
        <w:rPr>
          <w:lang w:val="en-US"/>
        </w:rPr>
        <w:t>(</w:t>
      </w:r>
      <w:r w:rsidRPr="00B849DC">
        <w:rPr>
          <w:bCs w:val="0"/>
          <w:i w:val="0"/>
          <w:lang w:val="en-US"/>
        </w:rPr>
        <w:t>v</w:t>
      </w:r>
      <w:r w:rsidRPr="00B849DC">
        <w:rPr>
          <w:lang w:val="en-US"/>
        </w:rPr>
        <w:t>ii</w:t>
      </w:r>
      <w:r w:rsidRPr="00B849DC">
        <w:rPr>
          <w:bCs w:val="0"/>
          <w:lang w:val="en-US"/>
        </w:rPr>
        <w:t>i</w:t>
      </w:r>
      <w:r w:rsidRPr="00B849DC">
        <w:rPr>
          <w:lang w:val="en-US"/>
        </w:rPr>
        <w:t>)  Subsidiary liability claim under the Insolvency Act</w:t>
      </w:r>
    </w:p>
    <w:p w:rsidRPr="00B849DC" w:rsidR="00A740C8" w:rsidP="00B849DC" w:rsidRDefault="00A740C8">
      <w:pPr>
        <w:pStyle w:val="ECHRPara"/>
        <w:rPr>
          <w:lang w:val="en-US" w:bidi="en-US"/>
        </w:rPr>
      </w:pPr>
      <w:r w:rsidRPr="00B849DC">
        <w:rPr>
          <w:lang w:bidi="en-US"/>
        </w:rPr>
        <w:fldChar w:fldCharType="begin"/>
      </w:r>
      <w:r w:rsidRPr="00B849DC">
        <w:rPr>
          <w:lang w:val="en-US" w:bidi="en-US"/>
        </w:rPr>
        <w:instrText xml:space="preserve"> SEQ level0 \*arabic </w:instrText>
      </w:r>
      <w:r w:rsidRPr="00B849DC">
        <w:rPr>
          <w:lang w:bidi="en-US"/>
        </w:rPr>
        <w:fldChar w:fldCharType="separate"/>
      </w:r>
      <w:r w:rsidRPr="00B849DC" w:rsidR="00B849DC">
        <w:rPr>
          <w:noProof/>
          <w:lang w:val="en-US" w:bidi="en-US"/>
        </w:rPr>
        <w:t>169</w:t>
      </w:r>
      <w:r w:rsidRPr="00B849DC">
        <w:fldChar w:fldCharType="end"/>
      </w:r>
      <w:r w:rsidRPr="00B849DC">
        <w:rPr>
          <w:lang w:val="en-US" w:bidi="en-US"/>
        </w:rPr>
        <w:t>.  The Court notes at the outset that the domestic law contains two provisions concerning subsidiary liability, namely, section 10 of the Insolvency Act, as in force at the material time, and Article 56 § 3 of the Civil Code. The procedure under section 10 of the Insolvency Act changed in 2009 following the introduction of amendments (see paragraphs 99 and 101 above).</w:t>
      </w:r>
    </w:p>
    <w:p w:rsidRPr="00B849DC" w:rsidR="00A740C8" w:rsidP="00B849DC" w:rsidRDefault="00A740C8">
      <w:pPr>
        <w:pStyle w:val="ECHRPara"/>
        <w:rPr>
          <w:lang w:val="en-US"/>
        </w:rPr>
      </w:pPr>
      <w:r w:rsidRPr="00B849DC">
        <w:fldChar w:fldCharType="begin"/>
      </w:r>
      <w:r w:rsidRPr="00B849DC">
        <w:rPr>
          <w:lang w:val="en-US" w:bidi="en-US"/>
        </w:rPr>
        <w:instrText xml:space="preserve"> SEQ level0 \*arabic </w:instrText>
      </w:r>
      <w:r w:rsidRPr="00B849DC">
        <w:fldChar w:fldCharType="separate"/>
      </w:r>
      <w:r w:rsidRPr="00B849DC" w:rsidR="00B849DC">
        <w:rPr>
          <w:noProof/>
          <w:lang w:val="en-US" w:bidi="en-US"/>
        </w:rPr>
        <w:t>170</w:t>
      </w:r>
      <w:r w:rsidRPr="00B849DC">
        <w:fldChar w:fldCharType="end"/>
      </w:r>
      <w:r w:rsidRPr="00B849DC">
        <w:rPr>
          <w:lang w:val="en-US" w:bidi="en-US"/>
        </w:rPr>
        <w:t xml:space="preserve">.  Turning to the Insolvency Act as it stood before being amended in 2009 (and therefore applicable in the </w:t>
      </w:r>
      <w:r w:rsidRPr="00B849DC">
        <w:rPr>
          <w:i/>
          <w:lang w:val="en-US" w:bidi="en-US"/>
        </w:rPr>
        <w:t>Liseytsev</w:t>
      </w:r>
      <w:r w:rsidRPr="00B849DC">
        <w:rPr>
          <w:lang w:val="en-US" w:bidi="en-US"/>
        </w:rPr>
        <w:t>a case), the Court takes note of the Government</w:t>
      </w:r>
      <w:r w:rsidRPr="00B849DC" w:rsidR="00B849DC">
        <w:rPr>
          <w:lang w:val="en-US" w:bidi="en-US"/>
        </w:rPr>
        <w:t>’</w:t>
      </w:r>
      <w:r w:rsidRPr="00B849DC">
        <w:rPr>
          <w:lang w:val="en-US" w:bidi="en-US"/>
        </w:rPr>
        <w:t xml:space="preserve">s view that a claim for subsidiary liability could only have been brought by a liquidator. This position was formulated by the Plenary Session of the Supreme Court and the Supreme Commercial Court of 1996 (see paragraph 97 above) and upheld by the domestic courts (see paragraph 106 above). As regards the procedure set out by the 2009 amendments to the Insolvency Act (and, arguably, applicable in the </w:t>
      </w:r>
      <w:r w:rsidRPr="00B849DC">
        <w:rPr>
          <w:i/>
          <w:lang w:val="en-US" w:bidi="en-US"/>
        </w:rPr>
        <w:t>Maslov</w:t>
      </w:r>
      <w:r w:rsidRPr="00B849DC">
        <w:rPr>
          <w:lang w:val="en-US" w:bidi="en-US"/>
        </w:rPr>
        <w:t xml:space="preserve"> case, see paragraph 103 above), </w:t>
      </w:r>
      <w:r w:rsidRPr="00B849DC">
        <w:rPr>
          <w:lang w:val="en-US"/>
        </w:rPr>
        <w:t xml:space="preserve">the domestic law clearly stipulates that such proceedings may only be initiated by the </w:t>
      </w:r>
      <w:r w:rsidRPr="00B849DC">
        <w:rPr>
          <w:lang w:val="en-GB"/>
        </w:rPr>
        <w:t>liquidator, a competent authority, or the insolvency creditors (see paragraph 101 above</w:t>
      </w:r>
      <w:r w:rsidRPr="00B849DC" w:rsidR="00DF4608">
        <w:rPr>
          <w:lang w:val="en-GB"/>
        </w:rPr>
        <w:t xml:space="preserve">). </w:t>
      </w:r>
      <w:r w:rsidRPr="00B849DC">
        <w:rPr>
          <w:lang w:val="en-GB"/>
        </w:rPr>
        <w:t xml:space="preserve">Accordingly, it appears that the applicants – who were not “insolvency creditors” within the meaning of the Insolvency Act – could not bring such a claim since the liquidation proceedings in their cases were already underway. Therefore, the Court considers that subsidiary liability proceedings under the Insolvency Act were not directly accessible to the applicants and </w:t>
      </w:r>
      <w:r w:rsidRPr="00B849DC">
        <w:rPr>
          <w:lang w:val="en-US"/>
        </w:rPr>
        <w:t>did not satisfy the criteria of an “effective remedy” for that reason.</w:t>
      </w:r>
    </w:p>
    <w:p w:rsidRPr="00B849DC" w:rsidR="00A740C8" w:rsidP="00B849DC" w:rsidRDefault="00A740C8">
      <w:pPr>
        <w:pStyle w:val="ECHRHeading5"/>
        <w:rPr>
          <w:lang w:val="en-US"/>
        </w:rPr>
      </w:pPr>
      <w:r w:rsidRPr="00B849DC">
        <w:rPr>
          <w:lang w:val="en-US"/>
        </w:rPr>
        <w:t>(ix)  Subsidiary liability claim under Article 56 § 3 of the Civil Code</w:t>
      </w:r>
    </w:p>
    <w:p w:rsidRPr="00B849DC" w:rsidR="00A740C8" w:rsidP="00B849DC" w:rsidRDefault="00A740C8">
      <w:pPr>
        <w:pStyle w:val="ECHRPara"/>
        <w:rPr>
          <w:lang w:val="en-US"/>
        </w:rPr>
      </w:pPr>
      <w:r w:rsidRPr="00B849DC">
        <w:fldChar w:fldCharType="begin"/>
      </w:r>
      <w:r w:rsidRPr="00B849DC">
        <w:rPr>
          <w:lang w:val="en-US"/>
        </w:rPr>
        <w:instrText xml:space="preserve"> SEQ level0 \*arabic </w:instrText>
      </w:r>
      <w:r w:rsidRPr="00B849DC">
        <w:fldChar w:fldCharType="separate"/>
      </w:r>
      <w:r w:rsidRPr="00B849DC" w:rsidR="00B849DC">
        <w:rPr>
          <w:noProof/>
          <w:lang w:val="en-US"/>
        </w:rPr>
        <w:t>171</w:t>
      </w:r>
      <w:r w:rsidRPr="00B849DC">
        <w:fldChar w:fldCharType="end"/>
      </w:r>
      <w:r w:rsidRPr="00B849DC">
        <w:rPr>
          <w:lang w:val="en-US"/>
        </w:rPr>
        <w:t>.  The Court notes that in the present two cases the applicants claimed that the respective municipalities were liable for the employer company</w:t>
      </w:r>
      <w:r w:rsidRPr="00B849DC" w:rsidR="00B849DC">
        <w:rPr>
          <w:lang w:val="en-US"/>
        </w:rPr>
        <w:t>’</w:t>
      </w:r>
      <w:r w:rsidRPr="00B849DC">
        <w:rPr>
          <w:lang w:val="en-US"/>
        </w:rPr>
        <w:t>s debts in subsidiary liability proceedings under Article 56 § 3 of the Civil Code. It remains to be ascertained whether those proceedings constituted an effective remedy within the meaning of Article 13 of the Convention.</w:t>
      </w:r>
    </w:p>
    <w:p w:rsidRPr="00B849DC" w:rsidR="00A740C8" w:rsidP="00B849DC" w:rsidRDefault="00A740C8">
      <w:pPr>
        <w:pStyle w:val="ECHRHeading6"/>
        <w:rPr>
          <w:lang w:val="en-US"/>
        </w:rPr>
      </w:pPr>
      <w:r w:rsidRPr="00B849DC">
        <w:rPr>
          <w:lang w:val="en-US"/>
        </w:rPr>
        <w:t>(</w:t>
      </w:r>
      <w:proofErr w:type="gramStart"/>
      <w:r w:rsidRPr="00B849DC">
        <w:rPr>
          <w:lang w:bidi="ar-SA"/>
        </w:rPr>
        <w:t>α</w:t>
      </w:r>
      <w:proofErr w:type="gramEnd"/>
      <w:r w:rsidRPr="00B849DC">
        <w:rPr>
          <w:lang w:val="en-US"/>
        </w:rPr>
        <w:t>)  As regards the availability of the procedure under the domestic law</w:t>
      </w:r>
    </w:p>
    <w:p w:rsidRPr="00B849DC" w:rsidR="00CA087B" w:rsidP="00B849DC" w:rsidRDefault="00A740C8">
      <w:pPr>
        <w:pStyle w:val="ECHRPara"/>
        <w:rPr>
          <w:lang w:val="en-US" w:bidi="en-US"/>
        </w:rPr>
      </w:pPr>
      <w:r w:rsidRPr="00B849DC">
        <w:rPr>
          <w:lang w:bidi="en-US"/>
        </w:rPr>
        <w:fldChar w:fldCharType="begin"/>
      </w:r>
      <w:r w:rsidRPr="00B849DC">
        <w:rPr>
          <w:lang w:val="en-US" w:bidi="en-US"/>
        </w:rPr>
        <w:instrText xml:space="preserve"> SEQ level0 \*arabic </w:instrText>
      </w:r>
      <w:r w:rsidRPr="00B849DC">
        <w:rPr>
          <w:lang w:bidi="en-US"/>
        </w:rPr>
        <w:fldChar w:fldCharType="separate"/>
      </w:r>
      <w:r w:rsidRPr="00B849DC" w:rsidR="00B849DC">
        <w:rPr>
          <w:noProof/>
          <w:lang w:val="en-US" w:bidi="en-US"/>
        </w:rPr>
        <w:t>172</w:t>
      </w:r>
      <w:r w:rsidRPr="00B849DC">
        <w:fldChar w:fldCharType="end"/>
      </w:r>
      <w:r w:rsidRPr="00B849DC">
        <w:rPr>
          <w:lang w:val="en-US" w:bidi="en-US"/>
        </w:rPr>
        <w:t>.  The Court is mindful of the clarifications by the Plenary Supreme Court and Supreme Commercial Court of 15 December 2004 providing that where a claim for subsidiary liability has not been lodged within the liquidation procedure, such a claim may be brought by any creditor or competent authority under Article 56 § 3 of the Civil Code (see paragraph 98 above). On the other hand, the Court notes from the recent domestic case-law that claimants may, in principle, be barred from making use of that procedure after the debtor company</w:t>
      </w:r>
      <w:r w:rsidRPr="00B849DC" w:rsidR="00B849DC">
        <w:rPr>
          <w:lang w:val="en-US" w:bidi="en-US"/>
        </w:rPr>
        <w:t>’</w:t>
      </w:r>
      <w:r w:rsidRPr="00B849DC">
        <w:rPr>
          <w:lang w:val="en-US" w:bidi="en-US"/>
        </w:rPr>
        <w:t>s liquidation (see paragraph </w:t>
      </w:r>
      <w:r w:rsidRPr="00B849DC" w:rsidR="001601FC">
        <w:rPr>
          <w:lang w:val="en-US"/>
        </w:rPr>
        <w:t>107</w:t>
      </w:r>
      <w:r w:rsidRPr="00B849DC">
        <w:rPr>
          <w:lang w:val="en-US"/>
        </w:rPr>
        <w:t xml:space="preserve"> above), and also takes note of the Government</w:t>
      </w:r>
      <w:r w:rsidRPr="00B849DC" w:rsidR="00B849DC">
        <w:rPr>
          <w:lang w:val="en-US"/>
        </w:rPr>
        <w:t>’</w:t>
      </w:r>
      <w:r w:rsidRPr="00B849DC">
        <w:rPr>
          <w:lang w:val="en-US"/>
        </w:rPr>
        <w:t>s submission that such a claim can only be brought by a liquidator (see paragraph </w:t>
      </w:r>
      <w:r w:rsidRPr="00B849DC" w:rsidR="00F84062">
        <w:rPr>
          <w:lang w:val="en-US"/>
        </w:rPr>
        <w:t>14</w:t>
      </w:r>
      <w:r w:rsidRPr="00B849DC" w:rsidR="001601FC">
        <w:rPr>
          <w:lang w:val="en-US"/>
        </w:rPr>
        <w:t>1</w:t>
      </w:r>
      <w:r w:rsidRPr="00B849DC">
        <w:rPr>
          <w:lang w:val="en-US"/>
        </w:rPr>
        <w:t xml:space="preserve"> above)</w:t>
      </w:r>
      <w:r w:rsidRPr="00B849DC">
        <w:rPr>
          <w:lang w:val="en-US" w:bidi="en-US"/>
        </w:rPr>
        <w:t>. Therefore, an issue as to the availability of the respective remedy might arise. Be that as it may, in the absence of further clarifications from the parties, the Court does not need to further elaborate on the availability issue, since in both cases the applicants</w:t>
      </w:r>
      <w:r w:rsidRPr="00B849DC" w:rsidR="00B849DC">
        <w:rPr>
          <w:lang w:val="en-US" w:bidi="en-US"/>
        </w:rPr>
        <w:t>’</w:t>
      </w:r>
      <w:r w:rsidRPr="00B849DC">
        <w:rPr>
          <w:lang w:val="en-US" w:bidi="en-US"/>
        </w:rPr>
        <w:t xml:space="preserve"> claims were examined on their merits by the domestic courts of general jurisdiction.</w:t>
      </w:r>
    </w:p>
    <w:p w:rsidRPr="00B849DC" w:rsidR="00A740C8" w:rsidP="00B849DC" w:rsidRDefault="00A740C8">
      <w:pPr>
        <w:pStyle w:val="ECHRHeading6"/>
        <w:rPr>
          <w:lang w:val="en-US"/>
        </w:rPr>
      </w:pPr>
      <w:r w:rsidRPr="00B849DC">
        <w:rPr>
          <w:lang w:val="en-US"/>
        </w:rPr>
        <w:t>(</w:t>
      </w:r>
      <w:proofErr w:type="gramStart"/>
      <w:r w:rsidRPr="00B849DC">
        <w:t>β</w:t>
      </w:r>
      <w:proofErr w:type="gramEnd"/>
      <w:r w:rsidRPr="00B849DC">
        <w:rPr>
          <w:lang w:val="en-US"/>
        </w:rPr>
        <w:t>)  As regards the scope of review, burden of proof and access to evidence</w:t>
      </w:r>
    </w:p>
    <w:p w:rsidRPr="00B849DC" w:rsidR="00CA087B" w:rsidP="00B849DC" w:rsidRDefault="00A740C8">
      <w:pPr>
        <w:pStyle w:val="ECHRPara"/>
        <w:rPr>
          <w:lang w:val="en-US" w:bidi="en-US"/>
        </w:rPr>
      </w:pPr>
      <w:r w:rsidRPr="00B849DC">
        <w:rPr>
          <w:lang w:bidi="en-US"/>
        </w:rPr>
        <w:fldChar w:fldCharType="begin"/>
      </w:r>
      <w:r w:rsidRPr="00B849DC">
        <w:rPr>
          <w:lang w:val="en-US" w:bidi="en-US"/>
        </w:rPr>
        <w:instrText xml:space="preserve"> SEQ level0 \*arabic </w:instrText>
      </w:r>
      <w:r w:rsidRPr="00B849DC">
        <w:rPr>
          <w:lang w:bidi="en-US"/>
        </w:rPr>
        <w:fldChar w:fldCharType="separate"/>
      </w:r>
      <w:r w:rsidRPr="00B849DC" w:rsidR="00B849DC">
        <w:rPr>
          <w:noProof/>
          <w:lang w:val="en-US" w:bidi="en-US"/>
        </w:rPr>
        <w:t>173</w:t>
      </w:r>
      <w:r w:rsidRPr="00B849DC">
        <w:fldChar w:fldCharType="end"/>
      </w:r>
      <w:r w:rsidRPr="00B849DC">
        <w:rPr>
          <w:lang w:val="en-US" w:bidi="en-US"/>
        </w:rPr>
        <w:t>. </w:t>
      </w:r>
      <w:r w:rsidRPr="00B849DC" w:rsidR="00A13211">
        <w:rPr>
          <w:lang w:val="en-US" w:bidi="en-US"/>
        </w:rPr>
        <w:t> </w:t>
      </w:r>
      <w:r w:rsidRPr="00B849DC">
        <w:rPr>
          <w:lang w:val="en-US" w:bidi="en-US"/>
        </w:rPr>
        <w:t>The Court notes that, even though the applicants in both cases were unsuccessful in the subsidiary liability proceedings</w:t>
      </w:r>
      <w:r w:rsidRPr="00B849DC">
        <w:rPr>
          <w:lang w:val="en-US"/>
        </w:rPr>
        <w:t>, the “effectiveness” of a “remedy” within the meaning of Article 13 does not depend on the certainty of a favourable outcome for the applicant (see paragraph </w:t>
      </w:r>
      <w:r w:rsidRPr="00B849DC" w:rsidR="00F84062">
        <w:rPr>
          <w:lang w:val="en-US"/>
        </w:rPr>
        <w:t>15</w:t>
      </w:r>
      <w:r w:rsidRPr="00B849DC" w:rsidR="001601FC">
        <w:rPr>
          <w:lang w:val="en-US"/>
        </w:rPr>
        <w:t>7</w:t>
      </w:r>
      <w:r w:rsidRPr="00B849DC">
        <w:rPr>
          <w:lang w:val="en-US"/>
        </w:rPr>
        <w:t xml:space="preserve"> above).</w:t>
      </w:r>
      <w:r w:rsidRPr="00B849DC">
        <w:rPr>
          <w:lang w:val="en-US" w:bidi="en-US"/>
        </w:rPr>
        <w:t xml:space="preserve"> The Court further observes that in the present two cases the domestic courts established the facts in so far as the removal of the companies</w:t>
      </w:r>
      <w:r w:rsidRPr="00B849DC" w:rsidR="00B849DC">
        <w:rPr>
          <w:lang w:val="en-US" w:bidi="en-US"/>
        </w:rPr>
        <w:t>’</w:t>
      </w:r>
      <w:r w:rsidRPr="00B849DC">
        <w:rPr>
          <w:lang w:val="en-US" w:bidi="en-US"/>
        </w:rPr>
        <w:t xml:space="preserve"> assets by their respective owners was concerned (see paragraphs 23 and 48</w:t>
      </w:r>
      <w:r w:rsidRPr="00B849DC">
        <w:rPr>
          <w:lang w:val="en-US" w:bidi="en-US"/>
        </w:rPr>
        <w:noBreakHyphen/>
        <w:t>50 above), as well as regarding the debt accumulated by various authorities towards the applicant</w:t>
      </w:r>
      <w:r w:rsidRPr="00B849DC" w:rsidR="00B849DC">
        <w:rPr>
          <w:lang w:val="en-US" w:bidi="en-US"/>
        </w:rPr>
        <w:t>’</w:t>
      </w:r>
      <w:r w:rsidRPr="00B849DC">
        <w:rPr>
          <w:lang w:val="en-US" w:bidi="en-US"/>
        </w:rPr>
        <w:t xml:space="preserve">s employer in </w:t>
      </w:r>
      <w:r w:rsidRPr="00B849DC">
        <w:rPr>
          <w:i/>
          <w:lang w:val="en-US" w:bidi="en-US"/>
        </w:rPr>
        <w:t>Liseytseva</w:t>
      </w:r>
      <w:r w:rsidRPr="00B849DC">
        <w:rPr>
          <w:lang w:val="en-US" w:bidi="en-US"/>
        </w:rPr>
        <w:t xml:space="preserve"> (see paragraph 23 above) and the effect of the tariff-setting policy on the company</w:t>
      </w:r>
      <w:r w:rsidRPr="00B849DC" w:rsidR="00B849DC">
        <w:rPr>
          <w:lang w:val="en-US" w:bidi="en-US"/>
        </w:rPr>
        <w:t>’</w:t>
      </w:r>
      <w:r w:rsidRPr="00B849DC">
        <w:rPr>
          <w:lang w:val="en-US" w:bidi="en-US"/>
        </w:rPr>
        <w:t xml:space="preserve">s activity in </w:t>
      </w:r>
      <w:r w:rsidRPr="00B849DC">
        <w:rPr>
          <w:i/>
          <w:lang w:val="en-US" w:bidi="en-US"/>
        </w:rPr>
        <w:t>Maslov</w:t>
      </w:r>
      <w:r w:rsidRPr="00B849DC">
        <w:rPr>
          <w:lang w:val="en-US" w:bidi="en-US"/>
        </w:rPr>
        <w:t xml:space="preserve"> (see paragraph 48 above). Furthermore, the courts admitted that the owners</w:t>
      </w:r>
      <w:r w:rsidRPr="00B849DC" w:rsidR="00B849DC">
        <w:rPr>
          <w:lang w:val="en-US" w:bidi="en-US"/>
        </w:rPr>
        <w:t>’</w:t>
      </w:r>
      <w:r w:rsidRPr="00B849DC">
        <w:rPr>
          <w:lang w:val="en-US" w:bidi="en-US"/>
        </w:rPr>
        <w:t xml:space="preserve"> specific actions had had a certain impact on the debtor enterprises</w:t>
      </w:r>
      <w:r w:rsidRPr="00B849DC" w:rsidR="00B849DC">
        <w:rPr>
          <w:lang w:val="en-US" w:bidi="en-US"/>
        </w:rPr>
        <w:t>’</w:t>
      </w:r>
      <w:r w:rsidRPr="00B849DC">
        <w:rPr>
          <w:lang w:val="en-US" w:bidi="en-US"/>
        </w:rPr>
        <w:t xml:space="preserve"> financial situation (see paragraphs 23 and 50 above). Therefore, it may be said that the domestic courts addressed the issue of the actual State control over the debtor municipal unitary enterprises in the two present cases, and these findings </w:t>
      </w:r>
      <w:r w:rsidRPr="00B849DC" w:rsidR="008C67EA">
        <w:rPr>
          <w:lang w:val="en-US" w:bidi="en-US"/>
        </w:rPr>
        <w:t>are</w:t>
      </w:r>
      <w:r w:rsidRPr="00B849DC">
        <w:rPr>
          <w:lang w:val="en-US" w:bidi="en-US"/>
        </w:rPr>
        <w:t xml:space="preserve"> highly relevant for the Court</w:t>
      </w:r>
      <w:r w:rsidRPr="00B849DC" w:rsidR="00B849DC">
        <w:rPr>
          <w:lang w:val="en-US" w:bidi="en-US"/>
        </w:rPr>
        <w:t>’</w:t>
      </w:r>
      <w:r w:rsidRPr="00B849DC">
        <w:rPr>
          <w:lang w:val="en-US" w:bidi="en-US"/>
        </w:rPr>
        <w:t>s assessment of the debtor companies</w:t>
      </w:r>
      <w:r w:rsidRPr="00B849DC" w:rsidR="00B849DC">
        <w:rPr>
          <w:lang w:val="en-US" w:bidi="en-US"/>
        </w:rPr>
        <w:t>’</w:t>
      </w:r>
      <w:r w:rsidRPr="00B849DC">
        <w:rPr>
          <w:lang w:val="en-US" w:bidi="en-US"/>
        </w:rPr>
        <w:t xml:space="preserve"> operational and institutional independence</w:t>
      </w:r>
      <w:r w:rsidRPr="00B849DC" w:rsidR="00067F44">
        <w:rPr>
          <w:lang w:val="en-US" w:bidi="en-US"/>
        </w:rPr>
        <w:t xml:space="preserve"> (see paragraphs </w:t>
      </w:r>
      <w:r w:rsidRPr="00B849DC" w:rsidR="001C5329">
        <w:rPr>
          <w:lang w:val="en-US" w:bidi="en-US"/>
        </w:rPr>
        <w:t>187</w:t>
      </w:r>
      <w:r w:rsidRPr="00B849DC" w:rsidR="006F3A20">
        <w:rPr>
          <w:lang w:val="en-US" w:bidi="en-US"/>
        </w:rPr>
        <w:noBreakHyphen/>
      </w:r>
      <w:r w:rsidRPr="00B849DC" w:rsidR="00F84062">
        <w:rPr>
          <w:lang w:val="en-US" w:bidi="en-US"/>
        </w:rPr>
        <w:t>9</w:t>
      </w:r>
      <w:r w:rsidRPr="00B849DC" w:rsidR="006F3A20">
        <w:rPr>
          <w:lang w:val="en-US" w:bidi="en-US"/>
        </w:rPr>
        <w:t>2 and 204-</w:t>
      </w:r>
      <w:r w:rsidRPr="00B849DC" w:rsidR="001C5329">
        <w:rPr>
          <w:lang w:val="en-US" w:bidi="en-US"/>
        </w:rPr>
        <w:t>19</w:t>
      </w:r>
      <w:r w:rsidRPr="00B849DC" w:rsidR="00067F44">
        <w:rPr>
          <w:lang w:val="en-US" w:bidi="en-US"/>
        </w:rPr>
        <w:t xml:space="preserve"> below)</w:t>
      </w:r>
      <w:r w:rsidRPr="00B849DC">
        <w:rPr>
          <w:lang w:val="en-US" w:bidi="en-US"/>
        </w:rPr>
        <w:t>.</w:t>
      </w:r>
    </w:p>
    <w:p w:rsidRPr="00B849DC" w:rsidR="00A740C8" w:rsidP="00B849DC" w:rsidRDefault="00A740C8">
      <w:pPr>
        <w:pStyle w:val="ECHRPara"/>
        <w:rPr>
          <w:lang w:val="en-US" w:bidi="en-US"/>
        </w:rPr>
      </w:pPr>
      <w:r w:rsidRPr="00B849DC">
        <w:rPr>
          <w:lang w:bidi="en-US"/>
        </w:rPr>
        <w:fldChar w:fldCharType="begin"/>
      </w:r>
      <w:r w:rsidRPr="00B849DC">
        <w:rPr>
          <w:lang w:val="en-US" w:bidi="en-US"/>
        </w:rPr>
        <w:instrText xml:space="preserve"> SEQ level0 \*arabic </w:instrText>
      </w:r>
      <w:r w:rsidRPr="00B849DC">
        <w:rPr>
          <w:lang w:bidi="en-US"/>
        </w:rPr>
        <w:fldChar w:fldCharType="separate"/>
      </w:r>
      <w:r w:rsidRPr="00B849DC" w:rsidR="00B849DC">
        <w:rPr>
          <w:noProof/>
          <w:lang w:val="en-US" w:bidi="en-US"/>
        </w:rPr>
        <w:t>174</w:t>
      </w:r>
      <w:r w:rsidRPr="00B849DC">
        <w:fldChar w:fldCharType="end"/>
      </w:r>
      <w:r w:rsidRPr="00B849DC">
        <w:rPr>
          <w:lang w:val="en-US" w:bidi="en-US"/>
        </w:rPr>
        <w:t>.  Nonetheless, the following considerations undermined the efficacy of the suggested remedy.</w:t>
      </w:r>
    </w:p>
    <w:p w:rsidRPr="00B849DC" w:rsidR="00CA087B" w:rsidP="00B849DC" w:rsidRDefault="00A740C8">
      <w:pPr>
        <w:pStyle w:val="ECHRPara"/>
        <w:rPr>
          <w:lang w:val="en-US" w:bidi="en-US"/>
        </w:rPr>
      </w:pPr>
      <w:r w:rsidRPr="00B849DC">
        <w:rPr>
          <w:lang w:bidi="en-US"/>
        </w:rPr>
        <w:fldChar w:fldCharType="begin"/>
      </w:r>
      <w:r w:rsidRPr="00B849DC">
        <w:rPr>
          <w:lang w:val="en-US" w:bidi="en-US"/>
        </w:rPr>
        <w:instrText xml:space="preserve"> SEQ level0 \*arabic </w:instrText>
      </w:r>
      <w:r w:rsidRPr="00B849DC">
        <w:rPr>
          <w:lang w:bidi="en-US"/>
        </w:rPr>
        <w:fldChar w:fldCharType="separate"/>
      </w:r>
      <w:r w:rsidRPr="00B849DC" w:rsidR="00B849DC">
        <w:rPr>
          <w:noProof/>
          <w:lang w:val="en-US" w:bidi="en-US"/>
        </w:rPr>
        <w:t>175</w:t>
      </w:r>
      <w:r w:rsidRPr="00B849DC">
        <w:fldChar w:fldCharType="end"/>
      </w:r>
      <w:r w:rsidRPr="00B849DC">
        <w:rPr>
          <w:lang w:val="en-US" w:bidi="en-US"/>
        </w:rPr>
        <w:t>.  As the wording of Article 56 § 3 of the Civil Code suggests, the owner of the assets may only be held liable for the company</w:t>
      </w:r>
      <w:r w:rsidRPr="00B849DC" w:rsidR="00B849DC">
        <w:rPr>
          <w:lang w:val="en-US" w:bidi="en-US"/>
        </w:rPr>
        <w:t>’</w:t>
      </w:r>
      <w:r w:rsidRPr="00B849DC">
        <w:rPr>
          <w:lang w:val="en-US" w:bidi="en-US"/>
        </w:rPr>
        <w:t>s debts if the insolvency was caused by its actions. In the two cases at hand the applicants</w:t>
      </w:r>
      <w:r w:rsidRPr="00B849DC" w:rsidR="00B849DC">
        <w:rPr>
          <w:lang w:val="en-US" w:bidi="en-US"/>
        </w:rPr>
        <w:t>’</w:t>
      </w:r>
      <w:r w:rsidRPr="00B849DC">
        <w:rPr>
          <w:lang w:val="en-US" w:bidi="en-US"/>
        </w:rPr>
        <w:t xml:space="preserve"> claims were rejected for their failure to prove either a causal link between the owner</w:t>
      </w:r>
      <w:r w:rsidRPr="00B849DC" w:rsidR="00B849DC">
        <w:rPr>
          <w:lang w:val="en-US" w:bidi="en-US"/>
        </w:rPr>
        <w:t>’</w:t>
      </w:r>
      <w:r w:rsidRPr="00B849DC">
        <w:rPr>
          <w:lang w:val="en-US" w:bidi="en-US"/>
        </w:rPr>
        <w:t>s actions and the company</w:t>
      </w:r>
      <w:r w:rsidRPr="00B849DC" w:rsidR="00B849DC">
        <w:rPr>
          <w:lang w:val="en-US" w:bidi="en-US"/>
        </w:rPr>
        <w:t>’</w:t>
      </w:r>
      <w:r w:rsidRPr="00B849DC">
        <w:rPr>
          <w:lang w:val="en-US" w:bidi="en-US"/>
        </w:rPr>
        <w:t xml:space="preserve">s insolvency (as in </w:t>
      </w:r>
      <w:r w:rsidRPr="00B849DC">
        <w:rPr>
          <w:i/>
          <w:lang w:val="en-US" w:bidi="en-US"/>
        </w:rPr>
        <w:t>Liseytseva</w:t>
      </w:r>
      <w:r w:rsidRPr="00B849DC">
        <w:rPr>
          <w:lang w:val="en-US" w:bidi="en-US"/>
        </w:rPr>
        <w:t xml:space="preserve">) or, even where such link was established, that the fault lay with the owner (as in </w:t>
      </w:r>
      <w:r w:rsidRPr="00B849DC">
        <w:rPr>
          <w:i/>
          <w:lang w:val="en-US" w:bidi="en-US"/>
        </w:rPr>
        <w:t>Maslov</w:t>
      </w:r>
      <w:r w:rsidRPr="00B849DC">
        <w:rPr>
          <w:lang w:val="en-US" w:bidi="en-US"/>
        </w:rPr>
        <w:t>).</w:t>
      </w:r>
    </w:p>
    <w:p w:rsidRPr="00B849DC" w:rsidR="00A740C8" w:rsidP="00B849DC" w:rsidRDefault="00A740C8">
      <w:pPr>
        <w:pStyle w:val="ECHRPara"/>
        <w:rPr>
          <w:lang w:val="en-GB"/>
        </w:rPr>
      </w:pPr>
      <w:r w:rsidRPr="00B849DC">
        <w:rPr>
          <w:lang w:bidi="en-US"/>
        </w:rPr>
        <w:fldChar w:fldCharType="begin"/>
      </w:r>
      <w:r w:rsidRPr="00B849DC">
        <w:rPr>
          <w:lang w:val="en-US" w:bidi="en-US"/>
        </w:rPr>
        <w:instrText xml:space="preserve"> SEQ level0 \*arabic </w:instrText>
      </w:r>
      <w:r w:rsidRPr="00B849DC">
        <w:rPr>
          <w:lang w:bidi="en-US"/>
        </w:rPr>
        <w:fldChar w:fldCharType="separate"/>
      </w:r>
      <w:r w:rsidRPr="00B849DC" w:rsidR="00B849DC">
        <w:rPr>
          <w:noProof/>
          <w:lang w:val="en-US" w:bidi="en-US"/>
        </w:rPr>
        <w:t>176</w:t>
      </w:r>
      <w:r w:rsidRPr="00B849DC">
        <w:fldChar w:fldCharType="end"/>
      </w:r>
      <w:r w:rsidRPr="00B849DC">
        <w:rPr>
          <w:lang w:val="en-US" w:bidi="en-US"/>
        </w:rPr>
        <w:t>.  </w:t>
      </w:r>
      <w:r w:rsidRPr="00B849DC" w:rsidR="00826CEC">
        <w:rPr>
          <w:lang w:val="en-US" w:bidi="en-US"/>
        </w:rPr>
        <w:t>The</w:t>
      </w:r>
      <w:r w:rsidRPr="00B849DC" w:rsidR="009B3A69">
        <w:rPr>
          <w:lang w:val="en-US" w:bidi="en-US"/>
        </w:rPr>
        <w:t xml:space="preserve"> Court </w:t>
      </w:r>
      <w:r w:rsidRPr="00B849DC" w:rsidR="00826CEC">
        <w:rPr>
          <w:lang w:val="en-US" w:bidi="en-US"/>
        </w:rPr>
        <w:t>reiterates</w:t>
      </w:r>
      <w:r w:rsidRPr="00B849DC" w:rsidR="009B3A69">
        <w:rPr>
          <w:lang w:val="en-US" w:bidi="en-US"/>
        </w:rPr>
        <w:t xml:space="preserve"> its earlier findings that </w:t>
      </w:r>
      <w:r w:rsidRPr="00B849DC">
        <w:rPr>
          <w:lang w:val="en-US" w:bidi="en-US"/>
        </w:rPr>
        <w:t>a remedy the use of which is conditional on the debtor</w:t>
      </w:r>
      <w:r w:rsidRPr="00B849DC" w:rsidR="00B849DC">
        <w:rPr>
          <w:lang w:val="en-US" w:bidi="en-US"/>
        </w:rPr>
        <w:t>’</w:t>
      </w:r>
      <w:r w:rsidRPr="00B849DC">
        <w:rPr>
          <w:lang w:val="en-US" w:bidi="en-US"/>
        </w:rPr>
        <w:t>s fault is impracticable in cases of non</w:t>
      </w:r>
      <w:r w:rsidRPr="00B849DC">
        <w:rPr>
          <w:lang w:val="en-US" w:bidi="en-US"/>
        </w:rPr>
        <w:noBreakHyphen/>
        <w:t xml:space="preserve">enforcement of judgments by the State (see </w:t>
      </w:r>
      <w:r w:rsidRPr="00B849DC">
        <w:rPr>
          <w:i/>
          <w:lang w:val="en-US" w:bidi="en-US"/>
        </w:rPr>
        <w:t>Moroko</w:t>
      </w:r>
      <w:r w:rsidRPr="00B849DC">
        <w:rPr>
          <w:lang w:val="en-US" w:bidi="en-US"/>
        </w:rPr>
        <w:t xml:space="preserve">, cited above, § 29, and </w:t>
      </w:r>
      <w:r w:rsidRPr="00B849DC">
        <w:rPr>
          <w:i/>
          <w:lang w:val="en-US" w:bidi="en-US"/>
        </w:rPr>
        <w:t>Burdov</w:t>
      </w:r>
      <w:r w:rsidRPr="00B849DC">
        <w:rPr>
          <w:lang w:val="en-US" w:bidi="en-US"/>
        </w:rPr>
        <w:t xml:space="preserve"> (no. 2), cited above, § 106). </w:t>
      </w:r>
      <w:r w:rsidRPr="00B849DC" w:rsidR="009B3A69">
        <w:rPr>
          <w:lang w:val="en-US" w:bidi="en-US"/>
        </w:rPr>
        <w:t xml:space="preserve">Without </w:t>
      </w:r>
      <w:r w:rsidRPr="00B849DC" w:rsidR="00826CEC">
        <w:rPr>
          <w:lang w:val="en-US" w:bidi="en-US"/>
        </w:rPr>
        <w:t xml:space="preserve">determining at this stage whether the </w:t>
      </w:r>
      <w:r w:rsidRPr="00B849DC" w:rsidR="009B3A69">
        <w:rPr>
          <w:lang w:val="en-US" w:bidi="en-US"/>
        </w:rPr>
        <w:t xml:space="preserve">judgment debts </w:t>
      </w:r>
      <w:r w:rsidRPr="00B849DC" w:rsidR="00826CEC">
        <w:rPr>
          <w:lang w:val="en-US" w:bidi="en-US"/>
        </w:rPr>
        <w:t xml:space="preserve">in the present cases are </w:t>
      </w:r>
      <w:r w:rsidRPr="00B849DC" w:rsidR="009B3A69">
        <w:rPr>
          <w:lang w:val="en-US" w:bidi="en-US"/>
        </w:rPr>
        <w:t xml:space="preserve">attributable to the State, the Court notes the following. </w:t>
      </w:r>
      <w:r w:rsidRPr="00B849DC" w:rsidR="00A12285">
        <w:rPr>
          <w:lang w:val="en-US" w:bidi="en-US"/>
        </w:rPr>
        <w:t>The</w:t>
      </w:r>
      <w:r w:rsidRPr="00B849DC">
        <w:rPr>
          <w:lang w:val="en-US" w:bidi="en-US"/>
        </w:rPr>
        <w:t xml:space="preserve"> applicants</w:t>
      </w:r>
      <w:r w:rsidRPr="00B849DC" w:rsidR="00B849DC">
        <w:rPr>
          <w:lang w:val="en-US" w:bidi="en-US"/>
        </w:rPr>
        <w:t>’</w:t>
      </w:r>
      <w:r w:rsidRPr="00B849DC">
        <w:rPr>
          <w:lang w:val="en-US" w:bidi="en-US"/>
        </w:rPr>
        <w:t xml:space="preserve"> arguments as regards the authorities</w:t>
      </w:r>
      <w:r w:rsidRPr="00B849DC" w:rsidR="00B849DC">
        <w:rPr>
          <w:lang w:val="en-US" w:bidi="en-US"/>
        </w:rPr>
        <w:t>’</w:t>
      </w:r>
      <w:r w:rsidRPr="00B849DC">
        <w:rPr>
          <w:lang w:val="en-US" w:bidi="en-US"/>
        </w:rPr>
        <w:t xml:space="preserve"> fault were, in their turn, rejected for the reason that the authorities</w:t>
      </w:r>
      <w:r w:rsidRPr="00B849DC" w:rsidR="00B849DC">
        <w:rPr>
          <w:lang w:val="en-US" w:bidi="en-US"/>
        </w:rPr>
        <w:t>’</w:t>
      </w:r>
      <w:r w:rsidRPr="00B849DC">
        <w:rPr>
          <w:lang w:val="en-US" w:bidi="en-US"/>
        </w:rPr>
        <w:t xml:space="preserve"> respective actions h</w:t>
      </w:r>
      <w:r w:rsidRPr="00B849DC" w:rsidR="00434872">
        <w:rPr>
          <w:lang w:val="en-US" w:bidi="en-US"/>
        </w:rPr>
        <w:t>ad been</w:t>
      </w:r>
      <w:r w:rsidRPr="00B849DC">
        <w:rPr>
          <w:lang w:val="en-US" w:bidi="en-US"/>
        </w:rPr>
        <w:t xml:space="preserve"> lawful. In fact, in both </w:t>
      </w:r>
      <w:r w:rsidRPr="00B849DC">
        <w:rPr>
          <w:i/>
          <w:lang w:val="en-US" w:bidi="en-US"/>
        </w:rPr>
        <w:t>Liseytseva</w:t>
      </w:r>
      <w:r w:rsidRPr="00B849DC">
        <w:rPr>
          <w:lang w:val="en-US" w:bidi="en-US"/>
        </w:rPr>
        <w:t xml:space="preserve"> and </w:t>
      </w:r>
      <w:r w:rsidRPr="00B849DC">
        <w:rPr>
          <w:i/>
          <w:lang w:val="en-US" w:bidi="en-US"/>
        </w:rPr>
        <w:t>Maslov</w:t>
      </w:r>
      <w:r w:rsidRPr="00B849DC">
        <w:rPr>
          <w:lang w:val="en-US" w:bidi="en-US"/>
        </w:rPr>
        <w:t xml:space="preserve"> the domestic courts rejected the applicants</w:t>
      </w:r>
      <w:r w:rsidRPr="00B849DC" w:rsidR="00B849DC">
        <w:rPr>
          <w:lang w:val="en-US" w:bidi="en-US"/>
        </w:rPr>
        <w:t>’</w:t>
      </w:r>
      <w:r w:rsidRPr="00B849DC">
        <w:rPr>
          <w:lang w:val="en-US" w:bidi="en-US"/>
        </w:rPr>
        <w:t xml:space="preserve"> arguments, having found that the owners</w:t>
      </w:r>
      <w:r w:rsidRPr="00B849DC" w:rsidR="00B849DC">
        <w:rPr>
          <w:lang w:val="en-US" w:bidi="en-US"/>
        </w:rPr>
        <w:t>’</w:t>
      </w:r>
      <w:r w:rsidRPr="00B849DC">
        <w:rPr>
          <w:lang w:val="en-US" w:bidi="en-US"/>
        </w:rPr>
        <w:t xml:space="preserve"> disposal of the assets – notably, their removal – had been in compliance with domestic law. The Court notes that at some point the municipal companies, the liquidator or, for instance, a prosecutor, as in the rare case before the Regional Court of the Yevreyskaya Autonomous Region (see paragraph 82 above) – but, in any event, not the applicants themselves – could, in principle, have challenged the removal under the relevant provisions of the Civil Code taken in conjunction with the Unitary Enterprises Act (see, for the respective domestic case-law, paragraphs 80-81 and </w:t>
      </w:r>
      <w:r w:rsidRPr="00B849DC" w:rsidR="007B4AF5">
        <w:rPr>
          <w:lang w:val="en-US" w:bidi="en-US"/>
        </w:rPr>
        <w:t>111</w:t>
      </w:r>
      <w:r w:rsidRPr="00B849DC">
        <w:rPr>
          <w:lang w:val="en-US" w:bidi="en-US"/>
        </w:rPr>
        <w:t xml:space="preserve"> above). However, the relevant persons</w:t>
      </w:r>
      <w:r w:rsidRPr="00B849DC" w:rsidR="00B849DC">
        <w:rPr>
          <w:lang w:val="en-US" w:bidi="en-US"/>
        </w:rPr>
        <w:t>’</w:t>
      </w:r>
      <w:r w:rsidRPr="00B849DC">
        <w:rPr>
          <w:lang w:val="en-US" w:bidi="en-US"/>
        </w:rPr>
        <w:t xml:space="preserve"> actions challenging the acts of the local authorities could only result from the exercise of their discretionary powers and could hardly be initiated by the individual applicants. Be that as it may, none of the above-mentioned persons made use of that right in the present two cases, and the domestic courts in the subsequent subsidiary liability proceedings confined their findings to a conclusion that the respective owners had acted lawfully (see paragraphs 23 and 26 above as regards Liseytseva and paragraphs 50 and 53 as regards Maslov). That finding, in its turn, excluded any further consideration by the domestic courts of the question of whether the debtor companies had actually enjoyed sufficient operational and institutional independence in the present cases</w:t>
      </w:r>
      <w:r w:rsidRPr="00B849DC" w:rsidR="00434872">
        <w:rPr>
          <w:lang w:val="en-US" w:bidi="en-US"/>
        </w:rPr>
        <w:t xml:space="preserve"> (see paragraphs </w:t>
      </w:r>
      <w:r w:rsidRPr="00B849DC" w:rsidR="007B4AF5">
        <w:rPr>
          <w:lang w:val="en-US" w:bidi="en-US"/>
        </w:rPr>
        <w:t>187</w:t>
      </w:r>
      <w:r w:rsidRPr="00B849DC" w:rsidR="002E3CE4">
        <w:rPr>
          <w:lang w:val="en-US" w:bidi="en-US"/>
        </w:rPr>
        <w:t>-</w:t>
      </w:r>
      <w:r w:rsidRPr="00B849DC" w:rsidR="00F84062">
        <w:rPr>
          <w:lang w:val="en-US" w:bidi="en-US"/>
        </w:rPr>
        <w:t>9</w:t>
      </w:r>
      <w:r w:rsidRPr="00B849DC" w:rsidR="007B4AF5">
        <w:rPr>
          <w:lang w:val="en-US" w:bidi="en-US"/>
        </w:rPr>
        <w:t>2</w:t>
      </w:r>
      <w:r w:rsidRPr="00B849DC" w:rsidR="00F84062">
        <w:rPr>
          <w:lang w:val="en-US" w:bidi="en-US"/>
        </w:rPr>
        <w:t xml:space="preserve"> and 20</w:t>
      </w:r>
      <w:r w:rsidRPr="00B849DC" w:rsidR="007B4AF5">
        <w:rPr>
          <w:lang w:val="en-US" w:bidi="en-US"/>
        </w:rPr>
        <w:t>4</w:t>
      </w:r>
      <w:r w:rsidRPr="00B849DC" w:rsidR="002E3CE4">
        <w:rPr>
          <w:lang w:val="en-US" w:bidi="en-US"/>
        </w:rPr>
        <w:t>-</w:t>
      </w:r>
      <w:r w:rsidRPr="00B849DC" w:rsidR="007B4AF5">
        <w:rPr>
          <w:lang w:val="en-US" w:bidi="en-US"/>
        </w:rPr>
        <w:t>19</w:t>
      </w:r>
      <w:r w:rsidRPr="00B849DC" w:rsidR="00434872">
        <w:rPr>
          <w:lang w:val="en-US" w:bidi="en-US"/>
        </w:rPr>
        <w:t xml:space="preserve"> below)</w:t>
      </w:r>
      <w:r w:rsidRPr="00B849DC">
        <w:rPr>
          <w:lang w:val="en-US" w:bidi="en-US"/>
        </w:rPr>
        <w:t>; or, even less, whether the delays in execution of the judicial awards in the applicants</w:t>
      </w:r>
      <w:r w:rsidRPr="00B849DC" w:rsidR="00B849DC">
        <w:rPr>
          <w:lang w:val="en-US" w:bidi="en-US"/>
        </w:rPr>
        <w:t>’</w:t>
      </w:r>
      <w:r w:rsidRPr="00B849DC">
        <w:rPr>
          <w:lang w:val="en-US" w:bidi="en-US"/>
        </w:rPr>
        <w:t xml:space="preserve"> favour had been reasonable, or whether the respective interference with the applicants</w:t>
      </w:r>
      <w:r w:rsidRPr="00B849DC" w:rsidR="00B849DC">
        <w:rPr>
          <w:lang w:val="en-US" w:bidi="en-US"/>
        </w:rPr>
        <w:t>’</w:t>
      </w:r>
      <w:r w:rsidRPr="00B849DC">
        <w:rPr>
          <w:lang w:val="en-US" w:bidi="en-US"/>
        </w:rPr>
        <w:t xml:space="preserve"> rights to the peaceful enjoyment of possessions had been justified</w:t>
      </w:r>
      <w:r w:rsidRPr="00B849DC" w:rsidR="00F84062">
        <w:rPr>
          <w:lang w:val="en-US" w:bidi="en-US"/>
        </w:rPr>
        <w:t xml:space="preserve"> (see paragraphs 22</w:t>
      </w:r>
      <w:r w:rsidRPr="00B849DC" w:rsidR="007B4AF5">
        <w:rPr>
          <w:lang w:val="en-US" w:bidi="en-US"/>
        </w:rPr>
        <w:t>0</w:t>
      </w:r>
      <w:r w:rsidRPr="00B849DC" w:rsidR="002E3CE4">
        <w:rPr>
          <w:lang w:val="en-US" w:bidi="en-US"/>
        </w:rPr>
        <w:t>-</w:t>
      </w:r>
      <w:r w:rsidRPr="00B849DC" w:rsidR="00F84062">
        <w:rPr>
          <w:lang w:val="en-US" w:bidi="en-US"/>
        </w:rPr>
        <w:t>2</w:t>
      </w:r>
      <w:r w:rsidRPr="00B849DC" w:rsidR="007B4AF5">
        <w:rPr>
          <w:lang w:val="en-US" w:bidi="en-US"/>
        </w:rPr>
        <w:t>4</w:t>
      </w:r>
      <w:r w:rsidRPr="00B849DC" w:rsidR="00F84062">
        <w:rPr>
          <w:lang w:val="en-US" w:bidi="en-US"/>
        </w:rPr>
        <w:t xml:space="preserve"> below)</w:t>
      </w:r>
      <w:r w:rsidRPr="00B849DC">
        <w:rPr>
          <w:lang w:val="en-US" w:bidi="en-US"/>
        </w:rPr>
        <w:t xml:space="preserve"> – the criteria which lie at the heart of the Court</w:t>
      </w:r>
      <w:r w:rsidRPr="00B849DC" w:rsidR="00B849DC">
        <w:rPr>
          <w:lang w:val="en-US" w:bidi="en-US"/>
        </w:rPr>
        <w:t>’</w:t>
      </w:r>
      <w:r w:rsidRPr="00B849DC">
        <w:rPr>
          <w:lang w:val="en-US" w:bidi="en-US"/>
        </w:rPr>
        <w:t>s analysis of the applicants</w:t>
      </w:r>
      <w:r w:rsidRPr="00B849DC" w:rsidR="00B849DC">
        <w:rPr>
          <w:lang w:val="en-US" w:bidi="en-US"/>
        </w:rPr>
        <w:t>’</w:t>
      </w:r>
      <w:r w:rsidRPr="00B849DC">
        <w:rPr>
          <w:lang w:val="en-US" w:bidi="en-US"/>
        </w:rPr>
        <w:t xml:space="preserve"> respective complaints (see</w:t>
      </w:r>
      <w:r w:rsidRPr="00B849DC" w:rsidR="00F84062">
        <w:rPr>
          <w:lang w:val="en-US" w:bidi="en-US"/>
        </w:rPr>
        <w:t xml:space="preserve">, </w:t>
      </w:r>
      <w:r w:rsidRPr="00B849DC">
        <w:rPr>
          <w:lang w:val="en-US" w:bidi="en-US"/>
        </w:rPr>
        <w:t xml:space="preserve">in so far as relevant, </w:t>
      </w:r>
      <w:r w:rsidRPr="00B849DC">
        <w:rPr>
          <w:i/>
          <w:lang w:val="en-GB"/>
        </w:rPr>
        <w:t>Smith and Grady v. the United Kingdom</w:t>
      </w:r>
      <w:r w:rsidRPr="00B849DC">
        <w:rPr>
          <w:lang w:val="en-GB"/>
        </w:rPr>
        <w:t>, nos. 33985/96 and 33986/96, § 138, ECHR 1999</w:t>
      </w:r>
      <w:r w:rsidRPr="00B849DC">
        <w:rPr>
          <w:lang w:val="en-GB"/>
        </w:rPr>
        <w:noBreakHyphen/>
        <w:t>VI</w:t>
      </w:r>
      <w:r w:rsidRPr="00B849DC">
        <w:rPr>
          <w:lang w:val="en-US" w:bidi="en-US"/>
        </w:rPr>
        <w:t>). In the Court</w:t>
      </w:r>
      <w:r w:rsidRPr="00B849DC" w:rsidR="00B849DC">
        <w:rPr>
          <w:lang w:val="en-US" w:bidi="en-US"/>
        </w:rPr>
        <w:t>’</w:t>
      </w:r>
      <w:r w:rsidRPr="00B849DC">
        <w:rPr>
          <w:lang w:val="en-US" w:bidi="en-US"/>
        </w:rPr>
        <w:t xml:space="preserve">s view, </w:t>
      </w:r>
      <w:r w:rsidRPr="00B849DC" w:rsidR="004C7918">
        <w:rPr>
          <w:lang w:val="en-US" w:bidi="en-US"/>
        </w:rPr>
        <w:t xml:space="preserve">the </w:t>
      </w:r>
      <w:r w:rsidRPr="00B849DC">
        <w:rPr>
          <w:lang w:val="en-US" w:bidi="en-US"/>
        </w:rPr>
        <w:t>limited scope of review in the applicants</w:t>
      </w:r>
      <w:r w:rsidRPr="00B849DC" w:rsidR="00B849DC">
        <w:rPr>
          <w:lang w:val="en-US" w:bidi="en-US"/>
        </w:rPr>
        <w:t>’</w:t>
      </w:r>
      <w:r w:rsidRPr="00B849DC">
        <w:rPr>
          <w:lang w:val="en-US" w:bidi="en-US"/>
        </w:rPr>
        <w:t xml:space="preserve"> cases did not satisfy the requirements of Article 13 of the Convention in conjunction with Article 6 of the Convention and Article 1 of Protocol No. 1.</w:t>
      </w:r>
    </w:p>
    <w:p w:rsidRPr="00B849DC" w:rsidR="00CA087B" w:rsidP="00B849DC" w:rsidRDefault="00A740C8">
      <w:pPr>
        <w:pStyle w:val="ECHRPara"/>
        <w:rPr>
          <w:lang w:val="en-US" w:bidi="en-US"/>
        </w:rPr>
      </w:pPr>
      <w:r w:rsidRPr="00B849DC">
        <w:rPr>
          <w:lang w:bidi="en-US"/>
        </w:rPr>
        <w:fldChar w:fldCharType="begin"/>
      </w:r>
      <w:r w:rsidRPr="00B849DC">
        <w:rPr>
          <w:lang w:val="en-US" w:bidi="en-US"/>
        </w:rPr>
        <w:instrText xml:space="preserve"> SEQ level0 \*arabic </w:instrText>
      </w:r>
      <w:r w:rsidRPr="00B849DC">
        <w:rPr>
          <w:lang w:bidi="en-US"/>
        </w:rPr>
        <w:fldChar w:fldCharType="separate"/>
      </w:r>
      <w:r w:rsidRPr="00B849DC" w:rsidR="00B849DC">
        <w:rPr>
          <w:noProof/>
          <w:lang w:val="en-US" w:bidi="en-US"/>
        </w:rPr>
        <w:t>177</w:t>
      </w:r>
      <w:r w:rsidRPr="00B849DC">
        <w:fldChar w:fldCharType="end"/>
      </w:r>
      <w:r w:rsidRPr="00B849DC">
        <w:rPr>
          <w:lang w:val="en-US" w:bidi="en-US"/>
        </w:rPr>
        <w:t>.  In addition, the Court notes that the applicants in the present cases faced considerable difficulties in discharging the burden of proving either the existence of a causal link between the owner</w:t>
      </w:r>
      <w:r w:rsidRPr="00B849DC" w:rsidR="00B849DC">
        <w:rPr>
          <w:lang w:val="en-US" w:bidi="en-US"/>
        </w:rPr>
        <w:t>’</w:t>
      </w:r>
      <w:r w:rsidRPr="00B849DC">
        <w:rPr>
          <w:lang w:val="en-US" w:bidi="en-US"/>
        </w:rPr>
        <w:t>s actions and insolvency or the owner</w:t>
      </w:r>
      <w:r w:rsidRPr="00B849DC" w:rsidR="00B849DC">
        <w:rPr>
          <w:lang w:val="en-US" w:bidi="en-US"/>
        </w:rPr>
        <w:t>’</w:t>
      </w:r>
      <w:r w:rsidRPr="00B849DC">
        <w:rPr>
          <w:lang w:val="en-US" w:bidi="en-US"/>
        </w:rPr>
        <w:t xml:space="preserve">s fault. In fact, the applicants found themselves at a distinct </w:t>
      </w:r>
      <w:r w:rsidRPr="00B849DC">
        <w:rPr>
          <w:bCs/>
          <w:lang w:val="en-US" w:bidi="en-US"/>
        </w:rPr>
        <w:t>disadvantage</w:t>
      </w:r>
      <w:r w:rsidRPr="00B849DC">
        <w:rPr>
          <w:lang w:val="en-US" w:bidi="en-US"/>
        </w:rPr>
        <w:t xml:space="preserve"> </w:t>
      </w:r>
      <w:r w:rsidRPr="00B849DC">
        <w:rPr>
          <w:i/>
          <w:lang w:val="en-US" w:bidi="en-US"/>
        </w:rPr>
        <w:t>vis-à-vis</w:t>
      </w:r>
      <w:r w:rsidRPr="00B849DC">
        <w:rPr>
          <w:lang w:val="en-US" w:bidi="en-US"/>
        </w:rPr>
        <w:t xml:space="preserve"> the owners in so far as access to information about the company</w:t>
      </w:r>
      <w:r w:rsidRPr="00B849DC" w:rsidR="00B849DC">
        <w:rPr>
          <w:lang w:val="en-US" w:bidi="en-US"/>
        </w:rPr>
        <w:t>’</w:t>
      </w:r>
      <w:r w:rsidRPr="00B849DC">
        <w:rPr>
          <w:lang w:val="en-US" w:bidi="en-US"/>
        </w:rPr>
        <w:t xml:space="preserve">s assets and financial situation was concerned (see, </w:t>
      </w:r>
      <w:r w:rsidRPr="00B849DC">
        <w:rPr>
          <w:lang w:val="en-GB"/>
        </w:rPr>
        <w:t xml:space="preserve">albeit in the context of the Insolvency Act dealing with the obligation to produce financial documents, </w:t>
      </w:r>
      <w:r w:rsidRPr="00B849DC">
        <w:rPr>
          <w:lang w:val="en-US" w:bidi="en-US"/>
        </w:rPr>
        <w:t>the Explanatory Note to Federal Law no. 73</w:t>
      </w:r>
      <w:r w:rsidRPr="00B849DC">
        <w:rPr>
          <w:lang w:val="en-US" w:bidi="en-US"/>
        </w:rPr>
        <w:noBreakHyphen/>
      </w:r>
      <w:r w:rsidRPr="00B849DC">
        <w:rPr>
          <w:lang w:val="en-US"/>
        </w:rPr>
        <w:t xml:space="preserve"> </w:t>
      </w:r>
      <w:r w:rsidRPr="00B849DC">
        <w:rPr>
          <w:lang w:val="en-US" w:bidi="en-US"/>
        </w:rPr>
        <w:t>FZ</w:t>
      </w:r>
      <w:r w:rsidRPr="00B849DC">
        <w:rPr>
          <w:lang w:val="en-GB"/>
        </w:rPr>
        <w:t xml:space="preserve">, paragraph 102 above; see further, for the requirement of conformity with the principle of fairness, </w:t>
      </w:r>
      <w:r w:rsidRPr="00B849DC" w:rsidR="00E95711">
        <w:rPr>
          <w:lang w:val="en-GB"/>
        </w:rPr>
        <w:t xml:space="preserve">and in so far as relevant, </w:t>
      </w:r>
      <w:r w:rsidRPr="00B849DC">
        <w:rPr>
          <w:lang w:val="en-US" w:bidi="en-US"/>
        </w:rPr>
        <w:t>the case-law cited in paragraph </w:t>
      </w:r>
      <w:r w:rsidRPr="00B849DC" w:rsidR="00E95711">
        <w:rPr>
          <w:lang w:val="en-US" w:bidi="en-US"/>
        </w:rPr>
        <w:t>15</w:t>
      </w:r>
      <w:r w:rsidRPr="00B849DC" w:rsidR="00DB6AB2">
        <w:rPr>
          <w:lang w:val="en-US" w:bidi="en-US"/>
        </w:rPr>
        <w:t>8</w:t>
      </w:r>
      <w:r w:rsidRPr="00B849DC">
        <w:rPr>
          <w:lang w:val="en-US" w:bidi="en-US"/>
        </w:rPr>
        <w:t xml:space="preserve"> above). The complexity of the claimants</w:t>
      </w:r>
      <w:r w:rsidRPr="00B849DC" w:rsidR="00B849DC">
        <w:rPr>
          <w:lang w:val="en-US" w:bidi="en-US"/>
        </w:rPr>
        <w:t>’</w:t>
      </w:r>
      <w:r w:rsidRPr="00B849DC">
        <w:rPr>
          <w:lang w:val="en-US" w:bidi="en-US"/>
        </w:rPr>
        <w:t xml:space="preserve"> task in discharging the burden of proof in the proceedings under Article 56 § 3 of the Civil Code was amply demonstrated in </w:t>
      </w:r>
      <w:r w:rsidRPr="00B849DC">
        <w:rPr>
          <w:i/>
          <w:lang w:val="en-US" w:bidi="en-US"/>
        </w:rPr>
        <w:t>Maslov</w:t>
      </w:r>
      <w:r w:rsidRPr="00B849DC">
        <w:rPr>
          <w:lang w:val="en-US" w:bidi="en-US"/>
        </w:rPr>
        <w:t>. In that case, the applicant explicitly submitted that he had not had access to the documents on the debtor company</w:t>
      </w:r>
      <w:r w:rsidRPr="00B849DC" w:rsidR="00B849DC">
        <w:rPr>
          <w:lang w:val="en-US" w:bidi="en-US"/>
        </w:rPr>
        <w:t>’</w:t>
      </w:r>
      <w:r w:rsidRPr="00B849DC">
        <w:rPr>
          <w:lang w:val="en-US" w:bidi="en-US"/>
        </w:rPr>
        <w:t>s assets (see paragraph 52 above). Moreover, it was not contested that, according to the report of 1 February 2009, the company</w:t>
      </w:r>
      <w:r w:rsidRPr="00B849DC" w:rsidR="00B849DC">
        <w:rPr>
          <w:lang w:val="en-US" w:bidi="en-US"/>
        </w:rPr>
        <w:t>’</w:t>
      </w:r>
      <w:r w:rsidRPr="00B849DC">
        <w:rPr>
          <w:lang w:val="en-US" w:bidi="en-US"/>
        </w:rPr>
        <w:t>s financial records had not been produced even to the liquidator (see paragraph 45 above). However, the domestic court summarily rejected the applicant</w:t>
      </w:r>
      <w:r w:rsidRPr="00B849DC" w:rsidR="00B849DC">
        <w:rPr>
          <w:lang w:val="en-US" w:bidi="en-US"/>
        </w:rPr>
        <w:t>’</w:t>
      </w:r>
      <w:r w:rsidRPr="00B849DC">
        <w:rPr>
          <w:lang w:val="en-US" w:bidi="en-US"/>
        </w:rPr>
        <w:t>s argument as irrelevant, having reiterated that the burden of proof remained with the appl</w:t>
      </w:r>
      <w:r w:rsidRPr="00B849DC" w:rsidR="00064A29">
        <w:rPr>
          <w:lang w:val="en-US" w:bidi="en-US"/>
        </w:rPr>
        <w:t>icant (see paragraph 53 above).</w:t>
      </w:r>
    </w:p>
    <w:p w:rsidRPr="00B849DC" w:rsidR="00A740C8" w:rsidP="00B849DC" w:rsidRDefault="00A740C8">
      <w:pPr>
        <w:pStyle w:val="ECHRPara"/>
        <w:rPr>
          <w:lang w:val="en-US" w:bidi="en-US"/>
        </w:rPr>
      </w:pPr>
      <w:r w:rsidRPr="00B849DC">
        <w:rPr>
          <w:lang w:bidi="en-US"/>
        </w:rPr>
        <w:fldChar w:fldCharType="begin"/>
      </w:r>
      <w:r w:rsidRPr="00B849DC">
        <w:rPr>
          <w:lang w:val="en-US" w:bidi="en-US"/>
        </w:rPr>
        <w:instrText xml:space="preserve"> SEQ level0 \*arabic </w:instrText>
      </w:r>
      <w:r w:rsidRPr="00B849DC">
        <w:rPr>
          <w:lang w:bidi="en-US"/>
        </w:rPr>
        <w:fldChar w:fldCharType="separate"/>
      </w:r>
      <w:r w:rsidRPr="00B849DC" w:rsidR="00B849DC">
        <w:rPr>
          <w:noProof/>
          <w:lang w:val="en-US" w:bidi="en-US"/>
        </w:rPr>
        <w:t>178</w:t>
      </w:r>
      <w:r w:rsidRPr="00B849DC">
        <w:fldChar w:fldCharType="end"/>
      </w:r>
      <w:r w:rsidRPr="00B849DC">
        <w:rPr>
          <w:lang w:val="en-US" w:bidi="en-US"/>
        </w:rPr>
        <w:t>.  The Court notes that, remarkably, the Mezenskiy District Court in its initial decision</w:t>
      </w:r>
      <w:r w:rsidRPr="00B849DC">
        <w:rPr>
          <w:i/>
          <w:lang w:val="en-US" w:bidi="en-US"/>
        </w:rPr>
        <w:t xml:space="preserve"> </w:t>
      </w:r>
      <w:r w:rsidRPr="00B849DC">
        <w:rPr>
          <w:lang w:val="en-US" w:bidi="en-US"/>
        </w:rPr>
        <w:t>took a different approach</w:t>
      </w:r>
      <w:r w:rsidRPr="00B849DC" w:rsidR="00FC0AD1">
        <w:rPr>
          <w:lang w:val="en-US" w:bidi="en-US"/>
        </w:rPr>
        <w:t>: it</w:t>
      </w:r>
      <w:r w:rsidRPr="00B849DC">
        <w:rPr>
          <w:lang w:val="en-US" w:bidi="en-US"/>
        </w:rPr>
        <w:t xml:space="preserve"> </w:t>
      </w:r>
      <w:r w:rsidRPr="00B849DC" w:rsidR="009B3A69">
        <w:rPr>
          <w:lang w:val="en-US" w:bidi="en-US"/>
        </w:rPr>
        <w:t>examined the claim of</w:t>
      </w:r>
      <w:r w:rsidRPr="00B849DC" w:rsidR="002E3CE4">
        <w:rPr>
          <w:lang w:val="en-US" w:bidi="en-US"/>
        </w:rPr>
        <w:t xml:space="preserve"> Mr </w:t>
      </w:r>
      <w:r w:rsidRPr="00B849DC">
        <w:rPr>
          <w:lang w:val="en-US" w:bidi="en-US"/>
        </w:rPr>
        <w:t>Maslov</w:t>
      </w:r>
      <w:r w:rsidRPr="00B849DC" w:rsidR="00FC0AD1">
        <w:rPr>
          <w:lang w:val="en-US" w:bidi="en-US"/>
        </w:rPr>
        <w:t xml:space="preserve"> from the standpoint of the actual control exercised by the owner over the debtor company and its effect on the company</w:t>
      </w:r>
      <w:r w:rsidRPr="00B849DC" w:rsidR="00B849DC">
        <w:rPr>
          <w:lang w:val="en-US" w:bidi="en-US"/>
        </w:rPr>
        <w:t>’</w:t>
      </w:r>
      <w:r w:rsidRPr="00B849DC" w:rsidR="00FC0AD1">
        <w:rPr>
          <w:lang w:val="en-US" w:bidi="en-US"/>
        </w:rPr>
        <w:t xml:space="preserve">s activities, having also relied </w:t>
      </w:r>
      <w:r w:rsidRPr="00B849DC">
        <w:rPr>
          <w:lang w:val="en-US" w:bidi="en-US"/>
        </w:rPr>
        <w:t>directly on the Convention provisions and the Court</w:t>
      </w:r>
      <w:r w:rsidRPr="00B849DC" w:rsidR="00B849DC">
        <w:rPr>
          <w:lang w:val="en-US" w:bidi="en-US"/>
        </w:rPr>
        <w:t>’</w:t>
      </w:r>
      <w:r w:rsidRPr="00B849DC" w:rsidR="002E3CE4">
        <w:rPr>
          <w:lang w:val="en-US" w:bidi="en-US"/>
        </w:rPr>
        <w:t>s case</w:t>
      </w:r>
      <w:r w:rsidRPr="00B849DC" w:rsidR="002E3CE4">
        <w:rPr>
          <w:lang w:val="en-US" w:bidi="en-US"/>
        </w:rPr>
        <w:noBreakHyphen/>
      </w:r>
      <w:r w:rsidRPr="00B849DC">
        <w:rPr>
          <w:lang w:val="en-US" w:bidi="en-US"/>
        </w:rPr>
        <w:t>law (see paragraph </w:t>
      </w:r>
      <w:r w:rsidRPr="00B849DC">
        <w:rPr>
          <w:lang w:val="en-US"/>
        </w:rPr>
        <w:t>48 above)</w:t>
      </w:r>
      <w:r w:rsidRPr="00B849DC">
        <w:rPr>
          <w:lang w:val="en-US" w:bidi="en-US"/>
        </w:rPr>
        <w:t>. However, its decision was reversed on appeal, and the claim was subsequently dismissed for the applicant</w:t>
      </w:r>
      <w:r w:rsidRPr="00B849DC" w:rsidR="00B849DC">
        <w:rPr>
          <w:lang w:val="en-US" w:bidi="en-US"/>
        </w:rPr>
        <w:t>’</w:t>
      </w:r>
      <w:r w:rsidRPr="00B849DC">
        <w:rPr>
          <w:lang w:val="en-US" w:bidi="en-US"/>
        </w:rPr>
        <w:t>s failure to prove the owner</w:t>
      </w:r>
      <w:r w:rsidRPr="00B849DC" w:rsidR="00B849DC">
        <w:rPr>
          <w:lang w:val="en-US" w:bidi="en-US"/>
        </w:rPr>
        <w:t>’</w:t>
      </w:r>
      <w:r w:rsidRPr="00B849DC">
        <w:rPr>
          <w:lang w:val="en-US" w:bidi="en-US"/>
        </w:rPr>
        <w:t>s fault. As a result, the applicant was deprived of a remedy at the domestic level in respect of his complaint.</w:t>
      </w:r>
    </w:p>
    <w:p w:rsidRPr="00B849DC" w:rsidR="00CA087B" w:rsidP="00B849DC" w:rsidRDefault="00A740C8">
      <w:pPr>
        <w:pStyle w:val="ECHRPara"/>
        <w:rPr>
          <w:lang w:val="en-US" w:bidi="en-US"/>
        </w:rPr>
      </w:pPr>
      <w:r w:rsidRPr="00B849DC">
        <w:rPr>
          <w:lang w:bidi="en-US"/>
        </w:rPr>
        <w:fldChar w:fldCharType="begin"/>
      </w:r>
      <w:r w:rsidRPr="00B849DC">
        <w:rPr>
          <w:lang w:val="en-US" w:bidi="en-US"/>
        </w:rPr>
        <w:instrText xml:space="preserve"> SEQ level0 \*arabic </w:instrText>
      </w:r>
      <w:r w:rsidRPr="00B849DC">
        <w:rPr>
          <w:lang w:bidi="en-US"/>
        </w:rPr>
        <w:fldChar w:fldCharType="separate"/>
      </w:r>
      <w:r w:rsidRPr="00B849DC" w:rsidR="00B849DC">
        <w:rPr>
          <w:noProof/>
          <w:lang w:val="en-US" w:bidi="en-US"/>
        </w:rPr>
        <w:t>179</w:t>
      </w:r>
      <w:r w:rsidRPr="00B849DC">
        <w:fldChar w:fldCharType="end"/>
      </w:r>
      <w:r w:rsidRPr="00B849DC">
        <w:rPr>
          <w:lang w:val="en-US" w:bidi="en-US"/>
        </w:rPr>
        <w:t xml:space="preserve">.  Finally, the </w:t>
      </w:r>
      <w:r w:rsidRPr="00B849DC" w:rsidR="009D385D">
        <w:rPr>
          <w:lang w:val="en-US" w:bidi="en-US"/>
        </w:rPr>
        <w:t xml:space="preserve">Court </w:t>
      </w:r>
      <w:r w:rsidRPr="00B849DC">
        <w:rPr>
          <w:lang w:val="en-US" w:bidi="en-US"/>
        </w:rPr>
        <w:t>ha</w:t>
      </w:r>
      <w:r w:rsidRPr="00B849DC" w:rsidR="009D385D">
        <w:rPr>
          <w:lang w:val="en-US" w:bidi="en-US"/>
        </w:rPr>
        <w:t xml:space="preserve">s </w:t>
      </w:r>
      <w:r w:rsidRPr="00B849DC">
        <w:rPr>
          <w:lang w:val="en-US" w:bidi="en-US"/>
        </w:rPr>
        <w:t xml:space="preserve">not </w:t>
      </w:r>
      <w:r w:rsidRPr="00B849DC" w:rsidR="009D385D">
        <w:rPr>
          <w:lang w:val="en-US" w:bidi="en-US"/>
        </w:rPr>
        <w:t xml:space="preserve">been </w:t>
      </w:r>
      <w:r w:rsidRPr="00B849DC">
        <w:rPr>
          <w:lang w:val="en-US" w:bidi="en-US"/>
        </w:rPr>
        <w:t xml:space="preserve">provided </w:t>
      </w:r>
      <w:r w:rsidRPr="00B849DC" w:rsidR="009D385D">
        <w:rPr>
          <w:lang w:val="en-US" w:bidi="en-US"/>
        </w:rPr>
        <w:t xml:space="preserve">with </w:t>
      </w:r>
      <w:r w:rsidRPr="00B849DC">
        <w:rPr>
          <w:lang w:val="en-US" w:bidi="en-US"/>
        </w:rPr>
        <w:t>examples of cases in which ex-employees of liquidated unitary enterprises having the right of economic control were successful in proceedings brought under Article 56 § 3 of the Civil Code.</w:t>
      </w:r>
    </w:p>
    <w:p w:rsidRPr="00B849DC" w:rsidR="00CA087B" w:rsidP="00B849DC" w:rsidRDefault="00A740C8">
      <w:pPr>
        <w:pStyle w:val="ECHRPara"/>
        <w:rPr>
          <w:lang w:val="en-US" w:bidi="en-US"/>
        </w:rPr>
      </w:pPr>
      <w:r w:rsidRPr="00B849DC">
        <w:rPr>
          <w:lang w:bidi="en-US"/>
        </w:rPr>
        <w:fldChar w:fldCharType="begin"/>
      </w:r>
      <w:r w:rsidRPr="00B849DC">
        <w:rPr>
          <w:lang w:val="en-US" w:bidi="en-US"/>
        </w:rPr>
        <w:instrText xml:space="preserve"> SEQ level0 \*arabic </w:instrText>
      </w:r>
      <w:r w:rsidRPr="00B849DC">
        <w:rPr>
          <w:lang w:bidi="en-US"/>
        </w:rPr>
        <w:fldChar w:fldCharType="separate"/>
      </w:r>
      <w:r w:rsidRPr="00B849DC" w:rsidR="00B849DC">
        <w:rPr>
          <w:noProof/>
          <w:lang w:val="en-US" w:bidi="en-US"/>
        </w:rPr>
        <w:t>180</w:t>
      </w:r>
      <w:r w:rsidRPr="00B849DC">
        <w:fldChar w:fldCharType="end"/>
      </w:r>
      <w:r w:rsidRPr="00B849DC">
        <w:rPr>
          <w:lang w:val="en-US" w:bidi="en-US"/>
        </w:rPr>
        <w:t xml:space="preserve">.  For the above reasons the Court </w:t>
      </w:r>
      <w:r w:rsidRPr="00B849DC" w:rsidR="009D385D">
        <w:rPr>
          <w:lang w:val="en-US" w:bidi="en-US"/>
        </w:rPr>
        <w:t>is not persuaded that the applicants</w:t>
      </w:r>
      <w:r w:rsidRPr="00B849DC" w:rsidR="00B849DC">
        <w:rPr>
          <w:lang w:val="en-US" w:bidi="en-US"/>
        </w:rPr>
        <w:t>’</w:t>
      </w:r>
      <w:r w:rsidRPr="00B849DC" w:rsidR="009D385D">
        <w:rPr>
          <w:lang w:val="en-US" w:bidi="en-US"/>
        </w:rPr>
        <w:t xml:space="preserve"> actions under Article 56 § 3 had any reasonable prospect of success. The Court accordingly </w:t>
      </w:r>
      <w:r w:rsidRPr="00B849DC">
        <w:rPr>
          <w:lang w:val="en-US" w:bidi="en-US"/>
        </w:rPr>
        <w:t>considers that the remedy the applicants attempted to use was not “effective” within the meaning of Article 13 of the Convention in the two cases at hand.</w:t>
      </w:r>
    </w:p>
    <w:p w:rsidRPr="00B849DC" w:rsidR="00A740C8" w:rsidP="00B849DC" w:rsidRDefault="00A740C8">
      <w:pPr>
        <w:pStyle w:val="ECHRHeading6"/>
        <w:rPr>
          <w:lang w:val="en-US"/>
        </w:rPr>
      </w:pPr>
      <w:r w:rsidRPr="00B849DC">
        <w:rPr>
          <w:lang w:val="en-US"/>
        </w:rPr>
        <w:t>(</w:t>
      </w:r>
      <w:proofErr w:type="gramStart"/>
      <w:r w:rsidRPr="00B849DC">
        <w:rPr>
          <w:lang w:bidi="ar-SA"/>
        </w:rPr>
        <w:t>γ</w:t>
      </w:r>
      <w:proofErr w:type="gramEnd"/>
      <w:r w:rsidRPr="00B849DC">
        <w:rPr>
          <w:lang w:val="en-US"/>
        </w:rPr>
        <w:t>)  As regards the sufficiency of the redress</w:t>
      </w:r>
    </w:p>
    <w:p w:rsidRPr="00B849DC" w:rsidR="00A740C8" w:rsidP="00B849DC" w:rsidRDefault="00A740C8">
      <w:pPr>
        <w:pStyle w:val="ECHRPara"/>
        <w:rPr>
          <w:lang w:val="en-US"/>
        </w:rPr>
      </w:pPr>
      <w:r w:rsidRPr="00B849DC">
        <w:fldChar w:fldCharType="begin"/>
      </w:r>
      <w:r w:rsidRPr="00B849DC">
        <w:rPr>
          <w:lang w:val="en-US"/>
        </w:rPr>
        <w:instrText xml:space="preserve"> SEQ level0 \*arabic </w:instrText>
      </w:r>
      <w:r w:rsidRPr="00B849DC">
        <w:fldChar w:fldCharType="separate"/>
      </w:r>
      <w:r w:rsidRPr="00B849DC" w:rsidR="00B849DC">
        <w:rPr>
          <w:noProof/>
          <w:lang w:val="en-US"/>
        </w:rPr>
        <w:t>181</w:t>
      </w:r>
      <w:r w:rsidRPr="00B849DC">
        <w:fldChar w:fldCharType="end"/>
      </w:r>
      <w:r w:rsidRPr="00B849DC">
        <w:rPr>
          <w:lang w:val="en-US"/>
        </w:rPr>
        <w:t>.  In the light of the above, the Court does not consider it necessary to examine the issue of the sufficiency of the redress which could have been granted to the claimants by virtue of the respective procedure.</w:t>
      </w:r>
    </w:p>
    <w:p w:rsidRPr="00B849DC" w:rsidR="00DD0701" w:rsidP="00B849DC" w:rsidRDefault="00A740C8">
      <w:pPr>
        <w:pStyle w:val="ECHRHeading5"/>
        <w:rPr>
          <w:lang w:val="en-US"/>
        </w:rPr>
      </w:pPr>
      <w:r w:rsidRPr="00B849DC">
        <w:rPr>
          <w:lang w:val="en-US"/>
        </w:rPr>
        <w:t>(x</w:t>
      </w:r>
      <w:r w:rsidRPr="00B849DC" w:rsidR="00C02A30">
        <w:rPr>
          <w:lang w:val="en-US"/>
        </w:rPr>
        <w:t>)  </w:t>
      </w:r>
      <w:r w:rsidRPr="00B849DC" w:rsidR="00DD0701">
        <w:rPr>
          <w:lang w:val="en-US"/>
        </w:rPr>
        <w:t>Conclusion</w:t>
      </w:r>
    </w:p>
    <w:p w:rsidRPr="00B849DC" w:rsidR="00DD0701" w:rsidP="00B849DC" w:rsidRDefault="00DD0701">
      <w:pPr>
        <w:pStyle w:val="ECHRPara"/>
        <w:rPr>
          <w:i/>
          <w:szCs w:val="24"/>
          <w:lang w:val="it-IT"/>
        </w:rPr>
      </w:pPr>
      <w:r w:rsidRPr="00B849DC">
        <w:fldChar w:fldCharType="begin"/>
      </w:r>
      <w:r w:rsidRPr="00B849DC">
        <w:rPr>
          <w:lang w:val="en-US"/>
        </w:rPr>
        <w:instrText xml:space="preserve"> SEQ level0 \*arabic </w:instrText>
      </w:r>
      <w:r w:rsidRPr="00B849DC">
        <w:fldChar w:fldCharType="separate"/>
      </w:r>
      <w:r w:rsidRPr="00B849DC" w:rsidR="00B849DC">
        <w:rPr>
          <w:noProof/>
          <w:lang w:val="en-US"/>
        </w:rPr>
        <w:t>182</w:t>
      </w:r>
      <w:r w:rsidRPr="00B849DC">
        <w:fldChar w:fldCharType="end"/>
      </w:r>
      <w:r w:rsidRPr="00B849DC">
        <w:rPr>
          <w:lang w:val="en-US"/>
        </w:rPr>
        <w:t>.  </w:t>
      </w:r>
      <w:r w:rsidRPr="00B849DC" w:rsidR="00A740C8">
        <w:rPr>
          <w:lang w:val="en-US"/>
        </w:rPr>
        <w:t xml:space="preserve">Having regard to the above considerations, the Court concludes that none of the remedial avenues put forward by the Government, and none of the remedies employed by the applicants in their attempt to obtain </w:t>
      </w:r>
      <w:r w:rsidRPr="00B849DC" w:rsidR="00F225A6">
        <w:rPr>
          <w:lang w:val="en-US"/>
        </w:rPr>
        <w:t xml:space="preserve">either </w:t>
      </w:r>
      <w:r w:rsidRPr="00B849DC" w:rsidR="00A740C8">
        <w:rPr>
          <w:lang w:val="en-US"/>
        </w:rPr>
        <w:t>the execution of the awards made against the municipal unitary enterprises</w:t>
      </w:r>
      <w:r w:rsidRPr="00B849DC" w:rsidR="00F225A6">
        <w:rPr>
          <w:lang w:val="en-US"/>
        </w:rPr>
        <w:t xml:space="preserve"> or the compensation of the alleged violations</w:t>
      </w:r>
      <w:r w:rsidRPr="00B849DC" w:rsidR="00A740C8">
        <w:rPr>
          <w:lang w:val="en-US"/>
        </w:rPr>
        <w:t xml:space="preserve">, constituted an effective remedy in the present two cases. </w:t>
      </w:r>
      <w:r w:rsidRPr="00B849DC" w:rsidR="00634B2A">
        <w:rPr>
          <w:lang w:val="en-US"/>
        </w:rPr>
        <w:t xml:space="preserve">As regards the effectiveness of these remedies in the aggregate, the Court notes that the Government have neither alleged nor shown that a combination of two or more of them would satisfy the requirements of Article 13. It is therefore unnecessary to rule on this question (see </w:t>
      </w:r>
      <w:r w:rsidRPr="00B849DC" w:rsidR="00634B2A">
        <w:rPr>
          <w:i/>
          <w:szCs w:val="24"/>
          <w:lang w:val="it-IT"/>
        </w:rPr>
        <w:t xml:space="preserve">Sürmeli v. Germany </w:t>
      </w:r>
      <w:r w:rsidRPr="00B849DC" w:rsidR="00634B2A">
        <w:rPr>
          <w:szCs w:val="24"/>
          <w:lang w:val="it-IT"/>
        </w:rPr>
        <w:t xml:space="preserve">[GC], no. 75529/01, § 115, </w:t>
      </w:r>
      <w:r w:rsidRPr="00B849DC" w:rsidR="00634B2A">
        <w:rPr>
          <w:lang w:val="it-IT"/>
        </w:rPr>
        <w:t>ECHR 2006</w:t>
      </w:r>
      <w:r w:rsidRPr="00B849DC" w:rsidR="00634B2A">
        <w:rPr>
          <w:lang w:val="it-IT"/>
        </w:rPr>
        <w:noBreakHyphen/>
        <w:t>VII)</w:t>
      </w:r>
      <w:r w:rsidRPr="00B849DC" w:rsidR="00634B2A">
        <w:rPr>
          <w:lang w:val="en-US"/>
        </w:rPr>
        <w:t xml:space="preserve">. </w:t>
      </w:r>
      <w:r w:rsidRPr="00B849DC" w:rsidR="00A740C8">
        <w:rPr>
          <w:lang w:val="en-US"/>
        </w:rPr>
        <w:t>In view of the above, the Court rejects the Government</w:t>
      </w:r>
      <w:r w:rsidRPr="00B849DC" w:rsidR="00B849DC">
        <w:rPr>
          <w:lang w:val="en-US"/>
        </w:rPr>
        <w:t>’</w:t>
      </w:r>
      <w:r w:rsidRPr="00B849DC" w:rsidR="00A740C8">
        <w:rPr>
          <w:lang w:val="en-US"/>
        </w:rPr>
        <w:t>s non</w:t>
      </w:r>
      <w:r w:rsidRPr="00B849DC" w:rsidR="00A740C8">
        <w:rPr>
          <w:lang w:val="en-US"/>
        </w:rPr>
        <w:noBreakHyphen/>
        <w:t xml:space="preserve">exhaustion arguments in the present cases and finds that there has been a breach of Article 13 of the Convention </w:t>
      </w:r>
      <w:r w:rsidRPr="00B849DC" w:rsidR="00F225A6">
        <w:rPr>
          <w:lang w:val="en-US"/>
        </w:rPr>
        <w:t xml:space="preserve">in conjunction with Article 6 and Article 1 of Protocol No. 1 </w:t>
      </w:r>
      <w:r w:rsidRPr="00B849DC" w:rsidR="00A740C8">
        <w:rPr>
          <w:lang w:val="en-US"/>
        </w:rPr>
        <w:t>in respect of both applications.</w:t>
      </w:r>
    </w:p>
    <w:p w:rsidRPr="00B849DC" w:rsidR="00503F60" w:rsidP="00B849DC" w:rsidRDefault="00503F60">
      <w:pPr>
        <w:pStyle w:val="ECHRHeading3"/>
        <w:rPr>
          <w:lang w:val="en-US"/>
        </w:rPr>
      </w:pPr>
      <w:r w:rsidRPr="00B849DC">
        <w:rPr>
          <w:lang w:val="en-US"/>
        </w:rPr>
        <w:t>2.  </w:t>
      </w:r>
      <w:r w:rsidRPr="00B849DC" w:rsidR="00A740C8">
        <w:rPr>
          <w:lang w:val="en-US"/>
        </w:rPr>
        <w:t>Article 6 of the Convention and Article 1 of Protocol No.</w:t>
      </w:r>
      <w:r w:rsidRPr="00B849DC" w:rsidR="001B36A8">
        <w:rPr>
          <w:lang w:val="en-US"/>
        </w:rPr>
        <w:t xml:space="preserve"> </w:t>
      </w:r>
      <w:r w:rsidRPr="00B849DC" w:rsidR="00A740C8">
        <w:rPr>
          <w:lang w:val="en-US"/>
        </w:rPr>
        <w:t>1</w:t>
      </w:r>
    </w:p>
    <w:p w:rsidRPr="00B849DC" w:rsidR="00BE5A1F" w:rsidP="00B849DC" w:rsidRDefault="00503F60">
      <w:pPr>
        <w:pStyle w:val="ECHRHeading4"/>
        <w:rPr>
          <w:lang w:val="en-US"/>
        </w:rPr>
      </w:pPr>
      <w:r w:rsidRPr="00B849DC">
        <w:rPr>
          <w:lang w:val="en-US"/>
        </w:rPr>
        <w:t>(a)</w:t>
      </w:r>
      <w:r w:rsidRPr="00B849DC" w:rsidR="00BE5A1F">
        <w:rPr>
          <w:lang w:val="en-US"/>
        </w:rPr>
        <w:t>  </w:t>
      </w:r>
      <w:r w:rsidRPr="00B849DC" w:rsidR="0021683A">
        <w:rPr>
          <w:lang w:val="en-US"/>
        </w:rPr>
        <w:t>The Court</w:t>
      </w:r>
      <w:r w:rsidRPr="00B849DC" w:rsidR="00B849DC">
        <w:rPr>
          <w:lang w:val="en-US"/>
        </w:rPr>
        <w:t>’</w:t>
      </w:r>
      <w:r w:rsidRPr="00B849DC" w:rsidR="0021683A">
        <w:rPr>
          <w:lang w:val="en-US"/>
        </w:rPr>
        <w:t>s case-law</w:t>
      </w:r>
    </w:p>
    <w:p w:rsidRPr="00B849DC" w:rsidR="00513916" w:rsidP="00B849DC" w:rsidRDefault="00503F60">
      <w:pPr>
        <w:pStyle w:val="ECHRHeading5"/>
        <w:rPr>
          <w:lang w:val="en-US"/>
        </w:rPr>
      </w:pPr>
      <w:r w:rsidRPr="00B849DC">
        <w:rPr>
          <w:lang w:val="en-US"/>
        </w:rPr>
        <w:t>(</w:t>
      </w:r>
      <w:proofErr w:type="gramStart"/>
      <w:r w:rsidRPr="00B849DC">
        <w:rPr>
          <w:lang w:val="en-US"/>
        </w:rPr>
        <w:t>i</w:t>
      </w:r>
      <w:proofErr w:type="gramEnd"/>
      <w:r w:rsidRPr="00B849DC" w:rsidR="00513916">
        <w:rPr>
          <w:lang w:val="en-US"/>
        </w:rPr>
        <w:t>)  As regards non-enforcement of the domestic judgments</w:t>
      </w:r>
    </w:p>
    <w:p w:rsidRPr="00B849DC" w:rsidR="00BE5A1F" w:rsidP="00B849DC" w:rsidRDefault="00EC1FEF">
      <w:pPr>
        <w:pStyle w:val="ECHRPara"/>
        <w:rPr>
          <w:lang w:val="en-GB"/>
        </w:rPr>
      </w:pPr>
      <w:r w:rsidRPr="00B849DC">
        <w:rPr>
          <w:lang w:val="en-GB"/>
        </w:rPr>
        <w:fldChar w:fldCharType="begin"/>
      </w:r>
      <w:r w:rsidRPr="00B849DC">
        <w:rPr>
          <w:lang w:val="en-GB"/>
        </w:rPr>
        <w:instrText xml:space="preserve"> SEQ level0 \*arabic </w:instrText>
      </w:r>
      <w:r w:rsidRPr="00B849DC">
        <w:rPr>
          <w:lang w:val="en-GB"/>
        </w:rPr>
        <w:fldChar w:fldCharType="separate"/>
      </w:r>
      <w:r w:rsidRPr="00B849DC" w:rsidR="00B849DC">
        <w:rPr>
          <w:noProof/>
          <w:lang w:val="en-GB"/>
        </w:rPr>
        <w:t>183</w:t>
      </w:r>
      <w:r w:rsidRPr="00B849DC">
        <w:rPr>
          <w:lang w:val="en-GB"/>
        </w:rPr>
        <w:fldChar w:fldCharType="end"/>
      </w:r>
      <w:r w:rsidRPr="00B849DC" w:rsidR="00F71A6A">
        <w:rPr>
          <w:lang w:val="en-GB"/>
        </w:rPr>
        <w:t>.  </w:t>
      </w:r>
      <w:r w:rsidRPr="00B849DC" w:rsidR="00BE5A1F">
        <w:rPr>
          <w:lang w:val="en-GB"/>
        </w:rPr>
        <w:t>The Court reiterates at the outset that, where an applicant complains of inability to enforce a court award in his or her favour, the extent of the State</w:t>
      </w:r>
      <w:r w:rsidRPr="00B849DC" w:rsidR="00B849DC">
        <w:rPr>
          <w:lang w:val="en-GB"/>
        </w:rPr>
        <w:t>’</w:t>
      </w:r>
      <w:r w:rsidRPr="00B849DC" w:rsidR="00BE5A1F">
        <w:rPr>
          <w:lang w:val="en-GB"/>
        </w:rPr>
        <w:t>s obligations under Article</w:t>
      </w:r>
      <w:r w:rsidRPr="00B849DC" w:rsidR="00513916">
        <w:rPr>
          <w:lang w:val="en-GB"/>
        </w:rPr>
        <w:t> </w:t>
      </w:r>
      <w:r w:rsidRPr="00B849DC" w:rsidR="00BE5A1F">
        <w:rPr>
          <w:lang w:val="en-GB"/>
        </w:rPr>
        <w:t xml:space="preserve">6 </w:t>
      </w:r>
      <w:r w:rsidRPr="00B849DC" w:rsidR="00DD60F8">
        <w:rPr>
          <w:lang w:val="en-GB"/>
        </w:rPr>
        <w:t xml:space="preserve">of the Convention </w:t>
      </w:r>
      <w:r w:rsidRPr="00B849DC" w:rsidR="00BE5A1F">
        <w:rPr>
          <w:lang w:val="en-GB"/>
        </w:rPr>
        <w:t>and Article</w:t>
      </w:r>
      <w:r w:rsidRPr="00B849DC" w:rsidR="00513916">
        <w:rPr>
          <w:lang w:val="en-GB"/>
        </w:rPr>
        <w:t> </w:t>
      </w:r>
      <w:r w:rsidRPr="00B849DC" w:rsidR="00BE5A1F">
        <w:rPr>
          <w:lang w:val="en-GB"/>
        </w:rPr>
        <w:t>1 of Protocol No.</w:t>
      </w:r>
      <w:r w:rsidRPr="00B849DC" w:rsidR="00513916">
        <w:rPr>
          <w:lang w:val="en-GB"/>
        </w:rPr>
        <w:t> </w:t>
      </w:r>
      <w:r w:rsidRPr="00B849DC" w:rsidR="00BE5A1F">
        <w:rPr>
          <w:lang w:val="en-GB"/>
        </w:rPr>
        <w:t xml:space="preserve">1 varies depending on </w:t>
      </w:r>
      <w:r w:rsidRPr="00B849DC" w:rsidR="00615DD0">
        <w:rPr>
          <w:lang w:val="en-GB"/>
        </w:rPr>
        <w:t xml:space="preserve">the debtor in </w:t>
      </w:r>
      <w:r w:rsidRPr="00B849DC" w:rsidR="00694538">
        <w:rPr>
          <w:lang w:val="en-GB"/>
        </w:rPr>
        <w:t xml:space="preserve">the </w:t>
      </w:r>
      <w:r w:rsidRPr="00B849DC" w:rsidR="00615DD0">
        <w:rPr>
          <w:lang w:val="en-GB"/>
        </w:rPr>
        <w:t>specific case</w:t>
      </w:r>
      <w:r w:rsidRPr="00B849DC" w:rsidR="00BE5A1F">
        <w:rPr>
          <w:lang w:val="en-GB"/>
        </w:rPr>
        <w:t xml:space="preserve"> (see </w:t>
      </w:r>
      <w:r w:rsidRPr="00B849DC" w:rsidR="00615DD0">
        <w:rPr>
          <w:i/>
          <w:lang w:val="en-GB"/>
        </w:rPr>
        <w:t>Anokhin v. </w:t>
      </w:r>
      <w:r w:rsidRPr="00B849DC" w:rsidR="00BE5A1F">
        <w:rPr>
          <w:i/>
          <w:lang w:val="en-GB"/>
        </w:rPr>
        <w:t>Russia</w:t>
      </w:r>
      <w:r w:rsidRPr="00B849DC" w:rsidR="00615DD0">
        <w:rPr>
          <w:lang w:val="en-GB"/>
        </w:rPr>
        <w:t xml:space="preserve"> (dec.), no. 25867/02, 31 </w:t>
      </w:r>
      <w:r w:rsidRPr="00B849DC" w:rsidR="00BE5A1F">
        <w:rPr>
          <w:lang w:val="en-GB"/>
        </w:rPr>
        <w:t xml:space="preserve">May 2007). Where a judgment is against the State, the latter must take the initiative to enforce it fully and in due time (see </w:t>
      </w:r>
      <w:r w:rsidRPr="00B849DC" w:rsidR="00615DD0">
        <w:rPr>
          <w:i/>
          <w:lang w:val="en-GB"/>
        </w:rPr>
        <w:t>Akashev v. </w:t>
      </w:r>
      <w:r w:rsidRPr="00B849DC" w:rsidR="00BE5A1F">
        <w:rPr>
          <w:i/>
          <w:lang w:val="en-GB"/>
        </w:rPr>
        <w:t>Russia</w:t>
      </w:r>
      <w:r w:rsidRPr="00B849DC" w:rsidR="00615DD0">
        <w:rPr>
          <w:lang w:val="en-GB"/>
        </w:rPr>
        <w:t>, no. 30616/05, §§ </w:t>
      </w:r>
      <w:r w:rsidRPr="00B849DC" w:rsidR="00A779F4">
        <w:rPr>
          <w:lang w:val="en-GB"/>
        </w:rPr>
        <w:t>21</w:t>
      </w:r>
      <w:r w:rsidRPr="00B849DC" w:rsidR="00A779F4">
        <w:rPr>
          <w:lang w:val="en-GB"/>
        </w:rPr>
        <w:noBreakHyphen/>
        <w:t>23, 12 </w:t>
      </w:r>
      <w:r w:rsidRPr="00B849DC" w:rsidR="00BE5A1F">
        <w:rPr>
          <w:lang w:val="en-GB"/>
        </w:rPr>
        <w:t xml:space="preserve">June 2008, and </w:t>
      </w:r>
      <w:r w:rsidRPr="00B849DC" w:rsidR="00615DD0">
        <w:rPr>
          <w:i/>
          <w:lang w:val="en-GB"/>
        </w:rPr>
        <w:t>Burdov v. </w:t>
      </w:r>
      <w:r w:rsidRPr="00B849DC" w:rsidR="00BE5A1F">
        <w:rPr>
          <w:i/>
          <w:lang w:val="en-GB"/>
        </w:rPr>
        <w:t>Russia</w:t>
      </w:r>
      <w:r w:rsidRPr="00B849DC" w:rsidR="00BE5A1F">
        <w:rPr>
          <w:lang w:val="en-GB"/>
        </w:rPr>
        <w:t>, n</w:t>
      </w:r>
      <w:r w:rsidRPr="00B849DC" w:rsidR="00615DD0">
        <w:rPr>
          <w:lang w:val="en-GB"/>
        </w:rPr>
        <w:t>o. 59498/00, §§ </w:t>
      </w:r>
      <w:r w:rsidRPr="00B849DC" w:rsidR="00A779F4">
        <w:rPr>
          <w:lang w:val="en-GB"/>
        </w:rPr>
        <w:t xml:space="preserve">33-42, </w:t>
      </w:r>
      <w:r w:rsidRPr="00B849DC" w:rsidR="00AD0DC7">
        <w:rPr>
          <w:lang w:val="it-IT"/>
        </w:rPr>
        <w:t>ECHR 2002</w:t>
      </w:r>
      <w:r w:rsidRPr="00B849DC" w:rsidR="00AD0DC7">
        <w:rPr>
          <w:lang w:val="it-IT"/>
        </w:rPr>
        <w:noBreakHyphen/>
        <w:t>III</w:t>
      </w:r>
      <w:r w:rsidRPr="00B849DC" w:rsidR="00BE5A1F">
        <w:rPr>
          <w:lang w:val="en-GB"/>
        </w:rPr>
        <w:t xml:space="preserve">). When the debtor is a private individual or company, the </w:t>
      </w:r>
      <w:r w:rsidRPr="00B849DC" w:rsidR="000B1E96">
        <w:rPr>
          <w:lang w:val="en-GB"/>
        </w:rPr>
        <w:t xml:space="preserve">situation </w:t>
      </w:r>
      <w:r w:rsidRPr="00B849DC" w:rsidR="00BE5A1F">
        <w:rPr>
          <w:lang w:val="en-GB"/>
        </w:rPr>
        <w:t xml:space="preserve">is different, since the State is not, as a general rule, directly liable for </w:t>
      </w:r>
      <w:r w:rsidRPr="00B849DC" w:rsidR="001D228D">
        <w:rPr>
          <w:lang w:val="en-GB"/>
        </w:rPr>
        <w:t xml:space="preserve">the </w:t>
      </w:r>
      <w:r w:rsidRPr="00B849DC" w:rsidR="00BE5A1F">
        <w:rPr>
          <w:lang w:val="en-GB"/>
        </w:rPr>
        <w:t>debts of private individuals or companies and its obligations under the Convention are limited to providing the necessary assistance to the creditor in the enforcement of the respective court awards, for example, through a bailiff service</w:t>
      </w:r>
      <w:r w:rsidRPr="00B849DC" w:rsidR="00D60844">
        <w:rPr>
          <w:lang w:val="en-GB"/>
        </w:rPr>
        <w:t xml:space="preserve"> or </w:t>
      </w:r>
      <w:r w:rsidRPr="00B849DC" w:rsidR="00D60844">
        <w:rPr>
          <w:lang w:val="en-US"/>
        </w:rPr>
        <w:t>bankruptcy procedures</w:t>
      </w:r>
      <w:r w:rsidRPr="00B849DC" w:rsidR="00BE5A1F">
        <w:rPr>
          <w:lang w:val="en-GB"/>
        </w:rPr>
        <w:t xml:space="preserve"> (see, for example, </w:t>
      </w:r>
      <w:r w:rsidRPr="00B849DC" w:rsidR="002E361D">
        <w:rPr>
          <w:rFonts w:ascii="Times New Roman" w:hAnsi="Times New Roman" w:cs="Times New Roman"/>
          <w:i/>
          <w:iCs/>
          <w:color w:val="000000"/>
          <w:lang w:val="en-US"/>
        </w:rPr>
        <w:t>Kunashko v. Russia</w:t>
      </w:r>
      <w:r w:rsidRPr="00B849DC" w:rsidR="002E361D">
        <w:rPr>
          <w:rFonts w:ascii="Times New Roman" w:hAnsi="Times New Roman" w:cs="Times New Roman"/>
          <w:color w:val="000000"/>
          <w:lang w:val="en-US"/>
        </w:rPr>
        <w:t>, no. 36337/03, §§ 38</w:t>
      </w:r>
      <w:r w:rsidRPr="00B849DC" w:rsidR="002E361D">
        <w:rPr>
          <w:rFonts w:ascii="Times New Roman" w:hAnsi="Times New Roman" w:cs="Times New Roman"/>
          <w:color w:val="000000"/>
          <w:lang w:val="en-US"/>
        </w:rPr>
        <w:noBreakHyphen/>
        <w:t>49, 17 December 2009</w:t>
      </w:r>
      <w:r w:rsidRPr="00B849DC" w:rsidR="00D60844">
        <w:rPr>
          <w:lang w:val="en-GB"/>
        </w:rPr>
        <w:t xml:space="preserve">; </w:t>
      </w:r>
      <w:r w:rsidRPr="00B849DC" w:rsidR="00A779F4">
        <w:rPr>
          <w:i/>
          <w:lang w:val="en-US"/>
        </w:rPr>
        <w:t>Shestakov v. </w:t>
      </w:r>
      <w:r w:rsidRPr="00B849DC" w:rsidR="002E3CE4">
        <w:rPr>
          <w:i/>
          <w:lang w:val="en-US"/>
        </w:rPr>
        <w:t>Russia </w:t>
      </w:r>
      <w:r w:rsidRPr="00B849DC" w:rsidR="00D60844">
        <w:rPr>
          <w:lang w:val="en-US"/>
        </w:rPr>
        <w:t>(dec.),</w:t>
      </w:r>
      <w:r w:rsidRPr="00B849DC" w:rsidR="00D60844">
        <w:rPr>
          <w:i/>
          <w:lang w:val="en-US"/>
        </w:rPr>
        <w:t xml:space="preserve"> </w:t>
      </w:r>
      <w:r w:rsidRPr="00B849DC" w:rsidR="00D60844">
        <w:rPr>
          <w:lang w:val="en-US"/>
        </w:rPr>
        <w:t xml:space="preserve">no. 48757/9, 18 June 2002; </w:t>
      </w:r>
      <w:r w:rsidRPr="00B849DC" w:rsidR="002E361D">
        <w:rPr>
          <w:lang w:val="en-US"/>
        </w:rPr>
        <w:t xml:space="preserve">and </w:t>
      </w:r>
      <w:r w:rsidRPr="00B849DC" w:rsidR="002E3CE4">
        <w:rPr>
          <w:i/>
          <w:lang w:val="en-US"/>
        </w:rPr>
        <w:t>Krivonogova v. </w:t>
      </w:r>
      <w:r w:rsidRPr="00B849DC" w:rsidR="00D60844">
        <w:rPr>
          <w:i/>
          <w:lang w:val="en-US"/>
        </w:rPr>
        <w:t>Russia</w:t>
      </w:r>
      <w:r w:rsidRPr="00B849DC" w:rsidR="00A779F4">
        <w:rPr>
          <w:lang w:val="en-US"/>
        </w:rPr>
        <w:t> </w:t>
      </w:r>
      <w:r w:rsidRPr="00B849DC" w:rsidR="00D60844">
        <w:rPr>
          <w:lang w:val="en-US"/>
        </w:rPr>
        <w:t>(dec.), no. 74694/01, 1 April 2004.</w:t>
      </w:r>
      <w:r w:rsidRPr="00B849DC" w:rsidR="00BE5A1F">
        <w:rPr>
          <w:lang w:val="en-GB"/>
        </w:rPr>
        <w:t>).</w:t>
      </w:r>
    </w:p>
    <w:p w:rsidRPr="00B849DC" w:rsidR="00513916" w:rsidP="00B849DC" w:rsidRDefault="00503F60">
      <w:pPr>
        <w:pStyle w:val="ECHRHeading5"/>
        <w:rPr>
          <w:lang w:val="en-US"/>
        </w:rPr>
      </w:pPr>
      <w:r w:rsidRPr="00B849DC">
        <w:rPr>
          <w:lang w:val="en-US"/>
        </w:rPr>
        <w:t>(ii</w:t>
      </w:r>
      <w:r w:rsidRPr="00B849DC" w:rsidR="00513916">
        <w:rPr>
          <w:lang w:val="en-US"/>
        </w:rPr>
        <w:t xml:space="preserve">)  As regards </w:t>
      </w:r>
      <w:r w:rsidRPr="00B849DC" w:rsidR="001D228D">
        <w:rPr>
          <w:lang w:val="en-US"/>
        </w:rPr>
        <w:t>whether</w:t>
      </w:r>
      <w:r w:rsidRPr="00B849DC" w:rsidR="00513916">
        <w:rPr>
          <w:lang w:val="en-US"/>
        </w:rPr>
        <w:t xml:space="preserve"> the debts of the </w:t>
      </w:r>
      <w:r w:rsidRPr="00B849DC">
        <w:rPr>
          <w:lang w:val="en-US"/>
        </w:rPr>
        <w:t>S</w:t>
      </w:r>
      <w:r w:rsidRPr="00B849DC" w:rsidR="00513916">
        <w:rPr>
          <w:lang w:val="en-US"/>
        </w:rPr>
        <w:t xml:space="preserve">tate-owned companies </w:t>
      </w:r>
      <w:r w:rsidRPr="00B849DC" w:rsidR="001D228D">
        <w:rPr>
          <w:lang w:val="en-US"/>
        </w:rPr>
        <w:t xml:space="preserve">are attributable </w:t>
      </w:r>
      <w:r w:rsidRPr="00B849DC" w:rsidR="00513916">
        <w:rPr>
          <w:lang w:val="en-US"/>
        </w:rPr>
        <w:t>to the State</w:t>
      </w:r>
    </w:p>
    <w:p w:rsidRPr="00B849DC" w:rsidR="00411DF6" w:rsidP="00B849DC" w:rsidRDefault="00411DF6">
      <w:pPr>
        <w:pStyle w:val="ECHRPara"/>
        <w:rPr>
          <w:lang w:val="en-GB"/>
        </w:rPr>
      </w:pPr>
      <w:r w:rsidRPr="00B849DC">
        <w:rPr>
          <w:lang w:val="en-GB"/>
        </w:rPr>
        <w:fldChar w:fldCharType="begin"/>
      </w:r>
      <w:r w:rsidRPr="00B849DC">
        <w:rPr>
          <w:lang w:val="en-GB"/>
        </w:rPr>
        <w:instrText xml:space="preserve"> SEQ level0 \*arabic </w:instrText>
      </w:r>
      <w:r w:rsidRPr="00B849DC">
        <w:rPr>
          <w:lang w:val="en-GB"/>
        </w:rPr>
        <w:fldChar w:fldCharType="separate"/>
      </w:r>
      <w:r w:rsidRPr="00B849DC" w:rsidR="00B849DC">
        <w:rPr>
          <w:noProof/>
          <w:lang w:val="en-GB"/>
        </w:rPr>
        <w:t>184</w:t>
      </w:r>
      <w:r w:rsidRPr="00B849DC">
        <w:rPr>
          <w:lang w:val="en-GB"/>
        </w:rPr>
        <w:fldChar w:fldCharType="end"/>
      </w:r>
      <w:r w:rsidRPr="00B849DC">
        <w:rPr>
          <w:lang w:val="en-GB"/>
        </w:rPr>
        <w:t>.  The Court has already ruled on the question whether a State can be held responsible under the Convention on account of acts by a company or a private person. A first category of cases (to which the present case belongs) concerns the State</w:t>
      </w:r>
      <w:r w:rsidRPr="00B849DC" w:rsidR="00B849DC">
        <w:rPr>
          <w:lang w:val="en-GB"/>
        </w:rPr>
        <w:t>’</w:t>
      </w:r>
      <w:r w:rsidRPr="00B849DC">
        <w:rPr>
          <w:lang w:val="en-GB"/>
        </w:rPr>
        <w:t xml:space="preserve">s responsibility </w:t>
      </w:r>
      <w:r w:rsidRPr="00B849DC">
        <w:rPr>
          <w:i/>
          <w:lang w:val="en-GB"/>
        </w:rPr>
        <w:t>ratione personae</w:t>
      </w:r>
      <w:r w:rsidRPr="00B849DC">
        <w:rPr>
          <w:lang w:val="en-GB"/>
        </w:rPr>
        <w:t xml:space="preserve"> for the acts of a body which is not, at least formally, a “public authority”. In the case of </w:t>
      </w:r>
      <w:r w:rsidRPr="00B849DC" w:rsidR="00A779F4">
        <w:rPr>
          <w:i/>
          <w:lang w:val="en-GB"/>
        </w:rPr>
        <w:t>Costello</w:t>
      </w:r>
      <w:r w:rsidRPr="00B849DC" w:rsidR="00A779F4">
        <w:rPr>
          <w:i/>
          <w:lang w:val="en-GB"/>
        </w:rPr>
        <w:noBreakHyphen/>
        <w:t>Roberts</w:t>
      </w:r>
      <w:r w:rsidRPr="00B849DC">
        <w:rPr>
          <w:i/>
          <w:lang w:val="en-GB"/>
        </w:rPr>
        <w:t xml:space="preserve"> v. the United Kingdom</w:t>
      </w:r>
      <w:r w:rsidRPr="00B849DC">
        <w:rPr>
          <w:lang w:val="en-GB"/>
        </w:rPr>
        <w:t xml:space="preserve"> (</w:t>
      </w:r>
      <w:r w:rsidRPr="00B849DC" w:rsidR="00CE487D">
        <w:rPr>
          <w:lang w:val="en-GB"/>
        </w:rPr>
        <w:t>25 March 1993, §</w:t>
      </w:r>
      <w:r w:rsidRPr="00B849DC" w:rsidR="000C7CCA">
        <w:rPr>
          <w:lang w:val="en-GB"/>
        </w:rPr>
        <w:t xml:space="preserve"> 27, </w:t>
      </w:r>
      <w:r w:rsidRPr="00B849DC" w:rsidR="00A779F4">
        <w:rPr>
          <w:lang w:val="en-GB"/>
        </w:rPr>
        <w:t>Series </w:t>
      </w:r>
      <w:proofErr w:type="gramStart"/>
      <w:r w:rsidRPr="00B849DC" w:rsidR="00A779F4">
        <w:rPr>
          <w:lang w:val="en-GB"/>
        </w:rPr>
        <w:t>A</w:t>
      </w:r>
      <w:proofErr w:type="gramEnd"/>
      <w:r w:rsidRPr="00B849DC" w:rsidR="00A779F4">
        <w:rPr>
          <w:lang w:val="en-GB"/>
        </w:rPr>
        <w:t xml:space="preserve"> no. </w:t>
      </w:r>
      <w:r w:rsidRPr="00B849DC" w:rsidR="00CE487D">
        <w:rPr>
          <w:lang w:val="en-GB"/>
        </w:rPr>
        <w:t>247</w:t>
      </w:r>
      <w:r w:rsidRPr="00B849DC">
        <w:rPr>
          <w:lang w:val="en-GB"/>
        </w:rPr>
        <w:t xml:space="preserve">), the Court held that a State could not absolve itself from responsibility by delegating its obligations to private bodies or individuals (see </w:t>
      </w:r>
      <w:r w:rsidRPr="00B849DC" w:rsidR="00D1773D">
        <w:rPr>
          <w:lang w:val="en-GB"/>
        </w:rPr>
        <w:t xml:space="preserve">also </w:t>
      </w:r>
      <w:r w:rsidRPr="00B849DC" w:rsidR="0021683A">
        <w:rPr>
          <w:i/>
          <w:lang w:val="en-GB"/>
        </w:rPr>
        <w:t>Storck v. </w:t>
      </w:r>
      <w:r w:rsidRPr="00B849DC">
        <w:rPr>
          <w:i/>
          <w:lang w:val="en-GB"/>
        </w:rPr>
        <w:t xml:space="preserve">Germany </w:t>
      </w:r>
      <w:r w:rsidRPr="00B849DC" w:rsidR="0021683A">
        <w:rPr>
          <w:lang w:val="en-GB"/>
        </w:rPr>
        <w:t>no. 61603/00, § </w:t>
      </w:r>
      <w:r w:rsidRPr="00B849DC">
        <w:rPr>
          <w:lang w:val="en-GB"/>
        </w:rPr>
        <w:t>103, ECHR 2005</w:t>
      </w:r>
      <w:r w:rsidRPr="00B849DC" w:rsidR="00A779F4">
        <w:rPr>
          <w:rFonts w:ascii="MS Mincho" w:hAnsi="MS Mincho" w:eastAsia="MS Mincho" w:cs="MS Mincho"/>
          <w:lang w:val="en-GB"/>
        </w:rPr>
        <w:t>-</w:t>
      </w:r>
      <w:r w:rsidRPr="00B849DC">
        <w:rPr>
          <w:lang w:val="en-GB"/>
        </w:rPr>
        <w:t>V).</w:t>
      </w:r>
      <w:r w:rsidRPr="00B849DC" w:rsidR="00BD2715">
        <w:rPr>
          <w:szCs w:val="24"/>
          <w:lang w:val="en-GB"/>
        </w:rPr>
        <w:t xml:space="preserve"> </w:t>
      </w:r>
      <w:r w:rsidRPr="00B849DC">
        <w:rPr>
          <w:lang w:val="en-GB"/>
        </w:rPr>
        <w:t xml:space="preserve">A second category of cases concerns the </w:t>
      </w:r>
      <w:r w:rsidRPr="00B849DC">
        <w:rPr>
          <w:i/>
          <w:lang w:val="en-GB"/>
        </w:rPr>
        <w:t>locus standi</w:t>
      </w:r>
      <w:r w:rsidRPr="00B849DC">
        <w:rPr>
          <w:lang w:val="en-GB"/>
        </w:rPr>
        <w:t xml:space="preserve"> of an</w:t>
      </w:r>
      <w:r w:rsidRPr="00B849DC" w:rsidR="0021683A">
        <w:rPr>
          <w:lang w:val="en-GB"/>
        </w:rPr>
        <w:t xml:space="preserve"> applicant entity under Article </w:t>
      </w:r>
      <w:r w:rsidRPr="00B849DC">
        <w:rPr>
          <w:lang w:val="en-GB"/>
        </w:rPr>
        <w:t xml:space="preserve">34 of the Convention and the notion of “governmental organisation”. In the case of </w:t>
      </w:r>
      <w:r w:rsidRPr="00B849DC">
        <w:rPr>
          <w:i/>
          <w:lang w:val="en-GB"/>
        </w:rPr>
        <w:t>Rad</w:t>
      </w:r>
      <w:r w:rsidRPr="00B849DC" w:rsidR="002E3CE4">
        <w:rPr>
          <w:i/>
          <w:lang w:val="en-GB"/>
        </w:rPr>
        <w:t>io France and Others v. France </w:t>
      </w:r>
      <w:r w:rsidRPr="00B849DC">
        <w:rPr>
          <w:lang w:val="en-GB"/>
        </w:rPr>
        <w:t>(dec.), no. 53984/00, § 26, ECHR 2003</w:t>
      </w:r>
      <w:r w:rsidRPr="00B849DC">
        <w:rPr>
          <w:rFonts w:hint="eastAsia" w:ascii="MS Mincho" w:hAnsi="MS Mincho" w:eastAsia="MS Mincho" w:cs="MS Mincho"/>
          <w:lang w:val="en-GB"/>
        </w:rPr>
        <w:t>‑</w:t>
      </w:r>
      <w:r w:rsidRPr="00B849DC">
        <w:rPr>
          <w:lang w:val="en-GB"/>
        </w:rPr>
        <w:t>X (extracts), the Court noted:</w:t>
      </w:r>
    </w:p>
    <w:p w:rsidRPr="00B849DC" w:rsidR="00411DF6" w:rsidP="00B849DC" w:rsidRDefault="00A13211">
      <w:pPr>
        <w:pStyle w:val="ECHRParaQuote"/>
        <w:rPr>
          <w:lang w:val="en-US"/>
        </w:rPr>
      </w:pPr>
      <w:r w:rsidRPr="00B849DC">
        <w:rPr>
          <w:lang w:val="en-US"/>
        </w:rPr>
        <w:t>“... </w:t>
      </w:r>
      <w:r w:rsidRPr="00B849DC" w:rsidR="00411DF6">
        <w:rPr>
          <w:lang w:val="en-US"/>
        </w:rPr>
        <w:t xml:space="preserve">The category of </w:t>
      </w:r>
      <w:r w:rsidRPr="00B849DC" w:rsidR="00B849DC">
        <w:rPr>
          <w:lang w:val="en-US"/>
        </w:rPr>
        <w:t>‘</w:t>
      </w:r>
      <w:r w:rsidRPr="00B849DC" w:rsidR="00411DF6">
        <w:rPr>
          <w:lang w:val="en-US"/>
        </w:rPr>
        <w:t>governmental organisation</w:t>
      </w:r>
      <w:r w:rsidRPr="00B849DC" w:rsidR="00B849DC">
        <w:rPr>
          <w:lang w:val="en-US"/>
        </w:rPr>
        <w:t>’</w:t>
      </w:r>
      <w:r w:rsidRPr="00B849DC" w:rsidR="00411DF6">
        <w:rPr>
          <w:lang w:val="en-US"/>
        </w:rPr>
        <w:t xml:space="preserve"> includes legal entities which participate in the exercise of governmental powers or run a public service under government control. In order to determine whether any given legal person other than a territorial authority falls within that category, account must be taken of its legal status and, where appropriate, the rights that status gives it, the nature of the activity it carries out and the context in which it is carried out, and the degree of its independence from the political authorities.”</w:t>
      </w:r>
    </w:p>
    <w:p w:rsidRPr="00B849DC" w:rsidR="00C774D4" w:rsidP="00B849DC" w:rsidRDefault="00BD2715">
      <w:pPr>
        <w:pStyle w:val="ECHRPara"/>
        <w:rPr>
          <w:lang w:val="en-US"/>
        </w:rPr>
      </w:pPr>
      <w:r w:rsidRPr="00B849DC">
        <w:rPr>
          <w:lang w:val="en-GB"/>
        </w:rPr>
        <w:fldChar w:fldCharType="begin"/>
      </w:r>
      <w:r w:rsidRPr="00B849DC">
        <w:rPr>
          <w:lang w:val="en-GB"/>
        </w:rPr>
        <w:instrText xml:space="preserve"> SEQ level0 \*arabic </w:instrText>
      </w:r>
      <w:r w:rsidRPr="00B849DC">
        <w:rPr>
          <w:lang w:val="en-GB"/>
        </w:rPr>
        <w:fldChar w:fldCharType="separate"/>
      </w:r>
      <w:r w:rsidRPr="00B849DC" w:rsidR="00B849DC">
        <w:rPr>
          <w:noProof/>
          <w:lang w:val="en-GB"/>
        </w:rPr>
        <w:t>185</w:t>
      </w:r>
      <w:r w:rsidRPr="00B849DC">
        <w:rPr>
          <w:lang w:val="en-GB"/>
        </w:rPr>
        <w:fldChar w:fldCharType="end"/>
      </w:r>
      <w:r w:rsidRPr="00B849DC">
        <w:rPr>
          <w:lang w:val="en-GB"/>
        </w:rPr>
        <w:t>.  </w:t>
      </w:r>
      <w:r w:rsidRPr="00B849DC" w:rsidR="00411DF6">
        <w:rPr>
          <w:lang w:val="en-GB"/>
        </w:rPr>
        <w:t xml:space="preserve">As far as the entity Radio France was concerned, the Court noted that although it had been entrusted with public-service </w:t>
      </w:r>
      <w:r w:rsidRPr="00B849DC" w:rsidR="00105275">
        <w:rPr>
          <w:lang w:val="en-GB"/>
        </w:rPr>
        <w:t xml:space="preserve">tasks </w:t>
      </w:r>
      <w:r w:rsidRPr="00B849DC" w:rsidR="00411DF6">
        <w:rPr>
          <w:lang w:val="en-GB"/>
        </w:rPr>
        <w:t>and depended to a considerable extent on the State for its financing, the legislature had devised a framework which was plainly designed to guarantee its editorial independence and institutional autonomy. The Court thus concluded that Radio France was a non-governmental organisat</w:t>
      </w:r>
      <w:r w:rsidRPr="00B849DC" w:rsidR="00874B11">
        <w:rPr>
          <w:lang w:val="en-GB"/>
        </w:rPr>
        <w:t>ion for the purposes of Article </w:t>
      </w:r>
      <w:r w:rsidRPr="00B849DC" w:rsidR="00411DF6">
        <w:rPr>
          <w:lang w:val="en-GB"/>
        </w:rPr>
        <w:t xml:space="preserve">34 of the Convention. Similarly, the Court found that the applicant company in </w:t>
      </w:r>
      <w:r w:rsidRPr="00B849DC" w:rsidR="00411DF6">
        <w:rPr>
          <w:i/>
          <w:lang w:val="en-GB"/>
        </w:rPr>
        <w:t>Islamic Rep</w:t>
      </w:r>
      <w:r w:rsidRPr="00B849DC" w:rsidR="0021683A">
        <w:rPr>
          <w:i/>
          <w:lang w:val="en-GB"/>
        </w:rPr>
        <w:t xml:space="preserve">ublic of Iran Shipping Lines </w:t>
      </w:r>
      <w:r w:rsidRPr="00B849DC" w:rsidR="002F2C5B">
        <w:rPr>
          <w:lang w:val="en-GB"/>
        </w:rPr>
        <w:t>was a non</w:t>
      </w:r>
      <w:r w:rsidRPr="00B849DC" w:rsidR="002F2C5B">
        <w:rPr>
          <w:lang w:val="en-GB"/>
        </w:rPr>
        <w:noBreakHyphen/>
      </w:r>
      <w:r w:rsidRPr="00B849DC" w:rsidR="00411DF6">
        <w:rPr>
          <w:lang w:val="en-GB"/>
        </w:rPr>
        <w:t>governmental organisation, despite the fact that it was wholly owned by the Iranian State and that a majority of the members of the board of directo</w:t>
      </w:r>
      <w:r w:rsidRPr="00B849DC" w:rsidR="004B27BE">
        <w:rPr>
          <w:lang w:val="en-GB"/>
        </w:rPr>
        <w:t xml:space="preserve">rs were appointed by the State, since </w:t>
      </w:r>
      <w:r w:rsidRPr="00B849DC" w:rsidR="00411DF6">
        <w:rPr>
          <w:lang w:val="en-GB"/>
        </w:rPr>
        <w:t>the applicant company was legally and financially independent from the State and was run as a commercial business</w:t>
      </w:r>
      <w:r w:rsidRPr="00B849DC" w:rsidR="00C774D4">
        <w:rPr>
          <w:lang w:val="en-GB"/>
        </w:rPr>
        <w:t xml:space="preserve"> (</w:t>
      </w:r>
      <w:r w:rsidRPr="00B849DC" w:rsidR="00C774D4">
        <w:rPr>
          <w:lang w:val="en-US"/>
        </w:rPr>
        <w:t>see</w:t>
      </w:r>
      <w:r w:rsidRPr="00B849DC" w:rsidR="00C774D4">
        <w:rPr>
          <w:i/>
          <w:lang w:val="en-GB" w:eastAsia="en-US"/>
        </w:rPr>
        <w:t xml:space="preserve"> </w:t>
      </w:r>
      <w:r w:rsidRPr="00B849DC" w:rsidR="00C774D4">
        <w:rPr>
          <w:i/>
          <w:lang w:val="en-GB"/>
        </w:rPr>
        <w:t>Islamic Republic of Iran Shipping Lines v. Turkey</w:t>
      </w:r>
      <w:r w:rsidRPr="00B849DC" w:rsidR="00C774D4">
        <w:rPr>
          <w:lang w:val="en-GB"/>
        </w:rPr>
        <w:t xml:space="preserve">, </w:t>
      </w:r>
      <w:r w:rsidRPr="00B849DC" w:rsidR="00C774D4">
        <w:rPr>
          <w:lang w:val="en-US"/>
        </w:rPr>
        <w:t>no</w:t>
      </w:r>
      <w:r w:rsidRPr="00B849DC" w:rsidR="00C774D4">
        <w:rPr>
          <w:lang w:val="en-GB"/>
        </w:rPr>
        <w:t xml:space="preserve">. 40998/98, § 79, </w:t>
      </w:r>
      <w:r w:rsidRPr="00B849DC" w:rsidR="00B173EF">
        <w:rPr>
          <w:lang w:val="en-GB"/>
        </w:rPr>
        <w:t>ECHR 2007</w:t>
      </w:r>
      <w:r w:rsidRPr="00B849DC" w:rsidR="00B173EF">
        <w:rPr>
          <w:lang w:val="en-GB"/>
        </w:rPr>
        <w:noBreakHyphen/>
        <w:t>V</w:t>
      </w:r>
      <w:r w:rsidRPr="00B849DC" w:rsidR="00C774D4">
        <w:rPr>
          <w:lang w:val="en-GB"/>
        </w:rPr>
        <w:t>)</w:t>
      </w:r>
      <w:r w:rsidRPr="00B849DC" w:rsidR="00411DF6">
        <w:rPr>
          <w:lang w:val="en-GB"/>
        </w:rPr>
        <w:t>.</w:t>
      </w:r>
      <w:r w:rsidRPr="00B849DC" w:rsidR="00C774D4">
        <w:rPr>
          <w:lang w:val="en-US"/>
        </w:rPr>
        <w:t xml:space="preserve"> In </w:t>
      </w:r>
      <w:r w:rsidRPr="00B849DC" w:rsidR="00C774D4">
        <w:rPr>
          <w:i/>
          <w:lang w:val="en-US"/>
        </w:rPr>
        <w:t xml:space="preserve">RENFE </w:t>
      </w:r>
      <w:r w:rsidRPr="00B849DC" w:rsidR="00C774D4">
        <w:rPr>
          <w:lang w:val="en-US"/>
        </w:rPr>
        <w:t xml:space="preserve">the </w:t>
      </w:r>
      <w:r w:rsidRPr="00B849DC" w:rsidR="00BD58AB">
        <w:rPr>
          <w:lang w:val="en-US"/>
        </w:rPr>
        <w:t xml:space="preserve">former </w:t>
      </w:r>
      <w:r w:rsidRPr="00B849DC" w:rsidR="00C774D4">
        <w:rPr>
          <w:lang w:val="en-US"/>
        </w:rPr>
        <w:t>Commission, in its reasoning leading it to find that the applicant lacked capacity to introduce an application under Article 25, considered that the applicant was a public law corporation, created by the State in</w:t>
      </w:r>
      <w:r w:rsidRPr="00B849DC" w:rsidR="001D228D">
        <w:rPr>
          <w:lang w:val="en-US"/>
        </w:rPr>
        <w:t xml:space="preserve"> order</w:t>
      </w:r>
      <w:r w:rsidRPr="00B849DC" w:rsidR="00C774D4">
        <w:rPr>
          <w:lang w:val="en-US"/>
        </w:rPr>
        <w:t xml:space="preserve"> to run the </w:t>
      </w:r>
      <w:r w:rsidRPr="00B849DC" w:rsidR="001D228D">
        <w:rPr>
          <w:lang w:val="en-US"/>
        </w:rPr>
        <w:t>S</w:t>
      </w:r>
      <w:r w:rsidRPr="00B849DC" w:rsidR="00C774D4">
        <w:rPr>
          <w:lang w:val="en-US"/>
        </w:rPr>
        <w:t>tate rail ne</w:t>
      </w:r>
      <w:r w:rsidRPr="00B849DC" w:rsidR="00EE4529">
        <w:rPr>
          <w:lang w:val="en-US"/>
        </w:rPr>
        <w:t>twork as an industrial company;</w:t>
      </w:r>
      <w:r w:rsidRPr="00B849DC" w:rsidR="00C774D4">
        <w:rPr>
          <w:lang w:val="en-US"/>
        </w:rPr>
        <w:t xml:space="preserve"> its board of directors was an</w:t>
      </w:r>
      <w:r w:rsidRPr="00B849DC" w:rsidR="00EE4529">
        <w:rPr>
          <w:lang w:val="en-US"/>
        </w:rPr>
        <w:t xml:space="preserve">swerable to the Government and </w:t>
      </w:r>
      <w:r w:rsidRPr="00B849DC" w:rsidR="00C774D4">
        <w:rPr>
          <w:lang w:val="en-US"/>
        </w:rPr>
        <w:t xml:space="preserve">the applicant was the only undertaking with a licence to manage, direct and administer the </w:t>
      </w:r>
      <w:r w:rsidRPr="00B849DC" w:rsidR="00977B1E">
        <w:rPr>
          <w:lang w:val="en-US"/>
        </w:rPr>
        <w:t>S</w:t>
      </w:r>
      <w:r w:rsidRPr="00B849DC" w:rsidR="00C774D4">
        <w:rPr>
          <w:lang w:val="en-US"/>
        </w:rPr>
        <w:t xml:space="preserve">tate </w:t>
      </w:r>
      <w:r w:rsidRPr="00B849DC" w:rsidR="00B173EF">
        <w:rPr>
          <w:lang w:val="en-US"/>
        </w:rPr>
        <w:t>railways, with a certain public</w:t>
      </w:r>
      <w:r w:rsidRPr="00B849DC" w:rsidR="00B173EF">
        <w:rPr>
          <w:lang w:val="en-US"/>
        </w:rPr>
        <w:noBreakHyphen/>
      </w:r>
      <w:r w:rsidRPr="00B849DC" w:rsidR="00C774D4">
        <w:rPr>
          <w:lang w:val="en-US"/>
        </w:rPr>
        <w:t xml:space="preserve">service role in the way it did so (see </w:t>
      </w:r>
      <w:r w:rsidRPr="00B849DC" w:rsidR="00C774D4">
        <w:rPr>
          <w:i/>
          <w:lang w:val="en-US"/>
        </w:rPr>
        <w:t>RENFE v. Spain</w:t>
      </w:r>
      <w:r w:rsidRPr="00B849DC" w:rsidR="00C774D4">
        <w:rPr>
          <w:lang w:val="en-US"/>
        </w:rPr>
        <w:t>, no. 35216/97, Commission decision of 8 September 1997, DR 90-B).</w:t>
      </w:r>
    </w:p>
    <w:p w:rsidRPr="00B849DC" w:rsidR="00CA087B" w:rsidP="00B849DC" w:rsidRDefault="00D06563">
      <w:pPr>
        <w:pStyle w:val="ECHRPara"/>
        <w:rPr>
          <w:lang w:val="en-GB"/>
        </w:rPr>
      </w:pPr>
      <w:r w:rsidRPr="00B849DC">
        <w:rPr>
          <w:lang w:val="en-GB"/>
        </w:rPr>
        <w:fldChar w:fldCharType="begin"/>
      </w:r>
      <w:r w:rsidRPr="00B849DC">
        <w:rPr>
          <w:lang w:val="en-GB"/>
        </w:rPr>
        <w:instrText xml:space="preserve"> SEQ level0 \*arabic </w:instrText>
      </w:r>
      <w:r w:rsidRPr="00B849DC">
        <w:rPr>
          <w:lang w:val="en-GB"/>
        </w:rPr>
        <w:fldChar w:fldCharType="separate"/>
      </w:r>
      <w:r w:rsidRPr="00B849DC" w:rsidR="00B849DC">
        <w:rPr>
          <w:noProof/>
          <w:lang w:val="en-GB"/>
        </w:rPr>
        <w:t>186</w:t>
      </w:r>
      <w:r w:rsidRPr="00B849DC">
        <w:rPr>
          <w:lang w:val="en-GB"/>
        </w:rPr>
        <w:fldChar w:fldCharType="end"/>
      </w:r>
      <w:r w:rsidRPr="00B849DC">
        <w:rPr>
          <w:lang w:val="en-GB"/>
        </w:rPr>
        <w:t>.  </w:t>
      </w:r>
      <w:r w:rsidRPr="00B849DC" w:rsidR="00BD2715">
        <w:rPr>
          <w:lang w:val="en-GB"/>
        </w:rPr>
        <w:t>Despite t</w:t>
      </w:r>
      <w:r w:rsidRPr="00B849DC" w:rsidR="00F37F0C">
        <w:rPr>
          <w:lang w:val="en-GB"/>
        </w:rPr>
        <w:t>he</w:t>
      </w:r>
      <w:r w:rsidRPr="00B849DC" w:rsidR="00411DF6">
        <w:rPr>
          <w:lang w:val="en-GB"/>
        </w:rPr>
        <w:t xml:space="preserve"> difference between the concept of “governmental organisation” and that of “public authority”, the pattern of analysis used by the Court in these two situations is similar</w:t>
      </w:r>
      <w:r w:rsidRPr="00B849DC" w:rsidR="0021683A">
        <w:rPr>
          <w:lang w:val="en-GB"/>
        </w:rPr>
        <w:t xml:space="preserve"> (see </w:t>
      </w:r>
      <w:r w:rsidRPr="00B849DC" w:rsidR="00B173EF">
        <w:rPr>
          <w:i/>
          <w:lang w:val="en-GB"/>
        </w:rPr>
        <w:t>Kotov</w:t>
      </w:r>
      <w:r w:rsidRPr="00B849DC" w:rsidR="00B173EF">
        <w:rPr>
          <w:lang w:val="en-GB"/>
        </w:rPr>
        <w:t xml:space="preserve">, </w:t>
      </w:r>
      <w:r w:rsidRPr="00B849DC" w:rsidR="00A1600C">
        <w:rPr>
          <w:lang w:val="en-GB"/>
        </w:rPr>
        <w:t>cited above</w:t>
      </w:r>
      <w:r w:rsidRPr="00B849DC" w:rsidR="00A1600C">
        <w:rPr>
          <w:snapToGrid w:val="0"/>
          <w:szCs w:val="24"/>
          <w:lang w:val="en-GB"/>
        </w:rPr>
        <w:t>, § 95</w:t>
      </w:r>
      <w:r w:rsidRPr="00B849DC" w:rsidR="004B27BE">
        <w:rPr>
          <w:snapToGrid w:val="0"/>
          <w:szCs w:val="24"/>
          <w:lang w:val="en-GB"/>
        </w:rPr>
        <w:t>)</w:t>
      </w:r>
      <w:r w:rsidRPr="00B849DC" w:rsidR="00411DF6">
        <w:rPr>
          <w:lang w:val="en-GB"/>
        </w:rPr>
        <w:t xml:space="preserve">. Thus, </w:t>
      </w:r>
      <w:r w:rsidRPr="00B849DC" w:rsidR="000C7CCA">
        <w:rPr>
          <w:lang w:val="en-GB"/>
        </w:rPr>
        <w:t xml:space="preserve">in the case of </w:t>
      </w:r>
      <w:r w:rsidRPr="00B849DC" w:rsidR="00B173EF">
        <w:rPr>
          <w:i/>
          <w:lang w:val="en-GB"/>
        </w:rPr>
        <w:t>Mykhaylenky and Others v. </w:t>
      </w:r>
      <w:r w:rsidRPr="00B849DC" w:rsidR="000C7CCA">
        <w:rPr>
          <w:i/>
          <w:lang w:val="en-GB"/>
        </w:rPr>
        <w:t>Ukraine</w:t>
      </w:r>
      <w:r w:rsidRPr="00B849DC" w:rsidR="000C7CCA">
        <w:rPr>
          <w:lang w:val="en-GB"/>
        </w:rPr>
        <w:t xml:space="preserve"> (nos. 35091/02, 35196/02, 35201/02, 35204/02, 35945/02, 35949/02, 35953/02, 36800/02, 3829</w:t>
      </w:r>
      <w:r w:rsidRPr="00B849DC" w:rsidR="00B173EF">
        <w:rPr>
          <w:lang w:val="en-GB"/>
        </w:rPr>
        <w:t>6/02 and 42814/02, §§ 43</w:t>
      </w:r>
      <w:r w:rsidRPr="00B849DC" w:rsidR="00B173EF">
        <w:rPr>
          <w:lang w:val="en-GB"/>
        </w:rPr>
        <w:noBreakHyphen/>
      </w:r>
      <w:r w:rsidRPr="00B849DC" w:rsidR="000C7CCA">
        <w:rPr>
          <w:lang w:val="en-GB"/>
        </w:rPr>
        <w:t>46, ECHR 2004</w:t>
      </w:r>
      <w:r w:rsidRPr="00B849DC" w:rsidR="000C7CCA">
        <w:rPr>
          <w:rFonts w:hint="eastAsia" w:ascii="MS Mincho" w:hAnsi="MS Mincho" w:eastAsia="MS Mincho" w:cs="MS Mincho"/>
          <w:lang w:val="en-GB"/>
        </w:rPr>
        <w:t>‑</w:t>
      </w:r>
      <w:r w:rsidRPr="00B849DC" w:rsidR="000C7CCA">
        <w:rPr>
          <w:lang w:val="en-GB"/>
        </w:rPr>
        <w:t>XII), which concerned the issue of the State</w:t>
      </w:r>
      <w:r w:rsidRPr="00B849DC" w:rsidR="00B849DC">
        <w:rPr>
          <w:rFonts w:ascii="Times New Roman" w:hAnsi="Times New Roman" w:cs="Times New Roman"/>
          <w:lang w:val="en-GB"/>
        </w:rPr>
        <w:t>’</w:t>
      </w:r>
      <w:r w:rsidRPr="00B849DC" w:rsidR="000C7CCA">
        <w:rPr>
          <w:lang w:val="en-GB"/>
        </w:rPr>
        <w:t xml:space="preserve">s liability for the debts </w:t>
      </w:r>
      <w:r w:rsidRPr="00B849DC" w:rsidR="000C7CCA">
        <w:rPr>
          <w:lang w:val="en-US"/>
        </w:rPr>
        <w:t xml:space="preserve">of a </w:t>
      </w:r>
      <w:r w:rsidRPr="00B849DC" w:rsidR="00977B1E">
        <w:rPr>
          <w:lang w:val="en-US"/>
        </w:rPr>
        <w:t>S</w:t>
      </w:r>
      <w:r w:rsidRPr="00B849DC" w:rsidR="000C7CCA">
        <w:rPr>
          <w:lang w:val="en-US"/>
        </w:rPr>
        <w:t>tate-owned company</w:t>
      </w:r>
      <w:r w:rsidRPr="00B849DC" w:rsidR="00977B1E">
        <w:rPr>
          <w:lang w:val="en-US"/>
        </w:rPr>
        <w:t>,</w:t>
      </w:r>
      <w:r w:rsidRPr="00B849DC" w:rsidR="000C7CCA">
        <w:rPr>
          <w:lang w:val="en-GB"/>
        </w:rPr>
        <w:t xml:space="preserve"> the Court applied – </w:t>
      </w:r>
      <w:r w:rsidRPr="00B849DC" w:rsidR="000C7CCA">
        <w:rPr>
          <w:i/>
          <w:lang w:val="en-GB"/>
        </w:rPr>
        <w:t>mutatis mutandis</w:t>
      </w:r>
      <w:r w:rsidRPr="00B849DC" w:rsidR="00FF7A30">
        <w:rPr>
          <w:lang w:val="en-GB"/>
        </w:rPr>
        <w:t xml:space="preserve"> and in the context of Article </w:t>
      </w:r>
      <w:r w:rsidRPr="00B849DC" w:rsidR="000C7CCA">
        <w:rPr>
          <w:lang w:val="en-GB"/>
        </w:rPr>
        <w:t xml:space="preserve">34 of the Convention – the </w:t>
      </w:r>
      <w:r w:rsidRPr="00B849DC" w:rsidR="00411DF6">
        <w:rPr>
          <w:lang w:val="en-GB"/>
        </w:rPr>
        <w:t xml:space="preserve">principles developed in </w:t>
      </w:r>
      <w:r w:rsidRPr="00B849DC" w:rsidR="00411DF6">
        <w:rPr>
          <w:i/>
          <w:lang w:val="en-GB"/>
        </w:rPr>
        <w:t>Radio France</w:t>
      </w:r>
      <w:r w:rsidRPr="00B849DC" w:rsidR="003D7D1A">
        <w:rPr>
          <w:lang w:val="en-GB"/>
        </w:rPr>
        <w:t xml:space="preserve"> (see paragraph </w:t>
      </w:r>
      <w:r w:rsidRPr="00B849DC" w:rsidR="00581F52">
        <w:rPr>
          <w:lang w:val="en-GB"/>
        </w:rPr>
        <w:t>1</w:t>
      </w:r>
      <w:r w:rsidRPr="00B849DC" w:rsidR="00E95711">
        <w:rPr>
          <w:lang w:val="en-GB"/>
        </w:rPr>
        <w:t>8</w:t>
      </w:r>
      <w:r w:rsidRPr="00B849DC" w:rsidR="00DB6AB2">
        <w:rPr>
          <w:lang w:val="en-GB"/>
        </w:rPr>
        <w:t>5</w:t>
      </w:r>
      <w:r w:rsidRPr="00B849DC" w:rsidR="003D7D1A">
        <w:rPr>
          <w:lang w:val="en-GB"/>
        </w:rPr>
        <w:t xml:space="preserve"> above)</w:t>
      </w:r>
      <w:r w:rsidRPr="00B849DC" w:rsidR="00E01825">
        <w:rPr>
          <w:lang w:val="en-US"/>
        </w:rPr>
        <w:t>.</w:t>
      </w:r>
      <w:r w:rsidRPr="00B849DC" w:rsidR="000C7CCA">
        <w:rPr>
          <w:lang w:val="en-GB"/>
        </w:rPr>
        <w:t xml:space="preserve"> In the light of those principles, the Court considered </w:t>
      </w:r>
      <w:r w:rsidRPr="00B849DC" w:rsidR="0021683A">
        <w:rPr>
          <w:lang w:val="en-GB"/>
        </w:rPr>
        <w:t xml:space="preserve">whether the company </w:t>
      </w:r>
      <w:r w:rsidRPr="00B849DC" w:rsidR="000C7CCA">
        <w:rPr>
          <w:lang w:val="en-GB"/>
        </w:rPr>
        <w:t xml:space="preserve">in question </w:t>
      </w:r>
      <w:r w:rsidRPr="00B849DC" w:rsidR="00581F52">
        <w:rPr>
          <w:lang w:val="en-GB"/>
        </w:rPr>
        <w:t>“</w:t>
      </w:r>
      <w:r w:rsidRPr="00B849DC" w:rsidR="0021683A">
        <w:rPr>
          <w:lang w:val="en-GB"/>
        </w:rPr>
        <w:t>enjoyed sufficient institutional and operational independence from the State to absolve the latter from its responsibility under the Convention for its acts and omissions</w:t>
      </w:r>
      <w:r w:rsidRPr="00B849DC" w:rsidR="00581F52">
        <w:rPr>
          <w:lang w:val="en-GB"/>
        </w:rPr>
        <w:t>”</w:t>
      </w:r>
      <w:r w:rsidRPr="00B849DC" w:rsidR="0021683A">
        <w:rPr>
          <w:lang w:val="en-GB"/>
        </w:rPr>
        <w:t xml:space="preserve"> (see </w:t>
      </w:r>
      <w:r w:rsidRPr="00B849DC" w:rsidR="002E3CE4">
        <w:rPr>
          <w:i/>
          <w:lang w:val="en-GB"/>
        </w:rPr>
        <w:t>Ališić and Others v. </w:t>
      </w:r>
      <w:r w:rsidRPr="00B849DC" w:rsidR="00C63F57">
        <w:rPr>
          <w:i/>
          <w:lang w:val="en-GB"/>
        </w:rPr>
        <w:t>Bosnia and Herzegovina, Croatia, Serbia, Slovenia and the former Yugoslav Republic of Macedonia</w:t>
      </w:r>
      <w:r w:rsidRPr="00B849DC" w:rsidR="00C63F57">
        <w:rPr>
          <w:i/>
          <w:lang w:val="en-US"/>
        </w:rPr>
        <w:t xml:space="preserve"> </w:t>
      </w:r>
      <w:r w:rsidRPr="00B849DC" w:rsidR="00C63F57">
        <w:rPr>
          <w:lang w:val="en-US"/>
        </w:rPr>
        <w:t xml:space="preserve">[GC], </w:t>
      </w:r>
      <w:r w:rsidRPr="00B849DC" w:rsidR="00C63F57">
        <w:rPr>
          <w:snapToGrid w:val="0"/>
          <w:lang w:val="en-US"/>
        </w:rPr>
        <w:t>no. </w:t>
      </w:r>
      <w:r w:rsidRPr="00B849DC" w:rsidR="00C63F57">
        <w:rPr>
          <w:lang w:val="en-US"/>
        </w:rPr>
        <w:t>60642/08</w:t>
      </w:r>
      <w:r w:rsidRPr="00B849DC" w:rsidR="002E3CE4">
        <w:rPr>
          <w:snapToGrid w:val="0"/>
          <w:lang w:val="en-US"/>
        </w:rPr>
        <w:t>, § 114, 16 July 2014,</w:t>
      </w:r>
      <w:r w:rsidRPr="00B849DC" w:rsidR="00C63F57">
        <w:rPr>
          <w:snapToGrid w:val="0"/>
          <w:lang w:val="en-US"/>
        </w:rPr>
        <w:t xml:space="preserve"> and </w:t>
      </w:r>
      <w:r w:rsidRPr="00B849DC" w:rsidR="0021683A">
        <w:rPr>
          <w:i/>
          <w:lang w:val="en-GB"/>
        </w:rPr>
        <w:t>Mykhaylenky and Others</w:t>
      </w:r>
      <w:r w:rsidRPr="00B849DC" w:rsidR="00D40A31">
        <w:rPr>
          <w:lang w:val="en-GB"/>
        </w:rPr>
        <w:t>, cited above, § </w:t>
      </w:r>
      <w:r w:rsidRPr="00B849DC" w:rsidR="0021683A">
        <w:rPr>
          <w:lang w:val="en-GB"/>
        </w:rPr>
        <w:t>44).</w:t>
      </w:r>
    </w:p>
    <w:p w:rsidRPr="00B849DC" w:rsidR="004B27BE" w:rsidP="00B849DC" w:rsidRDefault="004B27BE">
      <w:pPr>
        <w:pStyle w:val="ECHRPara"/>
        <w:rPr>
          <w:lang w:val="en-GB"/>
        </w:rPr>
      </w:pPr>
      <w:r w:rsidRPr="00B849DC">
        <w:rPr>
          <w:lang w:val="en-GB"/>
        </w:rPr>
        <w:fldChar w:fldCharType="begin"/>
      </w:r>
      <w:r w:rsidRPr="00B849DC">
        <w:rPr>
          <w:lang w:val="en-GB"/>
        </w:rPr>
        <w:instrText xml:space="preserve"> SEQ level0 \*arabic </w:instrText>
      </w:r>
      <w:r w:rsidRPr="00B849DC">
        <w:rPr>
          <w:lang w:val="en-GB"/>
        </w:rPr>
        <w:fldChar w:fldCharType="separate"/>
      </w:r>
      <w:r w:rsidRPr="00B849DC" w:rsidR="00B849DC">
        <w:rPr>
          <w:noProof/>
          <w:lang w:val="en-GB"/>
        </w:rPr>
        <w:t>187</w:t>
      </w:r>
      <w:r w:rsidRPr="00B849DC">
        <w:rPr>
          <w:lang w:val="en-GB"/>
        </w:rPr>
        <w:fldChar w:fldCharType="end"/>
      </w:r>
      <w:r w:rsidRPr="00B849DC">
        <w:rPr>
          <w:lang w:val="en-GB"/>
        </w:rPr>
        <w:t xml:space="preserve">.  In assessing whether a company enjoyed sufficient operational and institutional independence from the State, the Court has taken into account a wide range of factors, none of which </w:t>
      </w:r>
      <w:r w:rsidRPr="00B849DC" w:rsidR="00977B1E">
        <w:rPr>
          <w:lang w:val="en-GB"/>
        </w:rPr>
        <w:t xml:space="preserve">is </w:t>
      </w:r>
      <w:r w:rsidRPr="00B849DC">
        <w:rPr>
          <w:lang w:val="en-GB"/>
        </w:rPr>
        <w:t xml:space="preserve">determinative on its own. </w:t>
      </w:r>
      <w:r w:rsidRPr="00B849DC" w:rsidR="00C63F57">
        <w:rPr>
          <w:lang w:val="en-US"/>
        </w:rPr>
        <w:t>The key criteria used to determine whether the State was indeed responsible for such debts were as follows: the company</w:t>
      </w:r>
      <w:r w:rsidRPr="00B849DC" w:rsidR="00B849DC">
        <w:rPr>
          <w:lang w:val="en-US"/>
        </w:rPr>
        <w:t>’</w:t>
      </w:r>
      <w:r w:rsidRPr="00B849DC" w:rsidR="00C63F57">
        <w:rPr>
          <w:lang w:val="en-US"/>
        </w:rPr>
        <w:t xml:space="preserve">s legal status (under public or private law); the nature of its activity (a public function or an ordinary commercial business); the context of its operation (such as a monopoly or heavily regulated business); its institutional independence (the extent of State ownership); and its operational independence (the extent of State supervision and control) (see </w:t>
      </w:r>
      <w:r w:rsidRPr="00B849DC" w:rsidR="00C63F57">
        <w:rPr>
          <w:i/>
          <w:lang w:val="en-GB"/>
        </w:rPr>
        <w:t xml:space="preserve">Ališić and Others, </w:t>
      </w:r>
      <w:r w:rsidRPr="00B849DC" w:rsidR="00C63F57">
        <w:rPr>
          <w:lang w:val="en-GB"/>
        </w:rPr>
        <w:t>cited above,</w:t>
      </w:r>
      <w:r w:rsidRPr="00B849DC" w:rsidR="00C63F57">
        <w:rPr>
          <w:i/>
          <w:lang w:val="en-GB"/>
        </w:rPr>
        <w:t xml:space="preserve"> </w:t>
      </w:r>
      <w:r w:rsidRPr="00B849DC" w:rsidR="00C63F57">
        <w:rPr>
          <w:snapToGrid w:val="0"/>
          <w:lang w:val="en-US"/>
        </w:rPr>
        <w:t>§ 114)</w:t>
      </w:r>
      <w:r w:rsidRPr="00B849DC" w:rsidR="00C63F57">
        <w:rPr>
          <w:lang w:val="en-US"/>
        </w:rPr>
        <w:t>.</w:t>
      </w:r>
    </w:p>
    <w:p w:rsidRPr="00B849DC" w:rsidR="00C774D4" w:rsidP="00B849DC" w:rsidRDefault="00FF7A30">
      <w:pPr>
        <w:pStyle w:val="ECHRPara"/>
        <w:rPr>
          <w:lang w:val="en-GB"/>
        </w:rPr>
      </w:pPr>
      <w:r w:rsidRPr="00B849DC">
        <w:rPr>
          <w:lang w:val="en-GB"/>
        </w:rPr>
        <w:fldChar w:fldCharType="begin"/>
      </w:r>
      <w:r w:rsidRPr="00B849DC">
        <w:rPr>
          <w:lang w:val="en-GB"/>
        </w:rPr>
        <w:instrText xml:space="preserve"> SEQ level0 \*arabic </w:instrText>
      </w:r>
      <w:r w:rsidRPr="00B849DC">
        <w:rPr>
          <w:lang w:val="en-GB"/>
        </w:rPr>
        <w:fldChar w:fldCharType="separate"/>
      </w:r>
      <w:r w:rsidRPr="00B849DC" w:rsidR="00B849DC">
        <w:rPr>
          <w:noProof/>
          <w:lang w:val="en-GB"/>
        </w:rPr>
        <w:t>188</w:t>
      </w:r>
      <w:r w:rsidRPr="00B849DC">
        <w:rPr>
          <w:lang w:val="en-GB"/>
        </w:rPr>
        <w:fldChar w:fldCharType="end"/>
      </w:r>
      <w:r w:rsidRPr="00B849DC">
        <w:rPr>
          <w:lang w:val="en-GB"/>
        </w:rPr>
        <w:t>.  </w:t>
      </w:r>
      <w:r w:rsidRPr="00B849DC" w:rsidR="00C774D4">
        <w:rPr>
          <w:lang w:val="en-GB"/>
        </w:rPr>
        <w:t>As regards the company</w:t>
      </w:r>
      <w:r w:rsidRPr="00B849DC" w:rsidR="00B849DC">
        <w:rPr>
          <w:lang w:val="en-GB"/>
        </w:rPr>
        <w:t>’</w:t>
      </w:r>
      <w:r w:rsidRPr="00B849DC" w:rsidR="00C774D4">
        <w:rPr>
          <w:lang w:val="en-GB"/>
        </w:rPr>
        <w:t>s legal status under the domestic law, it has been the Court</w:t>
      </w:r>
      <w:r w:rsidRPr="00B849DC" w:rsidR="00B849DC">
        <w:rPr>
          <w:lang w:val="en-GB"/>
        </w:rPr>
        <w:t>’</w:t>
      </w:r>
      <w:r w:rsidRPr="00B849DC" w:rsidR="00C774D4">
        <w:rPr>
          <w:lang w:val="en-GB"/>
        </w:rPr>
        <w:t xml:space="preserve">s constant approach that </w:t>
      </w:r>
      <w:r w:rsidRPr="00B849DC" w:rsidR="00AB5367">
        <w:rPr>
          <w:lang w:val="en-GB"/>
        </w:rPr>
        <w:t xml:space="preserve">that </w:t>
      </w:r>
      <w:r w:rsidRPr="00B849DC" w:rsidR="00C774D4">
        <w:rPr>
          <w:lang w:val="en-GB"/>
        </w:rPr>
        <w:t>status, however important, is not decisive for the determination of the State</w:t>
      </w:r>
      <w:r w:rsidRPr="00B849DC" w:rsidR="00B849DC">
        <w:rPr>
          <w:lang w:val="en-GB"/>
        </w:rPr>
        <w:t>’</w:t>
      </w:r>
      <w:r w:rsidRPr="00B849DC" w:rsidR="00C774D4">
        <w:rPr>
          <w:lang w:val="en-GB"/>
        </w:rPr>
        <w:t>s responsibility for the company</w:t>
      </w:r>
      <w:r w:rsidRPr="00B849DC" w:rsidR="00B849DC">
        <w:rPr>
          <w:lang w:val="en-GB"/>
        </w:rPr>
        <w:t>’</w:t>
      </w:r>
      <w:r w:rsidRPr="00B849DC" w:rsidR="00C774D4">
        <w:rPr>
          <w:lang w:val="en-GB"/>
        </w:rPr>
        <w:t>s acts or omissions under the Convention. Indeed, on several occasions the Court has held the State liable for companies</w:t>
      </w:r>
      <w:r w:rsidRPr="00B849DC" w:rsidR="00B849DC">
        <w:rPr>
          <w:lang w:val="en-GB"/>
        </w:rPr>
        <w:t>’</w:t>
      </w:r>
      <w:r w:rsidRPr="00B849DC" w:rsidR="00C774D4">
        <w:rPr>
          <w:lang w:val="en-GB"/>
        </w:rPr>
        <w:t xml:space="preserve"> debts regardless of their formal classification under d</w:t>
      </w:r>
      <w:r w:rsidRPr="00B849DC" w:rsidR="00F41549">
        <w:rPr>
          <w:lang w:val="en-GB"/>
        </w:rPr>
        <w:t xml:space="preserve">omestic law (see, among others, </w:t>
      </w:r>
      <w:r w:rsidRPr="00B849DC" w:rsidR="00C774D4">
        <w:rPr>
          <w:i/>
          <w:lang w:val="en-GB"/>
        </w:rPr>
        <w:t>Mykhaylenky and Others</w:t>
      </w:r>
      <w:r w:rsidRPr="00B849DC" w:rsidR="00C774D4">
        <w:rPr>
          <w:lang w:val="en-GB"/>
        </w:rPr>
        <w:t xml:space="preserve">, cited above, § 45; </w:t>
      </w:r>
      <w:r w:rsidRPr="00B849DC" w:rsidR="00C774D4">
        <w:rPr>
          <w:i/>
          <w:lang w:val="en-GB"/>
        </w:rPr>
        <w:t>Lisyanskiy v. Ukraine</w:t>
      </w:r>
      <w:r w:rsidRPr="00B849DC" w:rsidR="007B0D03">
        <w:rPr>
          <w:lang w:val="en-GB"/>
        </w:rPr>
        <w:t>, no. 17899/02, § 19, 4 </w:t>
      </w:r>
      <w:r w:rsidRPr="00B849DC" w:rsidR="00C774D4">
        <w:rPr>
          <w:lang w:val="en-GB"/>
        </w:rPr>
        <w:t xml:space="preserve">April 2006; </w:t>
      </w:r>
      <w:r w:rsidRPr="00B849DC" w:rsidR="00C774D4">
        <w:rPr>
          <w:i/>
          <w:lang w:val="en-GB"/>
        </w:rPr>
        <w:t>Cooperativa Agricola Slobozia-Hanesei v. Moldova</w:t>
      </w:r>
      <w:r w:rsidRPr="00B849DC" w:rsidR="00C774D4">
        <w:rPr>
          <w:lang w:val="en-GB"/>
        </w:rPr>
        <w:t xml:space="preserve">, no. 39745/02, §§ 18-19, 3 April 2007; </w:t>
      </w:r>
      <w:r w:rsidRPr="00B849DC" w:rsidR="00C774D4">
        <w:rPr>
          <w:i/>
          <w:lang w:val="en-GB"/>
        </w:rPr>
        <w:t>Grigoryev and Kakaurova</w:t>
      </w:r>
      <w:r w:rsidRPr="00B849DC" w:rsidR="00C774D4">
        <w:rPr>
          <w:lang w:val="en-GB"/>
        </w:rPr>
        <w:t xml:space="preserve">, </w:t>
      </w:r>
      <w:r w:rsidRPr="00B849DC" w:rsidR="007B0D03">
        <w:rPr>
          <w:lang w:val="en-GB"/>
        </w:rPr>
        <w:t>cited above, § 35</w:t>
      </w:r>
      <w:r w:rsidRPr="00B849DC" w:rsidR="00C774D4">
        <w:rPr>
          <w:lang w:val="en-GB"/>
        </w:rPr>
        <w:t xml:space="preserve">; and </w:t>
      </w:r>
      <w:r w:rsidRPr="00B849DC" w:rsidR="00C774D4">
        <w:rPr>
          <w:i/>
          <w:lang w:val="en-GB"/>
        </w:rPr>
        <w:t>R. Kačapor and Others v. Serbia</w:t>
      </w:r>
      <w:r w:rsidRPr="00B849DC" w:rsidR="00C774D4">
        <w:rPr>
          <w:lang w:val="en-GB"/>
        </w:rPr>
        <w:t>, nos. 2269/06, 3041/06, 3042/06, 3043/06, 3045/06 and 3046/06, § 98, 15 January 2008).</w:t>
      </w:r>
      <w:r w:rsidRPr="00B849DC" w:rsidR="002841E2">
        <w:rPr>
          <w:lang w:val="en-GB"/>
        </w:rPr>
        <w:t xml:space="preserve"> In </w:t>
      </w:r>
      <w:r w:rsidRPr="00B849DC" w:rsidR="002841E2">
        <w:rPr>
          <w:i/>
          <w:lang w:val="en-GB"/>
        </w:rPr>
        <w:t>Kotov</w:t>
      </w:r>
      <w:r w:rsidRPr="00B849DC" w:rsidR="002841E2">
        <w:rPr>
          <w:lang w:val="en-GB"/>
        </w:rPr>
        <w:t xml:space="preserve"> the Grand Chamber considered the liquidator</w:t>
      </w:r>
      <w:r w:rsidRPr="00B849DC" w:rsidR="00B849DC">
        <w:rPr>
          <w:lang w:val="en-GB"/>
        </w:rPr>
        <w:t>’</w:t>
      </w:r>
      <w:r w:rsidRPr="00B849DC" w:rsidR="002841E2">
        <w:rPr>
          <w:lang w:val="en-GB"/>
        </w:rPr>
        <w:t>s status in the domestic law, as well as the reality of the liquidation process in Russia at the material time, having regard to the liquidator</w:t>
      </w:r>
      <w:r w:rsidRPr="00B849DC" w:rsidR="00B849DC">
        <w:rPr>
          <w:lang w:val="en-GB"/>
        </w:rPr>
        <w:t>’</w:t>
      </w:r>
      <w:r w:rsidRPr="00B849DC" w:rsidR="002841E2">
        <w:rPr>
          <w:lang w:val="en-GB"/>
        </w:rPr>
        <w:t xml:space="preserve">s </w:t>
      </w:r>
      <w:r w:rsidRPr="00B849DC" w:rsidR="002841E2">
        <w:rPr>
          <w:lang w:val="en-US"/>
        </w:rPr>
        <w:t>appointment, supervision and accountability, objectives, powers and functions (</w:t>
      </w:r>
      <w:r w:rsidRPr="00B849DC" w:rsidR="00E61492">
        <w:rPr>
          <w:lang w:val="en-US"/>
        </w:rPr>
        <w:t xml:space="preserve">see </w:t>
      </w:r>
      <w:r w:rsidRPr="00B849DC" w:rsidR="00E61492">
        <w:rPr>
          <w:i/>
          <w:lang w:val="en-US"/>
        </w:rPr>
        <w:t>Kotov</w:t>
      </w:r>
      <w:r w:rsidRPr="00B849DC" w:rsidR="00E61492">
        <w:rPr>
          <w:lang w:val="en-US"/>
        </w:rPr>
        <w:t>, cited above</w:t>
      </w:r>
      <w:r w:rsidRPr="00B849DC" w:rsidR="002841E2">
        <w:rPr>
          <w:lang w:val="en-US"/>
        </w:rPr>
        <w:t>, §§ 99-106).</w:t>
      </w:r>
    </w:p>
    <w:p w:rsidRPr="00B849DC" w:rsidR="00CA087B" w:rsidP="00B849DC" w:rsidRDefault="00390C04">
      <w:pPr>
        <w:pStyle w:val="ECHRPara"/>
        <w:rPr>
          <w:lang w:val="en-GB"/>
        </w:rPr>
      </w:pPr>
      <w:r w:rsidRPr="00B849DC">
        <w:rPr>
          <w:lang w:val="en-GB"/>
        </w:rPr>
        <w:fldChar w:fldCharType="begin"/>
      </w:r>
      <w:r w:rsidRPr="00B849DC">
        <w:rPr>
          <w:lang w:val="en-GB"/>
        </w:rPr>
        <w:instrText xml:space="preserve"> SEQ level0 \*arabic </w:instrText>
      </w:r>
      <w:r w:rsidRPr="00B849DC">
        <w:rPr>
          <w:lang w:val="en-GB"/>
        </w:rPr>
        <w:fldChar w:fldCharType="separate"/>
      </w:r>
      <w:r w:rsidRPr="00B849DC" w:rsidR="00B849DC">
        <w:rPr>
          <w:noProof/>
          <w:lang w:val="en-GB"/>
        </w:rPr>
        <w:t>189</w:t>
      </w:r>
      <w:r w:rsidRPr="00B849DC">
        <w:rPr>
          <w:lang w:val="en-GB"/>
        </w:rPr>
        <w:fldChar w:fldCharType="end"/>
      </w:r>
      <w:r w:rsidRPr="00B849DC">
        <w:rPr>
          <w:lang w:val="en-GB"/>
        </w:rPr>
        <w:t>.  </w:t>
      </w:r>
      <w:r w:rsidRPr="00B849DC" w:rsidR="004B27BE">
        <w:rPr>
          <w:lang w:val="en-GB"/>
        </w:rPr>
        <w:t>Factors taken into consideration by the Court</w:t>
      </w:r>
      <w:r w:rsidRPr="00B849DC">
        <w:rPr>
          <w:lang w:val="en-GB"/>
        </w:rPr>
        <w:t xml:space="preserve"> include the r</w:t>
      </w:r>
      <w:r w:rsidRPr="00B849DC" w:rsidR="005027A7">
        <w:rPr>
          <w:lang w:val="en-GB"/>
        </w:rPr>
        <w:t xml:space="preserve">ights conferred on the company, </w:t>
      </w:r>
      <w:r w:rsidRPr="00B849DC" w:rsidR="00B647A4">
        <w:rPr>
          <w:lang w:val="en-GB"/>
        </w:rPr>
        <w:t>that is,</w:t>
      </w:r>
      <w:r w:rsidRPr="00B849DC">
        <w:rPr>
          <w:lang w:val="en-GB"/>
        </w:rPr>
        <w:t xml:space="preserve"> whether </w:t>
      </w:r>
      <w:r w:rsidRPr="00B849DC" w:rsidR="00B647A4">
        <w:rPr>
          <w:lang w:val="en-GB"/>
        </w:rPr>
        <w:t xml:space="preserve">those </w:t>
      </w:r>
      <w:r w:rsidRPr="00B849DC">
        <w:rPr>
          <w:lang w:val="en-GB"/>
        </w:rPr>
        <w:t xml:space="preserve">rights are normally reserved for public authorities (see, for instance, </w:t>
      </w:r>
      <w:r w:rsidRPr="00B849DC">
        <w:rPr>
          <w:i/>
          <w:lang w:val="en-GB"/>
        </w:rPr>
        <w:t>Cooperativa Agricola</w:t>
      </w:r>
      <w:r w:rsidRPr="00B849DC">
        <w:rPr>
          <w:lang w:val="en-GB"/>
        </w:rPr>
        <w:t>, cited above, §§ 18-19, where some State functions were delegated to the debtor company)</w:t>
      </w:r>
      <w:r w:rsidRPr="00B849DC" w:rsidR="00B647A4">
        <w:rPr>
          <w:lang w:val="en-GB"/>
        </w:rPr>
        <w:t xml:space="preserve">, </w:t>
      </w:r>
      <w:r w:rsidRPr="00B849DC" w:rsidR="005027A7">
        <w:rPr>
          <w:lang w:val="en-GB"/>
        </w:rPr>
        <w:t>the nature of its activity, that is</w:t>
      </w:r>
      <w:r w:rsidRPr="00B849DC" w:rsidR="00B647A4">
        <w:rPr>
          <w:lang w:val="en-GB"/>
        </w:rPr>
        <w:t>,</w:t>
      </w:r>
      <w:r w:rsidRPr="00B849DC" w:rsidR="005027A7">
        <w:rPr>
          <w:lang w:val="en-GB"/>
        </w:rPr>
        <w:t xml:space="preserve"> </w:t>
      </w:r>
      <w:r w:rsidRPr="00B849DC">
        <w:rPr>
          <w:lang w:val="en-GB"/>
        </w:rPr>
        <w:t xml:space="preserve">whether </w:t>
      </w:r>
      <w:r w:rsidRPr="00B849DC" w:rsidR="005027A7">
        <w:rPr>
          <w:lang w:val="en-GB"/>
        </w:rPr>
        <w:t>the legal entity</w:t>
      </w:r>
      <w:r w:rsidRPr="00B849DC">
        <w:rPr>
          <w:lang w:val="en-GB"/>
        </w:rPr>
        <w:t xml:space="preserve"> exercises a public functio</w:t>
      </w:r>
      <w:r w:rsidRPr="00B849DC" w:rsidR="005027A7">
        <w:rPr>
          <w:lang w:val="en-GB"/>
        </w:rPr>
        <w:t xml:space="preserve">n or is a </w:t>
      </w:r>
      <w:r w:rsidRPr="00B849DC" w:rsidR="0091730A">
        <w:rPr>
          <w:lang w:val="en-GB"/>
        </w:rPr>
        <w:t xml:space="preserve">typical </w:t>
      </w:r>
      <w:r w:rsidRPr="00B849DC" w:rsidR="005027A7">
        <w:rPr>
          <w:lang w:val="en-GB"/>
        </w:rPr>
        <w:t>business,</w:t>
      </w:r>
      <w:r w:rsidRPr="00B849DC">
        <w:rPr>
          <w:lang w:val="en-GB"/>
        </w:rPr>
        <w:t xml:space="preserve"> and the context in which it is carried out</w:t>
      </w:r>
      <w:r w:rsidRPr="00B849DC">
        <w:rPr>
          <w:lang w:val="en-US"/>
        </w:rPr>
        <w:t xml:space="preserve">. For instance, the Court has found that legal entities could be considered “governmental organisations” if they performed specific public duties under the supervision of the State authorities (see </w:t>
      </w:r>
      <w:r w:rsidRPr="00B849DC">
        <w:rPr>
          <w:i/>
          <w:lang w:val="en-US"/>
        </w:rPr>
        <w:t>Novoseletskiy v. Ukraine</w:t>
      </w:r>
      <w:r w:rsidRPr="00B849DC">
        <w:rPr>
          <w:lang w:val="en-US"/>
        </w:rPr>
        <w:t>, no. </w:t>
      </w:r>
      <w:r w:rsidRPr="00B849DC" w:rsidR="002E3CE4">
        <w:rPr>
          <w:lang w:val="en-US"/>
        </w:rPr>
        <w:t>47148/99, § 82, ECHR 2005</w:t>
      </w:r>
      <w:r w:rsidRPr="00B849DC" w:rsidR="002E3CE4">
        <w:rPr>
          <w:lang w:val="en-US"/>
        </w:rPr>
        <w:noBreakHyphen/>
      </w:r>
      <w:r w:rsidRPr="00B849DC">
        <w:rPr>
          <w:lang w:val="en-US"/>
        </w:rPr>
        <w:t xml:space="preserve">II (extracts)), or were public enterprises </w:t>
      </w:r>
      <w:r w:rsidRPr="00B849DC" w:rsidR="0091730A">
        <w:rPr>
          <w:lang w:val="en-US"/>
        </w:rPr>
        <w:t xml:space="preserve">operating </w:t>
      </w:r>
      <w:r w:rsidRPr="00B849DC">
        <w:rPr>
          <w:lang w:val="en-US"/>
        </w:rPr>
        <w:t xml:space="preserve">in various areas of State </w:t>
      </w:r>
      <w:r w:rsidRPr="00B849DC" w:rsidR="0091730A">
        <w:rPr>
          <w:lang w:val="en-US"/>
        </w:rPr>
        <w:t>activity</w:t>
      </w:r>
      <w:r w:rsidRPr="00B849DC">
        <w:rPr>
          <w:lang w:val="en-US"/>
        </w:rPr>
        <w:t xml:space="preserve">, including the mining, energy and transportation sectors (see </w:t>
      </w:r>
      <w:r w:rsidRPr="00B849DC">
        <w:rPr>
          <w:i/>
          <w:lang w:val="en-US"/>
        </w:rPr>
        <w:t>Romashov v. Ukraine</w:t>
      </w:r>
      <w:r w:rsidRPr="00B849DC">
        <w:rPr>
          <w:lang w:val="en-US"/>
        </w:rPr>
        <w:t xml:space="preserve">, no. 67534/01, §§ 46-47, 27 July 2004; </w:t>
      </w:r>
      <w:r w:rsidRPr="00B849DC">
        <w:rPr>
          <w:i/>
          <w:lang w:val="en-US"/>
        </w:rPr>
        <w:t>Kucherenko v. Ukraine</w:t>
      </w:r>
      <w:r w:rsidRPr="00B849DC">
        <w:rPr>
          <w:lang w:val="en-US"/>
        </w:rPr>
        <w:t>, no. 27347/02, § 25, 15 December 2005</w:t>
      </w:r>
      <w:r w:rsidRPr="00B849DC" w:rsidR="00B3073B">
        <w:rPr>
          <w:lang w:val="en-US"/>
        </w:rPr>
        <w:t xml:space="preserve">; </w:t>
      </w:r>
      <w:r w:rsidRPr="00B849DC" w:rsidR="00547444">
        <w:rPr>
          <w:i/>
          <w:lang w:val="en-US"/>
        </w:rPr>
        <w:t>Lisyanskiy</w:t>
      </w:r>
      <w:r w:rsidRPr="00B849DC" w:rsidR="00547444">
        <w:rPr>
          <w:lang w:val="en-US"/>
        </w:rPr>
        <w:t xml:space="preserve">, cited above, § 19; </w:t>
      </w:r>
      <w:r w:rsidRPr="00B849DC" w:rsidR="00B3073B">
        <w:rPr>
          <w:lang w:val="en-US"/>
        </w:rPr>
        <w:t xml:space="preserve">and </w:t>
      </w:r>
      <w:r w:rsidRPr="00B849DC" w:rsidR="00B173EF">
        <w:rPr>
          <w:i/>
          <w:lang w:val="en-GB"/>
        </w:rPr>
        <w:t>Yershova</w:t>
      </w:r>
      <w:r w:rsidRPr="00B849DC" w:rsidR="00B3073B">
        <w:rPr>
          <w:lang w:val="en-GB"/>
        </w:rPr>
        <w:t xml:space="preserve">, </w:t>
      </w:r>
      <w:r w:rsidRPr="00B849DC" w:rsidR="00A1600C">
        <w:rPr>
          <w:lang w:val="en-GB"/>
        </w:rPr>
        <w:t>cited above, §§ 57-62</w:t>
      </w:r>
      <w:r w:rsidRPr="00B849DC">
        <w:rPr>
          <w:lang w:val="en-US"/>
        </w:rPr>
        <w:t>)</w:t>
      </w:r>
      <w:r w:rsidRPr="00B849DC" w:rsidR="004B27BE">
        <w:rPr>
          <w:lang w:val="en-US"/>
        </w:rPr>
        <w:t xml:space="preserve">. For instance, in </w:t>
      </w:r>
      <w:r w:rsidRPr="00B849DC" w:rsidR="00826CEC">
        <w:rPr>
          <w:i/>
          <w:lang w:val="en-US"/>
        </w:rPr>
        <w:t>My</w:t>
      </w:r>
      <w:r w:rsidRPr="00B849DC" w:rsidR="00B3073B">
        <w:rPr>
          <w:i/>
          <w:lang w:val="en-US"/>
        </w:rPr>
        <w:t>khalenky</w:t>
      </w:r>
      <w:r w:rsidRPr="00B849DC" w:rsidR="004B27BE">
        <w:rPr>
          <w:i/>
          <w:lang w:val="en-GB"/>
        </w:rPr>
        <w:t xml:space="preserve"> and Others </w:t>
      </w:r>
      <w:r w:rsidRPr="00B849DC" w:rsidR="004B27BE">
        <w:rPr>
          <w:lang w:val="en-GB"/>
        </w:rPr>
        <w:t>the Court observed that</w:t>
      </w:r>
      <w:r w:rsidRPr="00B849DC" w:rsidR="00B3073B">
        <w:rPr>
          <w:lang w:val="en-US"/>
        </w:rPr>
        <w:t xml:space="preserve"> </w:t>
      </w:r>
      <w:r w:rsidRPr="00B849DC" w:rsidR="00FB66F7">
        <w:rPr>
          <w:lang w:val="en-GB"/>
        </w:rPr>
        <w:t>the company had operated in the highly reg</w:t>
      </w:r>
      <w:r w:rsidRPr="00B849DC" w:rsidR="00784D94">
        <w:rPr>
          <w:lang w:val="en-GB"/>
        </w:rPr>
        <w:t>ulated sphere of nuclear energy and</w:t>
      </w:r>
      <w:r w:rsidRPr="00B849DC" w:rsidR="00FB66F7">
        <w:rPr>
          <w:lang w:val="en-GB"/>
        </w:rPr>
        <w:t xml:space="preserve"> conducted its activities in the Chernobyl zone of compulsory evacuation, </w:t>
      </w:r>
      <w:r w:rsidRPr="00B849DC" w:rsidR="000B1E96">
        <w:rPr>
          <w:lang w:val="en-GB"/>
        </w:rPr>
        <w:t xml:space="preserve">which is </w:t>
      </w:r>
      <w:r w:rsidRPr="00B849DC" w:rsidR="00FB66F7">
        <w:rPr>
          <w:lang w:val="en-GB"/>
        </w:rPr>
        <w:t>placed under strict governmental control</w:t>
      </w:r>
      <w:r w:rsidRPr="00B849DC" w:rsidR="000B1E96">
        <w:rPr>
          <w:lang w:val="en-GB"/>
        </w:rPr>
        <w:t>, in that case</w:t>
      </w:r>
      <w:r w:rsidRPr="00B849DC" w:rsidR="00B3073B">
        <w:rPr>
          <w:lang w:val="en-GB"/>
        </w:rPr>
        <w:t xml:space="preserve"> extending, </w:t>
      </w:r>
      <w:r w:rsidRPr="00B849DC" w:rsidR="00B3073B">
        <w:rPr>
          <w:i/>
          <w:lang w:val="en-GB"/>
        </w:rPr>
        <w:t>inter alia</w:t>
      </w:r>
      <w:r w:rsidRPr="00B849DC" w:rsidR="00B3073B">
        <w:rPr>
          <w:lang w:val="en-GB"/>
        </w:rPr>
        <w:t xml:space="preserve">, </w:t>
      </w:r>
      <w:r w:rsidRPr="00B849DC" w:rsidR="00FB66F7">
        <w:rPr>
          <w:lang w:val="en-GB"/>
        </w:rPr>
        <w:t>to the applicants</w:t>
      </w:r>
      <w:r w:rsidRPr="00B849DC" w:rsidR="00B849DC">
        <w:rPr>
          <w:lang w:val="en-GB"/>
        </w:rPr>
        <w:t>’</w:t>
      </w:r>
      <w:r w:rsidRPr="00B849DC" w:rsidR="00FB66F7">
        <w:rPr>
          <w:lang w:val="en-GB"/>
        </w:rPr>
        <w:t xml:space="preserve"> terms of employment (see </w:t>
      </w:r>
      <w:r w:rsidRPr="00B849DC" w:rsidR="00FB66F7">
        <w:rPr>
          <w:i/>
          <w:lang w:val="en-GB"/>
        </w:rPr>
        <w:t xml:space="preserve">Mykhaylenky and Others, </w:t>
      </w:r>
      <w:r w:rsidRPr="00B849DC" w:rsidR="00FB66F7">
        <w:rPr>
          <w:lang w:val="en-GB"/>
        </w:rPr>
        <w:t>cited above, § 45).</w:t>
      </w:r>
    </w:p>
    <w:p w:rsidRPr="00B849DC" w:rsidR="00390C04" w:rsidP="00B849DC" w:rsidRDefault="00390C04">
      <w:pPr>
        <w:pStyle w:val="ECHRPara"/>
        <w:rPr>
          <w:lang w:val="en-GB"/>
        </w:rPr>
      </w:pPr>
      <w:r w:rsidRPr="00B849DC">
        <w:rPr>
          <w:lang w:val="en-GB"/>
        </w:rPr>
        <w:fldChar w:fldCharType="begin"/>
      </w:r>
      <w:r w:rsidRPr="00B849DC">
        <w:rPr>
          <w:lang w:val="en-GB"/>
        </w:rPr>
        <w:instrText xml:space="preserve"> SEQ level0 \*arabic </w:instrText>
      </w:r>
      <w:r w:rsidRPr="00B849DC">
        <w:rPr>
          <w:lang w:val="en-GB"/>
        </w:rPr>
        <w:fldChar w:fldCharType="separate"/>
      </w:r>
      <w:r w:rsidRPr="00B849DC" w:rsidR="00B849DC">
        <w:rPr>
          <w:noProof/>
          <w:lang w:val="en-GB"/>
        </w:rPr>
        <w:t>190</w:t>
      </w:r>
      <w:r w:rsidRPr="00B849DC">
        <w:rPr>
          <w:lang w:val="en-GB"/>
        </w:rPr>
        <w:fldChar w:fldCharType="end"/>
      </w:r>
      <w:r w:rsidRPr="00B849DC">
        <w:rPr>
          <w:lang w:val="en-GB"/>
        </w:rPr>
        <w:t xml:space="preserve">.  The Court further takes into account the extent of </w:t>
      </w:r>
      <w:r w:rsidRPr="00B849DC" w:rsidR="00B647A4">
        <w:rPr>
          <w:lang w:val="en-GB"/>
        </w:rPr>
        <w:t>S</w:t>
      </w:r>
      <w:r w:rsidRPr="00B849DC">
        <w:rPr>
          <w:lang w:val="en-GB"/>
        </w:rPr>
        <w:t xml:space="preserve">tate ownership, as well as the extent of </w:t>
      </w:r>
      <w:r w:rsidRPr="00B849DC" w:rsidR="00B647A4">
        <w:rPr>
          <w:lang w:val="en-GB"/>
        </w:rPr>
        <w:t>S</w:t>
      </w:r>
      <w:r w:rsidRPr="00B849DC">
        <w:rPr>
          <w:lang w:val="en-GB"/>
        </w:rPr>
        <w:t xml:space="preserve">tate supervision and control. </w:t>
      </w:r>
      <w:r w:rsidRPr="00B849DC">
        <w:rPr>
          <w:lang w:val="en-US"/>
        </w:rPr>
        <w:t xml:space="preserve">In a number of Ukrainian cases the Court </w:t>
      </w:r>
      <w:r w:rsidRPr="00B849DC" w:rsidR="005027A7">
        <w:rPr>
          <w:lang w:val="en-US"/>
        </w:rPr>
        <w:t>examined whether</w:t>
      </w:r>
      <w:r w:rsidRPr="00B849DC">
        <w:rPr>
          <w:lang w:val="en-US"/>
        </w:rPr>
        <w:t xml:space="preserve"> a majority or all shares belonged to the State</w:t>
      </w:r>
      <w:r w:rsidRPr="00B849DC" w:rsidR="00B647A4">
        <w:rPr>
          <w:lang w:val="en-US"/>
        </w:rPr>
        <w:t>,</w:t>
      </w:r>
      <w:r w:rsidRPr="00B849DC">
        <w:rPr>
          <w:lang w:val="en-US"/>
        </w:rPr>
        <w:t xml:space="preserve"> </w:t>
      </w:r>
      <w:r w:rsidRPr="00B849DC" w:rsidR="00B647A4">
        <w:rPr>
          <w:lang w:val="en-US"/>
        </w:rPr>
        <w:t xml:space="preserve">so </w:t>
      </w:r>
      <w:r w:rsidRPr="00B849DC">
        <w:rPr>
          <w:lang w:val="en-US"/>
        </w:rPr>
        <w:t>that the entities were fully dependent on, controlled and managed by the State (see</w:t>
      </w:r>
      <w:r w:rsidRPr="00B849DC" w:rsidR="00547444">
        <w:rPr>
          <w:lang w:val="en-US"/>
        </w:rPr>
        <w:t>, among others,</w:t>
      </w:r>
      <w:r w:rsidRPr="00B849DC">
        <w:rPr>
          <w:lang w:val="en-US"/>
        </w:rPr>
        <w:t xml:space="preserve"> </w:t>
      </w:r>
      <w:r w:rsidRPr="00B849DC" w:rsidR="00B173EF">
        <w:rPr>
          <w:i/>
          <w:lang w:val="en-US"/>
        </w:rPr>
        <w:t>Regent Company v. </w:t>
      </w:r>
      <w:r w:rsidRPr="00B849DC">
        <w:rPr>
          <w:i/>
          <w:lang w:val="en-US"/>
        </w:rPr>
        <w:t>Ukraine</w:t>
      </w:r>
      <w:r w:rsidRPr="00B849DC" w:rsidR="00547444">
        <w:rPr>
          <w:lang w:val="en-US"/>
        </w:rPr>
        <w:t>, no. 773/03, § 7, 3 April 2008</w:t>
      </w:r>
      <w:r w:rsidRPr="00B849DC">
        <w:rPr>
          <w:lang w:val="en-US"/>
        </w:rPr>
        <w:t>).</w:t>
      </w:r>
      <w:r w:rsidRPr="00B849DC">
        <w:rPr>
          <w:lang w:val="en-GB"/>
        </w:rPr>
        <w:t xml:space="preserve"> </w:t>
      </w:r>
      <w:r w:rsidRPr="00B849DC" w:rsidR="00784D94">
        <w:rPr>
          <w:lang w:val="en-GB"/>
        </w:rPr>
        <w:t xml:space="preserve">In </w:t>
      </w:r>
      <w:r w:rsidRPr="00B849DC" w:rsidR="00784D94">
        <w:rPr>
          <w:i/>
          <w:lang w:val="en-GB"/>
        </w:rPr>
        <w:t xml:space="preserve">R. Kačapor and Others </w:t>
      </w:r>
      <w:r w:rsidRPr="00B849DC" w:rsidR="00784D94">
        <w:rPr>
          <w:lang w:val="en-US"/>
        </w:rPr>
        <w:t>(</w:t>
      </w:r>
      <w:r w:rsidRPr="00B849DC" w:rsidR="00784D94">
        <w:rPr>
          <w:lang w:val="en-GB"/>
        </w:rPr>
        <w:t>cited above, § 97) the</w:t>
      </w:r>
      <w:r w:rsidRPr="00B849DC" w:rsidR="00784D94">
        <w:rPr>
          <w:lang w:val="en-US"/>
        </w:rPr>
        <w:t xml:space="preserve"> Court established that the debtor company was owned by a holding company predominantly comprised of social capital and that, as such, it was closely controlled by the Privatisation Agency, a State body, as well as the Government</w:t>
      </w:r>
      <w:r w:rsidRPr="00B849DC" w:rsidR="00784D94">
        <w:rPr>
          <w:lang w:val="en-GB"/>
        </w:rPr>
        <w:t xml:space="preserve">. In the aforementioned </w:t>
      </w:r>
      <w:r w:rsidRPr="00B849DC" w:rsidR="00784D94">
        <w:rPr>
          <w:i/>
          <w:lang w:val="en-GB"/>
        </w:rPr>
        <w:t>Cooperativa Agricola</w:t>
      </w:r>
      <w:r w:rsidRPr="00B849DC" w:rsidR="00784D94">
        <w:rPr>
          <w:lang w:val="en-GB"/>
        </w:rPr>
        <w:t xml:space="preserve"> (cited above, §§ 18-19) the Court noted that the State exercised significant control over the company</w:t>
      </w:r>
      <w:r w:rsidRPr="00B849DC" w:rsidR="00B849DC">
        <w:rPr>
          <w:lang w:val="en-GB"/>
        </w:rPr>
        <w:t>’</w:t>
      </w:r>
      <w:r w:rsidRPr="00B849DC" w:rsidR="00784D94">
        <w:rPr>
          <w:lang w:val="en-GB"/>
        </w:rPr>
        <w:t>s assets</w:t>
      </w:r>
      <w:r w:rsidRPr="00B849DC" w:rsidR="00784D94">
        <w:rPr>
          <w:lang w:val="en-US"/>
        </w:rPr>
        <w:t xml:space="preserve">. </w:t>
      </w:r>
      <w:r w:rsidRPr="00B849DC" w:rsidR="00784D94">
        <w:rPr>
          <w:lang w:val="en-GB"/>
        </w:rPr>
        <w:t>In</w:t>
      </w:r>
      <w:r w:rsidRPr="00B849DC" w:rsidR="002841E2">
        <w:rPr>
          <w:lang w:val="en-GB"/>
        </w:rPr>
        <w:t xml:space="preserve"> </w:t>
      </w:r>
      <w:r w:rsidRPr="00B849DC" w:rsidR="002841E2">
        <w:rPr>
          <w:i/>
          <w:lang w:val="en-GB"/>
        </w:rPr>
        <w:t xml:space="preserve">Kotov </w:t>
      </w:r>
      <w:r w:rsidRPr="00B849DC" w:rsidR="002841E2">
        <w:rPr>
          <w:lang w:val="en-GB"/>
        </w:rPr>
        <w:t xml:space="preserve">the Grand Chamber </w:t>
      </w:r>
      <w:r w:rsidRPr="00B849DC" w:rsidR="002841E2">
        <w:rPr>
          <w:lang w:val="en-US"/>
        </w:rPr>
        <w:t>concluded that liquidator</w:t>
      </w:r>
      <w:r w:rsidRPr="00B849DC" w:rsidR="00DE70EA">
        <w:rPr>
          <w:lang w:val="en-US"/>
        </w:rPr>
        <w:t>s</w:t>
      </w:r>
      <w:r w:rsidRPr="00B849DC" w:rsidR="002841E2">
        <w:rPr>
          <w:lang w:val="en-US"/>
        </w:rPr>
        <w:t xml:space="preserve">, at the relevant time, enjoyed a considerable amount of operational and institutional independence, as State authorities did not have the power to give instructions to </w:t>
      </w:r>
      <w:r w:rsidRPr="00B849DC" w:rsidR="00DE70EA">
        <w:rPr>
          <w:lang w:val="en-US"/>
        </w:rPr>
        <w:t xml:space="preserve">them </w:t>
      </w:r>
      <w:r w:rsidRPr="00B849DC" w:rsidR="002841E2">
        <w:rPr>
          <w:lang w:val="en-US"/>
        </w:rPr>
        <w:t xml:space="preserve">and therefore could not directly interfere with the liquidation process (see </w:t>
      </w:r>
      <w:r w:rsidRPr="00B849DC" w:rsidR="002841E2">
        <w:rPr>
          <w:i/>
          <w:lang w:val="en-US"/>
        </w:rPr>
        <w:t>Kotov</w:t>
      </w:r>
      <w:r w:rsidRPr="00B849DC" w:rsidR="002841E2">
        <w:rPr>
          <w:lang w:val="en-US"/>
        </w:rPr>
        <w:t>, cited above, § 107)</w:t>
      </w:r>
      <w:r w:rsidRPr="00B849DC" w:rsidR="002841E2">
        <w:rPr>
          <w:lang w:val="en-GB"/>
        </w:rPr>
        <w:t>.</w:t>
      </w:r>
    </w:p>
    <w:p w:rsidRPr="00B849DC" w:rsidR="00CA087B" w:rsidP="00B849DC" w:rsidRDefault="00390C04">
      <w:pPr>
        <w:pStyle w:val="ECHRPara"/>
        <w:rPr>
          <w:lang w:val="en-GB"/>
        </w:rPr>
      </w:pPr>
      <w:r w:rsidRPr="00B849DC">
        <w:rPr>
          <w:lang w:val="en-GB"/>
        </w:rPr>
        <w:fldChar w:fldCharType="begin"/>
      </w:r>
      <w:r w:rsidRPr="00B849DC">
        <w:rPr>
          <w:lang w:val="en-GB"/>
        </w:rPr>
        <w:instrText xml:space="preserve"> SEQ level0 \*arabic </w:instrText>
      </w:r>
      <w:r w:rsidRPr="00B849DC">
        <w:rPr>
          <w:lang w:val="en-GB"/>
        </w:rPr>
        <w:fldChar w:fldCharType="separate"/>
      </w:r>
      <w:r w:rsidRPr="00B849DC" w:rsidR="00B849DC">
        <w:rPr>
          <w:noProof/>
          <w:lang w:val="en-GB"/>
        </w:rPr>
        <w:t>191</w:t>
      </w:r>
      <w:r w:rsidRPr="00B849DC">
        <w:rPr>
          <w:lang w:val="en-GB"/>
        </w:rPr>
        <w:fldChar w:fldCharType="end"/>
      </w:r>
      <w:r w:rsidRPr="00B849DC">
        <w:rPr>
          <w:lang w:val="en-GB"/>
        </w:rPr>
        <w:t>.  </w:t>
      </w:r>
      <w:r w:rsidRPr="00B849DC" w:rsidR="00B3073B">
        <w:rPr>
          <w:lang w:val="en-GB"/>
        </w:rPr>
        <w:t>The Court has also</w:t>
      </w:r>
      <w:r w:rsidRPr="00B849DC">
        <w:rPr>
          <w:lang w:val="en-GB"/>
        </w:rPr>
        <w:t xml:space="preserve"> had regard</w:t>
      </w:r>
      <w:r w:rsidRPr="00B849DC" w:rsidR="00B3073B">
        <w:rPr>
          <w:lang w:val="en-GB"/>
        </w:rPr>
        <w:t xml:space="preserve"> </w:t>
      </w:r>
      <w:r w:rsidRPr="00B849DC">
        <w:rPr>
          <w:lang w:val="en-GB"/>
        </w:rPr>
        <w:t xml:space="preserve">to the role played by the State with respect to the difficult situation </w:t>
      </w:r>
      <w:r w:rsidRPr="00B849DC" w:rsidR="000B1E96">
        <w:rPr>
          <w:lang w:val="en-GB"/>
        </w:rPr>
        <w:t xml:space="preserve">in which </w:t>
      </w:r>
      <w:r w:rsidRPr="00B849DC">
        <w:rPr>
          <w:lang w:val="en-GB"/>
        </w:rPr>
        <w:t xml:space="preserve">the company found itself, </w:t>
      </w:r>
      <w:r w:rsidRPr="00B849DC" w:rsidR="00DE70EA">
        <w:rPr>
          <w:lang w:val="en-GB"/>
        </w:rPr>
        <w:t>that is,</w:t>
      </w:r>
      <w:r w:rsidRPr="00B849DC">
        <w:rPr>
          <w:lang w:val="en-GB"/>
        </w:rPr>
        <w:t xml:space="preserve"> insolvency. </w:t>
      </w:r>
      <w:r w:rsidRPr="00B849DC" w:rsidR="00547444">
        <w:rPr>
          <w:lang w:val="en-GB"/>
        </w:rPr>
        <w:t xml:space="preserve">For instance, in </w:t>
      </w:r>
      <w:r w:rsidRPr="00B849DC" w:rsidR="00547444">
        <w:rPr>
          <w:i/>
          <w:lang w:val="en-GB"/>
        </w:rPr>
        <w:t>Lisyanskiy</w:t>
      </w:r>
      <w:r w:rsidRPr="00B849DC" w:rsidR="00547444">
        <w:rPr>
          <w:lang w:val="en-GB"/>
        </w:rPr>
        <w:t xml:space="preserve"> the Court noted that </w:t>
      </w:r>
      <w:r w:rsidRPr="00B849DC" w:rsidR="00547444">
        <w:rPr>
          <w:lang w:val="en-US"/>
        </w:rPr>
        <w:t xml:space="preserve">the decision to wind up the company was taken by the Ministry of Fuel and Energy (see </w:t>
      </w:r>
      <w:r w:rsidRPr="00B849DC" w:rsidR="00547444">
        <w:rPr>
          <w:i/>
          <w:lang w:val="en-US"/>
        </w:rPr>
        <w:t>Lisyanskiy</w:t>
      </w:r>
      <w:r w:rsidRPr="00B849DC" w:rsidR="00547444">
        <w:rPr>
          <w:lang w:val="en-US"/>
        </w:rPr>
        <w:t xml:space="preserve">, cited above) and in </w:t>
      </w:r>
      <w:r w:rsidRPr="00B849DC" w:rsidR="00547444">
        <w:rPr>
          <w:i/>
          <w:lang w:val="en-US"/>
        </w:rPr>
        <w:t>Yershova</w:t>
      </w:r>
      <w:r w:rsidRPr="00B849DC" w:rsidR="00547444">
        <w:rPr>
          <w:lang w:val="en-US"/>
        </w:rPr>
        <w:t xml:space="preserve"> by the municipal authority (see </w:t>
      </w:r>
      <w:r w:rsidRPr="00B849DC" w:rsidR="00547444">
        <w:rPr>
          <w:i/>
          <w:lang w:val="en-US"/>
        </w:rPr>
        <w:t>Yershova</w:t>
      </w:r>
      <w:r w:rsidRPr="00B849DC" w:rsidR="00547444">
        <w:rPr>
          <w:lang w:val="en-US"/>
        </w:rPr>
        <w:t xml:space="preserve">, cited above, </w:t>
      </w:r>
      <w:r w:rsidRPr="00B849DC" w:rsidR="00547444">
        <w:rPr>
          <w:lang w:val="en-GB"/>
        </w:rPr>
        <w:t>§§ 57-62</w:t>
      </w:r>
      <w:r w:rsidRPr="00B849DC" w:rsidR="00547444">
        <w:rPr>
          <w:lang w:val="en-US"/>
        </w:rPr>
        <w:t>). In both cases, furthermore, the authorities disposed of the companies</w:t>
      </w:r>
      <w:r w:rsidRPr="00B849DC" w:rsidR="00B849DC">
        <w:rPr>
          <w:lang w:val="en-US"/>
        </w:rPr>
        <w:t>’</w:t>
      </w:r>
      <w:r w:rsidRPr="00B849DC" w:rsidR="00547444">
        <w:rPr>
          <w:lang w:val="en-US"/>
        </w:rPr>
        <w:t xml:space="preserve"> property as they saw fit, ordering the transfer of their respective assets to different legal entities (ibid.)</w:t>
      </w:r>
      <w:r w:rsidRPr="00B849DC" w:rsidR="00E61492">
        <w:rPr>
          <w:lang w:val="en-US"/>
        </w:rPr>
        <w:t>.</w:t>
      </w:r>
      <w:r w:rsidRPr="00B849DC" w:rsidR="002841E2">
        <w:rPr>
          <w:lang w:val="en-US"/>
        </w:rPr>
        <w:t xml:space="preserve"> </w:t>
      </w:r>
      <w:r w:rsidRPr="00B849DC" w:rsidR="0011214E">
        <w:rPr>
          <w:lang w:val="en-GB"/>
        </w:rPr>
        <w:t xml:space="preserve">In </w:t>
      </w:r>
      <w:r w:rsidRPr="00B849DC" w:rsidR="002841E2">
        <w:rPr>
          <w:i/>
          <w:lang w:val="en-GB"/>
        </w:rPr>
        <w:t>Khachatryan</w:t>
      </w:r>
      <w:r w:rsidRPr="00B849DC" w:rsidR="0011214E">
        <w:rPr>
          <w:lang w:val="en-GB"/>
        </w:rPr>
        <w:t xml:space="preserve"> the</w:t>
      </w:r>
      <w:r w:rsidRPr="00B849DC" w:rsidR="0011214E">
        <w:rPr>
          <w:i/>
          <w:lang w:val="en-GB"/>
        </w:rPr>
        <w:t xml:space="preserve"> </w:t>
      </w:r>
      <w:r w:rsidRPr="00B849DC">
        <w:rPr>
          <w:lang w:val="en-US"/>
        </w:rPr>
        <w:t>Court observed that while the debtor, a closed joint-stock company, had enjoyed under the law and its statute a certain degree of legal and economic independence from the State, its assets had been to a large extent controlled and managed by the State. The State had disposed of the company</w:t>
      </w:r>
      <w:r w:rsidRPr="00B849DC" w:rsidR="00B849DC">
        <w:rPr>
          <w:lang w:val="en-US"/>
        </w:rPr>
        <w:t>’</w:t>
      </w:r>
      <w:r w:rsidRPr="00B849DC">
        <w:rPr>
          <w:lang w:val="en-US"/>
        </w:rPr>
        <w:t>s assets as it saw fit: in particular, the Government had ordered the transfer of the company</w:t>
      </w:r>
      <w:r w:rsidRPr="00B849DC" w:rsidR="00B849DC">
        <w:rPr>
          <w:lang w:val="en-US"/>
        </w:rPr>
        <w:t>’</w:t>
      </w:r>
      <w:r w:rsidRPr="00B849DC">
        <w:rPr>
          <w:lang w:val="en-US"/>
        </w:rPr>
        <w:t xml:space="preserve">s property </w:t>
      </w:r>
      <w:r w:rsidRPr="00B849DC" w:rsidR="00547444">
        <w:rPr>
          <w:lang w:val="en-US"/>
        </w:rPr>
        <w:t xml:space="preserve">to the regional administration, </w:t>
      </w:r>
      <w:r w:rsidRPr="00B849DC">
        <w:rPr>
          <w:lang w:val="en-US"/>
        </w:rPr>
        <w:t xml:space="preserve">allowed the company to sell a large portion of its property and ordered that the proceeds be put towards </w:t>
      </w:r>
      <w:r w:rsidRPr="00B849DC" w:rsidR="00E61492">
        <w:rPr>
          <w:lang w:val="en-US"/>
        </w:rPr>
        <w:t>paying off the company</w:t>
      </w:r>
      <w:r w:rsidRPr="00B849DC" w:rsidR="00B849DC">
        <w:rPr>
          <w:lang w:val="en-US"/>
        </w:rPr>
        <w:t>’</w:t>
      </w:r>
      <w:r w:rsidRPr="00B849DC">
        <w:rPr>
          <w:lang w:val="en-US"/>
        </w:rPr>
        <w:t xml:space="preserve">s debts owed to the State budget (see </w:t>
      </w:r>
      <w:r w:rsidRPr="00B849DC">
        <w:rPr>
          <w:i/>
          <w:lang w:val="en-US"/>
        </w:rPr>
        <w:t>Khachatryan v. Armenia</w:t>
      </w:r>
      <w:r w:rsidRPr="00B849DC" w:rsidR="002841E2">
        <w:rPr>
          <w:i/>
          <w:lang w:val="en-US"/>
        </w:rPr>
        <w:t xml:space="preserve">, </w:t>
      </w:r>
      <w:r w:rsidRPr="00B849DC" w:rsidR="002841E2">
        <w:rPr>
          <w:lang w:val="en-GB"/>
        </w:rPr>
        <w:t xml:space="preserve">no. 31761/04, </w:t>
      </w:r>
      <w:r w:rsidRPr="00B849DC" w:rsidR="002841E2">
        <w:rPr>
          <w:lang w:val="en-US"/>
        </w:rPr>
        <w:t>§§ 51-54</w:t>
      </w:r>
      <w:r w:rsidRPr="00B849DC" w:rsidR="002841E2">
        <w:rPr>
          <w:lang w:val="en-GB"/>
        </w:rPr>
        <w:t>, 1 December 2009</w:t>
      </w:r>
      <w:r w:rsidRPr="00B849DC">
        <w:rPr>
          <w:lang w:val="en-US"/>
        </w:rPr>
        <w:t>).</w:t>
      </w:r>
      <w:r w:rsidRPr="00B849DC">
        <w:rPr>
          <w:lang w:val="en-GB"/>
        </w:rPr>
        <w:t xml:space="preserve"> </w:t>
      </w:r>
      <w:r w:rsidRPr="00B849DC">
        <w:rPr>
          <w:lang w:val="en-US"/>
        </w:rPr>
        <w:t>By contrast, i</w:t>
      </w:r>
      <w:r w:rsidRPr="00B849DC">
        <w:rPr>
          <w:lang w:val="en-GB"/>
        </w:rPr>
        <w:t xml:space="preserve">n </w:t>
      </w:r>
      <w:r w:rsidRPr="00B849DC">
        <w:rPr>
          <w:i/>
          <w:lang w:val="en-GB"/>
        </w:rPr>
        <w:t>Anokhin</w:t>
      </w:r>
      <w:r w:rsidRPr="00B849DC">
        <w:rPr>
          <w:lang w:val="en-GB"/>
        </w:rPr>
        <w:t xml:space="preserve"> the Court </w:t>
      </w:r>
      <w:r w:rsidRPr="00B849DC" w:rsidR="00B173EF">
        <w:rPr>
          <w:lang w:val="en-GB"/>
        </w:rPr>
        <w:t>found that the debts of a joint</w:t>
      </w:r>
      <w:r w:rsidRPr="00B849DC" w:rsidR="00B173EF">
        <w:rPr>
          <w:lang w:val="en-GB"/>
        </w:rPr>
        <w:noBreakHyphen/>
      </w:r>
      <w:r w:rsidRPr="00B849DC">
        <w:rPr>
          <w:lang w:val="en-GB"/>
        </w:rPr>
        <w:t xml:space="preserve">stock company were not directly imputable to the State. The company </w:t>
      </w:r>
      <w:r w:rsidRPr="00B849DC" w:rsidR="00E61492">
        <w:rPr>
          <w:lang w:val="en-GB"/>
        </w:rPr>
        <w:t>owned</w:t>
      </w:r>
      <w:r w:rsidRPr="00B849DC">
        <w:rPr>
          <w:lang w:val="en-GB"/>
        </w:rPr>
        <w:t xml:space="preserve"> assets that </w:t>
      </w:r>
      <w:r w:rsidRPr="00B849DC" w:rsidR="0011214E">
        <w:rPr>
          <w:lang w:val="en-GB"/>
        </w:rPr>
        <w:t>were</w:t>
      </w:r>
      <w:r w:rsidRPr="00B849DC">
        <w:rPr>
          <w:lang w:val="en-GB"/>
        </w:rPr>
        <w:t xml:space="preserve"> distinct from the property of its shareholders and had delegated management. Thus, the State, like any other shareholder, was only liable for the company</w:t>
      </w:r>
      <w:r w:rsidRPr="00B849DC" w:rsidR="00B849DC">
        <w:rPr>
          <w:lang w:val="en-GB"/>
        </w:rPr>
        <w:t>’</w:t>
      </w:r>
      <w:r w:rsidRPr="00B849DC" w:rsidR="00E61492">
        <w:rPr>
          <w:lang w:val="en-GB"/>
        </w:rPr>
        <w:t>s debts</w:t>
      </w:r>
      <w:r w:rsidRPr="00B849DC">
        <w:rPr>
          <w:lang w:val="en-GB"/>
        </w:rPr>
        <w:t xml:space="preserve"> in the amount invested in </w:t>
      </w:r>
      <w:r w:rsidRPr="00B849DC" w:rsidR="002841E2">
        <w:rPr>
          <w:lang w:val="en-GB"/>
        </w:rPr>
        <w:t>its</w:t>
      </w:r>
      <w:r w:rsidRPr="00B849DC">
        <w:rPr>
          <w:lang w:val="en-GB"/>
        </w:rPr>
        <w:t xml:space="preserve"> shares. Further, the Court found nothing in the case </w:t>
      </w:r>
      <w:r w:rsidRPr="00B849DC" w:rsidR="002841E2">
        <w:rPr>
          <w:lang w:val="en-GB"/>
        </w:rPr>
        <w:t xml:space="preserve">materials </w:t>
      </w:r>
      <w:r w:rsidRPr="00B849DC">
        <w:rPr>
          <w:lang w:val="en-GB"/>
        </w:rPr>
        <w:t>to suggest</w:t>
      </w:r>
      <w:r w:rsidRPr="00B849DC" w:rsidR="00547444">
        <w:rPr>
          <w:lang w:val="en-GB"/>
        </w:rPr>
        <w:t xml:space="preserve"> </w:t>
      </w:r>
      <w:r w:rsidRPr="00B849DC">
        <w:rPr>
          <w:lang w:val="en-GB"/>
        </w:rPr>
        <w:t>that the State was directly responsible for the company</w:t>
      </w:r>
      <w:r w:rsidRPr="00B849DC" w:rsidR="00B849DC">
        <w:rPr>
          <w:lang w:val="en-GB"/>
        </w:rPr>
        <w:t>’</w:t>
      </w:r>
      <w:r w:rsidRPr="00B849DC">
        <w:rPr>
          <w:lang w:val="en-GB"/>
        </w:rPr>
        <w:t>s financial difficulties, siphoned the corporate funds to the detriment of the company and its stakeholders, failed to maintain an arm</w:t>
      </w:r>
      <w:r w:rsidRPr="00B849DC" w:rsidR="00B849DC">
        <w:rPr>
          <w:lang w:val="en-GB"/>
        </w:rPr>
        <w:t>’</w:t>
      </w:r>
      <w:r w:rsidRPr="00B849DC">
        <w:rPr>
          <w:lang w:val="en-GB"/>
        </w:rPr>
        <w:t>s-length relationship with the company or otherwise abused the corporate form. Further, the Court found no indication that the company</w:t>
      </w:r>
      <w:r w:rsidRPr="00B849DC" w:rsidR="00B849DC">
        <w:rPr>
          <w:lang w:val="en-GB"/>
        </w:rPr>
        <w:t>’</w:t>
      </w:r>
      <w:r w:rsidRPr="00B849DC">
        <w:rPr>
          <w:lang w:val="en-GB"/>
        </w:rPr>
        <w:t xml:space="preserve">s financial difficulties resulted from </w:t>
      </w:r>
      <w:r w:rsidRPr="00B849DC" w:rsidR="0011214E">
        <w:rPr>
          <w:lang w:val="en-GB"/>
        </w:rPr>
        <w:t xml:space="preserve">its </w:t>
      </w:r>
      <w:r w:rsidRPr="00B849DC">
        <w:rPr>
          <w:lang w:val="en-GB"/>
        </w:rPr>
        <w:t>poor management rather than from the overall effect of unfa</w:t>
      </w:r>
      <w:r w:rsidRPr="00B849DC" w:rsidR="00B173EF">
        <w:rPr>
          <w:lang w:val="en-GB"/>
        </w:rPr>
        <w:t>vourable conditions in the coal</w:t>
      </w:r>
      <w:r w:rsidRPr="00B849DC" w:rsidR="00B173EF">
        <w:rPr>
          <w:lang w:val="en-GB"/>
        </w:rPr>
        <w:noBreakHyphen/>
      </w:r>
      <w:r w:rsidRPr="00B849DC">
        <w:rPr>
          <w:lang w:val="en-GB"/>
        </w:rPr>
        <w:t xml:space="preserve">mining industry and the market (see </w:t>
      </w:r>
      <w:r w:rsidRPr="00B849DC">
        <w:rPr>
          <w:i/>
          <w:lang w:val="en-GB"/>
        </w:rPr>
        <w:t>Anokhin</w:t>
      </w:r>
      <w:r w:rsidRPr="00B849DC">
        <w:rPr>
          <w:lang w:val="en-GB"/>
        </w:rPr>
        <w:t>, cited above).</w:t>
      </w:r>
    </w:p>
    <w:p w:rsidRPr="00B849DC" w:rsidR="002841E2" w:rsidP="00B849DC" w:rsidRDefault="002841E2">
      <w:pPr>
        <w:pStyle w:val="ECHRPara"/>
        <w:rPr>
          <w:lang w:val="en-US"/>
        </w:rPr>
      </w:pPr>
      <w:r w:rsidRPr="00B849DC">
        <w:rPr>
          <w:lang w:val="en-US"/>
        </w:rPr>
        <w:fldChar w:fldCharType="begin"/>
      </w:r>
      <w:r w:rsidRPr="00B849DC">
        <w:rPr>
          <w:lang w:val="en-US"/>
        </w:rPr>
        <w:instrText xml:space="preserve"> SEQ level0 \*arabic </w:instrText>
      </w:r>
      <w:r w:rsidRPr="00B849DC">
        <w:rPr>
          <w:lang w:val="en-US"/>
        </w:rPr>
        <w:fldChar w:fldCharType="separate"/>
      </w:r>
      <w:r w:rsidRPr="00B849DC" w:rsidR="00B849DC">
        <w:rPr>
          <w:noProof/>
          <w:lang w:val="en-US"/>
        </w:rPr>
        <w:t>192</w:t>
      </w:r>
      <w:r w:rsidRPr="00B849DC">
        <w:rPr>
          <w:lang w:val="en-US"/>
        </w:rPr>
        <w:fldChar w:fldCharType="end"/>
      </w:r>
      <w:r w:rsidRPr="00B849DC">
        <w:rPr>
          <w:lang w:val="en-US"/>
        </w:rPr>
        <w:t xml:space="preserve">.  The Court has also considered, in some cases, whether the State could be assumed to have accepted responsibility for the debts of the company fully or in part (see </w:t>
      </w:r>
      <w:r w:rsidRPr="00B849DC">
        <w:rPr>
          <w:i/>
          <w:lang w:val="en-GB"/>
        </w:rPr>
        <w:t>Khachatryan</w:t>
      </w:r>
      <w:r w:rsidRPr="00B849DC">
        <w:rPr>
          <w:lang w:val="en-GB"/>
        </w:rPr>
        <w:t>, cited above, § 53)</w:t>
      </w:r>
    </w:p>
    <w:p w:rsidRPr="00B849DC" w:rsidR="00503F60" w:rsidP="00B849DC" w:rsidRDefault="00EB016E">
      <w:pPr>
        <w:pStyle w:val="ECHRHeading4"/>
        <w:rPr>
          <w:lang w:val="en-US"/>
        </w:rPr>
      </w:pPr>
      <w:r w:rsidRPr="00B849DC">
        <w:rPr>
          <w:lang w:val="en-US"/>
        </w:rPr>
        <w:t>(b)</w:t>
      </w:r>
      <w:r w:rsidRPr="00B849DC" w:rsidR="00BE5A1F">
        <w:rPr>
          <w:lang w:val="en-US"/>
        </w:rPr>
        <w:t>  Application to the present case</w:t>
      </w:r>
    </w:p>
    <w:p w:rsidRPr="00B849DC" w:rsidR="00BE5A1F" w:rsidP="00B849DC" w:rsidRDefault="00EB016E">
      <w:pPr>
        <w:pStyle w:val="ECHRHeading5"/>
        <w:rPr>
          <w:lang w:val="en-US"/>
        </w:rPr>
      </w:pPr>
      <w:r w:rsidRPr="00B849DC">
        <w:rPr>
          <w:lang w:val="en-US"/>
        </w:rPr>
        <w:t>(i</w:t>
      </w:r>
      <w:r w:rsidRPr="00B849DC" w:rsidR="006D4EB7">
        <w:rPr>
          <w:lang w:val="en-US"/>
        </w:rPr>
        <w:t>)  Assessment of the l</w:t>
      </w:r>
      <w:r w:rsidRPr="00B849DC" w:rsidR="00BE5A1F">
        <w:rPr>
          <w:lang w:val="en-US"/>
        </w:rPr>
        <w:t xml:space="preserve">egal status of the </w:t>
      </w:r>
      <w:r w:rsidRPr="00B849DC" w:rsidR="00AC0EFB">
        <w:rPr>
          <w:lang w:val="en-US"/>
        </w:rPr>
        <w:t xml:space="preserve">State and </w:t>
      </w:r>
      <w:r w:rsidRPr="00B849DC" w:rsidR="00BE5A1F">
        <w:rPr>
          <w:lang w:val="en-US"/>
        </w:rPr>
        <w:t>municipal unitary companies</w:t>
      </w:r>
      <w:r w:rsidRPr="00B849DC" w:rsidR="00AC0EFB">
        <w:rPr>
          <w:lang w:val="en-US"/>
        </w:rPr>
        <w:t xml:space="preserve"> </w:t>
      </w:r>
      <w:r w:rsidRPr="00B849DC" w:rsidR="002D4683">
        <w:rPr>
          <w:lang w:val="en-US"/>
        </w:rPr>
        <w:t xml:space="preserve">with </w:t>
      </w:r>
      <w:r w:rsidRPr="00B849DC" w:rsidR="00AC0EFB">
        <w:rPr>
          <w:lang w:val="en-US"/>
        </w:rPr>
        <w:t>the right of economic control</w:t>
      </w:r>
    </w:p>
    <w:p w:rsidRPr="00B849DC" w:rsidR="00680A7B" w:rsidP="00B849DC" w:rsidRDefault="006D47BC">
      <w:pPr>
        <w:pStyle w:val="ECHRPara"/>
        <w:rPr>
          <w:lang w:val="en-GB"/>
        </w:rPr>
      </w:pPr>
      <w:r w:rsidRPr="00B849DC">
        <w:rPr>
          <w:lang w:val="en-GB"/>
        </w:rPr>
        <w:fldChar w:fldCharType="begin"/>
      </w:r>
      <w:r w:rsidRPr="00B849DC">
        <w:rPr>
          <w:lang w:val="en-GB"/>
        </w:rPr>
        <w:instrText xml:space="preserve"> SEQ level0 \*arabic </w:instrText>
      </w:r>
      <w:r w:rsidRPr="00B849DC">
        <w:rPr>
          <w:lang w:val="en-GB"/>
        </w:rPr>
        <w:fldChar w:fldCharType="separate"/>
      </w:r>
      <w:r w:rsidRPr="00B849DC" w:rsidR="00B849DC">
        <w:rPr>
          <w:noProof/>
          <w:lang w:val="en-GB"/>
        </w:rPr>
        <w:t>193</w:t>
      </w:r>
      <w:r w:rsidRPr="00B849DC">
        <w:rPr>
          <w:lang w:val="en-GB"/>
        </w:rPr>
        <w:fldChar w:fldCharType="end"/>
      </w:r>
      <w:r w:rsidRPr="00B849DC">
        <w:rPr>
          <w:lang w:val="en-GB"/>
        </w:rPr>
        <w:t>.  </w:t>
      </w:r>
      <w:r w:rsidRPr="00B849DC" w:rsidR="00B92579">
        <w:rPr>
          <w:lang w:val="en-GB"/>
        </w:rPr>
        <w:t xml:space="preserve">The Court notes that the Government have advanced a detailed argument on the legal status of unitary companies </w:t>
      </w:r>
      <w:r w:rsidRPr="00B849DC" w:rsidR="0041142F">
        <w:rPr>
          <w:lang w:val="en-GB"/>
        </w:rPr>
        <w:t xml:space="preserve">with </w:t>
      </w:r>
      <w:r w:rsidRPr="00B849DC" w:rsidR="00B92579">
        <w:rPr>
          <w:lang w:val="en-GB"/>
        </w:rPr>
        <w:t xml:space="preserve">the right of the economic control. Having found </w:t>
      </w:r>
      <w:r w:rsidRPr="00B849DC" w:rsidR="000B1E96">
        <w:rPr>
          <w:lang w:val="en-GB"/>
        </w:rPr>
        <w:t xml:space="preserve">on several occasions </w:t>
      </w:r>
      <w:r w:rsidRPr="00B849DC" w:rsidR="00B92579">
        <w:rPr>
          <w:lang w:val="en-GB"/>
        </w:rPr>
        <w:t xml:space="preserve">that the mere fact of </w:t>
      </w:r>
      <w:r w:rsidRPr="00B849DC" w:rsidR="0041142F">
        <w:rPr>
          <w:lang w:val="en-GB"/>
        </w:rPr>
        <w:t xml:space="preserve">a </w:t>
      </w:r>
      <w:r w:rsidRPr="00B849DC" w:rsidR="00B92579">
        <w:rPr>
          <w:lang w:val="en-GB"/>
        </w:rPr>
        <w:t>company</w:t>
      </w:r>
      <w:r w:rsidRPr="00B849DC" w:rsidR="00B849DC">
        <w:rPr>
          <w:lang w:val="en-GB"/>
        </w:rPr>
        <w:t>’</w:t>
      </w:r>
      <w:r w:rsidRPr="00B849DC" w:rsidR="00B92579">
        <w:rPr>
          <w:lang w:val="en-GB"/>
        </w:rPr>
        <w:t>s incorporation in the domestic law as a separate legal entity is not a decisive factor for the determination of the State</w:t>
      </w:r>
      <w:r w:rsidRPr="00B849DC" w:rsidR="00B849DC">
        <w:rPr>
          <w:lang w:val="en-GB"/>
        </w:rPr>
        <w:t>’</w:t>
      </w:r>
      <w:r w:rsidRPr="00B849DC" w:rsidR="00B92579">
        <w:rPr>
          <w:lang w:val="en-GB"/>
        </w:rPr>
        <w:t>s responsibility for the company</w:t>
      </w:r>
      <w:r w:rsidRPr="00B849DC" w:rsidR="00B849DC">
        <w:rPr>
          <w:lang w:val="en-GB"/>
        </w:rPr>
        <w:t>’</w:t>
      </w:r>
      <w:r w:rsidRPr="00B849DC" w:rsidR="00B92579">
        <w:rPr>
          <w:lang w:val="en-GB"/>
        </w:rPr>
        <w:t>s acts or omissions under the Convention (see paragraph </w:t>
      </w:r>
      <w:r w:rsidRPr="00B849DC" w:rsidR="00E95711">
        <w:rPr>
          <w:lang w:val="en-GB"/>
        </w:rPr>
        <w:t>18</w:t>
      </w:r>
      <w:r w:rsidRPr="00B849DC" w:rsidR="00807969">
        <w:rPr>
          <w:lang w:val="en-GB"/>
        </w:rPr>
        <w:t>8</w:t>
      </w:r>
      <w:r w:rsidRPr="00B849DC" w:rsidR="00B92579">
        <w:rPr>
          <w:lang w:val="en-GB"/>
        </w:rPr>
        <w:t xml:space="preserve"> above), the Court will now have to examine </w:t>
      </w:r>
      <w:r w:rsidRPr="00B849DC" w:rsidR="0041142F">
        <w:rPr>
          <w:lang w:val="en-GB"/>
        </w:rPr>
        <w:t xml:space="preserve">the </w:t>
      </w:r>
      <w:r w:rsidRPr="00B849DC" w:rsidR="00B92579">
        <w:rPr>
          <w:lang w:val="en-GB"/>
        </w:rPr>
        <w:t xml:space="preserve">specific </w:t>
      </w:r>
      <w:r w:rsidRPr="00B849DC" w:rsidR="00E613BA">
        <w:rPr>
          <w:lang w:val="en-GB"/>
        </w:rPr>
        <w:t xml:space="preserve">arguments advanced by the parties concerning the particularities of </w:t>
      </w:r>
      <w:r w:rsidRPr="00B849DC" w:rsidR="00A615B8">
        <w:rPr>
          <w:lang w:val="en-GB"/>
        </w:rPr>
        <w:t xml:space="preserve">the legal status </w:t>
      </w:r>
      <w:r w:rsidRPr="00B849DC" w:rsidR="0041142F">
        <w:rPr>
          <w:lang w:val="en-GB"/>
        </w:rPr>
        <w:t xml:space="preserve">of </w:t>
      </w:r>
      <w:r w:rsidRPr="00B849DC" w:rsidR="00B92579">
        <w:rPr>
          <w:lang w:val="en-GB"/>
        </w:rPr>
        <w:t xml:space="preserve">State and municipal unitary </w:t>
      </w:r>
      <w:r w:rsidRPr="00B849DC" w:rsidR="00A615B8">
        <w:rPr>
          <w:lang w:val="en-GB"/>
        </w:rPr>
        <w:t>enterprises</w:t>
      </w:r>
      <w:r w:rsidRPr="00B849DC" w:rsidR="00E613BA">
        <w:rPr>
          <w:lang w:val="en-GB"/>
        </w:rPr>
        <w:t xml:space="preserve"> </w:t>
      </w:r>
      <w:r w:rsidRPr="00B849DC" w:rsidR="0041142F">
        <w:rPr>
          <w:lang w:val="en-GB"/>
        </w:rPr>
        <w:t xml:space="preserve">with </w:t>
      </w:r>
      <w:r w:rsidRPr="00B849DC" w:rsidR="00A615B8">
        <w:rPr>
          <w:lang w:val="en-GB"/>
        </w:rPr>
        <w:t>the right of economic control</w:t>
      </w:r>
      <w:r w:rsidRPr="00B849DC" w:rsidR="00B92579">
        <w:rPr>
          <w:lang w:val="en-GB"/>
        </w:rPr>
        <w:t>.</w:t>
      </w:r>
    </w:p>
    <w:p w:rsidRPr="00B849DC" w:rsidR="00CA087B" w:rsidP="00B849DC" w:rsidRDefault="008527F4">
      <w:pPr>
        <w:pStyle w:val="ECHRPara"/>
        <w:rPr>
          <w:lang w:val="en-US"/>
        </w:rPr>
      </w:pPr>
      <w:r w:rsidRPr="00B849DC">
        <w:rPr>
          <w:lang w:val="en-US"/>
        </w:rPr>
        <w:fldChar w:fldCharType="begin"/>
      </w:r>
      <w:r w:rsidRPr="00B849DC">
        <w:rPr>
          <w:lang w:val="en-US"/>
        </w:rPr>
        <w:instrText xml:space="preserve"> SEQ level0 \*arabic </w:instrText>
      </w:r>
      <w:r w:rsidRPr="00B849DC">
        <w:rPr>
          <w:lang w:val="en-US"/>
        </w:rPr>
        <w:fldChar w:fldCharType="separate"/>
      </w:r>
      <w:r w:rsidRPr="00B849DC" w:rsidR="00B849DC">
        <w:rPr>
          <w:noProof/>
          <w:lang w:val="en-US"/>
        </w:rPr>
        <w:t>194</w:t>
      </w:r>
      <w:r w:rsidRPr="00B849DC">
        <w:rPr>
          <w:lang w:val="en-US"/>
        </w:rPr>
        <w:fldChar w:fldCharType="end"/>
      </w:r>
      <w:r w:rsidRPr="00B849DC">
        <w:rPr>
          <w:lang w:val="en-US"/>
        </w:rPr>
        <w:t>.  </w:t>
      </w:r>
      <w:r w:rsidRPr="00B849DC" w:rsidR="002B7961">
        <w:rPr>
          <w:lang w:val="en-US"/>
        </w:rPr>
        <w:t>The Court accepts</w:t>
      </w:r>
      <w:r w:rsidRPr="00B849DC" w:rsidR="00E613BA">
        <w:rPr>
          <w:lang w:val="en-US"/>
        </w:rPr>
        <w:t xml:space="preserve">, on the one hand, that </w:t>
      </w:r>
      <w:r w:rsidRPr="00B849DC" w:rsidR="00A615B8">
        <w:rPr>
          <w:lang w:val="en-US"/>
        </w:rPr>
        <w:t>such enterprises</w:t>
      </w:r>
      <w:r w:rsidRPr="00B849DC" w:rsidR="001F7F6E">
        <w:rPr>
          <w:lang w:val="en-US"/>
        </w:rPr>
        <w:t xml:space="preserve">, </w:t>
      </w:r>
      <w:r w:rsidRPr="00B849DC" w:rsidR="0041142F">
        <w:rPr>
          <w:lang w:val="en-US"/>
        </w:rPr>
        <w:t xml:space="preserve">like </w:t>
      </w:r>
      <w:r w:rsidRPr="00B849DC" w:rsidR="001F7F6E">
        <w:rPr>
          <w:lang w:val="en-US"/>
        </w:rPr>
        <w:t>any commercial company,</w:t>
      </w:r>
      <w:r w:rsidRPr="00B849DC" w:rsidR="00E613BA">
        <w:rPr>
          <w:lang w:val="en-US"/>
        </w:rPr>
        <w:t xml:space="preserve"> are</w:t>
      </w:r>
      <w:r w:rsidRPr="00B849DC" w:rsidR="002B7961">
        <w:rPr>
          <w:lang w:val="en-US"/>
        </w:rPr>
        <w:t xml:space="preserve"> </w:t>
      </w:r>
      <w:r w:rsidRPr="00B849DC" w:rsidR="00756CC4">
        <w:rPr>
          <w:lang w:val="en-GB"/>
        </w:rPr>
        <w:t>set up with the aim of</w:t>
      </w:r>
      <w:r w:rsidRPr="00B849DC" w:rsidR="002B7961">
        <w:rPr>
          <w:lang w:val="en-GB"/>
        </w:rPr>
        <w:t xml:space="preserve"> </w:t>
      </w:r>
      <w:r w:rsidRPr="00B849DC" w:rsidR="0041142F">
        <w:rPr>
          <w:lang w:val="en-GB"/>
        </w:rPr>
        <w:t xml:space="preserve">making a </w:t>
      </w:r>
      <w:r w:rsidRPr="00B849DC" w:rsidR="002B7961">
        <w:rPr>
          <w:lang w:val="en-GB"/>
        </w:rPr>
        <w:t>profit</w:t>
      </w:r>
      <w:r w:rsidRPr="00B849DC" w:rsidR="001F7F6E">
        <w:rPr>
          <w:lang w:val="en-GB"/>
        </w:rPr>
        <w:t xml:space="preserve">. They </w:t>
      </w:r>
      <w:r w:rsidRPr="00B849DC" w:rsidR="006A39D0">
        <w:rPr>
          <w:lang w:val="en-US"/>
        </w:rPr>
        <w:t>may create a reserve fund (see paragraph </w:t>
      </w:r>
      <w:r w:rsidRPr="00B849DC" w:rsidR="00A93DCE">
        <w:rPr>
          <w:lang w:val="en-US"/>
        </w:rPr>
        <w:t>64</w:t>
      </w:r>
      <w:r w:rsidRPr="00B849DC" w:rsidR="006A39D0">
        <w:rPr>
          <w:lang w:val="en-US"/>
        </w:rPr>
        <w:t xml:space="preserve"> above) and otherwise </w:t>
      </w:r>
      <w:r w:rsidRPr="00B849DC" w:rsidR="001F7F6E">
        <w:rPr>
          <w:lang w:val="en-US"/>
        </w:rPr>
        <w:t xml:space="preserve">enjoy a </w:t>
      </w:r>
      <w:r w:rsidRPr="00B849DC" w:rsidR="00DD60F8">
        <w:rPr>
          <w:lang w:val="en-US"/>
        </w:rPr>
        <w:t xml:space="preserve">considerable </w:t>
      </w:r>
      <w:r w:rsidRPr="00B849DC" w:rsidR="001F7F6E">
        <w:rPr>
          <w:lang w:val="en-US"/>
        </w:rPr>
        <w:t xml:space="preserve">degree of independence in disposing of </w:t>
      </w:r>
      <w:r w:rsidRPr="00B849DC" w:rsidR="0041142F">
        <w:rPr>
          <w:lang w:val="en-US"/>
        </w:rPr>
        <w:t xml:space="preserve">their </w:t>
      </w:r>
      <w:r w:rsidRPr="00B849DC" w:rsidR="001F7F6E">
        <w:rPr>
          <w:lang w:val="en-US"/>
        </w:rPr>
        <w:t>profit</w:t>
      </w:r>
      <w:r w:rsidRPr="00B849DC" w:rsidR="0041142F">
        <w:rPr>
          <w:lang w:val="en-US"/>
        </w:rPr>
        <w:t>s</w:t>
      </w:r>
      <w:r w:rsidRPr="00B849DC" w:rsidR="00581F52">
        <w:rPr>
          <w:lang w:val="en-GB"/>
        </w:rPr>
        <w:t>.</w:t>
      </w:r>
      <w:r w:rsidRPr="00B849DC" w:rsidR="006A39D0">
        <w:rPr>
          <w:lang w:val="en-GB"/>
        </w:rPr>
        <w:t xml:space="preserve"> </w:t>
      </w:r>
      <w:r w:rsidRPr="00B849DC" w:rsidR="002B7961">
        <w:rPr>
          <w:lang w:val="en-GB"/>
        </w:rPr>
        <w:t>Similarly, the Court accepts that</w:t>
      </w:r>
      <w:r w:rsidRPr="00B849DC" w:rsidR="002B7961">
        <w:rPr>
          <w:lang w:val="en-US"/>
        </w:rPr>
        <w:t xml:space="preserve"> such enterprises manage </w:t>
      </w:r>
      <w:r w:rsidRPr="00B849DC" w:rsidR="009D62BE">
        <w:rPr>
          <w:lang w:val="en-US"/>
        </w:rPr>
        <w:t xml:space="preserve">several types of </w:t>
      </w:r>
      <w:r w:rsidRPr="00B849DC" w:rsidR="002B7961">
        <w:rPr>
          <w:lang w:val="en-US"/>
        </w:rPr>
        <w:t>assets other than real estate</w:t>
      </w:r>
      <w:r w:rsidRPr="00B849DC" w:rsidR="006A39D0">
        <w:rPr>
          <w:lang w:val="en-US"/>
        </w:rPr>
        <w:t xml:space="preserve"> – and make certain transactions –</w:t>
      </w:r>
      <w:r w:rsidRPr="00B849DC" w:rsidR="002B7961">
        <w:rPr>
          <w:lang w:val="en-US"/>
        </w:rPr>
        <w:t xml:space="preserve"> independently, unless the applicable legislation stipulates otherwise</w:t>
      </w:r>
      <w:r w:rsidRPr="00B849DC" w:rsidR="00581F52">
        <w:rPr>
          <w:lang w:val="en-US"/>
        </w:rPr>
        <w:t xml:space="preserve"> </w:t>
      </w:r>
      <w:r w:rsidRPr="00B849DC" w:rsidR="00581F52">
        <w:rPr>
          <w:lang w:val="en-GB"/>
        </w:rPr>
        <w:t>(see paragraphs </w:t>
      </w:r>
      <w:r w:rsidRPr="00B849DC" w:rsidR="00A93DCE">
        <w:rPr>
          <w:lang w:val="en-GB"/>
        </w:rPr>
        <w:t>70-71</w:t>
      </w:r>
      <w:r w:rsidRPr="00B849DC" w:rsidR="00581F52">
        <w:rPr>
          <w:lang w:val="en-GB"/>
        </w:rPr>
        <w:t xml:space="preserve"> and 74 above)</w:t>
      </w:r>
      <w:r w:rsidRPr="00B849DC" w:rsidR="002B7961">
        <w:rPr>
          <w:lang w:val="en-US"/>
        </w:rPr>
        <w:t xml:space="preserve">. Furthermore, as rightly pointed out by the Government, unitary enterprises, </w:t>
      </w:r>
      <w:r w:rsidRPr="00B849DC" w:rsidR="0041142F">
        <w:rPr>
          <w:lang w:val="en-US"/>
        </w:rPr>
        <w:t xml:space="preserve">in </w:t>
      </w:r>
      <w:r w:rsidRPr="00B849DC" w:rsidR="002B7961">
        <w:rPr>
          <w:lang w:val="en-US"/>
        </w:rPr>
        <w:t xml:space="preserve">contrast </w:t>
      </w:r>
      <w:r w:rsidRPr="00B849DC" w:rsidR="0041142F">
        <w:rPr>
          <w:lang w:val="en-US"/>
        </w:rPr>
        <w:t>with</w:t>
      </w:r>
      <w:r w:rsidRPr="00B849DC" w:rsidR="002B7961">
        <w:rPr>
          <w:lang w:val="en-US"/>
        </w:rPr>
        <w:t xml:space="preserve"> budgetary institutions, </w:t>
      </w:r>
      <w:r w:rsidRPr="00B849DC" w:rsidR="0041142F">
        <w:rPr>
          <w:lang w:val="en-US"/>
        </w:rPr>
        <w:t xml:space="preserve">do </w:t>
      </w:r>
      <w:r w:rsidRPr="00B849DC" w:rsidR="002B7961">
        <w:rPr>
          <w:lang w:val="en-US"/>
        </w:rPr>
        <w:t xml:space="preserve">not </w:t>
      </w:r>
      <w:r w:rsidRPr="00B849DC" w:rsidR="00237541">
        <w:rPr>
          <w:lang w:val="en-US"/>
        </w:rPr>
        <w:t>receive</w:t>
      </w:r>
      <w:r w:rsidRPr="00B849DC" w:rsidR="002B7961">
        <w:rPr>
          <w:lang w:val="en-US"/>
        </w:rPr>
        <w:t xml:space="preserve"> budget funds (see paragraph </w:t>
      </w:r>
      <w:r w:rsidRPr="00B849DC" w:rsidR="00A93DCE">
        <w:rPr>
          <w:lang w:val="en-US"/>
        </w:rPr>
        <w:t>1</w:t>
      </w:r>
      <w:r w:rsidRPr="00B849DC" w:rsidR="00807969">
        <w:rPr>
          <w:lang w:val="en-US"/>
        </w:rPr>
        <w:t>19</w:t>
      </w:r>
      <w:r w:rsidRPr="00B849DC" w:rsidR="002B7961">
        <w:rPr>
          <w:lang w:val="en-US"/>
        </w:rPr>
        <w:t xml:space="preserve"> above)</w:t>
      </w:r>
      <w:r w:rsidRPr="00B849DC" w:rsidR="00E473B9">
        <w:rPr>
          <w:lang w:val="en-US"/>
        </w:rPr>
        <w:t xml:space="preserve">, although </w:t>
      </w:r>
      <w:r w:rsidRPr="00B849DC" w:rsidR="005B5E58">
        <w:rPr>
          <w:lang w:val="en-US"/>
        </w:rPr>
        <w:t xml:space="preserve">the </w:t>
      </w:r>
      <w:r w:rsidRPr="00B849DC" w:rsidR="00E473B9">
        <w:rPr>
          <w:lang w:val="en-US"/>
        </w:rPr>
        <w:t>exceptions may, apparently, be stipulated by the company</w:t>
      </w:r>
      <w:r w:rsidRPr="00B849DC" w:rsidR="00B849DC">
        <w:rPr>
          <w:lang w:val="en-US"/>
        </w:rPr>
        <w:t>’</w:t>
      </w:r>
      <w:r w:rsidRPr="00B849DC" w:rsidR="00E473B9">
        <w:rPr>
          <w:lang w:val="en-US"/>
        </w:rPr>
        <w:t xml:space="preserve">s rules (as in </w:t>
      </w:r>
      <w:r w:rsidRPr="00B849DC" w:rsidR="00E473B9">
        <w:rPr>
          <w:i/>
          <w:lang w:val="en-US"/>
        </w:rPr>
        <w:t>Maslov</w:t>
      </w:r>
      <w:r w:rsidRPr="00B849DC" w:rsidR="00E473B9">
        <w:rPr>
          <w:lang w:val="en-US"/>
        </w:rPr>
        <w:t>, see paragraph </w:t>
      </w:r>
      <w:r w:rsidRPr="00B849DC" w:rsidR="00581F52">
        <w:rPr>
          <w:lang w:val="en-US"/>
        </w:rPr>
        <w:t>30</w:t>
      </w:r>
      <w:r w:rsidRPr="00B849DC" w:rsidR="00E473B9">
        <w:rPr>
          <w:lang w:val="en-US"/>
        </w:rPr>
        <w:t xml:space="preserve"> above)</w:t>
      </w:r>
      <w:r w:rsidRPr="00B849DC" w:rsidR="002B7961">
        <w:rPr>
          <w:lang w:val="en-US"/>
        </w:rPr>
        <w:t xml:space="preserve">. </w:t>
      </w:r>
      <w:r w:rsidRPr="00B849DC" w:rsidR="00A12FFF">
        <w:rPr>
          <w:lang w:val="en-US"/>
        </w:rPr>
        <w:t>Furth</w:t>
      </w:r>
      <w:r w:rsidRPr="00B849DC" w:rsidR="00A615B8">
        <w:rPr>
          <w:lang w:val="en-US"/>
        </w:rPr>
        <w:t>er, in the Court</w:t>
      </w:r>
      <w:r w:rsidRPr="00B849DC" w:rsidR="00B849DC">
        <w:rPr>
          <w:lang w:val="en-US"/>
        </w:rPr>
        <w:t>’</w:t>
      </w:r>
      <w:r w:rsidRPr="00B849DC" w:rsidR="00A615B8">
        <w:rPr>
          <w:lang w:val="en-US"/>
        </w:rPr>
        <w:t xml:space="preserve">s view, it is </w:t>
      </w:r>
      <w:r w:rsidRPr="00B849DC" w:rsidR="0041142F">
        <w:rPr>
          <w:lang w:val="en-US"/>
        </w:rPr>
        <w:t xml:space="preserve">significant </w:t>
      </w:r>
      <w:r w:rsidRPr="00B849DC" w:rsidR="00A12FFF">
        <w:rPr>
          <w:lang w:val="en-US"/>
        </w:rPr>
        <w:t>that unitary enterprise</w:t>
      </w:r>
      <w:r w:rsidRPr="00B849DC" w:rsidR="0041142F">
        <w:rPr>
          <w:lang w:val="en-US"/>
        </w:rPr>
        <w:t>s</w:t>
      </w:r>
      <w:r w:rsidRPr="00B849DC" w:rsidR="00A12FFF">
        <w:rPr>
          <w:lang w:val="en-US"/>
        </w:rPr>
        <w:t xml:space="preserve"> may sue other persons, including the</w:t>
      </w:r>
      <w:r w:rsidRPr="00B849DC" w:rsidR="0041142F">
        <w:rPr>
          <w:lang w:val="en-US"/>
        </w:rPr>
        <w:t>ir</w:t>
      </w:r>
      <w:r w:rsidRPr="00B849DC" w:rsidR="00A12FFF">
        <w:rPr>
          <w:lang w:val="en-US"/>
        </w:rPr>
        <w:t xml:space="preserve"> owner</w:t>
      </w:r>
      <w:r w:rsidRPr="00B849DC" w:rsidR="0041142F">
        <w:rPr>
          <w:lang w:val="en-US"/>
        </w:rPr>
        <w:t>s</w:t>
      </w:r>
      <w:r w:rsidRPr="00B849DC" w:rsidR="00A12FFF">
        <w:rPr>
          <w:lang w:val="en-US"/>
        </w:rPr>
        <w:t xml:space="preserve">, in court, in order to protect the assets allocated to </w:t>
      </w:r>
      <w:r w:rsidRPr="00B849DC" w:rsidR="000B1E96">
        <w:rPr>
          <w:lang w:val="en-US"/>
        </w:rPr>
        <w:t xml:space="preserve">them </w:t>
      </w:r>
      <w:r w:rsidRPr="00B849DC" w:rsidR="00A12FFF">
        <w:rPr>
          <w:lang w:val="en-US"/>
        </w:rPr>
        <w:t>(see paragraph</w:t>
      </w:r>
      <w:r w:rsidRPr="00B849DC" w:rsidR="00581F52">
        <w:rPr>
          <w:lang w:val="en-US"/>
        </w:rPr>
        <w:t>s</w:t>
      </w:r>
      <w:r w:rsidRPr="00B849DC" w:rsidR="00A12FFF">
        <w:rPr>
          <w:lang w:val="en-US"/>
        </w:rPr>
        <w:t> </w:t>
      </w:r>
      <w:r w:rsidRPr="00B849DC" w:rsidR="00A93DCE">
        <w:rPr>
          <w:lang w:val="en-US"/>
        </w:rPr>
        <w:t>57</w:t>
      </w:r>
      <w:r w:rsidRPr="00B849DC" w:rsidR="00581F52">
        <w:rPr>
          <w:lang w:val="en-US"/>
        </w:rPr>
        <w:t xml:space="preserve"> and </w:t>
      </w:r>
      <w:r w:rsidRPr="00B849DC" w:rsidR="00A93DCE">
        <w:rPr>
          <w:lang w:val="en-US"/>
        </w:rPr>
        <w:t>77</w:t>
      </w:r>
      <w:r w:rsidRPr="00B849DC" w:rsidR="00F87593">
        <w:rPr>
          <w:lang w:val="en-US"/>
        </w:rPr>
        <w:t xml:space="preserve"> </w:t>
      </w:r>
      <w:r w:rsidRPr="00B849DC" w:rsidR="00A12FFF">
        <w:rPr>
          <w:lang w:val="en-US"/>
        </w:rPr>
        <w:t>above</w:t>
      </w:r>
      <w:r w:rsidRPr="00B849DC" w:rsidR="006A39D0">
        <w:rPr>
          <w:lang w:val="en-US"/>
        </w:rPr>
        <w:t>, as well as the domestic case-law summarised in paragraph</w:t>
      </w:r>
      <w:r w:rsidRPr="00B849DC" w:rsidR="00A93DCE">
        <w:rPr>
          <w:lang w:val="en-US"/>
        </w:rPr>
        <w:t>s</w:t>
      </w:r>
      <w:r w:rsidRPr="00B849DC" w:rsidR="006A39D0">
        <w:rPr>
          <w:lang w:val="en-US"/>
        </w:rPr>
        <w:t> </w:t>
      </w:r>
      <w:r w:rsidRPr="00B849DC" w:rsidR="00A93DCE">
        <w:rPr>
          <w:lang w:val="en-US"/>
        </w:rPr>
        <w:t xml:space="preserve">80-81 and </w:t>
      </w:r>
      <w:r w:rsidRPr="00B849DC" w:rsidR="00807969">
        <w:rPr>
          <w:lang w:val="en-US"/>
        </w:rPr>
        <w:t>107</w:t>
      </w:r>
      <w:r w:rsidRPr="00B849DC" w:rsidR="006A39D0">
        <w:rPr>
          <w:lang w:val="en-US"/>
        </w:rPr>
        <w:t xml:space="preserve"> above</w:t>
      </w:r>
      <w:r w:rsidRPr="00B849DC" w:rsidR="00A12FFF">
        <w:rPr>
          <w:lang w:val="en-US"/>
        </w:rPr>
        <w:t>)</w:t>
      </w:r>
      <w:r w:rsidRPr="00B849DC" w:rsidR="00A12FFF">
        <w:rPr>
          <w:rFonts w:ascii="Verdana" w:hAnsi="Verdana" w:cs="Arial"/>
          <w:sz w:val="20"/>
          <w:szCs w:val="20"/>
          <w:lang w:val="en-US"/>
        </w:rPr>
        <w:t>.</w:t>
      </w:r>
      <w:r w:rsidRPr="00B849DC" w:rsidR="0041142F">
        <w:rPr>
          <w:rFonts w:ascii="Verdana" w:hAnsi="Verdana" w:cs="Arial"/>
          <w:sz w:val="20"/>
          <w:szCs w:val="20"/>
          <w:lang w:val="en-US"/>
        </w:rPr>
        <w:t xml:space="preserve"> </w:t>
      </w:r>
      <w:r w:rsidRPr="00B849DC" w:rsidR="00EB016E">
        <w:rPr>
          <w:lang w:val="en-US"/>
        </w:rPr>
        <w:t>The Court agrees that various</w:t>
      </w:r>
      <w:r w:rsidRPr="00B849DC" w:rsidR="002B7961">
        <w:rPr>
          <w:lang w:val="en-US"/>
        </w:rPr>
        <w:t xml:space="preserve"> aspects of such </w:t>
      </w:r>
      <w:r w:rsidRPr="00B849DC" w:rsidR="000B1E96">
        <w:rPr>
          <w:lang w:val="en-US"/>
        </w:rPr>
        <w:t>companies</w:t>
      </w:r>
      <w:r w:rsidRPr="00B849DC" w:rsidR="00B849DC">
        <w:rPr>
          <w:lang w:val="en-US"/>
        </w:rPr>
        <w:t>’</w:t>
      </w:r>
      <w:r w:rsidRPr="00B849DC" w:rsidR="000B1E96">
        <w:rPr>
          <w:lang w:val="en-US"/>
        </w:rPr>
        <w:t xml:space="preserve"> </w:t>
      </w:r>
      <w:r w:rsidRPr="00B849DC" w:rsidR="002B7961">
        <w:rPr>
          <w:lang w:val="en-US"/>
        </w:rPr>
        <w:t xml:space="preserve">activity are, in fact, governed by company law, and so is </w:t>
      </w:r>
      <w:r w:rsidRPr="00B849DC" w:rsidR="00FB5725">
        <w:rPr>
          <w:lang w:val="en-US"/>
        </w:rPr>
        <w:t>their</w:t>
      </w:r>
      <w:r w:rsidRPr="00B849DC" w:rsidR="002B7961">
        <w:rPr>
          <w:lang w:val="en-US"/>
        </w:rPr>
        <w:t xml:space="preserve"> insolvency (see paragraph</w:t>
      </w:r>
      <w:r w:rsidRPr="00B849DC" w:rsidR="00B628F0">
        <w:rPr>
          <w:lang w:val="en-US"/>
        </w:rPr>
        <w:t>s</w:t>
      </w:r>
      <w:r w:rsidRPr="00B849DC" w:rsidR="002B7961">
        <w:rPr>
          <w:lang w:val="en-US"/>
        </w:rPr>
        <w:t> </w:t>
      </w:r>
      <w:r w:rsidRPr="00B849DC" w:rsidR="00A93DCE">
        <w:rPr>
          <w:lang w:val="en-US"/>
        </w:rPr>
        <w:t>86</w:t>
      </w:r>
      <w:r w:rsidRPr="00B849DC" w:rsidR="00B628F0">
        <w:rPr>
          <w:lang w:val="en-US"/>
        </w:rPr>
        <w:noBreakHyphen/>
        <w:t xml:space="preserve">89 </w:t>
      </w:r>
      <w:r w:rsidRPr="00B849DC" w:rsidR="002B7961">
        <w:rPr>
          <w:lang w:val="en-US"/>
        </w:rPr>
        <w:t>above).</w:t>
      </w:r>
    </w:p>
    <w:p w:rsidRPr="00B849DC" w:rsidR="00A12FFF" w:rsidP="00B849DC" w:rsidRDefault="001F7F6E">
      <w:pPr>
        <w:pStyle w:val="ECHRPara"/>
        <w:rPr>
          <w:lang w:val="en-US"/>
        </w:rPr>
      </w:pPr>
      <w:r w:rsidRPr="00B849DC">
        <w:rPr>
          <w:lang w:val="en-US"/>
        </w:rPr>
        <w:fldChar w:fldCharType="begin"/>
      </w:r>
      <w:r w:rsidRPr="00B849DC">
        <w:rPr>
          <w:lang w:val="en-US"/>
        </w:rPr>
        <w:instrText xml:space="preserve"> SEQ level0 \*arabic </w:instrText>
      </w:r>
      <w:r w:rsidRPr="00B849DC">
        <w:rPr>
          <w:lang w:val="en-US"/>
        </w:rPr>
        <w:fldChar w:fldCharType="separate"/>
      </w:r>
      <w:r w:rsidRPr="00B849DC" w:rsidR="00B849DC">
        <w:rPr>
          <w:noProof/>
          <w:lang w:val="en-US"/>
        </w:rPr>
        <w:t>195</w:t>
      </w:r>
      <w:r w:rsidRPr="00B849DC">
        <w:rPr>
          <w:lang w:val="en-US"/>
        </w:rPr>
        <w:fldChar w:fldCharType="end"/>
      </w:r>
      <w:r w:rsidRPr="00B849DC">
        <w:rPr>
          <w:lang w:val="en-US"/>
        </w:rPr>
        <w:t>.  </w:t>
      </w:r>
      <w:r w:rsidRPr="00B849DC" w:rsidR="00E613BA">
        <w:rPr>
          <w:lang w:val="en-US"/>
        </w:rPr>
        <w:t>On the other hand</w:t>
      </w:r>
      <w:r w:rsidRPr="00B849DC" w:rsidR="002B7961">
        <w:rPr>
          <w:lang w:val="en-US"/>
        </w:rPr>
        <w:t>, the Court cannot overlook several distinct fe</w:t>
      </w:r>
      <w:r w:rsidRPr="00B849DC" w:rsidR="00E8419F">
        <w:rPr>
          <w:lang w:val="en-US"/>
        </w:rPr>
        <w:t xml:space="preserve">atures of unitary enterprises </w:t>
      </w:r>
      <w:r w:rsidRPr="00B849DC" w:rsidR="000B1E96">
        <w:rPr>
          <w:lang w:val="en-US"/>
        </w:rPr>
        <w:t xml:space="preserve">with </w:t>
      </w:r>
      <w:r w:rsidRPr="00B849DC" w:rsidR="00E8419F">
        <w:rPr>
          <w:lang w:val="en-US"/>
        </w:rPr>
        <w:t>the right of economic control</w:t>
      </w:r>
      <w:r w:rsidRPr="00B849DC" w:rsidR="002B7961">
        <w:rPr>
          <w:lang w:val="en-US"/>
        </w:rPr>
        <w:t xml:space="preserve">. As the Government </w:t>
      </w:r>
      <w:r w:rsidRPr="00B849DC">
        <w:rPr>
          <w:lang w:val="en-US"/>
        </w:rPr>
        <w:t xml:space="preserve">summarily </w:t>
      </w:r>
      <w:r w:rsidRPr="00B849DC" w:rsidR="002B7961">
        <w:rPr>
          <w:lang w:val="en-US"/>
        </w:rPr>
        <w:t xml:space="preserve">suggested in their observations, the owner is “so alienated from the assets </w:t>
      </w:r>
      <w:r w:rsidRPr="00B849DC" w:rsidR="00EB016E">
        <w:rPr>
          <w:lang w:val="en-US"/>
        </w:rPr>
        <w:t>allocated to the enterprise under the right of economic control</w:t>
      </w:r>
      <w:r w:rsidRPr="00B849DC" w:rsidR="000606FA">
        <w:rPr>
          <w:lang w:val="en-US"/>
        </w:rPr>
        <w:t xml:space="preserve">” that </w:t>
      </w:r>
      <w:r w:rsidRPr="00B849DC" w:rsidR="00E8419F">
        <w:rPr>
          <w:lang w:val="en-US"/>
        </w:rPr>
        <w:t>its</w:t>
      </w:r>
      <w:r w:rsidRPr="00B849DC" w:rsidR="000606FA">
        <w:rPr>
          <w:lang w:val="en-US"/>
        </w:rPr>
        <w:t xml:space="preserve"> power of control</w:t>
      </w:r>
      <w:r w:rsidRPr="00B849DC" w:rsidR="002B7961">
        <w:rPr>
          <w:lang w:val="en-US"/>
        </w:rPr>
        <w:t xml:space="preserve"> constitutes </w:t>
      </w:r>
      <w:r w:rsidRPr="00B849DC" w:rsidR="0038204B">
        <w:rPr>
          <w:lang w:val="en-US"/>
        </w:rPr>
        <w:t>“</w:t>
      </w:r>
      <w:r w:rsidRPr="00B849DC" w:rsidR="002B7961">
        <w:rPr>
          <w:lang w:val="en-US"/>
        </w:rPr>
        <w:t>the only me</w:t>
      </w:r>
      <w:r w:rsidRPr="00B849DC" w:rsidR="00EB016E">
        <w:rPr>
          <w:lang w:val="en-US"/>
        </w:rPr>
        <w:t>ans to preserve its title to those</w:t>
      </w:r>
      <w:r w:rsidRPr="00B849DC" w:rsidR="002B7961">
        <w:rPr>
          <w:lang w:val="en-US"/>
        </w:rPr>
        <w:t xml:space="preserve"> assets</w:t>
      </w:r>
      <w:r w:rsidRPr="00B849DC" w:rsidR="0038204B">
        <w:rPr>
          <w:lang w:val="en-US"/>
        </w:rPr>
        <w:t>”</w:t>
      </w:r>
      <w:r w:rsidRPr="00B849DC" w:rsidR="002B7961">
        <w:rPr>
          <w:lang w:val="en-US"/>
        </w:rPr>
        <w:t xml:space="preserve">. </w:t>
      </w:r>
      <w:r w:rsidRPr="00B849DC" w:rsidR="00D211A0">
        <w:rPr>
          <w:lang w:val="en-US"/>
        </w:rPr>
        <w:t>However, in</w:t>
      </w:r>
      <w:r w:rsidRPr="00B849DC" w:rsidR="002B7961">
        <w:rPr>
          <w:lang w:val="en-US"/>
        </w:rPr>
        <w:t xml:space="preserve"> the Court</w:t>
      </w:r>
      <w:r w:rsidRPr="00B849DC" w:rsidR="00B849DC">
        <w:rPr>
          <w:lang w:val="en-US"/>
        </w:rPr>
        <w:t>’</w:t>
      </w:r>
      <w:r w:rsidRPr="00B849DC" w:rsidR="002B7961">
        <w:rPr>
          <w:lang w:val="en-US"/>
        </w:rPr>
        <w:t>s view, it</w:t>
      </w:r>
      <w:r w:rsidRPr="00B849DC" w:rsidR="000B1E96">
        <w:rPr>
          <w:lang w:val="en-US"/>
        </w:rPr>
        <w:t xml:space="preserve"> i</w:t>
      </w:r>
      <w:r w:rsidRPr="00B849DC" w:rsidR="002B7961">
        <w:rPr>
          <w:lang w:val="en-US"/>
        </w:rPr>
        <w:t xml:space="preserve">s </w:t>
      </w:r>
      <w:r w:rsidRPr="00B849DC" w:rsidR="0038204B">
        <w:rPr>
          <w:lang w:val="en-US"/>
        </w:rPr>
        <w:t>precisely</w:t>
      </w:r>
      <w:r w:rsidRPr="00B849DC" w:rsidR="002B7961">
        <w:rPr>
          <w:lang w:val="en-US"/>
        </w:rPr>
        <w:t xml:space="preserve"> the scope of the </w:t>
      </w:r>
      <w:r w:rsidRPr="00B849DC" w:rsidR="0038204B">
        <w:rPr>
          <w:lang w:val="en-US"/>
        </w:rPr>
        <w:t>owner</w:t>
      </w:r>
      <w:r w:rsidRPr="00B849DC" w:rsidR="00B849DC">
        <w:rPr>
          <w:lang w:val="en-US"/>
        </w:rPr>
        <w:t>’</w:t>
      </w:r>
      <w:r w:rsidRPr="00B849DC" w:rsidR="0038204B">
        <w:rPr>
          <w:lang w:val="en-US"/>
        </w:rPr>
        <w:t xml:space="preserve">s </w:t>
      </w:r>
      <w:r w:rsidRPr="00B849DC" w:rsidR="000606FA">
        <w:rPr>
          <w:lang w:val="en-US"/>
        </w:rPr>
        <w:t xml:space="preserve">control </w:t>
      </w:r>
      <w:r w:rsidRPr="00B849DC" w:rsidR="002B7961">
        <w:rPr>
          <w:lang w:val="en-US"/>
        </w:rPr>
        <w:t xml:space="preserve">which </w:t>
      </w:r>
      <w:r w:rsidRPr="00B849DC" w:rsidR="00232076">
        <w:rPr>
          <w:lang w:val="en-US"/>
        </w:rPr>
        <w:t>clearly distinguishes unitary enterprises from “classic” private companies</w:t>
      </w:r>
      <w:r w:rsidRPr="00B849DC" w:rsidR="00433414">
        <w:rPr>
          <w:lang w:val="en-US"/>
        </w:rPr>
        <w:t xml:space="preserve"> and therefore calls for a closer examination</w:t>
      </w:r>
      <w:r w:rsidRPr="00B849DC" w:rsidR="0040192C">
        <w:rPr>
          <w:lang w:val="en-US"/>
        </w:rPr>
        <w:t xml:space="preserve">. While agreeing with the Government that the State cannot automatically </w:t>
      </w:r>
      <w:r w:rsidRPr="00B849DC" w:rsidR="00E33CC2">
        <w:rPr>
          <w:lang w:val="en-US"/>
        </w:rPr>
        <w:t xml:space="preserve">be </w:t>
      </w:r>
      <w:r w:rsidRPr="00B849DC" w:rsidR="0040192C">
        <w:rPr>
          <w:lang w:val="en-US"/>
        </w:rPr>
        <w:t>held liable for those companies</w:t>
      </w:r>
      <w:r w:rsidRPr="00B849DC" w:rsidR="00B849DC">
        <w:rPr>
          <w:lang w:val="en-US"/>
        </w:rPr>
        <w:t>’</w:t>
      </w:r>
      <w:r w:rsidRPr="00B849DC" w:rsidR="0040192C">
        <w:rPr>
          <w:lang w:val="en-US"/>
        </w:rPr>
        <w:t xml:space="preserve"> debts, the Court considers that the authorities</w:t>
      </w:r>
      <w:r w:rsidRPr="00B849DC" w:rsidR="00B849DC">
        <w:rPr>
          <w:lang w:val="en-US"/>
        </w:rPr>
        <w:t>’</w:t>
      </w:r>
      <w:r w:rsidRPr="00B849DC" w:rsidR="0040192C">
        <w:rPr>
          <w:lang w:val="en-US"/>
        </w:rPr>
        <w:t xml:space="preserve"> extensive powers of control over </w:t>
      </w:r>
      <w:r w:rsidRPr="00B849DC" w:rsidR="00433414">
        <w:rPr>
          <w:lang w:val="en-US"/>
        </w:rPr>
        <w:t>the companies</w:t>
      </w:r>
      <w:r w:rsidRPr="00B849DC" w:rsidR="00B849DC">
        <w:rPr>
          <w:lang w:val="en-US"/>
        </w:rPr>
        <w:t>’</w:t>
      </w:r>
      <w:r w:rsidRPr="00B849DC" w:rsidR="00433414">
        <w:rPr>
          <w:lang w:val="en-US"/>
        </w:rPr>
        <w:t xml:space="preserve"> </w:t>
      </w:r>
      <w:r w:rsidRPr="00B849DC" w:rsidR="0040192C">
        <w:rPr>
          <w:lang w:val="en-US"/>
        </w:rPr>
        <w:t xml:space="preserve">activities will weigh </w:t>
      </w:r>
      <w:r w:rsidRPr="00B849DC" w:rsidR="00E33CC2">
        <w:rPr>
          <w:lang w:val="en-US"/>
        </w:rPr>
        <w:t xml:space="preserve">heavily </w:t>
      </w:r>
      <w:r w:rsidRPr="00B849DC" w:rsidR="0040192C">
        <w:rPr>
          <w:lang w:val="en-US"/>
        </w:rPr>
        <w:t>in its assessment of the State</w:t>
      </w:r>
      <w:r w:rsidRPr="00B849DC" w:rsidR="00B849DC">
        <w:rPr>
          <w:lang w:val="en-US"/>
        </w:rPr>
        <w:t>’</w:t>
      </w:r>
      <w:r w:rsidRPr="00B849DC" w:rsidR="0040192C">
        <w:rPr>
          <w:lang w:val="en-US"/>
        </w:rPr>
        <w:t>s responsibility for such companies</w:t>
      </w:r>
      <w:r w:rsidRPr="00B849DC" w:rsidR="00B849DC">
        <w:rPr>
          <w:lang w:val="en-US"/>
        </w:rPr>
        <w:t>’</w:t>
      </w:r>
      <w:r w:rsidRPr="00B849DC" w:rsidR="0040192C">
        <w:rPr>
          <w:lang w:val="en-US"/>
        </w:rPr>
        <w:t xml:space="preserve"> failure to comply with domestic judgments.</w:t>
      </w:r>
      <w:r w:rsidRPr="00B849DC">
        <w:rPr>
          <w:lang w:val="en-US"/>
        </w:rPr>
        <w:t xml:space="preserve"> </w:t>
      </w:r>
      <w:r w:rsidRPr="00B849DC" w:rsidR="00A12FFF">
        <w:rPr>
          <w:lang w:val="en-GB"/>
        </w:rPr>
        <w:t xml:space="preserve">Arguing </w:t>
      </w:r>
      <w:r w:rsidRPr="00B849DC" w:rsidR="00E33CC2">
        <w:rPr>
          <w:lang w:val="en-GB"/>
        </w:rPr>
        <w:t xml:space="preserve">that </w:t>
      </w:r>
      <w:r w:rsidRPr="00B849DC" w:rsidR="00E46089">
        <w:rPr>
          <w:lang w:val="en-GB"/>
        </w:rPr>
        <w:t xml:space="preserve">municipal </w:t>
      </w:r>
      <w:r w:rsidRPr="00B849DC" w:rsidR="000B1E96">
        <w:rPr>
          <w:lang w:val="en-GB"/>
        </w:rPr>
        <w:t>unitary enterprises</w:t>
      </w:r>
      <w:r w:rsidRPr="00B849DC" w:rsidR="00E33CC2">
        <w:rPr>
          <w:lang w:val="en-GB"/>
        </w:rPr>
        <w:t xml:space="preserve"> have</w:t>
      </w:r>
      <w:r w:rsidRPr="00B849DC" w:rsidR="00A12FFF">
        <w:rPr>
          <w:lang w:val="en-GB"/>
        </w:rPr>
        <w:t xml:space="preserve"> “virtually unlimited” independence, the Government mainly refer to the conclusions </w:t>
      </w:r>
      <w:r w:rsidRPr="00B849DC" w:rsidR="00E46089">
        <w:rPr>
          <w:lang w:val="en-GB"/>
        </w:rPr>
        <w:t xml:space="preserve">reached </w:t>
      </w:r>
      <w:r w:rsidRPr="00B849DC" w:rsidR="00A12FFF">
        <w:rPr>
          <w:lang w:val="en-GB"/>
        </w:rPr>
        <w:t>in the 1999</w:t>
      </w:r>
      <w:r w:rsidRPr="00B849DC">
        <w:rPr>
          <w:lang w:val="en-GB"/>
        </w:rPr>
        <w:t> </w:t>
      </w:r>
      <w:r w:rsidRPr="00B849DC" w:rsidR="00A12FFF">
        <w:rPr>
          <w:lang w:val="en-GB"/>
        </w:rPr>
        <w:t>Concept (see paragraph </w:t>
      </w:r>
      <w:r w:rsidRPr="00B849DC" w:rsidR="00A93DCE">
        <w:rPr>
          <w:lang w:val="en-GB"/>
        </w:rPr>
        <w:t>12</w:t>
      </w:r>
      <w:r w:rsidRPr="00B849DC" w:rsidR="00807969">
        <w:rPr>
          <w:lang w:val="en-GB"/>
        </w:rPr>
        <w:t>6</w:t>
      </w:r>
      <w:r w:rsidRPr="00B849DC" w:rsidR="00A12FFF">
        <w:rPr>
          <w:lang w:val="en-GB"/>
        </w:rPr>
        <w:t xml:space="preserve"> above). However, the Court notes that various legal provisions adopted since 1999, and </w:t>
      </w:r>
      <w:r w:rsidRPr="00B849DC" w:rsidR="009A7A8D">
        <w:rPr>
          <w:lang w:val="en-GB"/>
        </w:rPr>
        <w:t>above</w:t>
      </w:r>
      <w:r w:rsidRPr="00B849DC" w:rsidR="00A12FFF">
        <w:rPr>
          <w:lang w:val="en-GB"/>
        </w:rPr>
        <w:t xml:space="preserve"> all the Unitary </w:t>
      </w:r>
      <w:r w:rsidRPr="00B849DC" w:rsidR="00A93DCE">
        <w:rPr>
          <w:lang w:val="en-GB"/>
        </w:rPr>
        <w:t>Enterprises</w:t>
      </w:r>
      <w:r w:rsidRPr="00B849DC" w:rsidR="00A12FFF">
        <w:rPr>
          <w:lang w:val="en-GB"/>
        </w:rPr>
        <w:t xml:space="preserve"> Act</w:t>
      </w:r>
      <w:r w:rsidRPr="00B849DC" w:rsidR="006A39D0">
        <w:rPr>
          <w:lang w:val="en-GB"/>
        </w:rPr>
        <w:t xml:space="preserve"> of 2002</w:t>
      </w:r>
      <w:r w:rsidRPr="00B849DC" w:rsidR="00A12FFF">
        <w:rPr>
          <w:lang w:val="en-GB"/>
        </w:rPr>
        <w:t>, clearly enhanced the scope of the owner</w:t>
      </w:r>
      <w:r w:rsidRPr="00B849DC" w:rsidR="00B849DC">
        <w:rPr>
          <w:lang w:val="en-GB"/>
        </w:rPr>
        <w:t>’</w:t>
      </w:r>
      <w:r w:rsidRPr="00B849DC" w:rsidR="00A12FFF">
        <w:rPr>
          <w:lang w:val="en-GB"/>
        </w:rPr>
        <w:t xml:space="preserve">s control </w:t>
      </w:r>
      <w:r w:rsidRPr="00B849DC" w:rsidR="009A7A8D">
        <w:rPr>
          <w:lang w:val="en-GB"/>
        </w:rPr>
        <w:t>in the following areas</w:t>
      </w:r>
      <w:r w:rsidRPr="00B849DC" w:rsidR="00A12FFF">
        <w:rPr>
          <w:lang w:val="en-GB"/>
        </w:rPr>
        <w:t>.</w:t>
      </w:r>
    </w:p>
    <w:p w:rsidRPr="00B849DC" w:rsidR="00CC2D4B" w:rsidP="00B849DC" w:rsidRDefault="00B173EF">
      <w:pPr>
        <w:pStyle w:val="ECHRHeading6"/>
        <w:rPr>
          <w:lang w:val="en-US"/>
        </w:rPr>
      </w:pPr>
      <w:r w:rsidRPr="00B849DC">
        <w:rPr>
          <w:rFonts w:cstheme="majorHAnsi"/>
          <w:lang w:val="en-US"/>
        </w:rPr>
        <w:t>(</w:t>
      </w:r>
      <w:r w:rsidRPr="00B849DC" w:rsidR="00E473B9">
        <w:rPr>
          <w:rFonts w:cstheme="majorHAnsi"/>
        </w:rPr>
        <w:t>α</w:t>
      </w:r>
      <w:r w:rsidRPr="00B849DC">
        <w:rPr>
          <w:rFonts w:cstheme="majorHAnsi"/>
          <w:lang w:val="en-US"/>
        </w:rPr>
        <w:t>)</w:t>
      </w:r>
      <w:r w:rsidRPr="00B849DC" w:rsidR="00E473B9">
        <w:rPr>
          <w:lang w:val="en-US"/>
        </w:rPr>
        <w:t>  </w:t>
      </w:r>
      <w:r w:rsidRPr="00B849DC" w:rsidR="00232076">
        <w:rPr>
          <w:lang w:val="en-US"/>
        </w:rPr>
        <w:t>“</w:t>
      </w:r>
      <w:r w:rsidRPr="00B849DC" w:rsidR="00CC2D4B">
        <w:rPr>
          <w:lang w:val="en-US"/>
        </w:rPr>
        <w:t>Special purpose-related legal capacity</w:t>
      </w:r>
      <w:r w:rsidRPr="00B849DC" w:rsidR="00232076">
        <w:rPr>
          <w:lang w:val="en-US"/>
        </w:rPr>
        <w:t>”</w:t>
      </w:r>
      <w:r w:rsidRPr="00B849DC" w:rsidR="00595114">
        <w:rPr>
          <w:lang w:val="en-US"/>
        </w:rPr>
        <w:t>: the owner</w:t>
      </w:r>
      <w:r w:rsidRPr="00B849DC" w:rsidR="00B849DC">
        <w:rPr>
          <w:lang w:val="en-US"/>
        </w:rPr>
        <w:t>’</w:t>
      </w:r>
      <w:r w:rsidRPr="00B849DC" w:rsidR="00595114">
        <w:rPr>
          <w:lang w:val="en-US"/>
        </w:rPr>
        <w:t xml:space="preserve">s control over the </w:t>
      </w:r>
      <w:r w:rsidRPr="00B849DC" w:rsidR="00E33CC2">
        <w:rPr>
          <w:lang w:val="en-US"/>
        </w:rPr>
        <w:t>company</w:t>
      </w:r>
      <w:r w:rsidRPr="00B849DC" w:rsidR="00B849DC">
        <w:rPr>
          <w:lang w:val="en-US"/>
        </w:rPr>
        <w:t>’</w:t>
      </w:r>
      <w:r w:rsidRPr="00B849DC" w:rsidR="00E33CC2">
        <w:rPr>
          <w:lang w:val="en-US"/>
        </w:rPr>
        <w:t xml:space="preserve">s </w:t>
      </w:r>
      <w:r w:rsidRPr="00B849DC" w:rsidR="00595114">
        <w:rPr>
          <w:lang w:val="en-US"/>
        </w:rPr>
        <w:t xml:space="preserve">compliance with </w:t>
      </w:r>
      <w:r w:rsidRPr="00B849DC" w:rsidR="00E33CC2">
        <w:rPr>
          <w:lang w:val="en-US"/>
        </w:rPr>
        <w:t>its</w:t>
      </w:r>
      <w:r w:rsidRPr="00B849DC" w:rsidR="00595114">
        <w:rPr>
          <w:lang w:val="en-US"/>
        </w:rPr>
        <w:t xml:space="preserve"> statutory </w:t>
      </w:r>
      <w:r w:rsidRPr="00B849DC" w:rsidR="00C230C6">
        <w:rPr>
          <w:lang w:val="en-US"/>
        </w:rPr>
        <w:t>purpose and aims</w:t>
      </w:r>
    </w:p>
    <w:p w:rsidRPr="00B849DC" w:rsidR="00CA087B" w:rsidP="00B849DC" w:rsidRDefault="00101316">
      <w:pPr>
        <w:pStyle w:val="ECHRPara"/>
        <w:rPr>
          <w:lang w:val="en-US"/>
        </w:rPr>
      </w:pPr>
      <w:r w:rsidRPr="00B849DC">
        <w:rPr>
          <w:lang w:val="en-US"/>
        </w:rPr>
        <w:fldChar w:fldCharType="begin"/>
      </w:r>
      <w:r w:rsidRPr="00B849DC">
        <w:rPr>
          <w:lang w:val="en-US"/>
        </w:rPr>
        <w:instrText xml:space="preserve"> SEQ level0 \*arabic </w:instrText>
      </w:r>
      <w:r w:rsidRPr="00B849DC">
        <w:rPr>
          <w:lang w:val="en-US"/>
        </w:rPr>
        <w:fldChar w:fldCharType="separate"/>
      </w:r>
      <w:r w:rsidRPr="00B849DC" w:rsidR="00B849DC">
        <w:rPr>
          <w:noProof/>
          <w:lang w:val="en-US"/>
        </w:rPr>
        <w:t>196</w:t>
      </w:r>
      <w:r w:rsidRPr="00B849DC">
        <w:rPr>
          <w:lang w:val="en-US"/>
        </w:rPr>
        <w:fldChar w:fldCharType="end"/>
      </w:r>
      <w:r w:rsidRPr="00B849DC">
        <w:rPr>
          <w:lang w:val="en-US"/>
        </w:rPr>
        <w:t>.  </w:t>
      </w:r>
      <w:r w:rsidRPr="00B849DC" w:rsidR="00C7523C">
        <w:rPr>
          <w:lang w:val="en-US"/>
        </w:rPr>
        <w:t>The</w:t>
      </w:r>
      <w:r w:rsidRPr="00B849DC">
        <w:rPr>
          <w:lang w:val="en-US"/>
        </w:rPr>
        <w:t xml:space="preserve"> </w:t>
      </w:r>
      <w:r w:rsidRPr="00B849DC" w:rsidR="006A39D0">
        <w:rPr>
          <w:lang w:val="en-US"/>
        </w:rPr>
        <w:t xml:space="preserve">Court notes that the </w:t>
      </w:r>
      <w:r w:rsidRPr="00B849DC" w:rsidR="00BB18C2">
        <w:rPr>
          <w:lang w:val="en-US"/>
        </w:rPr>
        <w:t xml:space="preserve">owner </w:t>
      </w:r>
      <w:r w:rsidRPr="00B849DC" w:rsidR="000661E6">
        <w:rPr>
          <w:lang w:val="en-US"/>
        </w:rPr>
        <w:t>controls</w:t>
      </w:r>
      <w:r w:rsidRPr="00B849DC" w:rsidR="00BB18C2">
        <w:rPr>
          <w:lang w:val="en-US"/>
        </w:rPr>
        <w:t xml:space="preserve"> the use of the property </w:t>
      </w:r>
      <w:r w:rsidRPr="00B849DC" w:rsidR="00E33CC2">
        <w:rPr>
          <w:lang w:val="en-US"/>
        </w:rPr>
        <w:t xml:space="preserve">it has </w:t>
      </w:r>
      <w:r w:rsidRPr="00B849DC" w:rsidR="00BB18C2">
        <w:rPr>
          <w:lang w:val="en-US"/>
        </w:rPr>
        <w:t xml:space="preserve">assigned </w:t>
      </w:r>
      <w:r w:rsidRPr="00B849DC" w:rsidR="00E473B9">
        <w:rPr>
          <w:lang w:val="en-US"/>
        </w:rPr>
        <w:t xml:space="preserve">to the </w:t>
      </w:r>
      <w:r w:rsidRPr="00B849DC" w:rsidR="00E46089">
        <w:rPr>
          <w:lang w:val="en-US"/>
        </w:rPr>
        <w:t>company</w:t>
      </w:r>
      <w:r w:rsidRPr="00B849DC" w:rsidR="00E33CC2">
        <w:rPr>
          <w:lang w:val="en-US"/>
        </w:rPr>
        <w:t>, ensuring such use is</w:t>
      </w:r>
      <w:r w:rsidRPr="00B849DC" w:rsidR="00E473B9">
        <w:rPr>
          <w:lang w:val="en-US"/>
        </w:rPr>
        <w:t xml:space="preserve"> </w:t>
      </w:r>
      <w:r w:rsidRPr="00B849DC" w:rsidR="00BB18C2">
        <w:rPr>
          <w:lang w:val="en-US"/>
        </w:rPr>
        <w:t>in conformity with the</w:t>
      </w:r>
      <w:r w:rsidRPr="00B849DC" w:rsidR="00E46089">
        <w:rPr>
          <w:lang w:val="en-US"/>
        </w:rPr>
        <w:t xml:space="preserve"> company</w:t>
      </w:r>
      <w:r w:rsidRPr="00B849DC" w:rsidR="00B849DC">
        <w:rPr>
          <w:lang w:val="en-US"/>
        </w:rPr>
        <w:t>’</w:t>
      </w:r>
      <w:r w:rsidRPr="00B849DC" w:rsidR="00E46089">
        <w:rPr>
          <w:lang w:val="en-US"/>
        </w:rPr>
        <w:t>s</w:t>
      </w:r>
      <w:r w:rsidRPr="00B849DC" w:rsidR="00BB18C2">
        <w:rPr>
          <w:lang w:val="en-US"/>
        </w:rPr>
        <w:t xml:space="preserve"> stipulated purpose (Article 295 § 1 of the Civil Code). This aspect of control may become, in </w:t>
      </w:r>
      <w:r w:rsidRPr="00B849DC" w:rsidR="009A7A8D">
        <w:rPr>
          <w:lang w:val="en-US"/>
        </w:rPr>
        <w:t>certain</w:t>
      </w:r>
      <w:r w:rsidRPr="00B849DC" w:rsidR="00BB18C2">
        <w:rPr>
          <w:lang w:val="en-US"/>
        </w:rPr>
        <w:t xml:space="preserve"> circumstances, particularly important, since unitary enterprises are limited in their activities by the need to comply with the purposes </w:t>
      </w:r>
      <w:r w:rsidRPr="00B849DC" w:rsidR="00241304">
        <w:rPr>
          <w:lang w:val="en-US"/>
        </w:rPr>
        <w:t xml:space="preserve">and aims </w:t>
      </w:r>
      <w:r w:rsidRPr="00B849DC" w:rsidR="00BB18C2">
        <w:rPr>
          <w:lang w:val="en-US"/>
        </w:rPr>
        <w:t>defined by the</w:t>
      </w:r>
      <w:r w:rsidRPr="00B849DC" w:rsidR="00595114">
        <w:rPr>
          <w:lang w:val="en-US"/>
        </w:rPr>
        <w:t>ir</w:t>
      </w:r>
      <w:r w:rsidRPr="00B849DC" w:rsidR="00BB18C2">
        <w:rPr>
          <w:lang w:val="en-US"/>
        </w:rPr>
        <w:t xml:space="preserve"> </w:t>
      </w:r>
      <w:r w:rsidRPr="00B849DC" w:rsidR="003B56E3">
        <w:rPr>
          <w:lang w:val="en-US"/>
        </w:rPr>
        <w:t>a</w:t>
      </w:r>
      <w:r w:rsidRPr="00B849DC" w:rsidR="00E33CC2">
        <w:rPr>
          <w:lang w:val="en-US"/>
        </w:rPr>
        <w:t xml:space="preserve">rticles of </w:t>
      </w:r>
      <w:r w:rsidRPr="00B849DC" w:rsidR="003B56E3">
        <w:rPr>
          <w:lang w:val="en-US"/>
        </w:rPr>
        <w:t>a</w:t>
      </w:r>
      <w:r w:rsidRPr="00B849DC" w:rsidR="00E33CC2">
        <w:rPr>
          <w:lang w:val="en-US"/>
        </w:rPr>
        <w:t xml:space="preserve">ssociation </w:t>
      </w:r>
      <w:r w:rsidRPr="00B849DC" w:rsidR="00DA0EE4">
        <w:rPr>
          <w:lang w:val="en-US"/>
        </w:rPr>
        <w:t>(see paragraphs </w:t>
      </w:r>
      <w:r w:rsidRPr="00B849DC" w:rsidR="00A74DA3">
        <w:rPr>
          <w:lang w:val="en-US"/>
        </w:rPr>
        <w:t>66-68</w:t>
      </w:r>
      <w:r w:rsidRPr="00B849DC" w:rsidR="00DA0EE4">
        <w:rPr>
          <w:lang w:val="en-US"/>
        </w:rPr>
        <w:t xml:space="preserve"> above)</w:t>
      </w:r>
      <w:r w:rsidRPr="00B849DC" w:rsidR="00BB18C2">
        <w:rPr>
          <w:lang w:val="en-US"/>
        </w:rPr>
        <w:t>. In fact, the</w:t>
      </w:r>
      <w:r w:rsidRPr="00B849DC" w:rsidR="00442AFA">
        <w:rPr>
          <w:lang w:val="en-US"/>
        </w:rPr>
        <w:t>y</w:t>
      </w:r>
      <w:r w:rsidRPr="00B849DC" w:rsidR="00201C89">
        <w:rPr>
          <w:lang w:val="en-GB"/>
        </w:rPr>
        <w:t xml:space="preserve"> </w:t>
      </w:r>
      <w:r w:rsidRPr="00B849DC" w:rsidR="00E46089">
        <w:rPr>
          <w:lang w:val="en-GB"/>
        </w:rPr>
        <w:t xml:space="preserve">may </w:t>
      </w:r>
      <w:r w:rsidRPr="00B849DC" w:rsidR="00201C89">
        <w:rPr>
          <w:lang w:val="en-US"/>
        </w:rPr>
        <w:t xml:space="preserve">dispose of </w:t>
      </w:r>
      <w:r w:rsidRPr="00B849DC" w:rsidR="00442AFA">
        <w:rPr>
          <w:lang w:val="en-US"/>
        </w:rPr>
        <w:t xml:space="preserve">the </w:t>
      </w:r>
      <w:r w:rsidRPr="00B849DC" w:rsidR="00201C89">
        <w:rPr>
          <w:lang w:val="en-US"/>
        </w:rPr>
        <w:t xml:space="preserve">assets </w:t>
      </w:r>
      <w:r w:rsidRPr="00B849DC" w:rsidR="00E33CC2">
        <w:rPr>
          <w:lang w:val="en-US"/>
        </w:rPr>
        <w:t xml:space="preserve">allocated to them </w:t>
      </w:r>
      <w:r w:rsidRPr="00B849DC" w:rsidR="00201C89">
        <w:rPr>
          <w:lang w:val="en-US"/>
        </w:rPr>
        <w:t xml:space="preserve">only in so far as </w:t>
      </w:r>
      <w:r w:rsidRPr="00B849DC" w:rsidR="00E33CC2">
        <w:rPr>
          <w:lang w:val="en-US"/>
        </w:rPr>
        <w:t>this does</w:t>
      </w:r>
      <w:r w:rsidRPr="00B849DC" w:rsidR="00BB18C2">
        <w:rPr>
          <w:lang w:val="en-US"/>
        </w:rPr>
        <w:t xml:space="preserve"> not </w:t>
      </w:r>
      <w:r w:rsidRPr="00B849DC" w:rsidR="00E33CC2">
        <w:rPr>
          <w:lang w:val="en-US"/>
        </w:rPr>
        <w:t>prevent them from</w:t>
      </w:r>
      <w:r w:rsidRPr="00B849DC" w:rsidR="00201C89">
        <w:rPr>
          <w:lang w:val="en-US"/>
        </w:rPr>
        <w:t xml:space="preserve"> conduct</w:t>
      </w:r>
      <w:r w:rsidRPr="00B849DC" w:rsidR="00E33CC2">
        <w:rPr>
          <w:lang w:val="en-US"/>
        </w:rPr>
        <w:t>ing their</w:t>
      </w:r>
      <w:r w:rsidRPr="00B849DC" w:rsidR="00201C89">
        <w:rPr>
          <w:lang w:val="en-US"/>
        </w:rPr>
        <w:t xml:space="preserve"> activities in accordance with </w:t>
      </w:r>
      <w:r w:rsidRPr="00B849DC" w:rsidR="00E33CC2">
        <w:rPr>
          <w:lang w:val="en-US"/>
        </w:rPr>
        <w:t>their statutory purpose</w:t>
      </w:r>
      <w:r w:rsidRPr="00B849DC" w:rsidR="00201C89">
        <w:rPr>
          <w:lang w:val="en-US"/>
        </w:rPr>
        <w:t xml:space="preserve"> and </w:t>
      </w:r>
      <w:r w:rsidRPr="00B849DC" w:rsidR="00241304">
        <w:rPr>
          <w:lang w:val="en-US"/>
        </w:rPr>
        <w:t>aim</w:t>
      </w:r>
      <w:r w:rsidRPr="00B849DC" w:rsidR="00201C89">
        <w:rPr>
          <w:lang w:val="en-US"/>
        </w:rPr>
        <w:t>s</w:t>
      </w:r>
      <w:r w:rsidRPr="00B849DC" w:rsidR="006A775A">
        <w:rPr>
          <w:lang w:val="en-US"/>
        </w:rPr>
        <w:t xml:space="preserve">, otherwise </w:t>
      </w:r>
      <w:r w:rsidRPr="00B849DC" w:rsidR="00E33CC2">
        <w:rPr>
          <w:lang w:val="en-US"/>
        </w:rPr>
        <w:t>any</w:t>
      </w:r>
      <w:r w:rsidRPr="00B849DC" w:rsidR="006A775A">
        <w:rPr>
          <w:lang w:val="en-US"/>
        </w:rPr>
        <w:t xml:space="preserve"> transactions </w:t>
      </w:r>
      <w:r w:rsidRPr="00B849DC" w:rsidR="00E33CC2">
        <w:rPr>
          <w:lang w:val="en-US"/>
        </w:rPr>
        <w:t xml:space="preserve">may be declared </w:t>
      </w:r>
      <w:r w:rsidRPr="00B849DC" w:rsidR="006A775A">
        <w:rPr>
          <w:lang w:val="en-US"/>
        </w:rPr>
        <w:t>void</w:t>
      </w:r>
      <w:r w:rsidRPr="00B849DC" w:rsidR="004E0F53">
        <w:rPr>
          <w:lang w:val="en-US"/>
        </w:rPr>
        <w:t xml:space="preserve"> </w:t>
      </w:r>
      <w:r w:rsidRPr="00B849DC" w:rsidR="004E0F53">
        <w:rPr>
          <w:lang w:val="en-GB"/>
        </w:rPr>
        <w:t>(see paragraph </w:t>
      </w:r>
      <w:r w:rsidRPr="00B849DC" w:rsidR="00C85903">
        <w:rPr>
          <w:lang w:val="en-GB"/>
        </w:rPr>
        <w:t>68</w:t>
      </w:r>
      <w:r w:rsidRPr="00B849DC" w:rsidR="004E0F53">
        <w:rPr>
          <w:lang w:val="en-GB"/>
        </w:rPr>
        <w:t xml:space="preserve"> above)</w:t>
      </w:r>
      <w:r w:rsidRPr="00B849DC" w:rsidR="00201C89">
        <w:rPr>
          <w:lang w:val="en-US"/>
        </w:rPr>
        <w:t xml:space="preserve">. </w:t>
      </w:r>
      <w:r w:rsidRPr="00B849DC" w:rsidR="004E0F53">
        <w:rPr>
          <w:lang w:val="en-US"/>
        </w:rPr>
        <w:t xml:space="preserve">The major consequence is that </w:t>
      </w:r>
      <w:r w:rsidRPr="00B849DC" w:rsidR="00E33CC2">
        <w:rPr>
          <w:lang w:val="en-US"/>
        </w:rPr>
        <w:t xml:space="preserve">their </w:t>
      </w:r>
      <w:r w:rsidRPr="00B849DC" w:rsidR="004E0F53">
        <w:rPr>
          <w:lang w:val="en-US"/>
        </w:rPr>
        <w:t>transactions may be challenged by the</w:t>
      </w:r>
      <w:r w:rsidRPr="00B849DC" w:rsidR="00E33CC2">
        <w:rPr>
          <w:lang w:val="en-US"/>
        </w:rPr>
        <w:t>ir</w:t>
      </w:r>
      <w:r w:rsidRPr="00B849DC" w:rsidR="004E0F53">
        <w:rPr>
          <w:lang w:val="en-US"/>
        </w:rPr>
        <w:t xml:space="preserve"> owner</w:t>
      </w:r>
      <w:r w:rsidRPr="00B849DC" w:rsidR="00E33CC2">
        <w:rPr>
          <w:lang w:val="en-US"/>
        </w:rPr>
        <w:t>s</w:t>
      </w:r>
      <w:r w:rsidRPr="00B849DC" w:rsidR="004E0F53">
        <w:rPr>
          <w:lang w:val="en-US"/>
        </w:rPr>
        <w:t xml:space="preserve"> on the ground of non-complianc</w:t>
      </w:r>
      <w:r w:rsidRPr="00B849DC" w:rsidR="00567FE5">
        <w:rPr>
          <w:lang w:val="en-US"/>
        </w:rPr>
        <w:t>e with the</w:t>
      </w:r>
      <w:r w:rsidRPr="00B849DC" w:rsidR="00E33CC2">
        <w:rPr>
          <w:lang w:val="en-US"/>
        </w:rPr>
        <w:t>ir</w:t>
      </w:r>
      <w:r w:rsidRPr="00B849DC" w:rsidR="00567FE5">
        <w:rPr>
          <w:lang w:val="en-US"/>
        </w:rPr>
        <w:t xml:space="preserve"> statutory </w:t>
      </w:r>
      <w:r w:rsidRPr="00B849DC" w:rsidR="00E46089">
        <w:rPr>
          <w:lang w:val="en-US"/>
        </w:rPr>
        <w:t xml:space="preserve">purpose and aims </w:t>
      </w:r>
      <w:r w:rsidRPr="00B849DC" w:rsidR="009A7A8D">
        <w:rPr>
          <w:lang w:val="en-US"/>
        </w:rPr>
        <w:t xml:space="preserve">(see, for </w:t>
      </w:r>
      <w:r w:rsidRPr="00B849DC" w:rsidR="00241304">
        <w:rPr>
          <w:lang w:val="en-US"/>
        </w:rPr>
        <w:t xml:space="preserve">an </w:t>
      </w:r>
      <w:r w:rsidRPr="00B849DC" w:rsidR="009A7A8D">
        <w:rPr>
          <w:lang w:val="en-US"/>
        </w:rPr>
        <w:t xml:space="preserve">assessment of that aspect of control, </w:t>
      </w:r>
      <w:r w:rsidRPr="00B849DC" w:rsidR="00567FE5">
        <w:rPr>
          <w:lang w:val="en-US"/>
        </w:rPr>
        <w:t>the 2009</w:t>
      </w:r>
      <w:r w:rsidRPr="00B849DC" w:rsidR="00595114">
        <w:rPr>
          <w:lang w:val="en-US"/>
        </w:rPr>
        <w:t> </w:t>
      </w:r>
      <w:r w:rsidRPr="00B849DC" w:rsidR="009A7A8D">
        <w:rPr>
          <w:lang w:val="en-US"/>
        </w:rPr>
        <w:t xml:space="preserve">Concept, summarised in </w:t>
      </w:r>
      <w:r w:rsidRPr="00B849DC" w:rsidR="0054701E">
        <w:rPr>
          <w:lang w:val="en-US"/>
        </w:rPr>
        <w:t>paragraph </w:t>
      </w:r>
      <w:r w:rsidRPr="00B849DC" w:rsidR="00C85903">
        <w:rPr>
          <w:lang w:val="en-US"/>
        </w:rPr>
        <w:t>12</w:t>
      </w:r>
      <w:r w:rsidRPr="00B849DC" w:rsidR="00807969">
        <w:rPr>
          <w:lang w:val="en-US"/>
        </w:rPr>
        <w:t>7</w:t>
      </w:r>
      <w:r w:rsidRPr="00B849DC" w:rsidR="0054701E">
        <w:rPr>
          <w:lang w:val="en-US"/>
        </w:rPr>
        <w:t xml:space="preserve"> above</w:t>
      </w:r>
      <w:r w:rsidRPr="00B849DC" w:rsidR="004E0F53">
        <w:rPr>
          <w:lang w:val="en-US"/>
        </w:rPr>
        <w:t>)</w:t>
      </w:r>
      <w:r w:rsidRPr="00B849DC" w:rsidR="0054701E">
        <w:rPr>
          <w:lang w:val="en-US"/>
        </w:rPr>
        <w:t xml:space="preserve">. </w:t>
      </w:r>
      <w:r w:rsidRPr="00B849DC" w:rsidR="00442AFA">
        <w:rPr>
          <w:lang w:val="en-US"/>
        </w:rPr>
        <w:t xml:space="preserve">The </w:t>
      </w:r>
      <w:r w:rsidRPr="00B849DC" w:rsidR="004E0F53">
        <w:rPr>
          <w:lang w:val="en-US"/>
        </w:rPr>
        <w:t>Court</w:t>
      </w:r>
      <w:r w:rsidRPr="00B849DC" w:rsidR="00442AFA">
        <w:rPr>
          <w:lang w:val="en-US"/>
        </w:rPr>
        <w:t xml:space="preserve"> further</w:t>
      </w:r>
      <w:r w:rsidRPr="00B849DC" w:rsidR="004E0F53">
        <w:rPr>
          <w:lang w:val="en-US"/>
        </w:rPr>
        <w:t xml:space="preserve"> observes that the</w:t>
      </w:r>
      <w:r w:rsidRPr="00B849DC" w:rsidR="00B55368">
        <w:rPr>
          <w:lang w:val="en-US"/>
        </w:rPr>
        <w:t xml:space="preserve"> owner </w:t>
      </w:r>
      <w:r w:rsidRPr="00B849DC" w:rsidR="00A12FFF">
        <w:rPr>
          <w:lang w:val="en-US"/>
        </w:rPr>
        <w:t xml:space="preserve">itself </w:t>
      </w:r>
      <w:r w:rsidRPr="00B849DC" w:rsidR="00C230C6">
        <w:rPr>
          <w:lang w:val="en-US"/>
        </w:rPr>
        <w:t xml:space="preserve">sets </w:t>
      </w:r>
      <w:r w:rsidRPr="00B849DC" w:rsidR="00B55368">
        <w:rPr>
          <w:lang w:val="en-US"/>
        </w:rPr>
        <w:t xml:space="preserve">the </w:t>
      </w:r>
      <w:r w:rsidRPr="00B849DC" w:rsidR="00C230C6">
        <w:rPr>
          <w:lang w:val="en-US"/>
        </w:rPr>
        <w:t>company</w:t>
      </w:r>
      <w:r w:rsidRPr="00B849DC" w:rsidR="00B849DC">
        <w:rPr>
          <w:lang w:val="en-US"/>
        </w:rPr>
        <w:t>’</w:t>
      </w:r>
      <w:r w:rsidRPr="00B849DC" w:rsidR="00C230C6">
        <w:rPr>
          <w:lang w:val="en-US"/>
        </w:rPr>
        <w:t xml:space="preserve">s </w:t>
      </w:r>
      <w:r w:rsidRPr="00B849DC" w:rsidR="00B55368">
        <w:rPr>
          <w:lang w:val="en-US"/>
        </w:rPr>
        <w:t xml:space="preserve">economic </w:t>
      </w:r>
      <w:r w:rsidRPr="00B849DC" w:rsidR="00C230C6">
        <w:rPr>
          <w:lang w:val="en-US"/>
        </w:rPr>
        <w:t>performance targets</w:t>
      </w:r>
      <w:r w:rsidRPr="00B849DC" w:rsidR="0086278D">
        <w:rPr>
          <w:lang w:val="en-US"/>
        </w:rPr>
        <w:t xml:space="preserve"> </w:t>
      </w:r>
      <w:r w:rsidRPr="00B849DC" w:rsidR="00B55368">
        <w:rPr>
          <w:lang w:val="en-US"/>
        </w:rPr>
        <w:t xml:space="preserve">and </w:t>
      </w:r>
      <w:r w:rsidRPr="00B849DC" w:rsidR="00E46089">
        <w:rPr>
          <w:lang w:val="en-US"/>
        </w:rPr>
        <w:t xml:space="preserve">oversees </w:t>
      </w:r>
      <w:r w:rsidRPr="00B849DC" w:rsidR="0086278D">
        <w:rPr>
          <w:lang w:val="en-US"/>
        </w:rPr>
        <w:t xml:space="preserve">its </w:t>
      </w:r>
      <w:r w:rsidRPr="00B849DC" w:rsidR="00241304">
        <w:rPr>
          <w:lang w:val="en-US"/>
        </w:rPr>
        <w:t>achievement</w:t>
      </w:r>
      <w:r w:rsidRPr="00B849DC" w:rsidR="00C230C6">
        <w:rPr>
          <w:lang w:val="en-US"/>
        </w:rPr>
        <w:t xml:space="preserve"> of</w:t>
      </w:r>
      <w:r w:rsidRPr="00B849DC" w:rsidR="00B55368">
        <w:rPr>
          <w:lang w:val="en-US"/>
        </w:rPr>
        <w:t xml:space="preserve"> those </w:t>
      </w:r>
      <w:r w:rsidRPr="00B849DC" w:rsidR="00241304">
        <w:rPr>
          <w:lang w:val="en-US"/>
        </w:rPr>
        <w:t xml:space="preserve">targets </w:t>
      </w:r>
      <w:r w:rsidRPr="00B849DC" w:rsidR="00B55368">
        <w:rPr>
          <w:lang w:val="en-US"/>
        </w:rPr>
        <w:t>(see paragraph </w:t>
      </w:r>
      <w:r w:rsidRPr="00B849DC" w:rsidR="00C85903">
        <w:rPr>
          <w:lang w:val="en-US"/>
        </w:rPr>
        <w:t>73</w:t>
      </w:r>
      <w:r w:rsidRPr="00B849DC" w:rsidR="00B55368">
        <w:rPr>
          <w:lang w:val="en-US"/>
        </w:rPr>
        <w:t xml:space="preserve"> above</w:t>
      </w:r>
      <w:r w:rsidRPr="00B849DC" w:rsidR="0054701E">
        <w:rPr>
          <w:lang w:val="en-US"/>
        </w:rPr>
        <w:t xml:space="preserve">); it also approves the financial reports </w:t>
      </w:r>
      <w:r w:rsidRPr="00B849DC" w:rsidR="0086278D">
        <w:rPr>
          <w:lang w:val="en-US"/>
        </w:rPr>
        <w:t>of the compan</w:t>
      </w:r>
      <w:r w:rsidRPr="00B849DC" w:rsidR="00E46089">
        <w:rPr>
          <w:lang w:val="en-US"/>
        </w:rPr>
        <w:t>y</w:t>
      </w:r>
      <w:r w:rsidRPr="00B849DC" w:rsidR="0054701E">
        <w:rPr>
          <w:lang w:val="en-US"/>
        </w:rPr>
        <w:t xml:space="preserve"> (see paragraph </w:t>
      </w:r>
      <w:r w:rsidRPr="00B849DC" w:rsidR="00C85903">
        <w:rPr>
          <w:lang w:val="en-US"/>
        </w:rPr>
        <w:t>72</w:t>
      </w:r>
      <w:r w:rsidRPr="00B849DC" w:rsidR="0054701E">
        <w:rPr>
          <w:lang w:val="en-US"/>
        </w:rPr>
        <w:t xml:space="preserve"> above). Those considerations </w:t>
      </w:r>
      <w:r w:rsidRPr="00B849DC" w:rsidR="002604C8">
        <w:rPr>
          <w:lang w:val="en-US"/>
        </w:rPr>
        <w:t xml:space="preserve">are further </w:t>
      </w:r>
      <w:r w:rsidRPr="00B849DC" w:rsidR="00EB016E">
        <w:rPr>
          <w:lang w:val="en-US"/>
        </w:rPr>
        <w:t>strengthened by</w:t>
      </w:r>
      <w:r w:rsidRPr="00B849DC" w:rsidR="006A775A">
        <w:rPr>
          <w:lang w:val="en-US"/>
        </w:rPr>
        <w:t xml:space="preserve"> the specific </w:t>
      </w:r>
      <w:r w:rsidRPr="00B849DC" w:rsidR="002604C8">
        <w:rPr>
          <w:lang w:val="en-US"/>
        </w:rPr>
        <w:t xml:space="preserve">provisions </w:t>
      </w:r>
      <w:r w:rsidRPr="00B849DC" w:rsidR="006A775A">
        <w:rPr>
          <w:lang w:val="en-US"/>
        </w:rPr>
        <w:t>on</w:t>
      </w:r>
      <w:r w:rsidRPr="00B849DC" w:rsidR="002604C8">
        <w:rPr>
          <w:lang w:val="en-US"/>
        </w:rPr>
        <w:t xml:space="preserve"> the accountability of </w:t>
      </w:r>
      <w:r w:rsidRPr="00B849DC" w:rsidR="00E46089">
        <w:rPr>
          <w:lang w:val="en-US"/>
        </w:rPr>
        <w:t xml:space="preserve">the </w:t>
      </w:r>
      <w:r w:rsidRPr="00B849DC" w:rsidR="0086278D">
        <w:rPr>
          <w:lang w:val="en-US"/>
        </w:rPr>
        <w:t>directors</w:t>
      </w:r>
      <w:r w:rsidRPr="00B849DC" w:rsidR="00FB6368">
        <w:rPr>
          <w:lang w:val="en-US"/>
        </w:rPr>
        <w:t xml:space="preserve"> of unitary enterprise</w:t>
      </w:r>
      <w:r w:rsidRPr="00B849DC" w:rsidR="0086278D">
        <w:rPr>
          <w:lang w:val="en-US"/>
        </w:rPr>
        <w:t>s</w:t>
      </w:r>
      <w:r w:rsidRPr="00B849DC" w:rsidR="00FB6368">
        <w:rPr>
          <w:lang w:val="en-US"/>
        </w:rPr>
        <w:t xml:space="preserve">. </w:t>
      </w:r>
      <w:r w:rsidRPr="00B849DC" w:rsidR="0086278D">
        <w:rPr>
          <w:lang w:val="en-US"/>
        </w:rPr>
        <w:t>They are</w:t>
      </w:r>
      <w:r w:rsidRPr="00B849DC" w:rsidR="00FB6368">
        <w:rPr>
          <w:lang w:val="en-US"/>
        </w:rPr>
        <w:t xml:space="preserve"> appointed by, and report to</w:t>
      </w:r>
      <w:r w:rsidRPr="00B849DC" w:rsidR="0086278D">
        <w:rPr>
          <w:lang w:val="en-US"/>
        </w:rPr>
        <w:t>,</w:t>
      </w:r>
      <w:r w:rsidRPr="00B849DC" w:rsidR="00FB6368">
        <w:rPr>
          <w:lang w:val="en-US"/>
        </w:rPr>
        <w:t xml:space="preserve"> the </w:t>
      </w:r>
      <w:r w:rsidRPr="00B849DC" w:rsidR="0086278D">
        <w:rPr>
          <w:lang w:val="en-US"/>
        </w:rPr>
        <w:t xml:space="preserve">owner of the </w:t>
      </w:r>
      <w:r w:rsidRPr="00B849DC" w:rsidR="00FB6368">
        <w:rPr>
          <w:lang w:val="en-US"/>
        </w:rPr>
        <w:t>assets (see paragraph </w:t>
      </w:r>
      <w:r w:rsidRPr="00B849DC" w:rsidR="00C85903">
        <w:rPr>
          <w:lang w:val="en-US"/>
        </w:rPr>
        <w:t>93</w:t>
      </w:r>
      <w:r w:rsidRPr="00B849DC" w:rsidR="00FB6368">
        <w:rPr>
          <w:lang w:val="en-US"/>
        </w:rPr>
        <w:t xml:space="preserve"> above)</w:t>
      </w:r>
      <w:r w:rsidRPr="00B849DC" w:rsidR="009A7A8D">
        <w:rPr>
          <w:lang w:val="en-US"/>
        </w:rPr>
        <w:t xml:space="preserve"> and </w:t>
      </w:r>
      <w:r w:rsidRPr="00B849DC" w:rsidR="00FB6368">
        <w:rPr>
          <w:lang w:val="en-US"/>
        </w:rPr>
        <w:t xml:space="preserve">may be dismissed for failure to </w:t>
      </w:r>
      <w:r w:rsidRPr="00B849DC" w:rsidR="00E46089">
        <w:rPr>
          <w:lang w:val="en-US"/>
        </w:rPr>
        <w:t xml:space="preserve">meet </w:t>
      </w:r>
      <w:r w:rsidRPr="00B849DC" w:rsidR="00FB6368">
        <w:rPr>
          <w:lang w:val="en-US"/>
        </w:rPr>
        <w:t xml:space="preserve">the </w:t>
      </w:r>
      <w:r w:rsidRPr="00B849DC" w:rsidR="00924B94">
        <w:rPr>
          <w:lang w:val="en-US"/>
        </w:rPr>
        <w:t xml:space="preserve">above-mentioned </w:t>
      </w:r>
      <w:r w:rsidRPr="00B849DC" w:rsidR="009A7A8D">
        <w:rPr>
          <w:lang w:val="en-US"/>
        </w:rPr>
        <w:t xml:space="preserve">economic </w:t>
      </w:r>
      <w:r w:rsidRPr="00B849DC" w:rsidR="00C230C6">
        <w:rPr>
          <w:lang w:val="en-US"/>
        </w:rPr>
        <w:t xml:space="preserve">performance targets </w:t>
      </w:r>
      <w:r w:rsidRPr="00B849DC" w:rsidR="00FB6368">
        <w:rPr>
          <w:lang w:val="en-US"/>
        </w:rPr>
        <w:t xml:space="preserve">set </w:t>
      </w:r>
      <w:r w:rsidRPr="00B849DC" w:rsidR="00C85903">
        <w:rPr>
          <w:lang w:val="en-US"/>
        </w:rPr>
        <w:t>by the owner, or</w:t>
      </w:r>
      <w:r w:rsidRPr="00B849DC" w:rsidR="00924B94">
        <w:rPr>
          <w:lang w:val="en-US"/>
        </w:rPr>
        <w:t xml:space="preserve"> for </w:t>
      </w:r>
      <w:r w:rsidRPr="00B849DC" w:rsidR="00E46089">
        <w:rPr>
          <w:lang w:val="en-US"/>
        </w:rPr>
        <w:t xml:space="preserve">making </w:t>
      </w:r>
      <w:r w:rsidRPr="00B849DC" w:rsidR="00924B94">
        <w:rPr>
          <w:lang w:val="en-US"/>
        </w:rPr>
        <w:t xml:space="preserve">any transaction </w:t>
      </w:r>
      <w:r w:rsidRPr="00B849DC" w:rsidR="00FB6368">
        <w:rPr>
          <w:lang w:val="en-US"/>
        </w:rPr>
        <w:t xml:space="preserve">going beyond the </w:t>
      </w:r>
      <w:r w:rsidRPr="00B849DC" w:rsidR="009A7A8D">
        <w:rPr>
          <w:lang w:val="en-US"/>
        </w:rPr>
        <w:t>company</w:t>
      </w:r>
      <w:r w:rsidRPr="00B849DC" w:rsidR="00B849DC">
        <w:rPr>
          <w:lang w:val="en-US"/>
        </w:rPr>
        <w:t>’</w:t>
      </w:r>
      <w:r w:rsidRPr="00B849DC" w:rsidR="009A7A8D">
        <w:rPr>
          <w:lang w:val="en-US"/>
        </w:rPr>
        <w:t xml:space="preserve">s </w:t>
      </w:r>
      <w:r w:rsidRPr="00B849DC" w:rsidR="00FB6368">
        <w:rPr>
          <w:lang w:val="en-US"/>
        </w:rPr>
        <w:t xml:space="preserve">designated </w:t>
      </w:r>
      <w:r w:rsidRPr="00B849DC" w:rsidR="00241304">
        <w:rPr>
          <w:lang w:val="en-US"/>
        </w:rPr>
        <w:t xml:space="preserve">purpose and aims </w:t>
      </w:r>
      <w:r w:rsidRPr="00B849DC" w:rsidR="00FB6368">
        <w:rPr>
          <w:lang w:val="en-US"/>
        </w:rPr>
        <w:t>(see paragraphs </w:t>
      </w:r>
      <w:r w:rsidRPr="00B849DC" w:rsidR="00C85903">
        <w:rPr>
          <w:lang w:val="en-US"/>
        </w:rPr>
        <w:t>84-85</w:t>
      </w:r>
      <w:r w:rsidRPr="00B849DC" w:rsidR="00AC7525">
        <w:rPr>
          <w:lang w:val="en-US"/>
        </w:rPr>
        <w:t xml:space="preserve"> </w:t>
      </w:r>
      <w:r w:rsidRPr="00B849DC" w:rsidR="00FB6368">
        <w:rPr>
          <w:lang w:val="en-US"/>
        </w:rPr>
        <w:t>above).</w:t>
      </w:r>
    </w:p>
    <w:p w:rsidRPr="00B849DC" w:rsidR="0013412B" w:rsidP="00B849DC" w:rsidRDefault="00873B34">
      <w:pPr>
        <w:pStyle w:val="ECHRPara"/>
        <w:rPr>
          <w:lang w:val="en-US"/>
        </w:rPr>
      </w:pPr>
      <w:r w:rsidRPr="00B849DC">
        <w:rPr>
          <w:lang w:val="en-US"/>
        </w:rPr>
        <w:fldChar w:fldCharType="begin"/>
      </w:r>
      <w:r w:rsidRPr="00B849DC">
        <w:rPr>
          <w:lang w:val="en-US"/>
        </w:rPr>
        <w:instrText xml:space="preserve"> SEQ level0 \*arabic </w:instrText>
      </w:r>
      <w:r w:rsidRPr="00B849DC">
        <w:rPr>
          <w:lang w:val="en-US"/>
        </w:rPr>
        <w:fldChar w:fldCharType="separate"/>
      </w:r>
      <w:r w:rsidRPr="00B849DC" w:rsidR="00B849DC">
        <w:rPr>
          <w:noProof/>
          <w:lang w:val="en-US"/>
        </w:rPr>
        <w:t>197</w:t>
      </w:r>
      <w:r w:rsidRPr="00B849DC">
        <w:rPr>
          <w:lang w:val="en-US"/>
        </w:rPr>
        <w:fldChar w:fldCharType="end"/>
      </w:r>
      <w:r w:rsidRPr="00B849DC">
        <w:rPr>
          <w:lang w:val="en-US"/>
        </w:rPr>
        <w:t>.  </w:t>
      </w:r>
      <w:r w:rsidRPr="00B849DC" w:rsidR="009A7A8D">
        <w:rPr>
          <w:lang w:val="en-US"/>
        </w:rPr>
        <w:t>Therefore,</w:t>
      </w:r>
      <w:r w:rsidRPr="00B849DC" w:rsidR="00442AFA">
        <w:rPr>
          <w:lang w:val="en-US"/>
        </w:rPr>
        <w:t xml:space="preserve"> the Court is bound to note the existence of several instruments which, in principle, allow for the owner</w:t>
      </w:r>
      <w:r w:rsidRPr="00B849DC" w:rsidR="00B849DC">
        <w:rPr>
          <w:lang w:val="en-US"/>
        </w:rPr>
        <w:t>’</w:t>
      </w:r>
      <w:r w:rsidRPr="00B849DC" w:rsidR="00442AFA">
        <w:rPr>
          <w:lang w:val="en-US"/>
        </w:rPr>
        <w:t xml:space="preserve">s exercise of a significant degree of control over the activity of the unitary enterprise and its </w:t>
      </w:r>
      <w:r w:rsidRPr="00B849DC" w:rsidR="00720D41">
        <w:rPr>
          <w:lang w:val="en-US"/>
        </w:rPr>
        <w:t>director</w:t>
      </w:r>
      <w:r w:rsidRPr="00B849DC" w:rsidR="00442AFA">
        <w:rPr>
          <w:lang w:val="en-US"/>
        </w:rPr>
        <w:t>.</w:t>
      </w:r>
      <w:r w:rsidRPr="00B849DC">
        <w:rPr>
          <w:lang w:val="en-US"/>
        </w:rPr>
        <w:t xml:space="preserve"> </w:t>
      </w:r>
      <w:r w:rsidRPr="00B849DC" w:rsidR="0013412B">
        <w:rPr>
          <w:lang w:val="en-US"/>
        </w:rPr>
        <w:t xml:space="preserve">Furthermore, those considerations – namely, the </w:t>
      </w:r>
      <w:r w:rsidRPr="00B849DC" w:rsidR="00442AFA">
        <w:rPr>
          <w:lang w:val="en-US"/>
        </w:rPr>
        <w:t>owner</w:t>
      </w:r>
      <w:r w:rsidRPr="00B849DC" w:rsidR="00B849DC">
        <w:rPr>
          <w:lang w:val="en-US"/>
        </w:rPr>
        <w:t>’</w:t>
      </w:r>
      <w:r w:rsidRPr="00B849DC" w:rsidR="00442AFA">
        <w:rPr>
          <w:lang w:val="en-US"/>
        </w:rPr>
        <w:t>s assessment of the enterprise</w:t>
      </w:r>
      <w:r w:rsidRPr="00B849DC" w:rsidR="00B849DC">
        <w:rPr>
          <w:lang w:val="en-US"/>
        </w:rPr>
        <w:t>’</w:t>
      </w:r>
      <w:r w:rsidRPr="00B849DC" w:rsidR="00442AFA">
        <w:rPr>
          <w:lang w:val="en-US"/>
        </w:rPr>
        <w:t xml:space="preserve">s </w:t>
      </w:r>
      <w:r w:rsidRPr="00B849DC" w:rsidR="0013412B">
        <w:rPr>
          <w:lang w:val="en-US"/>
        </w:rPr>
        <w:t xml:space="preserve">economic </w:t>
      </w:r>
      <w:r w:rsidRPr="00B849DC" w:rsidR="00C230C6">
        <w:rPr>
          <w:lang w:val="en-US"/>
        </w:rPr>
        <w:t xml:space="preserve">performance </w:t>
      </w:r>
      <w:r w:rsidRPr="00B849DC" w:rsidR="0013412B">
        <w:rPr>
          <w:lang w:val="en-US"/>
        </w:rPr>
        <w:t xml:space="preserve">and ability to </w:t>
      </w:r>
      <w:r w:rsidRPr="00B849DC" w:rsidR="00241304">
        <w:rPr>
          <w:lang w:val="en-US"/>
        </w:rPr>
        <w:t>meet</w:t>
      </w:r>
      <w:r w:rsidRPr="00B849DC" w:rsidR="0013412B">
        <w:rPr>
          <w:lang w:val="en-US"/>
        </w:rPr>
        <w:t xml:space="preserve"> its designated goals</w:t>
      </w:r>
      <w:r w:rsidRPr="00B849DC" w:rsidR="00241304">
        <w:rPr>
          <w:lang w:val="en-US"/>
        </w:rPr>
        <w:t xml:space="preserve"> </w:t>
      </w:r>
      <w:r w:rsidRPr="00B849DC" w:rsidR="0013412B">
        <w:rPr>
          <w:lang w:val="en-US"/>
        </w:rPr>
        <w:t>–</w:t>
      </w:r>
      <w:r w:rsidRPr="00B849DC" w:rsidR="00720D41">
        <w:rPr>
          <w:lang w:val="en-US"/>
        </w:rPr>
        <w:t xml:space="preserve"> </w:t>
      </w:r>
      <w:r w:rsidRPr="00B849DC" w:rsidR="0013412B">
        <w:rPr>
          <w:lang w:val="en-US"/>
        </w:rPr>
        <w:t>may have further implications on the owner</w:t>
      </w:r>
      <w:r w:rsidRPr="00B849DC" w:rsidR="00B849DC">
        <w:rPr>
          <w:lang w:val="en-US"/>
        </w:rPr>
        <w:t>’</w:t>
      </w:r>
      <w:r w:rsidRPr="00B849DC" w:rsidR="0013412B">
        <w:rPr>
          <w:lang w:val="en-US"/>
        </w:rPr>
        <w:t xml:space="preserve">s </w:t>
      </w:r>
      <w:r w:rsidRPr="00B849DC" w:rsidR="00DD60F8">
        <w:rPr>
          <w:lang w:val="en-US"/>
        </w:rPr>
        <w:t xml:space="preserve">actual </w:t>
      </w:r>
      <w:r w:rsidRPr="00B849DC" w:rsidR="0013412B">
        <w:rPr>
          <w:lang w:val="en-US"/>
        </w:rPr>
        <w:t>involvement in the management of the company</w:t>
      </w:r>
      <w:r w:rsidRPr="00B849DC" w:rsidR="00B849DC">
        <w:rPr>
          <w:lang w:val="en-US"/>
        </w:rPr>
        <w:t>’</w:t>
      </w:r>
      <w:r w:rsidRPr="00B849DC" w:rsidR="0013412B">
        <w:rPr>
          <w:lang w:val="en-US"/>
        </w:rPr>
        <w:t xml:space="preserve">s assets, especially where the </w:t>
      </w:r>
      <w:r w:rsidRPr="00B849DC" w:rsidR="00720D41">
        <w:rPr>
          <w:lang w:val="en-US"/>
        </w:rPr>
        <w:t xml:space="preserve">restructuring </w:t>
      </w:r>
      <w:r w:rsidRPr="00B849DC" w:rsidR="0013412B">
        <w:rPr>
          <w:lang w:val="en-US"/>
        </w:rPr>
        <w:t>and liquidation of the enterprise is at stak</w:t>
      </w:r>
      <w:r w:rsidRPr="00B849DC" w:rsidR="00AC7525">
        <w:rPr>
          <w:lang w:val="en-US"/>
        </w:rPr>
        <w:t>e, as demonstrated in paragraph</w:t>
      </w:r>
      <w:r w:rsidRPr="00B849DC" w:rsidR="0013412B">
        <w:rPr>
          <w:lang w:val="en-US"/>
        </w:rPr>
        <w:t> </w:t>
      </w:r>
      <w:r w:rsidRPr="00B849DC" w:rsidR="00E95711">
        <w:rPr>
          <w:lang w:val="en-US"/>
        </w:rPr>
        <w:t>20</w:t>
      </w:r>
      <w:r w:rsidRPr="00B849DC" w:rsidR="00807969">
        <w:rPr>
          <w:lang w:val="en-US"/>
        </w:rPr>
        <w:t>1</w:t>
      </w:r>
      <w:r w:rsidRPr="00B849DC" w:rsidR="0013412B">
        <w:rPr>
          <w:lang w:val="en-US"/>
        </w:rPr>
        <w:t xml:space="preserve"> below.</w:t>
      </w:r>
    </w:p>
    <w:p w:rsidRPr="00B849DC" w:rsidR="00DA0132" w:rsidP="00B849DC" w:rsidRDefault="00B173EF">
      <w:pPr>
        <w:pStyle w:val="ECHRHeading6"/>
        <w:rPr>
          <w:lang w:val="en-US"/>
        </w:rPr>
      </w:pPr>
      <w:r w:rsidRPr="00B849DC">
        <w:rPr>
          <w:rFonts w:cstheme="majorHAnsi"/>
          <w:lang w:val="en-US"/>
        </w:rPr>
        <w:t>(</w:t>
      </w:r>
      <w:r w:rsidRPr="00B849DC" w:rsidR="00FB6368">
        <w:rPr>
          <w:rFonts w:cstheme="majorHAnsi"/>
        </w:rPr>
        <w:t>β</w:t>
      </w:r>
      <w:r w:rsidRPr="00B849DC">
        <w:rPr>
          <w:rFonts w:cstheme="majorHAnsi"/>
          <w:lang w:val="en-US"/>
        </w:rPr>
        <w:t>)</w:t>
      </w:r>
      <w:r w:rsidRPr="00B849DC" w:rsidR="00FB6368">
        <w:rPr>
          <w:lang w:val="en-US"/>
        </w:rPr>
        <w:t>  </w:t>
      </w:r>
      <w:r w:rsidRPr="00B849DC" w:rsidR="00EB016E">
        <w:rPr>
          <w:lang w:val="en-US"/>
        </w:rPr>
        <w:t>Assets management</w:t>
      </w:r>
    </w:p>
    <w:p w:rsidRPr="00B849DC" w:rsidR="00CA087B" w:rsidP="00B849DC" w:rsidRDefault="006339A6">
      <w:pPr>
        <w:pStyle w:val="ECHRPara"/>
        <w:rPr>
          <w:lang w:val="en-GB"/>
        </w:rPr>
      </w:pPr>
      <w:r w:rsidRPr="00B849DC">
        <w:rPr>
          <w:lang w:val="en-US"/>
        </w:rPr>
        <w:fldChar w:fldCharType="begin"/>
      </w:r>
      <w:r w:rsidRPr="00B849DC">
        <w:rPr>
          <w:lang w:val="en-US"/>
        </w:rPr>
        <w:instrText xml:space="preserve"> SEQ level0 \*arabic </w:instrText>
      </w:r>
      <w:r w:rsidRPr="00B849DC">
        <w:rPr>
          <w:lang w:val="en-US"/>
        </w:rPr>
        <w:fldChar w:fldCharType="separate"/>
      </w:r>
      <w:r w:rsidRPr="00B849DC" w:rsidR="00B849DC">
        <w:rPr>
          <w:noProof/>
          <w:lang w:val="en-US"/>
        </w:rPr>
        <w:t>198</w:t>
      </w:r>
      <w:r w:rsidRPr="00B849DC">
        <w:rPr>
          <w:lang w:val="en-US"/>
        </w:rPr>
        <w:fldChar w:fldCharType="end"/>
      </w:r>
      <w:r w:rsidRPr="00B849DC">
        <w:rPr>
          <w:lang w:val="en-US"/>
        </w:rPr>
        <w:t>.  </w:t>
      </w:r>
      <w:r w:rsidRPr="00B849DC" w:rsidR="00442AFA">
        <w:rPr>
          <w:lang w:val="en-US"/>
        </w:rPr>
        <w:t>Importantly, the Court notes from the</w:t>
      </w:r>
      <w:r w:rsidRPr="00B849DC">
        <w:rPr>
          <w:lang w:val="en-GB"/>
        </w:rPr>
        <w:t xml:space="preserve"> 2009</w:t>
      </w:r>
      <w:r w:rsidRPr="00B849DC" w:rsidR="0013412B">
        <w:rPr>
          <w:lang w:val="en-GB"/>
        </w:rPr>
        <w:t> </w:t>
      </w:r>
      <w:r w:rsidRPr="00B849DC">
        <w:rPr>
          <w:lang w:val="en-GB"/>
        </w:rPr>
        <w:t>Concept (see paragraph </w:t>
      </w:r>
      <w:r w:rsidRPr="00B849DC" w:rsidR="00AC7525">
        <w:rPr>
          <w:lang w:val="en-GB"/>
        </w:rPr>
        <w:t>1</w:t>
      </w:r>
      <w:r w:rsidRPr="00B849DC" w:rsidR="00C85903">
        <w:rPr>
          <w:lang w:val="en-GB"/>
        </w:rPr>
        <w:t>2</w:t>
      </w:r>
      <w:r w:rsidRPr="00B849DC" w:rsidR="00807969">
        <w:rPr>
          <w:lang w:val="en-GB"/>
        </w:rPr>
        <w:t>7</w:t>
      </w:r>
      <w:r w:rsidRPr="00B849DC">
        <w:rPr>
          <w:lang w:val="en-GB"/>
        </w:rPr>
        <w:t xml:space="preserve"> above)</w:t>
      </w:r>
      <w:r w:rsidRPr="00B849DC" w:rsidR="00A45EE3">
        <w:rPr>
          <w:lang w:val="en-GB"/>
        </w:rPr>
        <w:t xml:space="preserve"> that</w:t>
      </w:r>
      <w:r w:rsidRPr="00B849DC" w:rsidR="00DA0132">
        <w:rPr>
          <w:lang w:val="en-GB"/>
        </w:rPr>
        <w:t xml:space="preserve"> a unitary enterprise </w:t>
      </w:r>
      <w:r w:rsidRPr="00B849DC" w:rsidR="00A45EE3">
        <w:rPr>
          <w:lang w:val="en-GB"/>
        </w:rPr>
        <w:t xml:space="preserve">in Russia </w:t>
      </w:r>
      <w:r w:rsidRPr="00B849DC" w:rsidR="0059370F">
        <w:rPr>
          <w:lang w:val="en-GB"/>
        </w:rPr>
        <w:t>i</w:t>
      </w:r>
      <w:r w:rsidRPr="00B849DC" w:rsidR="00DA0132">
        <w:rPr>
          <w:lang w:val="en-GB"/>
        </w:rPr>
        <w:t>s “the only form of commercial compan</w:t>
      </w:r>
      <w:r w:rsidRPr="00B849DC">
        <w:rPr>
          <w:lang w:val="en-GB"/>
        </w:rPr>
        <w:t>y which does not own its asset</w:t>
      </w:r>
      <w:r w:rsidRPr="00B849DC" w:rsidR="00DB36DB">
        <w:rPr>
          <w:lang w:val="en-GB"/>
        </w:rPr>
        <w:t>s”, which implies the following.</w:t>
      </w:r>
    </w:p>
    <w:p w:rsidRPr="00B849DC" w:rsidR="00C46F08" w:rsidP="00B849DC" w:rsidRDefault="00686944">
      <w:pPr>
        <w:pStyle w:val="ECHRPara"/>
        <w:rPr>
          <w:lang w:val="en-US"/>
        </w:rPr>
      </w:pPr>
      <w:r w:rsidRPr="00B849DC">
        <w:rPr>
          <w:lang w:val="en-GB"/>
        </w:rPr>
        <w:fldChar w:fldCharType="begin"/>
      </w:r>
      <w:r w:rsidRPr="00B849DC">
        <w:rPr>
          <w:lang w:val="en-GB"/>
        </w:rPr>
        <w:instrText xml:space="preserve"> SEQ level0 \*arabic </w:instrText>
      </w:r>
      <w:r w:rsidRPr="00B849DC">
        <w:rPr>
          <w:lang w:val="en-GB"/>
        </w:rPr>
        <w:fldChar w:fldCharType="separate"/>
      </w:r>
      <w:r w:rsidRPr="00B849DC" w:rsidR="00B849DC">
        <w:rPr>
          <w:noProof/>
          <w:lang w:val="en-GB"/>
        </w:rPr>
        <w:t>199</w:t>
      </w:r>
      <w:r w:rsidRPr="00B849DC">
        <w:rPr>
          <w:lang w:val="en-GB"/>
        </w:rPr>
        <w:fldChar w:fldCharType="end"/>
      </w:r>
      <w:r w:rsidRPr="00B849DC">
        <w:rPr>
          <w:lang w:val="en-GB"/>
        </w:rPr>
        <w:t>.  </w:t>
      </w:r>
      <w:r w:rsidRPr="00B849DC" w:rsidR="00DB36DB">
        <w:rPr>
          <w:lang w:val="en-GB"/>
        </w:rPr>
        <w:t>First, the</w:t>
      </w:r>
      <w:r w:rsidRPr="00B849DC" w:rsidR="00B55368">
        <w:rPr>
          <w:lang w:val="en-GB"/>
        </w:rPr>
        <w:t xml:space="preserve"> Court </w:t>
      </w:r>
      <w:r w:rsidRPr="00B849DC" w:rsidR="005A44E1">
        <w:rPr>
          <w:lang w:val="en-GB"/>
        </w:rPr>
        <w:t>observes</w:t>
      </w:r>
      <w:r w:rsidRPr="00B849DC" w:rsidR="00B55368">
        <w:rPr>
          <w:lang w:val="en-GB"/>
        </w:rPr>
        <w:t xml:space="preserve"> that the </w:t>
      </w:r>
      <w:r w:rsidRPr="00B849DC" w:rsidR="00B55368">
        <w:rPr>
          <w:lang w:val="en-US"/>
        </w:rPr>
        <w:t>owner</w:t>
      </w:r>
      <w:r w:rsidRPr="00B849DC" w:rsidR="00B849DC">
        <w:rPr>
          <w:lang w:val="en-US"/>
        </w:rPr>
        <w:t>’</w:t>
      </w:r>
      <w:r w:rsidRPr="00B849DC" w:rsidR="00B55368">
        <w:rPr>
          <w:lang w:val="en-US"/>
        </w:rPr>
        <w:t xml:space="preserve">s approval must be obtained for any transaction that may lead to the encumbrance or alienation of the </w:t>
      </w:r>
      <w:r w:rsidRPr="00B849DC" w:rsidR="008D6F0A">
        <w:rPr>
          <w:lang w:val="en-US"/>
        </w:rPr>
        <w:t>company</w:t>
      </w:r>
      <w:r w:rsidRPr="00B849DC" w:rsidR="00B849DC">
        <w:rPr>
          <w:lang w:val="en-US"/>
        </w:rPr>
        <w:t>’</w:t>
      </w:r>
      <w:r w:rsidRPr="00B849DC" w:rsidR="008D6F0A">
        <w:rPr>
          <w:lang w:val="en-US"/>
        </w:rPr>
        <w:t xml:space="preserve">s </w:t>
      </w:r>
      <w:r w:rsidRPr="00B849DC" w:rsidR="00B55368">
        <w:rPr>
          <w:lang w:val="en-US"/>
        </w:rPr>
        <w:t>real estate (see paragraph </w:t>
      </w:r>
      <w:r w:rsidRPr="00B849DC" w:rsidR="00AC7525">
        <w:rPr>
          <w:lang w:val="en-US"/>
        </w:rPr>
        <w:t>70</w:t>
      </w:r>
      <w:r w:rsidRPr="00B849DC" w:rsidR="00B55368">
        <w:rPr>
          <w:lang w:val="en-US"/>
        </w:rPr>
        <w:t xml:space="preserve"> above</w:t>
      </w:r>
      <w:r w:rsidRPr="00B849DC" w:rsidR="00DB36DB">
        <w:rPr>
          <w:lang w:val="en-US"/>
        </w:rPr>
        <w:t xml:space="preserve">) and </w:t>
      </w:r>
      <w:r w:rsidRPr="00B849DC" w:rsidR="00E772C7">
        <w:rPr>
          <w:lang w:val="en-US"/>
        </w:rPr>
        <w:t xml:space="preserve">it </w:t>
      </w:r>
      <w:r w:rsidRPr="00B849DC" w:rsidR="00DB36DB">
        <w:rPr>
          <w:lang w:val="en-US"/>
        </w:rPr>
        <w:t xml:space="preserve">is also indispensable </w:t>
      </w:r>
      <w:r w:rsidRPr="00B849DC" w:rsidR="00B55368">
        <w:rPr>
          <w:lang w:val="en-US"/>
        </w:rPr>
        <w:t>for a considerable number – or, according to the 2009</w:t>
      </w:r>
      <w:r w:rsidRPr="00B849DC" w:rsidR="00EE6EE9">
        <w:rPr>
          <w:lang w:val="en-US"/>
        </w:rPr>
        <w:t> </w:t>
      </w:r>
      <w:r w:rsidRPr="00B849DC" w:rsidR="00B55368">
        <w:rPr>
          <w:lang w:val="en-US"/>
        </w:rPr>
        <w:t xml:space="preserve">Concept, “the majority” – of </w:t>
      </w:r>
      <w:r w:rsidRPr="00B849DC">
        <w:rPr>
          <w:lang w:val="en-US"/>
        </w:rPr>
        <w:t>the company</w:t>
      </w:r>
      <w:r w:rsidRPr="00B849DC" w:rsidR="00B849DC">
        <w:rPr>
          <w:lang w:val="en-US"/>
        </w:rPr>
        <w:t>’</w:t>
      </w:r>
      <w:r w:rsidRPr="00B849DC">
        <w:rPr>
          <w:lang w:val="en-US"/>
        </w:rPr>
        <w:t>s</w:t>
      </w:r>
      <w:r w:rsidRPr="00B849DC" w:rsidR="00B55368">
        <w:rPr>
          <w:lang w:val="en-US"/>
        </w:rPr>
        <w:t xml:space="preserve"> transactions (see, for the respective legal provisions, paragraphs </w:t>
      </w:r>
      <w:r w:rsidRPr="00B849DC" w:rsidR="00C85903">
        <w:rPr>
          <w:lang w:val="en-US"/>
        </w:rPr>
        <w:t>70-71</w:t>
      </w:r>
      <w:r w:rsidRPr="00B849DC" w:rsidR="00B55368">
        <w:rPr>
          <w:lang w:val="en-US"/>
        </w:rPr>
        <w:t xml:space="preserve"> above, and for </w:t>
      </w:r>
      <w:r w:rsidRPr="00B849DC" w:rsidR="008D6F0A">
        <w:rPr>
          <w:lang w:val="en-US"/>
        </w:rPr>
        <w:t xml:space="preserve">a </w:t>
      </w:r>
      <w:r w:rsidRPr="00B849DC" w:rsidR="00B55368">
        <w:rPr>
          <w:lang w:val="en-US"/>
        </w:rPr>
        <w:t>summary of the 2009 Concept, paragraph </w:t>
      </w:r>
      <w:r w:rsidRPr="00B849DC">
        <w:rPr>
          <w:lang w:val="en-US"/>
        </w:rPr>
        <w:t>1</w:t>
      </w:r>
      <w:r w:rsidRPr="00B849DC" w:rsidR="00C85903">
        <w:rPr>
          <w:lang w:val="en-US"/>
        </w:rPr>
        <w:t>2</w:t>
      </w:r>
      <w:r w:rsidRPr="00B849DC" w:rsidR="00807969">
        <w:rPr>
          <w:lang w:val="en-US"/>
        </w:rPr>
        <w:t>7</w:t>
      </w:r>
      <w:r w:rsidRPr="00B849DC" w:rsidR="00B55368">
        <w:rPr>
          <w:lang w:val="en-US"/>
        </w:rPr>
        <w:t xml:space="preserve"> above).</w:t>
      </w:r>
      <w:r w:rsidRPr="00B849DC" w:rsidR="00FF6EFF">
        <w:rPr>
          <w:lang w:val="en-US"/>
        </w:rPr>
        <w:t xml:space="preserve"> </w:t>
      </w:r>
      <w:r w:rsidRPr="00B849DC" w:rsidR="00E772C7">
        <w:rPr>
          <w:lang w:val="en-US"/>
        </w:rPr>
        <w:t xml:space="preserve">It </w:t>
      </w:r>
      <w:r w:rsidRPr="00B849DC" w:rsidR="008D6F0A">
        <w:rPr>
          <w:lang w:val="en-US"/>
        </w:rPr>
        <w:t xml:space="preserve">also </w:t>
      </w:r>
      <w:r w:rsidRPr="00B849DC" w:rsidR="00E772C7">
        <w:rPr>
          <w:lang w:val="en-US"/>
        </w:rPr>
        <w:t>appears from the domestic courts</w:t>
      </w:r>
      <w:r w:rsidRPr="00B849DC" w:rsidR="00B849DC">
        <w:rPr>
          <w:lang w:val="en-US"/>
        </w:rPr>
        <w:t>’</w:t>
      </w:r>
      <w:r w:rsidRPr="00B849DC" w:rsidR="00E772C7">
        <w:rPr>
          <w:lang w:val="en-US"/>
        </w:rPr>
        <w:t xml:space="preserve"> interpretation of </w:t>
      </w:r>
      <w:r w:rsidRPr="00B849DC" w:rsidR="00E772C7">
        <w:rPr>
          <w:lang w:val="en-GB"/>
        </w:rPr>
        <w:t xml:space="preserve">Article 299 § 2 of the Civil Code </w:t>
      </w:r>
      <w:r w:rsidRPr="00B849DC" w:rsidR="00E772C7">
        <w:rPr>
          <w:lang w:val="en-US"/>
        </w:rPr>
        <w:t>that this legal regime</w:t>
      </w:r>
      <w:r w:rsidRPr="00B849DC" w:rsidR="008D6F0A">
        <w:rPr>
          <w:lang w:val="en-US"/>
        </w:rPr>
        <w:t>,</w:t>
      </w:r>
      <w:r w:rsidRPr="00B849DC" w:rsidR="00E772C7">
        <w:rPr>
          <w:lang w:val="en-US"/>
        </w:rPr>
        <w:t xml:space="preserve"> with all </w:t>
      </w:r>
      <w:r w:rsidRPr="00B849DC" w:rsidR="008D6F0A">
        <w:rPr>
          <w:lang w:val="en-US"/>
        </w:rPr>
        <w:t xml:space="preserve">its </w:t>
      </w:r>
      <w:r w:rsidRPr="00B849DC" w:rsidR="00E772C7">
        <w:rPr>
          <w:lang w:val="en-US"/>
        </w:rPr>
        <w:t>ensuing restrictions, including the requirement to seek the owner</w:t>
      </w:r>
      <w:r w:rsidRPr="00B849DC" w:rsidR="00B849DC">
        <w:rPr>
          <w:lang w:val="en-US"/>
        </w:rPr>
        <w:t>’</w:t>
      </w:r>
      <w:r w:rsidRPr="00B849DC" w:rsidR="00E772C7">
        <w:rPr>
          <w:lang w:val="en-US"/>
        </w:rPr>
        <w:t>s approval, applies to</w:t>
      </w:r>
      <w:r w:rsidRPr="00B849DC" w:rsidR="00C46F08">
        <w:rPr>
          <w:lang w:val="en-GB"/>
        </w:rPr>
        <w:t xml:space="preserve"> </w:t>
      </w:r>
      <w:r w:rsidRPr="00B849DC" w:rsidR="008D6F0A">
        <w:rPr>
          <w:lang w:val="en-US"/>
        </w:rPr>
        <w:t>the gains</w:t>
      </w:r>
      <w:r w:rsidRPr="00B849DC" w:rsidR="00C46F08">
        <w:rPr>
          <w:lang w:val="en-US"/>
        </w:rPr>
        <w:t xml:space="preserve">, products and </w:t>
      </w:r>
      <w:r w:rsidRPr="00B849DC" w:rsidR="008D6F0A">
        <w:rPr>
          <w:lang w:val="en-US"/>
        </w:rPr>
        <w:t xml:space="preserve">profit </w:t>
      </w:r>
      <w:r w:rsidRPr="00B849DC" w:rsidR="00CF37B8">
        <w:rPr>
          <w:lang w:val="en-US"/>
        </w:rPr>
        <w:t>received as a result of th</w:t>
      </w:r>
      <w:r w:rsidRPr="00B849DC" w:rsidR="00C46F08">
        <w:rPr>
          <w:lang w:val="en-US"/>
        </w:rPr>
        <w:t xml:space="preserve">e use of the </w:t>
      </w:r>
      <w:r w:rsidRPr="00B849DC" w:rsidR="008D6F0A">
        <w:rPr>
          <w:lang w:val="en-US"/>
        </w:rPr>
        <w:t>unitary enterprise</w:t>
      </w:r>
      <w:r w:rsidRPr="00B849DC" w:rsidR="00B849DC">
        <w:rPr>
          <w:lang w:val="en-US"/>
        </w:rPr>
        <w:t>’</w:t>
      </w:r>
      <w:r w:rsidRPr="00B849DC" w:rsidR="008D6F0A">
        <w:rPr>
          <w:lang w:val="en-US"/>
        </w:rPr>
        <w:t>s use of the</w:t>
      </w:r>
      <w:r w:rsidRPr="00B849DC" w:rsidR="00CA087B">
        <w:rPr>
          <w:lang w:val="en-US"/>
        </w:rPr>
        <w:t xml:space="preserve"> </w:t>
      </w:r>
      <w:r w:rsidRPr="00B849DC" w:rsidR="00C46F08">
        <w:rPr>
          <w:lang w:val="en-US"/>
        </w:rPr>
        <w:t xml:space="preserve">property under </w:t>
      </w:r>
      <w:r w:rsidRPr="00B849DC" w:rsidR="008D6F0A">
        <w:rPr>
          <w:lang w:val="en-US"/>
        </w:rPr>
        <w:t xml:space="preserve">its </w:t>
      </w:r>
      <w:r w:rsidRPr="00B849DC" w:rsidR="00C46F08">
        <w:rPr>
          <w:lang w:val="en-US"/>
        </w:rPr>
        <w:t xml:space="preserve">economic control, as well as the property acquired </w:t>
      </w:r>
      <w:r w:rsidRPr="00B849DC" w:rsidR="00EF1900">
        <w:rPr>
          <w:lang w:val="en-US"/>
        </w:rPr>
        <w:t xml:space="preserve">in the course of </w:t>
      </w:r>
      <w:r w:rsidRPr="00B849DC" w:rsidR="00555619">
        <w:rPr>
          <w:lang w:val="en-US"/>
        </w:rPr>
        <w:t>its</w:t>
      </w:r>
      <w:r w:rsidRPr="00B849DC" w:rsidR="00EF1900">
        <w:rPr>
          <w:lang w:val="en-US"/>
        </w:rPr>
        <w:t xml:space="preserve"> activities </w:t>
      </w:r>
      <w:r w:rsidRPr="00B849DC" w:rsidR="00C46F08">
        <w:rPr>
          <w:lang w:val="en-US"/>
        </w:rPr>
        <w:t>(see paragraph </w:t>
      </w:r>
      <w:r w:rsidRPr="00B849DC" w:rsidR="00C85903">
        <w:rPr>
          <w:lang w:val="en-US"/>
        </w:rPr>
        <w:t>79</w:t>
      </w:r>
      <w:r w:rsidRPr="00B849DC" w:rsidR="00C46F08">
        <w:rPr>
          <w:lang w:val="en-US"/>
        </w:rPr>
        <w:t xml:space="preserve"> above</w:t>
      </w:r>
      <w:r w:rsidRPr="00B849DC" w:rsidR="00AC7525">
        <w:rPr>
          <w:lang w:val="en-US"/>
        </w:rPr>
        <w:t>; co</w:t>
      </w:r>
      <w:r w:rsidRPr="00B849DC" w:rsidR="002E3CE4">
        <w:rPr>
          <w:lang w:val="en-US"/>
        </w:rPr>
        <w:t>mpare the earlier domestic case</w:t>
      </w:r>
      <w:r w:rsidRPr="00B849DC" w:rsidR="002E3CE4">
        <w:rPr>
          <w:lang w:val="en-US"/>
        </w:rPr>
        <w:noBreakHyphen/>
      </w:r>
      <w:r w:rsidRPr="00B849DC" w:rsidR="00AC7525">
        <w:rPr>
          <w:lang w:val="en-US"/>
        </w:rPr>
        <w:t xml:space="preserve">law cited by the </w:t>
      </w:r>
      <w:r w:rsidRPr="00B849DC" w:rsidR="00E772C7">
        <w:rPr>
          <w:lang w:val="en-US"/>
        </w:rPr>
        <w:t>Government</w:t>
      </w:r>
      <w:r w:rsidRPr="00B849DC" w:rsidR="00AC7525">
        <w:rPr>
          <w:lang w:val="en-US"/>
        </w:rPr>
        <w:t>, paragraph </w:t>
      </w:r>
      <w:r w:rsidRPr="00B849DC" w:rsidR="00C85903">
        <w:rPr>
          <w:lang w:val="en-US"/>
        </w:rPr>
        <w:t>78</w:t>
      </w:r>
      <w:r w:rsidRPr="00B849DC" w:rsidR="00AC7525">
        <w:rPr>
          <w:lang w:val="en-US"/>
        </w:rPr>
        <w:t xml:space="preserve"> above</w:t>
      </w:r>
      <w:r w:rsidRPr="00B849DC" w:rsidR="00C46F08">
        <w:rPr>
          <w:lang w:val="en-US"/>
        </w:rPr>
        <w:t>).</w:t>
      </w:r>
    </w:p>
    <w:p w:rsidRPr="00B849DC" w:rsidR="00DB36DB" w:rsidP="00B849DC" w:rsidRDefault="00C46F08">
      <w:pPr>
        <w:pStyle w:val="ECHRPara"/>
        <w:rPr>
          <w:lang w:val="en-US"/>
        </w:rPr>
      </w:pPr>
      <w:r w:rsidRPr="00B849DC">
        <w:rPr>
          <w:lang w:val="en-GB"/>
        </w:rPr>
        <w:fldChar w:fldCharType="begin"/>
      </w:r>
      <w:r w:rsidRPr="00B849DC">
        <w:rPr>
          <w:lang w:val="en-GB"/>
        </w:rPr>
        <w:instrText xml:space="preserve"> SEQ level0 \*arabic </w:instrText>
      </w:r>
      <w:r w:rsidRPr="00B849DC">
        <w:rPr>
          <w:lang w:val="en-GB"/>
        </w:rPr>
        <w:fldChar w:fldCharType="separate"/>
      </w:r>
      <w:r w:rsidRPr="00B849DC" w:rsidR="00B849DC">
        <w:rPr>
          <w:noProof/>
          <w:lang w:val="en-GB"/>
        </w:rPr>
        <w:t>200</w:t>
      </w:r>
      <w:r w:rsidRPr="00B849DC">
        <w:rPr>
          <w:lang w:val="en-GB"/>
        </w:rPr>
        <w:fldChar w:fldCharType="end"/>
      </w:r>
      <w:r w:rsidRPr="00B849DC">
        <w:rPr>
          <w:lang w:val="en-GB"/>
        </w:rPr>
        <w:t>.  </w:t>
      </w:r>
      <w:r w:rsidRPr="00B849DC" w:rsidR="00FF6EFF">
        <w:rPr>
          <w:lang w:val="en-GB"/>
        </w:rPr>
        <w:t>Second,</w:t>
      </w:r>
      <w:r w:rsidRPr="00B849DC" w:rsidR="00A45EE3">
        <w:rPr>
          <w:lang w:val="en-GB"/>
        </w:rPr>
        <w:t xml:space="preserve"> the Court will turn to the scope of the owner</w:t>
      </w:r>
      <w:r w:rsidRPr="00B849DC" w:rsidR="00B849DC">
        <w:rPr>
          <w:lang w:val="en-GB"/>
        </w:rPr>
        <w:t>’</w:t>
      </w:r>
      <w:r w:rsidRPr="00B849DC" w:rsidR="00A45EE3">
        <w:rPr>
          <w:lang w:val="en-GB"/>
        </w:rPr>
        <w:t xml:space="preserve">s right to dispose of the assets </w:t>
      </w:r>
      <w:r w:rsidRPr="00B849DC" w:rsidR="00555619">
        <w:rPr>
          <w:lang w:val="en-GB"/>
        </w:rPr>
        <w:t>p</w:t>
      </w:r>
      <w:r w:rsidRPr="00B849DC" w:rsidR="00DD60F8">
        <w:rPr>
          <w:lang w:val="en-GB"/>
        </w:rPr>
        <w:t>l</w:t>
      </w:r>
      <w:r w:rsidRPr="00B849DC" w:rsidR="00555619">
        <w:rPr>
          <w:lang w:val="en-GB"/>
        </w:rPr>
        <w:t xml:space="preserve">aced </w:t>
      </w:r>
      <w:r w:rsidRPr="00B849DC" w:rsidR="00A45EE3">
        <w:rPr>
          <w:lang w:val="en-GB"/>
        </w:rPr>
        <w:t xml:space="preserve">under the </w:t>
      </w:r>
      <w:r w:rsidRPr="00B849DC" w:rsidR="00555619">
        <w:rPr>
          <w:lang w:val="en-GB"/>
        </w:rPr>
        <w:t xml:space="preserve">unitary </w:t>
      </w:r>
      <w:r w:rsidRPr="00B849DC" w:rsidR="00A45EE3">
        <w:rPr>
          <w:lang w:val="en-GB"/>
        </w:rPr>
        <w:t>enterprise</w:t>
      </w:r>
      <w:r w:rsidRPr="00B849DC" w:rsidR="00B849DC">
        <w:rPr>
          <w:lang w:val="en-GB"/>
        </w:rPr>
        <w:t>’</w:t>
      </w:r>
      <w:r w:rsidRPr="00B849DC" w:rsidR="00A45EE3">
        <w:rPr>
          <w:lang w:val="en-GB"/>
        </w:rPr>
        <w:t>s economic control</w:t>
      </w:r>
      <w:r w:rsidRPr="00B849DC" w:rsidR="00555619">
        <w:rPr>
          <w:lang w:val="en-GB"/>
        </w:rPr>
        <w:t xml:space="preserve"> </w:t>
      </w:r>
      <w:r w:rsidRPr="00B849DC" w:rsidR="00A45EE3">
        <w:rPr>
          <w:lang w:val="en-GB"/>
        </w:rPr>
        <w:t>–</w:t>
      </w:r>
      <w:r w:rsidRPr="00B849DC" w:rsidR="009F7127">
        <w:rPr>
          <w:lang w:val="en-GB"/>
        </w:rPr>
        <w:t> </w:t>
      </w:r>
      <w:r w:rsidRPr="00B849DC" w:rsidR="00A45EE3">
        <w:rPr>
          <w:lang w:val="en-GB"/>
        </w:rPr>
        <w:t>apparently a recurrent issue in many cases before the domestic commercial courts (see paragraphs </w:t>
      </w:r>
      <w:r w:rsidRPr="00B849DC" w:rsidR="00AC7525">
        <w:rPr>
          <w:lang w:val="en-GB"/>
        </w:rPr>
        <w:t>8</w:t>
      </w:r>
      <w:r w:rsidRPr="00B849DC" w:rsidR="009251A4">
        <w:rPr>
          <w:lang w:val="en-GB"/>
        </w:rPr>
        <w:t>0</w:t>
      </w:r>
      <w:r w:rsidRPr="00B849DC" w:rsidR="00A45EE3">
        <w:rPr>
          <w:lang w:val="en-GB"/>
        </w:rPr>
        <w:t>-</w:t>
      </w:r>
      <w:r w:rsidRPr="00B849DC" w:rsidR="00AC7525">
        <w:rPr>
          <w:lang w:val="en-GB"/>
        </w:rPr>
        <w:t>8</w:t>
      </w:r>
      <w:r w:rsidRPr="00B849DC" w:rsidR="009251A4">
        <w:rPr>
          <w:lang w:val="en-GB"/>
        </w:rPr>
        <w:t>1</w:t>
      </w:r>
      <w:r w:rsidRPr="00B849DC" w:rsidR="00A45EE3">
        <w:rPr>
          <w:lang w:val="en-GB"/>
        </w:rPr>
        <w:t xml:space="preserve"> and </w:t>
      </w:r>
      <w:r w:rsidRPr="00B849DC" w:rsidR="00FD7577">
        <w:rPr>
          <w:lang w:val="en-GB"/>
        </w:rPr>
        <w:t>111</w:t>
      </w:r>
      <w:r w:rsidRPr="00B849DC" w:rsidR="00A45EE3">
        <w:rPr>
          <w:lang w:val="en-GB"/>
        </w:rPr>
        <w:t xml:space="preserve"> above). </w:t>
      </w:r>
      <w:r w:rsidRPr="00B849DC" w:rsidR="00C3206F">
        <w:rPr>
          <w:lang w:val="en-GB"/>
        </w:rPr>
        <w:t xml:space="preserve">The Court notes </w:t>
      </w:r>
      <w:r w:rsidRPr="00B849DC" w:rsidR="00555619">
        <w:rPr>
          <w:lang w:val="en-GB"/>
        </w:rPr>
        <w:t xml:space="preserve">the </w:t>
      </w:r>
      <w:r w:rsidRPr="00B849DC" w:rsidR="00B55368">
        <w:rPr>
          <w:lang w:val="en-GB"/>
        </w:rPr>
        <w:t xml:space="preserve">clear and unambiguous position </w:t>
      </w:r>
      <w:r w:rsidRPr="00B849DC" w:rsidR="00555619">
        <w:rPr>
          <w:lang w:val="en-GB"/>
        </w:rPr>
        <w:t xml:space="preserve">taken by </w:t>
      </w:r>
      <w:r w:rsidRPr="00B849DC" w:rsidR="00B55368">
        <w:rPr>
          <w:lang w:val="en-GB"/>
        </w:rPr>
        <w:t xml:space="preserve">the higher Russian courts </w:t>
      </w:r>
      <w:r w:rsidRPr="00B849DC" w:rsidR="00555619">
        <w:rPr>
          <w:lang w:val="en-GB"/>
        </w:rPr>
        <w:t xml:space="preserve">in </w:t>
      </w:r>
      <w:r w:rsidRPr="00B849DC" w:rsidR="00B55368">
        <w:rPr>
          <w:lang w:val="en-GB"/>
        </w:rPr>
        <w:t>providing an authoritative interpretation of the provisions of Article 295 of the Civil Code</w:t>
      </w:r>
      <w:r w:rsidRPr="00B849DC" w:rsidR="00555619">
        <w:rPr>
          <w:lang w:val="en-GB"/>
        </w:rPr>
        <w:t>, that is,</w:t>
      </w:r>
      <w:r w:rsidRPr="00B849DC" w:rsidR="00B55368">
        <w:rPr>
          <w:lang w:val="en-GB"/>
        </w:rPr>
        <w:t xml:space="preserve"> that the </w:t>
      </w:r>
      <w:r w:rsidRPr="00B849DC" w:rsidR="00B55368">
        <w:rPr>
          <w:lang w:val="en-US"/>
        </w:rPr>
        <w:t xml:space="preserve">owner is not entitled to </w:t>
      </w:r>
      <w:r w:rsidRPr="00B849DC" w:rsidR="00A45EE3">
        <w:rPr>
          <w:lang w:val="en-US"/>
        </w:rPr>
        <w:t>withdraw</w:t>
      </w:r>
      <w:r w:rsidRPr="00B849DC" w:rsidR="00B55368">
        <w:rPr>
          <w:lang w:val="en-US"/>
        </w:rPr>
        <w:t xml:space="preserve">, lease or otherwise dispose of </w:t>
      </w:r>
      <w:r w:rsidRPr="00B849DC" w:rsidR="00505795">
        <w:rPr>
          <w:lang w:val="en-US"/>
        </w:rPr>
        <w:t>such assets</w:t>
      </w:r>
      <w:r w:rsidRPr="00B849DC" w:rsidR="00B55368">
        <w:rPr>
          <w:lang w:val="en-US"/>
        </w:rPr>
        <w:t xml:space="preserve">, even </w:t>
      </w:r>
      <w:r w:rsidRPr="00B849DC" w:rsidR="00555619">
        <w:rPr>
          <w:lang w:val="en-US"/>
        </w:rPr>
        <w:t>with</w:t>
      </w:r>
      <w:r w:rsidRPr="00B849DC" w:rsidR="00B55368">
        <w:rPr>
          <w:lang w:val="en-US"/>
        </w:rPr>
        <w:t xml:space="preserve"> the consent of the enterprise (see paragraph </w:t>
      </w:r>
      <w:r w:rsidRPr="00B849DC" w:rsidR="00AC7525">
        <w:rPr>
          <w:lang w:val="en-US"/>
        </w:rPr>
        <w:t>7</w:t>
      </w:r>
      <w:r w:rsidRPr="00B849DC" w:rsidR="009251A4">
        <w:rPr>
          <w:lang w:val="en-US"/>
        </w:rPr>
        <w:t>6</w:t>
      </w:r>
      <w:r w:rsidRPr="00B849DC" w:rsidR="00AC7525">
        <w:rPr>
          <w:lang w:val="en-US"/>
        </w:rPr>
        <w:t xml:space="preserve"> </w:t>
      </w:r>
      <w:r w:rsidRPr="00B849DC" w:rsidR="00B55368">
        <w:rPr>
          <w:lang w:val="en-US"/>
        </w:rPr>
        <w:t>above). The Court accepts the Government</w:t>
      </w:r>
      <w:r w:rsidRPr="00B849DC" w:rsidR="00B849DC">
        <w:rPr>
          <w:lang w:val="en-US"/>
        </w:rPr>
        <w:t>’</w:t>
      </w:r>
      <w:r w:rsidRPr="00B849DC" w:rsidR="00B55368">
        <w:rPr>
          <w:lang w:val="en-US"/>
        </w:rPr>
        <w:t xml:space="preserve">s argument that </w:t>
      </w:r>
      <w:r w:rsidRPr="00B849DC" w:rsidR="00555619">
        <w:rPr>
          <w:lang w:val="en-US"/>
        </w:rPr>
        <w:t xml:space="preserve">that </w:t>
      </w:r>
      <w:r w:rsidRPr="00B849DC" w:rsidR="00B55368">
        <w:rPr>
          <w:lang w:val="en-US"/>
        </w:rPr>
        <w:t>interpretation indeed guarantee</w:t>
      </w:r>
      <w:r w:rsidRPr="00B849DC" w:rsidR="00C3206F">
        <w:rPr>
          <w:lang w:val="en-US"/>
        </w:rPr>
        <w:t>s, to a certain extent,</w:t>
      </w:r>
      <w:r w:rsidRPr="00B849DC" w:rsidR="00B55368">
        <w:rPr>
          <w:lang w:val="en-US"/>
        </w:rPr>
        <w:t xml:space="preserve"> </w:t>
      </w:r>
      <w:r w:rsidRPr="00B849DC" w:rsidR="00EF1900">
        <w:rPr>
          <w:lang w:val="en-US"/>
        </w:rPr>
        <w:t>t</w:t>
      </w:r>
      <w:r w:rsidRPr="00B849DC" w:rsidR="00B55368">
        <w:rPr>
          <w:lang w:val="en-US"/>
        </w:rPr>
        <w:t>he company</w:t>
      </w:r>
      <w:r w:rsidRPr="00B849DC" w:rsidR="00B849DC">
        <w:rPr>
          <w:lang w:val="en-US"/>
        </w:rPr>
        <w:t>’</w:t>
      </w:r>
      <w:r w:rsidRPr="00B849DC" w:rsidR="00B55368">
        <w:rPr>
          <w:lang w:val="en-US"/>
        </w:rPr>
        <w:t>s independe</w:t>
      </w:r>
      <w:r w:rsidRPr="00B849DC" w:rsidR="00013239">
        <w:rPr>
          <w:lang w:val="en-US"/>
        </w:rPr>
        <w:t xml:space="preserve">nce in </w:t>
      </w:r>
      <w:r w:rsidRPr="00B849DC" w:rsidR="00555619">
        <w:rPr>
          <w:lang w:val="en-US"/>
        </w:rPr>
        <w:t xml:space="preserve">the </w:t>
      </w:r>
      <w:r w:rsidRPr="00B849DC" w:rsidR="00013239">
        <w:rPr>
          <w:lang w:val="en-US"/>
        </w:rPr>
        <w:t>manag</w:t>
      </w:r>
      <w:r w:rsidRPr="00B849DC" w:rsidR="00686944">
        <w:rPr>
          <w:lang w:val="en-US"/>
        </w:rPr>
        <w:t>ement of its assets, even though the domestic courts</w:t>
      </w:r>
      <w:r w:rsidRPr="00B849DC" w:rsidR="00B849DC">
        <w:rPr>
          <w:lang w:val="en-US"/>
        </w:rPr>
        <w:t>’</w:t>
      </w:r>
      <w:r w:rsidRPr="00B849DC" w:rsidR="00686944">
        <w:rPr>
          <w:lang w:val="en-US"/>
        </w:rPr>
        <w:t xml:space="preserve"> approach to the possibility of the </w:t>
      </w:r>
      <w:r w:rsidRPr="00B849DC" w:rsidR="00555619">
        <w:rPr>
          <w:lang w:val="en-US"/>
        </w:rPr>
        <w:t>owner</w:t>
      </w:r>
      <w:r w:rsidRPr="00B849DC" w:rsidR="00B849DC">
        <w:rPr>
          <w:lang w:val="en-US"/>
        </w:rPr>
        <w:t>’</w:t>
      </w:r>
      <w:r w:rsidRPr="00B849DC" w:rsidR="00555619">
        <w:rPr>
          <w:lang w:val="en-US"/>
        </w:rPr>
        <w:t xml:space="preserve">s </w:t>
      </w:r>
      <w:r w:rsidRPr="00B849DC" w:rsidR="00686944">
        <w:rPr>
          <w:lang w:val="en-US"/>
        </w:rPr>
        <w:t xml:space="preserve">withdrawal </w:t>
      </w:r>
      <w:r w:rsidRPr="00B849DC" w:rsidR="00555619">
        <w:rPr>
          <w:lang w:val="en-US"/>
        </w:rPr>
        <w:t xml:space="preserve">of the assets with </w:t>
      </w:r>
      <w:r w:rsidRPr="00B849DC" w:rsidR="00686944">
        <w:rPr>
          <w:lang w:val="en-US"/>
        </w:rPr>
        <w:t xml:space="preserve">the </w:t>
      </w:r>
      <w:r w:rsidRPr="00B849DC" w:rsidR="00555619">
        <w:rPr>
          <w:lang w:val="en-US"/>
        </w:rPr>
        <w:t>company</w:t>
      </w:r>
      <w:r w:rsidRPr="00B849DC" w:rsidR="00B849DC">
        <w:rPr>
          <w:lang w:val="en-US"/>
        </w:rPr>
        <w:t>’</w:t>
      </w:r>
      <w:r w:rsidRPr="00B849DC" w:rsidR="00555619">
        <w:rPr>
          <w:lang w:val="en-US"/>
        </w:rPr>
        <w:t xml:space="preserve">s </w:t>
      </w:r>
      <w:r w:rsidRPr="00B849DC" w:rsidR="00686944">
        <w:rPr>
          <w:lang w:val="en-US"/>
        </w:rPr>
        <w:t xml:space="preserve">consent </w:t>
      </w:r>
      <w:r w:rsidRPr="00B849DC" w:rsidR="00DD60F8">
        <w:rPr>
          <w:lang w:val="en-US"/>
        </w:rPr>
        <w:t>until at least 2008 may be assessed as</w:t>
      </w:r>
      <w:r w:rsidRPr="00B849DC" w:rsidR="00555619">
        <w:rPr>
          <w:lang w:val="en-US"/>
        </w:rPr>
        <w:t xml:space="preserve"> </w:t>
      </w:r>
      <w:r w:rsidRPr="00B849DC" w:rsidR="00686944">
        <w:rPr>
          <w:lang w:val="en-US"/>
        </w:rPr>
        <w:t xml:space="preserve">somewhat </w:t>
      </w:r>
      <w:r w:rsidRPr="00B849DC" w:rsidR="007921C6">
        <w:rPr>
          <w:lang w:val="en-US"/>
        </w:rPr>
        <w:t>divergent</w:t>
      </w:r>
      <w:r w:rsidRPr="00B849DC" w:rsidR="00686944">
        <w:rPr>
          <w:lang w:val="en-US"/>
        </w:rPr>
        <w:t xml:space="preserve"> (compare the case-law cited in paragraphs 8</w:t>
      </w:r>
      <w:r w:rsidRPr="00B849DC" w:rsidR="009251A4">
        <w:rPr>
          <w:lang w:val="en-US"/>
        </w:rPr>
        <w:t>0</w:t>
      </w:r>
      <w:r w:rsidRPr="00B849DC" w:rsidR="00EA3443">
        <w:rPr>
          <w:lang w:val="en-US"/>
        </w:rPr>
        <w:t xml:space="preserve"> and </w:t>
      </w:r>
      <w:r w:rsidRPr="00B849DC" w:rsidR="00AC7525">
        <w:rPr>
          <w:lang w:val="en-US"/>
        </w:rPr>
        <w:t>8</w:t>
      </w:r>
      <w:r w:rsidRPr="00B849DC" w:rsidR="009251A4">
        <w:rPr>
          <w:lang w:val="en-US"/>
        </w:rPr>
        <w:t>1</w:t>
      </w:r>
      <w:r w:rsidRPr="00B849DC" w:rsidR="00EA3443">
        <w:rPr>
          <w:lang w:val="en-US"/>
        </w:rPr>
        <w:t xml:space="preserve"> above; see also, for the test applied by the domestic courts, </w:t>
      </w:r>
      <w:r w:rsidRPr="00B849DC" w:rsidR="009251A4">
        <w:rPr>
          <w:lang w:val="en-US"/>
        </w:rPr>
        <w:t>paragraph 8</w:t>
      </w:r>
      <w:r w:rsidRPr="00B849DC" w:rsidR="00EE2F26">
        <w:rPr>
          <w:lang w:val="en-US"/>
        </w:rPr>
        <w:t>0</w:t>
      </w:r>
      <w:r w:rsidRPr="00B849DC" w:rsidR="009251A4">
        <w:rPr>
          <w:lang w:val="en-US"/>
        </w:rPr>
        <w:t xml:space="preserve"> above</w:t>
      </w:r>
      <w:r w:rsidRPr="00B849DC" w:rsidR="00686944">
        <w:rPr>
          <w:lang w:val="en-US"/>
        </w:rPr>
        <w:t>).</w:t>
      </w:r>
    </w:p>
    <w:p w:rsidRPr="00B849DC" w:rsidR="00CA087B" w:rsidP="00B849DC" w:rsidRDefault="00DB36DB">
      <w:pPr>
        <w:pStyle w:val="ECHRPara"/>
        <w:rPr>
          <w:lang w:val="en-US"/>
        </w:rPr>
      </w:pPr>
      <w:r w:rsidRPr="00B849DC">
        <w:rPr>
          <w:lang w:val="en-US"/>
        </w:rPr>
        <w:fldChar w:fldCharType="begin"/>
      </w:r>
      <w:r w:rsidRPr="00B849DC">
        <w:rPr>
          <w:lang w:val="en-US"/>
        </w:rPr>
        <w:instrText xml:space="preserve"> SEQ level0 \*arabic </w:instrText>
      </w:r>
      <w:r w:rsidRPr="00B849DC">
        <w:rPr>
          <w:lang w:val="en-US"/>
        </w:rPr>
        <w:fldChar w:fldCharType="separate"/>
      </w:r>
      <w:r w:rsidRPr="00B849DC" w:rsidR="00B849DC">
        <w:rPr>
          <w:noProof/>
          <w:lang w:val="en-US"/>
        </w:rPr>
        <w:t>201</w:t>
      </w:r>
      <w:r w:rsidRPr="00B849DC">
        <w:rPr>
          <w:lang w:val="en-US"/>
        </w:rPr>
        <w:fldChar w:fldCharType="end"/>
      </w:r>
      <w:r w:rsidRPr="00B849DC">
        <w:rPr>
          <w:lang w:val="en-US"/>
        </w:rPr>
        <w:t>.  </w:t>
      </w:r>
      <w:r w:rsidRPr="00B849DC" w:rsidR="00C3206F">
        <w:rPr>
          <w:lang w:val="en-US"/>
        </w:rPr>
        <w:t>At the same time</w:t>
      </w:r>
      <w:r w:rsidRPr="00B849DC">
        <w:rPr>
          <w:lang w:val="en-US"/>
        </w:rPr>
        <w:t xml:space="preserve">, </w:t>
      </w:r>
      <w:r w:rsidRPr="00B849DC" w:rsidR="0013412B">
        <w:rPr>
          <w:lang w:val="en-US"/>
        </w:rPr>
        <w:t xml:space="preserve">the Court </w:t>
      </w:r>
      <w:r w:rsidRPr="00B849DC" w:rsidR="00C3206F">
        <w:rPr>
          <w:lang w:val="en-US"/>
        </w:rPr>
        <w:t xml:space="preserve">notes </w:t>
      </w:r>
      <w:r w:rsidRPr="00B849DC" w:rsidR="0013412B">
        <w:rPr>
          <w:lang w:val="en-US"/>
        </w:rPr>
        <w:t>the domestic courts</w:t>
      </w:r>
      <w:r w:rsidRPr="00B849DC" w:rsidR="00B849DC">
        <w:rPr>
          <w:lang w:val="en-US"/>
        </w:rPr>
        <w:t>’</w:t>
      </w:r>
      <w:r w:rsidRPr="00B849DC" w:rsidR="0013412B">
        <w:rPr>
          <w:lang w:val="en-US"/>
        </w:rPr>
        <w:t xml:space="preserve"> position that a company</w:t>
      </w:r>
      <w:r w:rsidRPr="00B849DC" w:rsidR="00B849DC">
        <w:rPr>
          <w:lang w:val="en-US"/>
        </w:rPr>
        <w:t>’</w:t>
      </w:r>
      <w:r w:rsidRPr="00B849DC" w:rsidR="0013412B">
        <w:rPr>
          <w:lang w:val="en-US"/>
        </w:rPr>
        <w:t xml:space="preserve">s failure to </w:t>
      </w:r>
      <w:r w:rsidRPr="00B849DC" w:rsidR="00241304">
        <w:rPr>
          <w:lang w:val="en-US"/>
        </w:rPr>
        <w:t>meet</w:t>
      </w:r>
      <w:r w:rsidRPr="00B849DC" w:rsidR="0013412B">
        <w:rPr>
          <w:lang w:val="en-US"/>
        </w:rPr>
        <w:t xml:space="preserve"> its statutory goals also constitutes a legitimate ground for the </w:t>
      </w:r>
      <w:r w:rsidRPr="00B849DC" w:rsidR="00C1534C">
        <w:rPr>
          <w:lang w:val="en-US"/>
        </w:rPr>
        <w:t xml:space="preserve">withdrawal of the assets under its control </w:t>
      </w:r>
      <w:r w:rsidRPr="00B849DC" w:rsidR="00AC7525">
        <w:rPr>
          <w:lang w:val="en-US"/>
        </w:rPr>
        <w:t>(see paragraph </w:t>
      </w:r>
      <w:r w:rsidRPr="00B849DC" w:rsidR="007133A2">
        <w:rPr>
          <w:lang w:val="en-US"/>
        </w:rPr>
        <w:t>8</w:t>
      </w:r>
      <w:r w:rsidRPr="00B849DC" w:rsidR="00EE2F26">
        <w:rPr>
          <w:lang w:val="en-US"/>
        </w:rPr>
        <w:t>0</w:t>
      </w:r>
      <w:r w:rsidRPr="00B849DC" w:rsidR="0013412B">
        <w:rPr>
          <w:lang w:val="en-US"/>
        </w:rPr>
        <w:t xml:space="preserve"> above) and that the assessment of such compliance remains within the owner</w:t>
      </w:r>
      <w:r w:rsidRPr="00B849DC" w:rsidR="00B849DC">
        <w:rPr>
          <w:lang w:val="en-US"/>
        </w:rPr>
        <w:t>’</w:t>
      </w:r>
      <w:r w:rsidRPr="00B849DC" w:rsidR="0013412B">
        <w:rPr>
          <w:lang w:val="en-US"/>
        </w:rPr>
        <w:t>s discretion (see paragraph </w:t>
      </w:r>
      <w:r w:rsidRPr="00B849DC" w:rsidR="007133A2">
        <w:rPr>
          <w:lang w:val="en-US"/>
        </w:rPr>
        <w:t>67</w:t>
      </w:r>
      <w:r w:rsidRPr="00B849DC" w:rsidR="0013412B">
        <w:rPr>
          <w:lang w:val="en-US"/>
        </w:rPr>
        <w:t xml:space="preserve"> above). </w:t>
      </w:r>
      <w:r w:rsidRPr="00B849DC" w:rsidR="0015251A">
        <w:rPr>
          <w:lang w:val="en-US"/>
        </w:rPr>
        <w:t xml:space="preserve">Further, </w:t>
      </w:r>
      <w:r w:rsidRPr="00B849DC" w:rsidR="003B31AA">
        <w:rPr>
          <w:lang w:val="en-GB"/>
        </w:rPr>
        <w:t>Article 295 of the Civil Code</w:t>
      </w:r>
      <w:r w:rsidRPr="00B849DC" w:rsidR="00C1534C">
        <w:rPr>
          <w:lang w:val="en-GB"/>
        </w:rPr>
        <w:t xml:space="preserve"> provides that it is</w:t>
      </w:r>
      <w:r w:rsidRPr="00B849DC" w:rsidR="00FB3B00">
        <w:rPr>
          <w:lang w:val="en-GB"/>
        </w:rPr>
        <w:t xml:space="preserve"> </w:t>
      </w:r>
      <w:r w:rsidRPr="00B849DC" w:rsidR="002D4F95">
        <w:rPr>
          <w:lang w:val="en-GB"/>
        </w:rPr>
        <w:t xml:space="preserve">the owner </w:t>
      </w:r>
      <w:r w:rsidRPr="00B849DC" w:rsidR="00C1534C">
        <w:rPr>
          <w:lang w:val="en-GB"/>
        </w:rPr>
        <w:t xml:space="preserve">who may </w:t>
      </w:r>
      <w:r w:rsidRPr="00B849DC" w:rsidR="002D4F95">
        <w:rPr>
          <w:lang w:val="en-US"/>
        </w:rPr>
        <w:t xml:space="preserve">decide to </w:t>
      </w:r>
      <w:r w:rsidRPr="00B849DC" w:rsidR="00C1534C">
        <w:rPr>
          <w:lang w:val="en-US"/>
        </w:rPr>
        <w:t xml:space="preserve">restructure </w:t>
      </w:r>
      <w:r w:rsidRPr="00B849DC" w:rsidR="00445C8C">
        <w:rPr>
          <w:lang w:val="en-US"/>
        </w:rPr>
        <w:t>or</w:t>
      </w:r>
      <w:r w:rsidRPr="00B849DC" w:rsidR="002D4F95">
        <w:rPr>
          <w:lang w:val="en-US"/>
        </w:rPr>
        <w:t xml:space="preserve"> liquidate the enterprise.</w:t>
      </w:r>
      <w:r w:rsidRPr="00B849DC" w:rsidR="00D11D12">
        <w:rPr>
          <w:lang w:val="en-US"/>
        </w:rPr>
        <w:t xml:space="preserve"> </w:t>
      </w:r>
      <w:r w:rsidRPr="00B849DC" w:rsidR="007133A2">
        <w:rPr>
          <w:lang w:val="en-US"/>
        </w:rPr>
        <w:t xml:space="preserve">Turning to the abundant </w:t>
      </w:r>
      <w:r w:rsidRPr="00B849DC" w:rsidR="00C1534C">
        <w:rPr>
          <w:lang w:val="en-US"/>
        </w:rPr>
        <w:t xml:space="preserve">existing </w:t>
      </w:r>
      <w:r w:rsidRPr="00B849DC" w:rsidR="007133A2">
        <w:rPr>
          <w:lang w:val="en-US"/>
        </w:rPr>
        <w:t>case-law of the domestic commercial courts on the subsidiary liability of the owner</w:t>
      </w:r>
      <w:r w:rsidRPr="00B849DC" w:rsidR="00C1534C">
        <w:rPr>
          <w:lang w:val="en-US"/>
        </w:rPr>
        <w:t>s</w:t>
      </w:r>
      <w:r w:rsidRPr="00B849DC" w:rsidR="007133A2">
        <w:rPr>
          <w:lang w:val="en-US"/>
        </w:rPr>
        <w:t xml:space="preserve"> of municipal companies</w:t>
      </w:r>
      <w:r w:rsidRPr="00B849DC" w:rsidR="00B849DC">
        <w:rPr>
          <w:lang w:val="en-US"/>
        </w:rPr>
        <w:t>’</w:t>
      </w:r>
      <w:r w:rsidRPr="00B849DC" w:rsidR="00237541">
        <w:rPr>
          <w:lang w:val="en-GB"/>
        </w:rPr>
        <w:t xml:space="preserve"> assets</w:t>
      </w:r>
      <w:r w:rsidRPr="00B849DC" w:rsidR="007133A2">
        <w:rPr>
          <w:lang w:val="en-US"/>
        </w:rPr>
        <w:t>, the Court notes that in nearly all such cases liability was claimed precisely in connection with various instances of the owners</w:t>
      </w:r>
      <w:r w:rsidRPr="00B849DC" w:rsidR="00B849DC">
        <w:rPr>
          <w:lang w:val="en-US"/>
        </w:rPr>
        <w:t>’</w:t>
      </w:r>
      <w:r w:rsidRPr="00B849DC" w:rsidR="007133A2">
        <w:rPr>
          <w:lang w:val="en-US"/>
        </w:rPr>
        <w:t xml:space="preserve"> actual disposal of the property </w:t>
      </w:r>
      <w:r w:rsidRPr="00B849DC" w:rsidR="00C1534C">
        <w:rPr>
          <w:lang w:val="en-US"/>
        </w:rPr>
        <w:t xml:space="preserve">placed </w:t>
      </w:r>
      <w:r w:rsidRPr="00B849DC" w:rsidR="007133A2">
        <w:rPr>
          <w:lang w:val="en-US"/>
        </w:rPr>
        <w:t>under the debtor enterprise</w:t>
      </w:r>
      <w:r w:rsidRPr="00B849DC" w:rsidR="00B849DC">
        <w:rPr>
          <w:lang w:val="en-US"/>
        </w:rPr>
        <w:t>’</w:t>
      </w:r>
      <w:r w:rsidRPr="00B849DC" w:rsidR="007133A2">
        <w:rPr>
          <w:lang w:val="en-US"/>
        </w:rPr>
        <w:t>s econom</w:t>
      </w:r>
      <w:r w:rsidRPr="00B849DC" w:rsidR="00FD7577">
        <w:rPr>
          <w:lang w:val="en-US"/>
        </w:rPr>
        <w:t>ic control (see paragraph</w:t>
      </w:r>
      <w:r w:rsidRPr="00B849DC" w:rsidR="009F7127">
        <w:rPr>
          <w:lang w:val="en-US"/>
        </w:rPr>
        <w:t> </w:t>
      </w:r>
      <w:r w:rsidRPr="00B849DC" w:rsidR="00FD7577">
        <w:rPr>
          <w:lang w:val="en-US"/>
        </w:rPr>
        <w:t>111</w:t>
      </w:r>
      <w:r w:rsidRPr="00B849DC" w:rsidR="007133A2">
        <w:rPr>
          <w:lang w:val="en-US"/>
        </w:rPr>
        <w:t xml:space="preserve"> above). </w:t>
      </w:r>
      <w:r w:rsidRPr="00B849DC" w:rsidR="00686944">
        <w:rPr>
          <w:lang w:val="en-US"/>
        </w:rPr>
        <w:t xml:space="preserve">The domestic courts have consistently </w:t>
      </w:r>
      <w:r w:rsidRPr="00B849DC" w:rsidR="00C1534C">
        <w:rPr>
          <w:lang w:val="en-US"/>
        </w:rPr>
        <w:t xml:space="preserve">accepted </w:t>
      </w:r>
      <w:r w:rsidRPr="00B849DC" w:rsidR="003B31AA">
        <w:rPr>
          <w:lang w:val="en-US"/>
        </w:rPr>
        <w:t xml:space="preserve">the </w:t>
      </w:r>
      <w:r w:rsidRPr="00B849DC" w:rsidR="00C1534C">
        <w:rPr>
          <w:lang w:val="en-US"/>
        </w:rPr>
        <w:t xml:space="preserve">restructuring </w:t>
      </w:r>
      <w:r w:rsidRPr="00B849DC" w:rsidR="003B31AA">
        <w:rPr>
          <w:lang w:val="en-US"/>
        </w:rPr>
        <w:t xml:space="preserve">or liquidation of the company as a legitimate ground for the owner to </w:t>
      </w:r>
      <w:r w:rsidRPr="00B849DC">
        <w:rPr>
          <w:lang w:val="en-US"/>
        </w:rPr>
        <w:t>remove</w:t>
      </w:r>
      <w:r w:rsidRPr="00B849DC" w:rsidR="003B31AA">
        <w:rPr>
          <w:lang w:val="en-US"/>
        </w:rPr>
        <w:t xml:space="preserve"> </w:t>
      </w:r>
      <w:r w:rsidRPr="00B849DC" w:rsidR="00C1534C">
        <w:rPr>
          <w:lang w:val="en-US"/>
        </w:rPr>
        <w:t xml:space="preserve">its </w:t>
      </w:r>
      <w:r w:rsidRPr="00B849DC">
        <w:rPr>
          <w:lang w:val="en-US"/>
        </w:rPr>
        <w:t xml:space="preserve">property and, in case of </w:t>
      </w:r>
      <w:r w:rsidRPr="00B849DC" w:rsidR="00C1534C">
        <w:rPr>
          <w:lang w:val="en-US"/>
        </w:rPr>
        <w:t>restructuring</w:t>
      </w:r>
      <w:r w:rsidRPr="00B849DC" w:rsidR="003B31AA">
        <w:rPr>
          <w:lang w:val="en-US"/>
        </w:rPr>
        <w:t xml:space="preserve">, </w:t>
      </w:r>
      <w:r w:rsidRPr="00B849DC" w:rsidR="00B76F2E">
        <w:rPr>
          <w:lang w:val="en-US"/>
        </w:rPr>
        <w:t xml:space="preserve">to </w:t>
      </w:r>
      <w:r w:rsidRPr="00B849DC" w:rsidR="003B31AA">
        <w:rPr>
          <w:lang w:val="en-US"/>
        </w:rPr>
        <w:t>transfer</w:t>
      </w:r>
      <w:r w:rsidRPr="00B849DC" w:rsidR="00B76F2E">
        <w:rPr>
          <w:lang w:val="en-US"/>
        </w:rPr>
        <w:t xml:space="preserve"> it</w:t>
      </w:r>
      <w:r w:rsidRPr="00B849DC" w:rsidR="003B31AA">
        <w:rPr>
          <w:lang w:val="en-US"/>
        </w:rPr>
        <w:t xml:space="preserve"> to a different legal entity (see paragraph </w:t>
      </w:r>
      <w:r w:rsidRPr="00B849DC" w:rsidR="007133A2">
        <w:rPr>
          <w:lang w:val="en-US"/>
        </w:rPr>
        <w:t>8</w:t>
      </w:r>
      <w:r w:rsidRPr="00B849DC" w:rsidR="00EE2F26">
        <w:rPr>
          <w:lang w:val="en-US"/>
        </w:rPr>
        <w:t>0</w:t>
      </w:r>
      <w:r w:rsidRPr="00B849DC" w:rsidR="003B31AA">
        <w:rPr>
          <w:lang w:val="en-US"/>
        </w:rPr>
        <w:t xml:space="preserve"> above). This approach was also taken by the domestic courts in</w:t>
      </w:r>
      <w:r w:rsidRPr="00B849DC" w:rsidR="00A00D18">
        <w:rPr>
          <w:lang w:val="en-US"/>
        </w:rPr>
        <w:t xml:space="preserve"> the present cases of </w:t>
      </w:r>
      <w:r w:rsidRPr="00B849DC" w:rsidR="003B31AA">
        <w:rPr>
          <w:i/>
          <w:lang w:val="en-US"/>
        </w:rPr>
        <w:t xml:space="preserve">Liseytseva </w:t>
      </w:r>
      <w:r w:rsidRPr="00B849DC" w:rsidR="003B31AA">
        <w:rPr>
          <w:lang w:val="en-US"/>
        </w:rPr>
        <w:t>(see</w:t>
      </w:r>
      <w:r w:rsidRPr="00B849DC" w:rsidR="003B31AA">
        <w:rPr>
          <w:i/>
          <w:lang w:val="en-US"/>
        </w:rPr>
        <w:t xml:space="preserve"> </w:t>
      </w:r>
      <w:r w:rsidRPr="00B849DC" w:rsidR="003B31AA">
        <w:rPr>
          <w:lang w:val="en-US"/>
        </w:rPr>
        <w:t>paragraph</w:t>
      </w:r>
      <w:r w:rsidRPr="00B849DC" w:rsidR="00AC7525">
        <w:rPr>
          <w:lang w:val="en-US"/>
        </w:rPr>
        <w:t>s</w:t>
      </w:r>
      <w:r w:rsidRPr="00B849DC" w:rsidR="003B31AA">
        <w:rPr>
          <w:lang w:val="en-US"/>
        </w:rPr>
        <w:t> </w:t>
      </w:r>
      <w:r w:rsidRPr="00B849DC" w:rsidR="00AC7525">
        <w:rPr>
          <w:lang w:val="en-US"/>
        </w:rPr>
        <w:t>23</w:t>
      </w:r>
      <w:r w:rsidRPr="00B849DC" w:rsidR="003B31AA">
        <w:rPr>
          <w:lang w:val="en-US"/>
        </w:rPr>
        <w:t xml:space="preserve"> </w:t>
      </w:r>
      <w:r w:rsidRPr="00B849DC" w:rsidR="00AC7525">
        <w:rPr>
          <w:lang w:val="en-US"/>
        </w:rPr>
        <w:t xml:space="preserve">and 26-27 </w:t>
      </w:r>
      <w:r w:rsidRPr="00B849DC" w:rsidR="003B31AA">
        <w:rPr>
          <w:lang w:val="en-US"/>
        </w:rPr>
        <w:t xml:space="preserve">above) and </w:t>
      </w:r>
      <w:r w:rsidRPr="00B849DC" w:rsidR="003B31AA">
        <w:rPr>
          <w:i/>
          <w:lang w:val="en-US"/>
        </w:rPr>
        <w:t>Maslov</w:t>
      </w:r>
      <w:r w:rsidRPr="00B849DC" w:rsidR="003B31AA">
        <w:rPr>
          <w:lang w:val="en-US"/>
        </w:rPr>
        <w:t xml:space="preserve"> (see paragraph </w:t>
      </w:r>
      <w:r w:rsidRPr="00B849DC" w:rsidR="00AC7525">
        <w:rPr>
          <w:lang w:val="en-US"/>
        </w:rPr>
        <w:t>50</w:t>
      </w:r>
      <w:r w:rsidRPr="00B849DC">
        <w:rPr>
          <w:lang w:val="en-US"/>
        </w:rPr>
        <w:t xml:space="preserve"> above)</w:t>
      </w:r>
      <w:r w:rsidRPr="00B849DC" w:rsidR="003B31AA">
        <w:rPr>
          <w:lang w:val="en-US"/>
        </w:rPr>
        <w:t xml:space="preserve">. </w:t>
      </w:r>
      <w:r w:rsidRPr="00B849DC" w:rsidR="002009E8">
        <w:rPr>
          <w:lang w:val="en-US"/>
        </w:rPr>
        <w:t>Furthermore, the</w:t>
      </w:r>
      <w:r w:rsidRPr="00B849DC" w:rsidR="00D11D12">
        <w:rPr>
          <w:lang w:val="en-US"/>
        </w:rPr>
        <w:t xml:space="preserve"> owner also decides on the </w:t>
      </w:r>
      <w:r w:rsidRPr="00B849DC" w:rsidR="002009E8">
        <w:rPr>
          <w:lang w:val="en-US"/>
        </w:rPr>
        <w:t xml:space="preserve">actual </w:t>
      </w:r>
      <w:r w:rsidRPr="00B849DC" w:rsidR="00D11D12">
        <w:rPr>
          <w:lang w:val="en-US"/>
        </w:rPr>
        <w:t xml:space="preserve">manner </w:t>
      </w:r>
      <w:r w:rsidRPr="00B849DC" w:rsidR="00105275">
        <w:rPr>
          <w:lang w:val="en-US"/>
        </w:rPr>
        <w:t xml:space="preserve">in which </w:t>
      </w:r>
      <w:r w:rsidRPr="00B849DC" w:rsidR="00D11D12">
        <w:rPr>
          <w:lang w:val="en-US"/>
        </w:rPr>
        <w:t xml:space="preserve">the assets </w:t>
      </w:r>
      <w:r w:rsidRPr="00B849DC" w:rsidR="00105275">
        <w:rPr>
          <w:lang w:val="en-US"/>
        </w:rPr>
        <w:t xml:space="preserve">are </w:t>
      </w:r>
      <w:r w:rsidRPr="00B849DC" w:rsidR="00D11D12">
        <w:rPr>
          <w:lang w:val="en-US"/>
        </w:rPr>
        <w:t>transfer</w:t>
      </w:r>
      <w:r w:rsidRPr="00B849DC" w:rsidR="00105275">
        <w:rPr>
          <w:lang w:val="en-US"/>
        </w:rPr>
        <w:t>red</w:t>
      </w:r>
      <w:r w:rsidRPr="00B849DC" w:rsidR="00D11D12">
        <w:rPr>
          <w:lang w:val="en-US"/>
        </w:rPr>
        <w:t xml:space="preserve"> in any such case (see paragraph </w:t>
      </w:r>
      <w:r w:rsidRPr="00B849DC" w:rsidR="007133A2">
        <w:rPr>
          <w:lang w:val="en-US"/>
        </w:rPr>
        <w:t>69</w:t>
      </w:r>
      <w:r w:rsidRPr="00B849DC" w:rsidR="00D5091D">
        <w:rPr>
          <w:lang w:val="en-US"/>
        </w:rPr>
        <w:t xml:space="preserve"> above), as amply demonstrated by the facts of the </w:t>
      </w:r>
      <w:r w:rsidRPr="00B849DC" w:rsidR="00AC7525">
        <w:rPr>
          <w:lang w:val="en-US"/>
        </w:rPr>
        <w:t>present two cases</w:t>
      </w:r>
      <w:r w:rsidRPr="00B849DC" w:rsidR="00D5091D">
        <w:rPr>
          <w:lang w:val="en-US"/>
        </w:rPr>
        <w:t>: by the decision</w:t>
      </w:r>
      <w:r w:rsidRPr="00B849DC" w:rsidR="00067E2F">
        <w:rPr>
          <w:lang w:val="en-US"/>
        </w:rPr>
        <w:t xml:space="preserve"> of</w:t>
      </w:r>
      <w:r w:rsidRPr="00B849DC" w:rsidR="00D5091D">
        <w:rPr>
          <w:lang w:val="en-US"/>
        </w:rPr>
        <w:t xml:space="preserve"> the local administration the </w:t>
      </w:r>
      <w:r w:rsidRPr="00B849DC" w:rsidR="00AC7525">
        <w:rPr>
          <w:lang w:val="en-US"/>
        </w:rPr>
        <w:t xml:space="preserve">debtor </w:t>
      </w:r>
      <w:r w:rsidRPr="00B849DC" w:rsidR="00105275">
        <w:rPr>
          <w:lang w:val="en-US"/>
        </w:rPr>
        <w:t>companies</w:t>
      </w:r>
      <w:r w:rsidRPr="00B849DC" w:rsidR="00B849DC">
        <w:rPr>
          <w:lang w:val="en-US"/>
        </w:rPr>
        <w:t>’</w:t>
      </w:r>
      <w:r w:rsidRPr="00B849DC" w:rsidR="00105275">
        <w:rPr>
          <w:lang w:val="en-US"/>
        </w:rPr>
        <w:t xml:space="preserve"> </w:t>
      </w:r>
      <w:r w:rsidRPr="00B849DC" w:rsidR="00D5091D">
        <w:rPr>
          <w:lang w:val="en-US"/>
        </w:rPr>
        <w:t>assets were transferred to th</w:t>
      </w:r>
      <w:r w:rsidRPr="00B849DC" w:rsidR="00AC7525">
        <w:rPr>
          <w:lang w:val="en-US"/>
        </w:rPr>
        <w:t>e newly</w:t>
      </w:r>
      <w:r w:rsidRPr="00B849DC" w:rsidR="00105275">
        <w:rPr>
          <w:lang w:val="en-US"/>
        </w:rPr>
        <w:t xml:space="preserve"> </w:t>
      </w:r>
      <w:r w:rsidRPr="00B849DC" w:rsidR="00AC7525">
        <w:rPr>
          <w:lang w:val="en-US"/>
        </w:rPr>
        <w:t>created companies</w:t>
      </w:r>
      <w:r w:rsidRPr="00B849DC" w:rsidR="00D5091D">
        <w:rPr>
          <w:lang w:val="en-US"/>
        </w:rPr>
        <w:t xml:space="preserve">, while the debts remained </w:t>
      </w:r>
      <w:r w:rsidRPr="00B849DC" w:rsidR="00686944">
        <w:rPr>
          <w:lang w:val="en-US"/>
        </w:rPr>
        <w:t>on</w:t>
      </w:r>
      <w:r w:rsidRPr="00B849DC" w:rsidR="00D5091D">
        <w:rPr>
          <w:lang w:val="en-US"/>
        </w:rPr>
        <w:t xml:space="preserve"> the </w:t>
      </w:r>
      <w:r w:rsidRPr="00B849DC" w:rsidR="00686944">
        <w:rPr>
          <w:lang w:val="en-US"/>
        </w:rPr>
        <w:t>balance sheet</w:t>
      </w:r>
      <w:r w:rsidRPr="00B849DC" w:rsidR="00AC7525">
        <w:rPr>
          <w:lang w:val="en-US"/>
        </w:rPr>
        <w:t>s</w:t>
      </w:r>
      <w:r w:rsidRPr="00B849DC" w:rsidR="00686944">
        <w:rPr>
          <w:lang w:val="en-US"/>
        </w:rPr>
        <w:t xml:space="preserve"> of the </w:t>
      </w:r>
      <w:r w:rsidRPr="00B849DC" w:rsidR="00AC7525">
        <w:rPr>
          <w:lang w:val="en-US"/>
        </w:rPr>
        <w:t>applicant</w:t>
      </w:r>
      <w:r w:rsidRPr="00B849DC" w:rsidR="00D5091D">
        <w:rPr>
          <w:lang w:val="en-US"/>
        </w:rPr>
        <w:t>s</w:t>
      </w:r>
      <w:r w:rsidRPr="00B849DC" w:rsidR="00B849DC">
        <w:rPr>
          <w:lang w:val="en-US"/>
        </w:rPr>
        <w:t>’</w:t>
      </w:r>
      <w:r w:rsidRPr="00B849DC" w:rsidR="00D5091D">
        <w:rPr>
          <w:lang w:val="en-US"/>
        </w:rPr>
        <w:t xml:space="preserve"> employer</w:t>
      </w:r>
      <w:r w:rsidRPr="00B849DC" w:rsidR="00AC7525">
        <w:rPr>
          <w:lang w:val="en-US"/>
        </w:rPr>
        <w:t>s</w:t>
      </w:r>
      <w:r w:rsidRPr="00B849DC" w:rsidR="00A00D18">
        <w:rPr>
          <w:lang w:val="en-US"/>
        </w:rPr>
        <w:t xml:space="preserve"> (see </w:t>
      </w:r>
      <w:r w:rsidRPr="00B849DC" w:rsidR="00AC7525">
        <w:rPr>
          <w:lang w:val="en-US"/>
        </w:rPr>
        <w:t xml:space="preserve">paragraphs 10 and 34-35 above; see </w:t>
      </w:r>
      <w:r w:rsidRPr="00B849DC" w:rsidR="00A00D18">
        <w:rPr>
          <w:lang w:val="en-US"/>
        </w:rPr>
        <w:t>also</w:t>
      </w:r>
      <w:r w:rsidRPr="00B849DC" w:rsidR="00E475A7">
        <w:rPr>
          <w:lang w:val="en-US"/>
        </w:rPr>
        <w:t>, in a similar context,</w:t>
      </w:r>
      <w:r w:rsidRPr="00B849DC" w:rsidR="00A00D18">
        <w:rPr>
          <w:lang w:val="en-US"/>
        </w:rPr>
        <w:t xml:space="preserve"> </w:t>
      </w:r>
      <w:r w:rsidRPr="00B849DC" w:rsidR="00A00D18">
        <w:rPr>
          <w:i/>
          <w:lang w:val="en-US"/>
        </w:rPr>
        <w:t>Yershova</w:t>
      </w:r>
      <w:r w:rsidRPr="00B849DC" w:rsidR="00A00D18">
        <w:rPr>
          <w:lang w:val="en-US"/>
        </w:rPr>
        <w:t>, cited above, §§ 11 and 60)</w:t>
      </w:r>
      <w:r w:rsidRPr="00B849DC" w:rsidR="00D5091D">
        <w:rPr>
          <w:lang w:val="en-US"/>
        </w:rPr>
        <w:t>.</w:t>
      </w:r>
    </w:p>
    <w:p w:rsidRPr="00B849DC" w:rsidR="00ED1B39" w:rsidP="00B849DC" w:rsidRDefault="009F7127">
      <w:pPr>
        <w:pStyle w:val="ECHRHeading6"/>
        <w:rPr>
          <w:lang w:val="en-US"/>
        </w:rPr>
      </w:pPr>
      <w:r w:rsidRPr="00B849DC">
        <w:rPr>
          <w:rFonts w:cstheme="majorHAnsi"/>
          <w:lang w:val="en-US"/>
        </w:rPr>
        <w:t>(</w:t>
      </w:r>
      <w:r w:rsidRPr="00B849DC" w:rsidR="007972D7">
        <w:rPr>
          <w:rFonts w:cstheme="majorHAnsi"/>
          <w:lang w:val="en-US"/>
        </w:rPr>
        <w:t>γ</w:t>
      </w:r>
      <w:r w:rsidRPr="00B849DC">
        <w:rPr>
          <w:rFonts w:cstheme="majorHAnsi"/>
          <w:lang w:val="en-US"/>
        </w:rPr>
        <w:t>)</w:t>
      </w:r>
      <w:r w:rsidRPr="00B849DC" w:rsidR="007972D7">
        <w:rPr>
          <w:lang w:val="en-US"/>
        </w:rPr>
        <w:t>  </w:t>
      </w:r>
      <w:r w:rsidRPr="00B849DC" w:rsidR="00ED3A9C">
        <w:rPr>
          <w:lang w:val="en-US"/>
        </w:rPr>
        <w:t xml:space="preserve">Further potential for the exercise of State control in the light of the </w:t>
      </w:r>
      <w:r w:rsidRPr="00B849DC" w:rsidR="00ED1B39">
        <w:rPr>
          <w:lang w:val="en-US"/>
        </w:rPr>
        <w:t xml:space="preserve">functions performed by </w:t>
      </w:r>
      <w:r w:rsidRPr="00B849DC" w:rsidR="00ED3A9C">
        <w:rPr>
          <w:lang w:val="en-US"/>
        </w:rPr>
        <w:t>unitary enterprises</w:t>
      </w:r>
    </w:p>
    <w:p w:rsidRPr="00B849DC" w:rsidR="00ED1B39" w:rsidP="00B849DC" w:rsidRDefault="007133A2">
      <w:pPr>
        <w:pStyle w:val="ECHRPara"/>
        <w:rPr>
          <w:lang w:val="en-US" w:bidi="en-US"/>
        </w:rPr>
      </w:pPr>
      <w:r w:rsidRPr="00B849DC">
        <w:rPr>
          <w:lang w:val="en-US" w:bidi="en-US"/>
        </w:rPr>
        <w:fldChar w:fldCharType="begin"/>
      </w:r>
      <w:r w:rsidRPr="00B849DC">
        <w:rPr>
          <w:lang w:val="en-US" w:bidi="en-US"/>
        </w:rPr>
        <w:instrText xml:space="preserve"> SEQ level0 \*arabic </w:instrText>
      </w:r>
      <w:r w:rsidRPr="00B849DC">
        <w:rPr>
          <w:lang w:val="en-US" w:bidi="en-US"/>
        </w:rPr>
        <w:fldChar w:fldCharType="separate"/>
      </w:r>
      <w:r w:rsidRPr="00B849DC" w:rsidR="00B849DC">
        <w:rPr>
          <w:noProof/>
          <w:lang w:val="en-US" w:bidi="en-US"/>
        </w:rPr>
        <w:t>202</w:t>
      </w:r>
      <w:r w:rsidRPr="00B849DC">
        <w:rPr>
          <w:lang w:val="en-US" w:bidi="en-US"/>
        </w:rPr>
        <w:fldChar w:fldCharType="end"/>
      </w:r>
      <w:r w:rsidRPr="00B849DC">
        <w:rPr>
          <w:lang w:val="en-US" w:bidi="en-US"/>
        </w:rPr>
        <w:t>.  </w:t>
      </w:r>
      <w:r w:rsidRPr="00B849DC" w:rsidR="00C3206F">
        <w:rPr>
          <w:lang w:val="en-US" w:bidi="en-US"/>
        </w:rPr>
        <w:t>Lastly</w:t>
      </w:r>
      <w:r w:rsidRPr="00B849DC" w:rsidR="00ED1B39">
        <w:rPr>
          <w:lang w:val="en-US" w:bidi="en-US"/>
        </w:rPr>
        <w:t>, the Court is unable to accept the Government</w:t>
      </w:r>
      <w:r w:rsidRPr="00B849DC" w:rsidR="00B849DC">
        <w:rPr>
          <w:lang w:val="en-US" w:bidi="en-US"/>
        </w:rPr>
        <w:t>’</w:t>
      </w:r>
      <w:r w:rsidRPr="00B849DC" w:rsidR="00ED1B39">
        <w:rPr>
          <w:lang w:val="en-US" w:bidi="en-US"/>
        </w:rPr>
        <w:t xml:space="preserve">s general observation that municipal unitary enterprises perform purely commercial activities and </w:t>
      </w:r>
      <w:r w:rsidRPr="00B849DC" w:rsidR="002861FE">
        <w:rPr>
          <w:lang w:val="en-US" w:bidi="en-US"/>
        </w:rPr>
        <w:t>do not have any public function.</w:t>
      </w:r>
      <w:r w:rsidRPr="00B849DC" w:rsidR="00C3206F">
        <w:rPr>
          <w:lang w:val="en-US" w:bidi="en-US"/>
        </w:rPr>
        <w:t xml:space="preserve"> Indeed, this position </w:t>
      </w:r>
      <w:r w:rsidRPr="00B849DC" w:rsidR="007A3D55">
        <w:rPr>
          <w:lang w:val="en-US" w:bidi="en-US"/>
        </w:rPr>
        <w:t xml:space="preserve">is </w:t>
      </w:r>
      <w:r w:rsidRPr="00B849DC" w:rsidR="00C3206F">
        <w:rPr>
          <w:lang w:val="en-US" w:bidi="en-US"/>
        </w:rPr>
        <w:t xml:space="preserve">difficult to reconcile with the </w:t>
      </w:r>
      <w:r w:rsidRPr="00B849DC" w:rsidR="00ED1B39">
        <w:rPr>
          <w:lang w:val="en-US" w:bidi="en-US"/>
        </w:rPr>
        <w:t>Unitary Enterprises Act</w:t>
      </w:r>
      <w:r w:rsidRPr="00B849DC" w:rsidR="009D70D4">
        <w:rPr>
          <w:lang w:val="en-US" w:bidi="en-US"/>
        </w:rPr>
        <w:t>, which</w:t>
      </w:r>
      <w:r w:rsidRPr="00B849DC" w:rsidR="00ED1B39">
        <w:rPr>
          <w:lang w:val="en-US" w:bidi="en-US"/>
        </w:rPr>
        <w:t xml:space="preserve"> </w:t>
      </w:r>
      <w:r w:rsidRPr="00B849DC" w:rsidR="009D70D4">
        <w:rPr>
          <w:lang w:val="en-US" w:bidi="en-US"/>
        </w:rPr>
        <w:t xml:space="preserve">provides </w:t>
      </w:r>
      <w:r w:rsidRPr="00B849DC" w:rsidR="00ED1B39">
        <w:rPr>
          <w:lang w:val="en-US" w:bidi="en-US"/>
        </w:rPr>
        <w:t xml:space="preserve">for a list of cases where the unitary enterprises may be created, such as, for instance, the necessity to </w:t>
      </w:r>
      <w:r w:rsidRPr="00B849DC" w:rsidR="001F3EFA">
        <w:rPr>
          <w:lang w:val="en-US" w:bidi="en-US"/>
        </w:rPr>
        <w:t xml:space="preserve">carry out </w:t>
      </w:r>
      <w:r w:rsidRPr="00B849DC" w:rsidR="00ED1B39">
        <w:rPr>
          <w:lang w:val="en-US" w:bidi="en-US"/>
        </w:rPr>
        <w:t xml:space="preserve">“social tasks”, use of assets of restricted circulation or </w:t>
      </w:r>
      <w:r w:rsidRPr="00B849DC" w:rsidR="002D5C94">
        <w:rPr>
          <w:lang w:val="en-US" w:bidi="en-US"/>
        </w:rPr>
        <w:t>which cannot be</w:t>
      </w:r>
      <w:r w:rsidRPr="00B849DC" w:rsidR="00ED1B39">
        <w:rPr>
          <w:lang w:val="en-US" w:bidi="en-US"/>
        </w:rPr>
        <w:t xml:space="preserve"> </w:t>
      </w:r>
      <w:r w:rsidRPr="00B849DC" w:rsidR="002D5C94">
        <w:rPr>
          <w:lang w:val="en-US" w:bidi="en-US"/>
        </w:rPr>
        <w:t>privatised</w:t>
      </w:r>
      <w:r w:rsidRPr="00B849DC" w:rsidR="00ED1B39">
        <w:rPr>
          <w:lang w:val="en-US" w:bidi="en-US"/>
        </w:rPr>
        <w:t>, or the need to perform activities related to various aspects of State security (see paragraph </w:t>
      </w:r>
      <w:r w:rsidRPr="00B849DC" w:rsidR="005B2A57">
        <w:rPr>
          <w:lang w:val="en-US" w:bidi="en-US"/>
        </w:rPr>
        <w:t>56</w:t>
      </w:r>
      <w:r w:rsidRPr="00B849DC" w:rsidR="00ED1B39">
        <w:rPr>
          <w:lang w:val="en-US" w:bidi="en-US"/>
        </w:rPr>
        <w:t xml:space="preserve"> above). Although the purpose-related restrictions in setting up such </w:t>
      </w:r>
      <w:r w:rsidRPr="00B849DC" w:rsidR="002D5C94">
        <w:rPr>
          <w:lang w:val="en-US" w:bidi="en-US"/>
        </w:rPr>
        <w:t xml:space="preserve">companies </w:t>
      </w:r>
      <w:r w:rsidRPr="00B849DC" w:rsidR="00ED1B39">
        <w:rPr>
          <w:lang w:val="en-US" w:bidi="en-US"/>
        </w:rPr>
        <w:t xml:space="preserve">are not in themselves </w:t>
      </w:r>
      <w:r w:rsidRPr="00B849DC" w:rsidR="002D5C94">
        <w:rPr>
          <w:lang w:val="en-US" w:bidi="en-US"/>
        </w:rPr>
        <w:t xml:space="preserve">a </w:t>
      </w:r>
      <w:r w:rsidRPr="00B849DC" w:rsidR="00ED1B39">
        <w:rPr>
          <w:lang w:val="en-US" w:bidi="en-US"/>
        </w:rPr>
        <w:t xml:space="preserve">sufficient </w:t>
      </w:r>
      <w:r w:rsidRPr="00B849DC" w:rsidR="002D5C94">
        <w:rPr>
          <w:lang w:val="en-US" w:bidi="en-US"/>
        </w:rPr>
        <w:t xml:space="preserve">basis on which </w:t>
      </w:r>
      <w:r w:rsidRPr="00B849DC" w:rsidR="00ED1B39">
        <w:rPr>
          <w:lang w:val="en-US" w:bidi="en-US"/>
        </w:rPr>
        <w:t xml:space="preserve">to decide on the issue of </w:t>
      </w:r>
      <w:r w:rsidRPr="00B849DC" w:rsidR="002D5C94">
        <w:rPr>
          <w:lang w:val="en-US" w:bidi="en-US"/>
        </w:rPr>
        <w:t xml:space="preserve">those </w:t>
      </w:r>
      <w:r w:rsidRPr="00B849DC" w:rsidR="00ED1B39">
        <w:rPr>
          <w:lang w:val="en-US" w:bidi="en-US"/>
        </w:rPr>
        <w:t>companies</w:t>
      </w:r>
      <w:r w:rsidRPr="00B849DC" w:rsidR="00B849DC">
        <w:rPr>
          <w:lang w:val="en-US" w:bidi="en-US"/>
        </w:rPr>
        <w:t>’</w:t>
      </w:r>
      <w:r w:rsidRPr="00B849DC" w:rsidR="00ED1B39">
        <w:rPr>
          <w:lang w:val="en-US" w:bidi="en-US"/>
        </w:rPr>
        <w:t xml:space="preserve"> independence from the State, the Court cannot overlook </w:t>
      </w:r>
      <w:r w:rsidRPr="00B849DC" w:rsidR="002D5C94">
        <w:rPr>
          <w:lang w:val="en-US" w:bidi="en-US"/>
        </w:rPr>
        <w:t xml:space="preserve">the fact </w:t>
      </w:r>
      <w:r w:rsidRPr="00B849DC" w:rsidR="00ED1B39">
        <w:rPr>
          <w:lang w:val="en-US" w:bidi="en-US"/>
        </w:rPr>
        <w:t xml:space="preserve">that, at least in principle, such companies are supposed to be set up in </w:t>
      </w:r>
      <w:r w:rsidRPr="00B849DC" w:rsidR="002D5C94">
        <w:rPr>
          <w:lang w:val="en-US" w:bidi="en-US"/>
        </w:rPr>
        <w:t>areas</w:t>
      </w:r>
      <w:r w:rsidRPr="00B849DC" w:rsidR="00ED1B39">
        <w:rPr>
          <w:lang w:val="en-US" w:bidi="en-US"/>
        </w:rPr>
        <w:t xml:space="preserve"> of </w:t>
      </w:r>
      <w:r w:rsidRPr="00B849DC" w:rsidR="002D5C94">
        <w:rPr>
          <w:lang w:val="en-US" w:bidi="en-US"/>
        </w:rPr>
        <w:t xml:space="preserve">a </w:t>
      </w:r>
      <w:r w:rsidRPr="00B849DC" w:rsidR="0015251A">
        <w:rPr>
          <w:lang w:val="en-US" w:bidi="en-US"/>
        </w:rPr>
        <w:t xml:space="preserve">certain </w:t>
      </w:r>
      <w:r w:rsidRPr="00B849DC" w:rsidR="00ED1B39">
        <w:rPr>
          <w:lang w:val="en-US" w:bidi="en-US"/>
        </w:rPr>
        <w:t xml:space="preserve">public importance. </w:t>
      </w:r>
      <w:r w:rsidRPr="00B849DC" w:rsidR="007A3D55">
        <w:rPr>
          <w:lang w:val="en-US" w:bidi="en-US"/>
        </w:rPr>
        <w:t>The</w:t>
      </w:r>
      <w:r w:rsidRPr="00B849DC" w:rsidR="00B92923">
        <w:rPr>
          <w:lang w:val="en-US" w:bidi="en-US"/>
        </w:rPr>
        <w:t xml:space="preserve"> Court </w:t>
      </w:r>
      <w:r w:rsidRPr="00B849DC" w:rsidR="007A3D55">
        <w:rPr>
          <w:lang w:val="en-US" w:bidi="en-US"/>
        </w:rPr>
        <w:t xml:space="preserve">further </w:t>
      </w:r>
      <w:r w:rsidRPr="00B849DC" w:rsidR="00237541">
        <w:rPr>
          <w:lang w:val="en-US" w:bidi="en-US"/>
        </w:rPr>
        <w:t xml:space="preserve">notes </w:t>
      </w:r>
      <w:r w:rsidRPr="00B849DC" w:rsidR="00B92923">
        <w:rPr>
          <w:lang w:val="en-US" w:bidi="en-US"/>
        </w:rPr>
        <w:t xml:space="preserve">that </w:t>
      </w:r>
      <w:r w:rsidRPr="00B849DC" w:rsidR="002D5C94">
        <w:rPr>
          <w:lang w:val="en-US" w:bidi="en-US"/>
        </w:rPr>
        <w:t xml:space="preserve">in the </w:t>
      </w:r>
      <w:r w:rsidRPr="00B849DC" w:rsidR="00B92923">
        <w:rPr>
          <w:lang w:val="en-US" w:bidi="en-US"/>
        </w:rPr>
        <w:t xml:space="preserve">late 1990s the Government adopted </w:t>
      </w:r>
      <w:r w:rsidRPr="00B849DC" w:rsidR="002D5C94">
        <w:rPr>
          <w:lang w:val="en-US" w:bidi="en-US"/>
        </w:rPr>
        <w:t xml:space="preserve">a </w:t>
      </w:r>
      <w:r w:rsidRPr="00B849DC" w:rsidR="00B92923">
        <w:rPr>
          <w:lang w:val="en-US" w:bidi="en-US"/>
        </w:rPr>
        <w:t xml:space="preserve">policy </w:t>
      </w:r>
      <w:r w:rsidRPr="00B849DC" w:rsidR="002D5C94">
        <w:rPr>
          <w:lang w:val="en-US" w:bidi="en-US"/>
        </w:rPr>
        <w:t>aimed at</w:t>
      </w:r>
      <w:r w:rsidRPr="00B849DC" w:rsidR="00B92923">
        <w:rPr>
          <w:lang w:val="en-US" w:bidi="en-US"/>
        </w:rPr>
        <w:t xml:space="preserve"> </w:t>
      </w:r>
      <w:r w:rsidRPr="00B849DC" w:rsidR="00634ADB">
        <w:rPr>
          <w:lang w:val="en-US" w:bidi="en-US"/>
        </w:rPr>
        <w:t>reducing</w:t>
      </w:r>
      <w:r w:rsidRPr="00B849DC" w:rsidR="00B92923">
        <w:rPr>
          <w:lang w:val="en-US" w:bidi="en-US"/>
        </w:rPr>
        <w:t xml:space="preserve"> the number of the unitary enterprises, so that the </w:t>
      </w:r>
      <w:r w:rsidRPr="00B849DC" w:rsidR="00C3206F">
        <w:rPr>
          <w:lang w:val="en-US" w:bidi="en-US"/>
        </w:rPr>
        <w:t xml:space="preserve">legal </w:t>
      </w:r>
      <w:r w:rsidRPr="00B849DC" w:rsidR="00B92923">
        <w:rPr>
          <w:lang w:val="en-US" w:bidi="en-US"/>
        </w:rPr>
        <w:t>form</w:t>
      </w:r>
      <w:r w:rsidRPr="00B849DC" w:rsidR="00E46089">
        <w:rPr>
          <w:lang w:val="en-US" w:bidi="en-US"/>
        </w:rPr>
        <w:t xml:space="preserve"> in question</w:t>
      </w:r>
      <w:r w:rsidRPr="00B849DC" w:rsidR="00B92923">
        <w:rPr>
          <w:lang w:val="en-US" w:bidi="en-US"/>
        </w:rPr>
        <w:t xml:space="preserve"> </w:t>
      </w:r>
      <w:r w:rsidRPr="00B849DC" w:rsidR="002D5C94">
        <w:rPr>
          <w:lang w:val="en-US" w:bidi="en-US"/>
        </w:rPr>
        <w:t xml:space="preserve">would </w:t>
      </w:r>
      <w:r w:rsidRPr="00B849DC" w:rsidR="007A3D55">
        <w:rPr>
          <w:lang w:val="en-US" w:bidi="en-US"/>
        </w:rPr>
        <w:t>be</w:t>
      </w:r>
      <w:r w:rsidRPr="00B849DC" w:rsidR="00B92923">
        <w:rPr>
          <w:lang w:val="en-US" w:bidi="en-US"/>
        </w:rPr>
        <w:t xml:space="preserve"> </w:t>
      </w:r>
      <w:r w:rsidRPr="00B849DC" w:rsidR="00D62FD7">
        <w:rPr>
          <w:lang w:val="en-US" w:bidi="en-US"/>
        </w:rPr>
        <w:t>reserved only</w:t>
      </w:r>
      <w:r w:rsidRPr="00B849DC" w:rsidR="00B92923">
        <w:rPr>
          <w:lang w:val="en-US" w:bidi="en-US"/>
        </w:rPr>
        <w:t xml:space="preserve"> for State companies </w:t>
      </w:r>
      <w:r w:rsidRPr="00B849DC" w:rsidR="002D5C94">
        <w:rPr>
          <w:lang w:val="en-US" w:bidi="en-US"/>
        </w:rPr>
        <w:t xml:space="preserve">operating </w:t>
      </w:r>
      <w:r w:rsidRPr="00B849DC" w:rsidR="00634ADB">
        <w:rPr>
          <w:lang w:val="en-US" w:bidi="en-US"/>
        </w:rPr>
        <w:t>in spheres of particular importance for the economy</w:t>
      </w:r>
      <w:r w:rsidRPr="00B849DC" w:rsidR="00C3206F">
        <w:rPr>
          <w:lang w:val="en-US" w:bidi="en-US"/>
        </w:rPr>
        <w:t xml:space="preserve"> </w:t>
      </w:r>
      <w:r w:rsidRPr="00B849DC" w:rsidR="00B92923">
        <w:rPr>
          <w:lang w:val="en-US" w:bidi="en-US"/>
        </w:rPr>
        <w:t xml:space="preserve">(see </w:t>
      </w:r>
      <w:r w:rsidRPr="00B849DC" w:rsidR="00634ADB">
        <w:rPr>
          <w:lang w:val="en-US" w:bidi="en-US"/>
        </w:rPr>
        <w:t>paragraphs</w:t>
      </w:r>
      <w:r w:rsidRPr="00B849DC" w:rsidR="00B92923">
        <w:rPr>
          <w:lang w:val="en-US" w:bidi="en-US"/>
        </w:rPr>
        <w:t> </w:t>
      </w:r>
      <w:r w:rsidRPr="00B849DC" w:rsidR="00634ADB">
        <w:rPr>
          <w:lang w:val="en-US" w:bidi="en-US"/>
        </w:rPr>
        <w:t>1</w:t>
      </w:r>
      <w:r w:rsidRPr="00B849DC" w:rsidR="005B2A57">
        <w:rPr>
          <w:lang w:val="en-US" w:bidi="en-US"/>
        </w:rPr>
        <w:t>2</w:t>
      </w:r>
      <w:r w:rsidRPr="00B849DC" w:rsidR="00FD7577">
        <w:rPr>
          <w:lang w:val="en-US" w:bidi="en-US"/>
        </w:rPr>
        <w:t>7</w:t>
      </w:r>
      <w:r w:rsidRPr="00B849DC" w:rsidR="00634ADB">
        <w:rPr>
          <w:lang w:val="en-US" w:bidi="en-US"/>
        </w:rPr>
        <w:t xml:space="preserve"> </w:t>
      </w:r>
      <w:r w:rsidRPr="00B849DC" w:rsidR="00B92923">
        <w:rPr>
          <w:lang w:val="en-US" w:bidi="en-US"/>
        </w:rPr>
        <w:t xml:space="preserve">and </w:t>
      </w:r>
      <w:r w:rsidRPr="00B849DC" w:rsidR="005B2A57">
        <w:rPr>
          <w:lang w:val="en-US" w:bidi="en-US"/>
        </w:rPr>
        <w:t>12</w:t>
      </w:r>
      <w:r w:rsidRPr="00B849DC" w:rsidR="00FD7577">
        <w:rPr>
          <w:lang w:val="en-US" w:bidi="en-US"/>
        </w:rPr>
        <w:t>8</w:t>
      </w:r>
      <w:r w:rsidRPr="00B849DC" w:rsidR="00B92923">
        <w:rPr>
          <w:lang w:val="en-US" w:bidi="en-US"/>
        </w:rPr>
        <w:t xml:space="preserve"> above).</w:t>
      </w:r>
    </w:p>
    <w:p w:rsidRPr="00B849DC" w:rsidR="00CA087B" w:rsidP="00B849DC" w:rsidRDefault="00B075F4">
      <w:pPr>
        <w:pStyle w:val="ECHRPara"/>
        <w:rPr>
          <w:lang w:val="en-US" w:bidi="en-US"/>
        </w:rPr>
      </w:pPr>
      <w:r w:rsidRPr="00B849DC">
        <w:rPr>
          <w:lang w:val="en-US" w:bidi="en-US"/>
        </w:rPr>
        <w:fldChar w:fldCharType="begin"/>
      </w:r>
      <w:r w:rsidRPr="00B849DC">
        <w:rPr>
          <w:lang w:val="en-US" w:bidi="en-US"/>
        </w:rPr>
        <w:instrText xml:space="preserve"> SEQ level0 \*arabic </w:instrText>
      </w:r>
      <w:r w:rsidRPr="00B849DC">
        <w:rPr>
          <w:lang w:val="en-US" w:bidi="en-US"/>
        </w:rPr>
        <w:fldChar w:fldCharType="separate"/>
      </w:r>
      <w:r w:rsidRPr="00B849DC" w:rsidR="00B849DC">
        <w:rPr>
          <w:noProof/>
          <w:lang w:val="en-US" w:bidi="en-US"/>
        </w:rPr>
        <w:t>203</w:t>
      </w:r>
      <w:r w:rsidRPr="00B849DC">
        <w:rPr>
          <w:lang w:val="en-US" w:bidi="en-US"/>
        </w:rPr>
        <w:fldChar w:fldCharType="end"/>
      </w:r>
      <w:r w:rsidRPr="00B849DC">
        <w:rPr>
          <w:lang w:val="en-US" w:bidi="en-US"/>
        </w:rPr>
        <w:t>.  </w:t>
      </w:r>
      <w:r w:rsidRPr="00B849DC" w:rsidR="00B92923">
        <w:rPr>
          <w:lang w:val="en-US" w:bidi="en-US"/>
        </w:rPr>
        <w:t>In practice</w:t>
      </w:r>
      <w:r w:rsidRPr="00B849DC" w:rsidR="00ED1B39">
        <w:rPr>
          <w:lang w:val="en-GB"/>
        </w:rPr>
        <w:t>, t</w:t>
      </w:r>
      <w:r w:rsidRPr="00B849DC" w:rsidR="00ED1B39">
        <w:rPr>
          <w:lang w:val="en-US" w:bidi="en-US"/>
        </w:rPr>
        <w:t xml:space="preserve">he Court observes that the purposes the unitary enterprises are set up for and their statutory activities vary considerably from domain to domain. </w:t>
      </w:r>
      <w:r w:rsidRPr="00B849DC" w:rsidR="0009428B">
        <w:rPr>
          <w:lang w:val="en-US" w:bidi="en-US"/>
        </w:rPr>
        <w:t>On</w:t>
      </w:r>
      <w:r w:rsidRPr="00B849DC" w:rsidR="00B92923">
        <w:rPr>
          <w:lang w:val="en-US" w:bidi="en-US"/>
        </w:rPr>
        <w:t xml:space="preserve"> the one hand, </w:t>
      </w:r>
      <w:r w:rsidRPr="00B849DC" w:rsidR="0009428B">
        <w:rPr>
          <w:lang w:val="en-US" w:bidi="en-US"/>
        </w:rPr>
        <w:t>such</w:t>
      </w:r>
      <w:r w:rsidRPr="00B849DC" w:rsidR="00634ADB">
        <w:rPr>
          <w:lang w:val="en-US" w:bidi="en-US"/>
        </w:rPr>
        <w:t xml:space="preserve"> enterprises may operate</w:t>
      </w:r>
      <w:r w:rsidRPr="00B849DC" w:rsidR="0044733C">
        <w:rPr>
          <w:lang w:val="en-US" w:bidi="en-US"/>
        </w:rPr>
        <w:t>, for instance,</w:t>
      </w:r>
      <w:r w:rsidRPr="00B849DC" w:rsidR="00634ADB">
        <w:rPr>
          <w:lang w:val="en-US" w:bidi="en-US"/>
        </w:rPr>
        <w:t xml:space="preserve"> in the hotel industry (see paragraph </w:t>
      </w:r>
      <w:r w:rsidRPr="00B849DC" w:rsidR="005B2A57">
        <w:rPr>
          <w:lang w:val="en-US" w:bidi="en-US"/>
        </w:rPr>
        <w:t>8</w:t>
      </w:r>
      <w:r w:rsidRPr="00B849DC" w:rsidR="00EE2F26">
        <w:rPr>
          <w:lang w:val="en-US" w:bidi="en-US"/>
        </w:rPr>
        <w:t>0</w:t>
      </w:r>
      <w:r w:rsidRPr="00B849DC" w:rsidR="00634ADB">
        <w:rPr>
          <w:lang w:val="en-US" w:bidi="en-US"/>
        </w:rPr>
        <w:t xml:space="preserve"> above)</w:t>
      </w:r>
      <w:r w:rsidRPr="00B849DC" w:rsidR="00131A9F">
        <w:rPr>
          <w:lang w:val="en-US" w:bidi="en-US"/>
        </w:rPr>
        <w:t xml:space="preserve"> – and s</w:t>
      </w:r>
      <w:r w:rsidRPr="00B849DC" w:rsidR="0009428B">
        <w:rPr>
          <w:lang w:val="en-US" w:bidi="en-US"/>
        </w:rPr>
        <w:t xml:space="preserve">uch activity, </w:t>
      </w:r>
      <w:r w:rsidRPr="00B849DC" w:rsidR="00296849">
        <w:rPr>
          <w:lang w:val="en-US" w:bidi="en-US"/>
        </w:rPr>
        <w:t>in the absence of further information, can hardly be qualified as a “</w:t>
      </w:r>
      <w:r w:rsidRPr="00B849DC" w:rsidR="00296849">
        <w:rPr>
          <w:color w:val="000000"/>
          <w:lang w:val="en-US"/>
        </w:rPr>
        <w:t>specific public duty” (</w:t>
      </w:r>
      <w:r w:rsidRPr="00B849DC" w:rsidR="007A655E">
        <w:rPr>
          <w:color w:val="000000"/>
          <w:lang w:val="en-US"/>
        </w:rPr>
        <w:t>compare</w:t>
      </w:r>
      <w:r w:rsidRPr="00B849DC" w:rsidR="00296849">
        <w:rPr>
          <w:color w:val="000000"/>
          <w:lang w:val="en-US"/>
        </w:rPr>
        <w:t xml:space="preserve">, in so far as relevant, </w:t>
      </w:r>
      <w:r w:rsidRPr="00B849DC" w:rsidR="00296849">
        <w:rPr>
          <w:i/>
          <w:iCs/>
          <w:lang w:val="en-US"/>
        </w:rPr>
        <w:t>Radio France and Others</w:t>
      </w:r>
      <w:r w:rsidRPr="00B849DC" w:rsidR="00296849">
        <w:rPr>
          <w:lang w:val="en-US"/>
        </w:rPr>
        <w:t>, cited above)</w:t>
      </w:r>
      <w:r w:rsidRPr="00B849DC" w:rsidR="00634ADB">
        <w:rPr>
          <w:lang w:val="en-US" w:bidi="en-US"/>
        </w:rPr>
        <w:t xml:space="preserve">. On the other hand, </w:t>
      </w:r>
      <w:r w:rsidRPr="00B849DC" w:rsidR="00B92923">
        <w:rPr>
          <w:lang w:val="en-US" w:bidi="en-US"/>
        </w:rPr>
        <w:t xml:space="preserve">municipal unitary enterprises may </w:t>
      </w:r>
      <w:r w:rsidRPr="00B849DC" w:rsidR="00404CDF">
        <w:rPr>
          <w:lang w:val="en-US" w:bidi="en-US"/>
        </w:rPr>
        <w:t xml:space="preserve">also </w:t>
      </w:r>
      <w:r w:rsidRPr="00B849DC" w:rsidR="00B92923">
        <w:rPr>
          <w:lang w:val="en-US" w:bidi="en-US"/>
        </w:rPr>
        <w:t xml:space="preserve">be responsible for </w:t>
      </w:r>
      <w:r w:rsidRPr="00B849DC" w:rsidR="002D5C94">
        <w:rPr>
          <w:lang w:val="en-US" w:bidi="en-US"/>
        </w:rPr>
        <w:t xml:space="preserve">the </w:t>
      </w:r>
      <w:r w:rsidRPr="00B849DC" w:rsidR="00B92923">
        <w:rPr>
          <w:lang w:val="en-US" w:bidi="en-US"/>
        </w:rPr>
        <w:t xml:space="preserve">heating </w:t>
      </w:r>
      <w:r w:rsidRPr="00B849DC" w:rsidR="007A655E">
        <w:rPr>
          <w:lang w:val="en-US" w:bidi="en-US"/>
        </w:rPr>
        <w:t xml:space="preserve">or water </w:t>
      </w:r>
      <w:r w:rsidRPr="00B849DC" w:rsidR="00B92923">
        <w:rPr>
          <w:lang w:val="en-US" w:bidi="en-US"/>
        </w:rPr>
        <w:t xml:space="preserve">supply in certain </w:t>
      </w:r>
      <w:r w:rsidRPr="00B849DC" w:rsidR="007A655E">
        <w:rPr>
          <w:lang w:val="en-US" w:bidi="en-US"/>
        </w:rPr>
        <w:t>areas</w:t>
      </w:r>
      <w:r w:rsidRPr="00B849DC" w:rsidR="00B92923">
        <w:rPr>
          <w:lang w:val="en-US" w:bidi="en-US"/>
        </w:rPr>
        <w:t xml:space="preserve">, as in </w:t>
      </w:r>
      <w:r w:rsidRPr="00B849DC" w:rsidR="00B92923">
        <w:rPr>
          <w:i/>
          <w:lang w:val="en-US" w:bidi="en-US"/>
        </w:rPr>
        <w:t>Maslov</w:t>
      </w:r>
      <w:r w:rsidRPr="00B849DC" w:rsidR="00B92923">
        <w:rPr>
          <w:lang w:val="en-US" w:bidi="en-US"/>
        </w:rPr>
        <w:t xml:space="preserve"> (see paragraph </w:t>
      </w:r>
      <w:r w:rsidRPr="00B849DC" w:rsidR="00296849">
        <w:rPr>
          <w:lang w:val="en-US" w:bidi="en-US"/>
        </w:rPr>
        <w:t>2</w:t>
      </w:r>
      <w:r w:rsidRPr="00B849DC" w:rsidR="005521A1">
        <w:rPr>
          <w:lang w:val="en-US" w:bidi="en-US"/>
        </w:rPr>
        <w:t>9</w:t>
      </w:r>
      <w:r w:rsidRPr="00B849DC" w:rsidR="00296849">
        <w:rPr>
          <w:lang w:val="en-US" w:bidi="en-US"/>
        </w:rPr>
        <w:t xml:space="preserve"> </w:t>
      </w:r>
      <w:r w:rsidRPr="00B849DC" w:rsidR="00B92923">
        <w:rPr>
          <w:lang w:val="en-US" w:bidi="en-US"/>
        </w:rPr>
        <w:t xml:space="preserve">above; see </w:t>
      </w:r>
      <w:r w:rsidRPr="00B849DC" w:rsidR="002D5C94">
        <w:rPr>
          <w:lang w:val="en-US" w:bidi="en-US"/>
        </w:rPr>
        <w:t xml:space="preserve">also </w:t>
      </w:r>
      <w:r w:rsidRPr="00B849DC" w:rsidR="00296849">
        <w:rPr>
          <w:i/>
          <w:lang w:val="en-US" w:bidi="en-US"/>
        </w:rPr>
        <w:t>Yershova</w:t>
      </w:r>
      <w:r w:rsidRPr="00B849DC" w:rsidR="00296849">
        <w:rPr>
          <w:lang w:val="en-US" w:bidi="en-US"/>
        </w:rPr>
        <w:t xml:space="preserve">, cited above, § 6; and </w:t>
      </w:r>
      <w:r w:rsidRPr="00B849DC" w:rsidR="00B92923">
        <w:rPr>
          <w:lang w:val="en-US" w:bidi="en-US"/>
        </w:rPr>
        <w:t>the domestic c</w:t>
      </w:r>
      <w:r w:rsidRPr="00B849DC" w:rsidR="00296849">
        <w:rPr>
          <w:lang w:val="en-US" w:bidi="en-US"/>
        </w:rPr>
        <w:t>ase-law cited in paragraph</w:t>
      </w:r>
      <w:r w:rsidRPr="00B849DC" w:rsidR="005521A1">
        <w:rPr>
          <w:lang w:val="en-US" w:bidi="en-US"/>
        </w:rPr>
        <w:t>s</w:t>
      </w:r>
      <w:r w:rsidRPr="00B849DC" w:rsidR="00296849">
        <w:rPr>
          <w:lang w:val="en-US" w:bidi="en-US"/>
        </w:rPr>
        <w:t> </w:t>
      </w:r>
      <w:r w:rsidRPr="00B849DC" w:rsidR="005B2A57">
        <w:rPr>
          <w:lang w:val="en-US" w:bidi="en-US"/>
        </w:rPr>
        <w:t>8</w:t>
      </w:r>
      <w:r w:rsidRPr="00B849DC" w:rsidR="00B427CD">
        <w:rPr>
          <w:lang w:val="en-US" w:bidi="en-US"/>
        </w:rPr>
        <w:t>1-8</w:t>
      </w:r>
      <w:r w:rsidRPr="00B849DC" w:rsidR="005B2A57">
        <w:rPr>
          <w:lang w:val="en-US" w:bidi="en-US"/>
        </w:rPr>
        <w:t>2</w:t>
      </w:r>
      <w:r w:rsidRPr="00B849DC" w:rsidR="005521A1">
        <w:rPr>
          <w:lang w:val="en-US" w:bidi="en-US"/>
        </w:rPr>
        <w:t xml:space="preserve"> and </w:t>
      </w:r>
      <w:r w:rsidRPr="00B849DC" w:rsidR="005B2A57">
        <w:rPr>
          <w:lang w:val="en-US" w:bidi="en-US"/>
        </w:rPr>
        <w:t>11</w:t>
      </w:r>
      <w:r w:rsidRPr="00B849DC" w:rsidR="00FD7577">
        <w:rPr>
          <w:lang w:val="en-US" w:bidi="en-US"/>
        </w:rPr>
        <w:t>1</w:t>
      </w:r>
      <w:r w:rsidRPr="00B849DC" w:rsidR="00B427CD">
        <w:rPr>
          <w:lang w:val="en-US" w:bidi="en-US"/>
        </w:rPr>
        <w:t xml:space="preserve"> above</w:t>
      </w:r>
      <w:r w:rsidRPr="00B849DC" w:rsidR="007A655E">
        <w:rPr>
          <w:lang w:val="en-US" w:bidi="en-US"/>
        </w:rPr>
        <w:t>)</w:t>
      </w:r>
      <w:r w:rsidRPr="00B849DC" w:rsidR="004E42E0">
        <w:rPr>
          <w:lang w:val="en-US" w:bidi="en-US"/>
        </w:rPr>
        <w:t xml:space="preserve"> or</w:t>
      </w:r>
      <w:r w:rsidRPr="00B849DC" w:rsidR="002D5C94">
        <w:rPr>
          <w:lang w:val="en-US" w:bidi="en-US"/>
        </w:rPr>
        <w:t xml:space="preserve"> may</w:t>
      </w:r>
      <w:r w:rsidRPr="00B849DC" w:rsidR="00404CDF">
        <w:rPr>
          <w:lang w:val="en-US" w:bidi="en-US"/>
        </w:rPr>
        <w:t>, for instance,</w:t>
      </w:r>
      <w:r w:rsidRPr="00B849DC" w:rsidR="004E42E0">
        <w:rPr>
          <w:lang w:val="en-US" w:bidi="en-US"/>
        </w:rPr>
        <w:t xml:space="preserve"> ensure provision of housing and </w:t>
      </w:r>
      <w:r w:rsidRPr="00B849DC" w:rsidR="00B427CD">
        <w:rPr>
          <w:lang w:val="en-US" w:bidi="en-US"/>
        </w:rPr>
        <w:t xml:space="preserve">communal </w:t>
      </w:r>
      <w:r w:rsidRPr="00B849DC" w:rsidR="004E42E0">
        <w:rPr>
          <w:lang w:val="en-US" w:bidi="en-US"/>
        </w:rPr>
        <w:t xml:space="preserve">services in </w:t>
      </w:r>
      <w:r w:rsidRPr="00B849DC" w:rsidR="005521A1">
        <w:rPr>
          <w:lang w:val="en-US" w:bidi="en-US"/>
        </w:rPr>
        <w:t>a</w:t>
      </w:r>
      <w:r w:rsidRPr="00B849DC" w:rsidR="004E42E0">
        <w:rPr>
          <w:lang w:val="en-US" w:bidi="en-US"/>
        </w:rPr>
        <w:t xml:space="preserve"> town. </w:t>
      </w:r>
      <w:r w:rsidRPr="00B849DC" w:rsidR="00747460">
        <w:rPr>
          <w:lang w:val="en-US" w:bidi="en-US"/>
        </w:rPr>
        <w:t>In such cases, the companies</w:t>
      </w:r>
      <w:r w:rsidRPr="00B849DC" w:rsidR="00B849DC">
        <w:rPr>
          <w:lang w:val="en-US" w:bidi="en-US"/>
        </w:rPr>
        <w:t>’</w:t>
      </w:r>
      <w:r w:rsidRPr="00B849DC" w:rsidR="00747460">
        <w:rPr>
          <w:lang w:val="en-US" w:bidi="en-US"/>
        </w:rPr>
        <w:t xml:space="preserve"> institutional links with the public administration are particularly strengthened by the special nature of their activities, since they provide public services of vital importance to the population</w:t>
      </w:r>
      <w:r w:rsidRPr="00B849DC">
        <w:rPr>
          <w:lang w:val="en-US" w:bidi="en-US"/>
        </w:rPr>
        <w:t xml:space="preserve"> (see </w:t>
      </w:r>
      <w:r w:rsidRPr="00B849DC">
        <w:rPr>
          <w:i/>
          <w:lang w:val="en-US" w:bidi="en-US"/>
        </w:rPr>
        <w:t>Yershova</w:t>
      </w:r>
      <w:r w:rsidRPr="00B849DC">
        <w:rPr>
          <w:lang w:val="en-US" w:bidi="en-US"/>
        </w:rPr>
        <w:t>, cited above, § 58)</w:t>
      </w:r>
      <w:r w:rsidRPr="00B849DC" w:rsidR="00747460">
        <w:rPr>
          <w:lang w:val="en-US" w:bidi="en-US"/>
        </w:rPr>
        <w:t xml:space="preserve">. </w:t>
      </w:r>
      <w:r w:rsidRPr="00B849DC" w:rsidR="00ED3A9C">
        <w:rPr>
          <w:lang w:val="en-US" w:bidi="en-US"/>
        </w:rPr>
        <w:t>The</w:t>
      </w:r>
      <w:r w:rsidRPr="00B849DC" w:rsidR="00747460">
        <w:rPr>
          <w:lang w:val="en-US" w:bidi="en-US"/>
        </w:rPr>
        <w:t xml:space="preserve"> assets allocated for </w:t>
      </w:r>
      <w:r w:rsidRPr="00B849DC" w:rsidR="002D5C94">
        <w:rPr>
          <w:lang w:val="en-US" w:bidi="en-US"/>
        </w:rPr>
        <w:t>such</w:t>
      </w:r>
      <w:r w:rsidRPr="00B849DC" w:rsidR="00747460">
        <w:rPr>
          <w:lang w:val="en-US" w:bidi="en-US"/>
        </w:rPr>
        <w:t xml:space="preserve"> purposes </w:t>
      </w:r>
      <w:r w:rsidRPr="00B849DC" w:rsidR="00D62FD7">
        <w:rPr>
          <w:lang w:val="en-US" w:bidi="en-US"/>
        </w:rPr>
        <w:t xml:space="preserve">accordingly </w:t>
      </w:r>
      <w:r w:rsidRPr="00B849DC" w:rsidR="00747460">
        <w:rPr>
          <w:lang w:val="en-US" w:bidi="en-US"/>
        </w:rPr>
        <w:t>enjoy special status under the domestic law</w:t>
      </w:r>
      <w:r w:rsidRPr="00B849DC" w:rsidR="00634ADB">
        <w:rPr>
          <w:lang w:val="en-US" w:bidi="en-US"/>
        </w:rPr>
        <w:t xml:space="preserve"> (see paragraph </w:t>
      </w:r>
      <w:r w:rsidRPr="00B849DC" w:rsidR="007505CF">
        <w:rPr>
          <w:lang w:val="en-US" w:bidi="en-US"/>
        </w:rPr>
        <w:t>125</w:t>
      </w:r>
      <w:r w:rsidRPr="00B849DC" w:rsidR="00634ADB">
        <w:rPr>
          <w:lang w:val="en-US" w:bidi="en-US"/>
        </w:rPr>
        <w:t xml:space="preserve"> above)</w:t>
      </w:r>
      <w:r w:rsidRPr="00B849DC" w:rsidR="00747460">
        <w:rPr>
          <w:lang w:val="en-US" w:bidi="en-US"/>
        </w:rPr>
        <w:t>.</w:t>
      </w:r>
      <w:r w:rsidRPr="00B849DC">
        <w:rPr>
          <w:lang w:val="en-US" w:bidi="en-US"/>
        </w:rPr>
        <w:t xml:space="preserve"> </w:t>
      </w:r>
      <w:r w:rsidRPr="00B849DC" w:rsidR="0015251A">
        <w:rPr>
          <w:lang w:val="en-US" w:bidi="en-US"/>
        </w:rPr>
        <w:t>Certain services</w:t>
      </w:r>
      <w:r w:rsidRPr="00B849DC" w:rsidR="00ED3A9C">
        <w:rPr>
          <w:lang w:val="en-US" w:bidi="en-US"/>
        </w:rPr>
        <w:t xml:space="preserve"> </w:t>
      </w:r>
      <w:r w:rsidRPr="00B849DC" w:rsidR="005E5568">
        <w:rPr>
          <w:lang w:val="en-US" w:bidi="en-US"/>
        </w:rPr>
        <w:t>provided by such companies</w:t>
      </w:r>
      <w:r w:rsidRPr="00B849DC" w:rsidR="00ED3A9C">
        <w:rPr>
          <w:lang w:val="en-US" w:bidi="en-US"/>
        </w:rPr>
        <w:t xml:space="preserve"> are subject to </w:t>
      </w:r>
      <w:r w:rsidRPr="00B849DC" w:rsidR="002D5C94">
        <w:rPr>
          <w:lang w:val="en-US" w:bidi="en-US"/>
        </w:rPr>
        <w:t xml:space="preserve">the </w:t>
      </w:r>
      <w:r w:rsidRPr="00B849DC" w:rsidR="00ED3A9C">
        <w:rPr>
          <w:lang w:val="en-US" w:bidi="en-US"/>
        </w:rPr>
        <w:t xml:space="preserve">application of tariffs </w:t>
      </w:r>
      <w:r w:rsidRPr="00B849DC" w:rsidR="002D5C94">
        <w:rPr>
          <w:lang w:val="en-US" w:bidi="en-US"/>
        </w:rPr>
        <w:t xml:space="preserve">set </w:t>
      </w:r>
      <w:r w:rsidRPr="00B849DC" w:rsidR="00ED3A9C">
        <w:rPr>
          <w:lang w:val="en-US" w:bidi="en-US"/>
        </w:rPr>
        <w:t>by the owner (see paragraph </w:t>
      </w:r>
      <w:r w:rsidRPr="00B849DC" w:rsidR="005521A1">
        <w:rPr>
          <w:lang w:val="en-US" w:bidi="en-US"/>
        </w:rPr>
        <w:t>33</w:t>
      </w:r>
      <w:r w:rsidRPr="00B849DC" w:rsidR="00ED3A9C">
        <w:rPr>
          <w:lang w:val="en-US" w:bidi="en-US"/>
        </w:rPr>
        <w:t xml:space="preserve"> above). </w:t>
      </w:r>
      <w:r w:rsidRPr="00B849DC">
        <w:rPr>
          <w:lang w:val="en-US" w:bidi="en-US"/>
        </w:rPr>
        <w:t xml:space="preserve">The Court is </w:t>
      </w:r>
      <w:r w:rsidRPr="00B849DC" w:rsidR="002D5C94">
        <w:rPr>
          <w:lang w:val="en-US" w:bidi="en-US"/>
        </w:rPr>
        <w:t xml:space="preserve">therefore </w:t>
      </w:r>
      <w:r w:rsidRPr="00B849DC">
        <w:rPr>
          <w:lang w:val="en-US" w:bidi="en-US"/>
        </w:rPr>
        <w:t xml:space="preserve">bound to conclude that the degree of </w:t>
      </w:r>
      <w:r w:rsidRPr="00B849DC" w:rsidR="005E5568">
        <w:rPr>
          <w:lang w:val="en-US" w:bidi="en-US"/>
        </w:rPr>
        <w:t xml:space="preserve">actual </w:t>
      </w:r>
      <w:r w:rsidRPr="00B849DC">
        <w:rPr>
          <w:lang w:val="en-US" w:bidi="en-US"/>
        </w:rPr>
        <w:t xml:space="preserve">State control </w:t>
      </w:r>
      <w:r w:rsidRPr="00B849DC" w:rsidR="005E5568">
        <w:rPr>
          <w:lang w:val="en-US" w:bidi="en-US"/>
        </w:rPr>
        <w:t xml:space="preserve">over </w:t>
      </w:r>
      <w:r w:rsidRPr="00B849DC">
        <w:rPr>
          <w:lang w:val="en-US" w:bidi="en-US"/>
        </w:rPr>
        <w:t xml:space="preserve">municipal unitary enterprises </w:t>
      </w:r>
      <w:r w:rsidRPr="00B849DC" w:rsidR="0015251A">
        <w:rPr>
          <w:lang w:val="en-US" w:bidi="en-US"/>
        </w:rPr>
        <w:t>may</w:t>
      </w:r>
      <w:r w:rsidRPr="00B849DC" w:rsidR="005B2A57">
        <w:rPr>
          <w:lang w:val="en-US" w:bidi="en-US"/>
        </w:rPr>
        <w:t>, in some cases, be further enhanced</w:t>
      </w:r>
      <w:r w:rsidRPr="00B849DC" w:rsidR="0015251A">
        <w:rPr>
          <w:lang w:val="en-US" w:bidi="en-US"/>
        </w:rPr>
        <w:t xml:space="preserve"> </w:t>
      </w:r>
      <w:r w:rsidRPr="00B849DC" w:rsidR="00DF0BEA">
        <w:rPr>
          <w:lang w:val="en-US" w:bidi="en-US"/>
        </w:rPr>
        <w:t>dependin</w:t>
      </w:r>
      <w:r w:rsidRPr="00B849DC" w:rsidR="0015251A">
        <w:rPr>
          <w:lang w:val="en-US" w:bidi="en-US"/>
        </w:rPr>
        <w:t xml:space="preserve">g on </w:t>
      </w:r>
      <w:r w:rsidRPr="00B849DC" w:rsidR="00B81F21">
        <w:rPr>
          <w:lang w:val="en-US" w:bidi="en-US"/>
        </w:rPr>
        <w:t xml:space="preserve">a </w:t>
      </w:r>
      <w:r w:rsidRPr="00B849DC" w:rsidR="0015251A">
        <w:rPr>
          <w:lang w:val="en-US" w:bidi="en-US"/>
        </w:rPr>
        <w:t>particular company</w:t>
      </w:r>
      <w:r w:rsidRPr="00B849DC" w:rsidR="00B849DC">
        <w:rPr>
          <w:lang w:val="en-US" w:bidi="en-US"/>
        </w:rPr>
        <w:t>’</w:t>
      </w:r>
      <w:r w:rsidRPr="00B849DC" w:rsidR="0015251A">
        <w:rPr>
          <w:lang w:val="en-US" w:bidi="en-US"/>
        </w:rPr>
        <w:t>s sphere of operation</w:t>
      </w:r>
      <w:r w:rsidRPr="00B849DC" w:rsidR="00DF0BEA">
        <w:rPr>
          <w:lang w:val="en-US" w:bidi="en-US"/>
        </w:rPr>
        <w:t>.</w:t>
      </w:r>
    </w:p>
    <w:p w:rsidRPr="00B849DC" w:rsidR="0071597B" w:rsidP="00B849DC" w:rsidRDefault="009F7127">
      <w:pPr>
        <w:pStyle w:val="ECHRHeading6"/>
        <w:ind w:left="1038" w:firstLine="0"/>
        <w:rPr>
          <w:lang w:val="en-US"/>
        </w:rPr>
      </w:pPr>
      <w:r w:rsidRPr="00B849DC">
        <w:rPr>
          <w:rFonts w:cstheme="majorHAnsi"/>
          <w:lang w:val="en-US"/>
        </w:rPr>
        <w:t>(</w:t>
      </w:r>
      <w:r w:rsidRPr="00B849DC" w:rsidR="007972D7">
        <w:rPr>
          <w:rFonts w:cstheme="majorHAnsi"/>
          <w:lang w:val="en-US"/>
        </w:rPr>
        <w:t>δ</w:t>
      </w:r>
      <w:r w:rsidRPr="00B849DC">
        <w:rPr>
          <w:lang w:val="en-US"/>
        </w:rPr>
        <w:t>)</w:t>
      </w:r>
      <w:r w:rsidRPr="00B849DC" w:rsidR="00ED1B39">
        <w:rPr>
          <w:lang w:val="en-US"/>
        </w:rPr>
        <w:t>  </w:t>
      </w:r>
      <w:r w:rsidRPr="00B849DC" w:rsidR="0071597B">
        <w:rPr>
          <w:lang w:val="en-US"/>
        </w:rPr>
        <w:t>Conclusion on unitary enterprises</w:t>
      </w:r>
      <w:r w:rsidRPr="00B849DC" w:rsidR="00B849DC">
        <w:rPr>
          <w:lang w:val="en-US"/>
        </w:rPr>
        <w:t>’</w:t>
      </w:r>
      <w:r w:rsidRPr="00B849DC" w:rsidR="0071597B">
        <w:rPr>
          <w:lang w:val="en-US"/>
        </w:rPr>
        <w:t xml:space="preserve"> legal status</w:t>
      </w:r>
      <w:r w:rsidRPr="00B849DC" w:rsidR="0031085D">
        <w:rPr>
          <w:lang w:val="en-US"/>
        </w:rPr>
        <w:t xml:space="preserve"> and further criteria to be applied in </w:t>
      </w:r>
      <w:r w:rsidRPr="00B849DC" w:rsidR="008D57B3">
        <w:rPr>
          <w:lang w:val="en-US"/>
        </w:rPr>
        <w:t>individual</w:t>
      </w:r>
      <w:r w:rsidRPr="00B849DC" w:rsidR="0031085D">
        <w:rPr>
          <w:lang w:val="en-US"/>
        </w:rPr>
        <w:t xml:space="preserve"> cases</w:t>
      </w:r>
    </w:p>
    <w:p w:rsidRPr="00B849DC" w:rsidR="008735EF" w:rsidP="00B849DC" w:rsidRDefault="00DF0BEA">
      <w:pPr>
        <w:pStyle w:val="ECHRPara"/>
        <w:rPr>
          <w:lang w:val="en-US"/>
        </w:rPr>
      </w:pPr>
      <w:r w:rsidRPr="00B849DC">
        <w:rPr>
          <w:lang w:val="en-US"/>
        </w:rPr>
        <w:fldChar w:fldCharType="begin"/>
      </w:r>
      <w:r w:rsidRPr="00B849DC">
        <w:rPr>
          <w:lang w:val="en-US"/>
        </w:rPr>
        <w:instrText xml:space="preserve"> SEQ level0 \*arabic </w:instrText>
      </w:r>
      <w:r w:rsidRPr="00B849DC">
        <w:rPr>
          <w:lang w:val="en-US"/>
        </w:rPr>
        <w:fldChar w:fldCharType="separate"/>
      </w:r>
      <w:r w:rsidRPr="00B849DC" w:rsidR="00B849DC">
        <w:rPr>
          <w:noProof/>
          <w:lang w:val="en-US"/>
        </w:rPr>
        <w:t>204</w:t>
      </w:r>
      <w:r w:rsidRPr="00B849DC">
        <w:rPr>
          <w:lang w:val="en-US"/>
        </w:rPr>
        <w:fldChar w:fldCharType="end"/>
      </w:r>
      <w:r w:rsidRPr="00B849DC">
        <w:rPr>
          <w:lang w:val="en-US"/>
        </w:rPr>
        <w:t>.  </w:t>
      </w:r>
      <w:r w:rsidRPr="00B849DC" w:rsidR="008735EF">
        <w:rPr>
          <w:lang w:val="en-US"/>
        </w:rPr>
        <w:t xml:space="preserve">In view of the above, the Court accepts that, as suggested by the Government, unitary enterprises </w:t>
      </w:r>
      <w:r w:rsidRPr="00B849DC" w:rsidR="00584565">
        <w:rPr>
          <w:lang w:val="en-US"/>
        </w:rPr>
        <w:t xml:space="preserve">with </w:t>
      </w:r>
      <w:r w:rsidRPr="00B849DC" w:rsidR="008735EF">
        <w:rPr>
          <w:lang w:val="en-US"/>
        </w:rPr>
        <w:t xml:space="preserve">the right of economic control enjoy under the domestic law </w:t>
      </w:r>
      <w:r w:rsidRPr="00B849DC" w:rsidR="0020073E">
        <w:rPr>
          <w:lang w:val="en-US"/>
        </w:rPr>
        <w:t>some</w:t>
      </w:r>
      <w:r w:rsidRPr="00B849DC" w:rsidR="008735EF">
        <w:rPr>
          <w:lang w:val="en-US"/>
        </w:rPr>
        <w:t xml:space="preserve"> degree of legal and economic independence from the State</w:t>
      </w:r>
      <w:r w:rsidRPr="00B849DC" w:rsidR="003E52F6">
        <w:rPr>
          <w:lang w:val="en-US"/>
        </w:rPr>
        <w:t xml:space="preserve"> (see paragraph </w:t>
      </w:r>
      <w:r w:rsidRPr="00B849DC" w:rsidR="0012143E">
        <w:rPr>
          <w:lang w:val="en-US"/>
        </w:rPr>
        <w:t>19</w:t>
      </w:r>
      <w:r w:rsidRPr="00B849DC" w:rsidR="00DF43D8">
        <w:rPr>
          <w:lang w:val="en-US"/>
        </w:rPr>
        <w:t>4</w:t>
      </w:r>
      <w:r w:rsidRPr="00B849DC" w:rsidR="003E52F6">
        <w:rPr>
          <w:lang w:val="en-US"/>
        </w:rPr>
        <w:t xml:space="preserve"> above)</w:t>
      </w:r>
      <w:r w:rsidRPr="00B849DC" w:rsidR="008735EF">
        <w:rPr>
          <w:lang w:val="en-US"/>
        </w:rPr>
        <w:t xml:space="preserve">. On the other hand, the Court has </w:t>
      </w:r>
      <w:r w:rsidRPr="00B849DC" w:rsidR="00FC6F77">
        <w:rPr>
          <w:lang w:val="en-US"/>
        </w:rPr>
        <w:t>found</w:t>
      </w:r>
      <w:r w:rsidRPr="00B849DC" w:rsidR="008735EF">
        <w:rPr>
          <w:lang w:val="en-US"/>
        </w:rPr>
        <w:t xml:space="preserve"> that </w:t>
      </w:r>
      <w:r w:rsidRPr="00B849DC" w:rsidR="001F6B5D">
        <w:rPr>
          <w:lang w:val="en-US"/>
        </w:rPr>
        <w:t xml:space="preserve">the domestic law provides for </w:t>
      </w:r>
      <w:r w:rsidRPr="00B849DC" w:rsidR="0015251A">
        <w:rPr>
          <w:lang w:val="en-US"/>
        </w:rPr>
        <w:t xml:space="preserve">a wide range of </w:t>
      </w:r>
      <w:r w:rsidRPr="00B849DC" w:rsidR="008735EF">
        <w:rPr>
          <w:lang w:val="en-US"/>
        </w:rPr>
        <w:t xml:space="preserve">opportunities for the owner </w:t>
      </w:r>
      <w:r w:rsidRPr="00B849DC" w:rsidR="00584565">
        <w:rPr>
          <w:lang w:val="en-US"/>
        </w:rPr>
        <w:t xml:space="preserve">of such a company </w:t>
      </w:r>
      <w:r w:rsidRPr="00B849DC" w:rsidR="008735EF">
        <w:rPr>
          <w:lang w:val="en-US"/>
        </w:rPr>
        <w:t xml:space="preserve">to control the crucial aspects of </w:t>
      </w:r>
      <w:r w:rsidRPr="00B849DC" w:rsidR="00584565">
        <w:rPr>
          <w:lang w:val="en-US"/>
        </w:rPr>
        <w:t xml:space="preserve">its </w:t>
      </w:r>
      <w:r w:rsidRPr="00B849DC" w:rsidR="008735EF">
        <w:rPr>
          <w:lang w:val="en-US"/>
        </w:rPr>
        <w:t xml:space="preserve">activity – ranging from the approval of transactions and </w:t>
      </w:r>
      <w:r w:rsidRPr="00B849DC" w:rsidR="00584565">
        <w:rPr>
          <w:lang w:val="en-US"/>
        </w:rPr>
        <w:t>appointment of the company director</w:t>
      </w:r>
      <w:r w:rsidRPr="00B849DC" w:rsidR="008735EF">
        <w:rPr>
          <w:lang w:val="en-US"/>
        </w:rPr>
        <w:t xml:space="preserve"> to the right to </w:t>
      </w:r>
      <w:r w:rsidRPr="00B849DC" w:rsidR="00584565">
        <w:rPr>
          <w:lang w:val="en-US"/>
        </w:rPr>
        <w:t xml:space="preserve">restructure </w:t>
      </w:r>
      <w:r w:rsidRPr="00B849DC" w:rsidR="008735EF">
        <w:rPr>
          <w:lang w:val="en-US"/>
        </w:rPr>
        <w:t xml:space="preserve">and liquidate the company </w:t>
      </w:r>
      <w:r w:rsidRPr="00B849DC" w:rsidR="00584565">
        <w:rPr>
          <w:lang w:val="en-US"/>
        </w:rPr>
        <w:t>– as it</w:t>
      </w:r>
      <w:r w:rsidRPr="00B849DC" w:rsidR="008735EF">
        <w:rPr>
          <w:lang w:val="en-US"/>
        </w:rPr>
        <w:t xml:space="preserve"> sees fit</w:t>
      </w:r>
      <w:r w:rsidRPr="00B849DC" w:rsidR="0009170C">
        <w:rPr>
          <w:lang w:val="en-US"/>
        </w:rPr>
        <w:t xml:space="preserve"> (see paragraphs </w:t>
      </w:r>
      <w:r w:rsidRPr="00B849DC" w:rsidR="0012143E">
        <w:rPr>
          <w:lang w:val="en-US"/>
        </w:rPr>
        <w:t>20</w:t>
      </w:r>
      <w:r w:rsidRPr="00B849DC" w:rsidR="00DF43D8">
        <w:rPr>
          <w:lang w:val="en-US"/>
        </w:rPr>
        <w:t>0</w:t>
      </w:r>
      <w:r w:rsidRPr="00B849DC" w:rsidR="002E3CE4">
        <w:rPr>
          <w:lang w:val="en-US"/>
        </w:rPr>
        <w:t>-</w:t>
      </w:r>
      <w:r w:rsidRPr="00B849DC" w:rsidR="0012143E">
        <w:rPr>
          <w:lang w:val="en-US"/>
        </w:rPr>
        <w:t>0</w:t>
      </w:r>
      <w:r w:rsidRPr="00B849DC" w:rsidR="00DF43D8">
        <w:rPr>
          <w:lang w:val="en-US"/>
        </w:rPr>
        <w:t>1</w:t>
      </w:r>
      <w:r w:rsidRPr="00B849DC" w:rsidR="0009170C">
        <w:rPr>
          <w:lang w:val="en-US"/>
        </w:rPr>
        <w:t xml:space="preserve"> above)</w:t>
      </w:r>
      <w:r w:rsidRPr="00B849DC" w:rsidR="008735EF">
        <w:rPr>
          <w:lang w:val="en-US"/>
        </w:rPr>
        <w:t>.</w:t>
      </w:r>
      <w:r w:rsidRPr="00B849DC" w:rsidR="002A3DC4">
        <w:rPr>
          <w:lang w:val="en-US"/>
        </w:rPr>
        <w:t xml:space="preserve"> Furthermore, the scope of actual State control may </w:t>
      </w:r>
      <w:r w:rsidRPr="00B849DC" w:rsidR="0061575A">
        <w:rPr>
          <w:lang w:val="en-US"/>
        </w:rPr>
        <w:t>be further enhanced in view of</w:t>
      </w:r>
      <w:r w:rsidRPr="00B849DC" w:rsidR="009941EB">
        <w:rPr>
          <w:lang w:val="en-US"/>
        </w:rPr>
        <w:t xml:space="preserve"> </w:t>
      </w:r>
      <w:r w:rsidRPr="00B849DC" w:rsidR="00584565">
        <w:rPr>
          <w:lang w:val="en-US"/>
        </w:rPr>
        <w:t xml:space="preserve">the </w:t>
      </w:r>
      <w:r w:rsidRPr="00B849DC" w:rsidR="009941EB">
        <w:rPr>
          <w:lang w:val="en-US"/>
        </w:rPr>
        <w:t xml:space="preserve">functions performed by a particular </w:t>
      </w:r>
      <w:r w:rsidRPr="00B849DC" w:rsidR="002A3DC4">
        <w:rPr>
          <w:lang w:val="en-US"/>
        </w:rPr>
        <w:t>company (see paragraph </w:t>
      </w:r>
      <w:r w:rsidRPr="00B849DC" w:rsidR="0012143E">
        <w:rPr>
          <w:lang w:val="en-US"/>
        </w:rPr>
        <w:t>20</w:t>
      </w:r>
      <w:r w:rsidRPr="00B849DC" w:rsidR="00DF43D8">
        <w:rPr>
          <w:lang w:val="en-US"/>
        </w:rPr>
        <w:t>3</w:t>
      </w:r>
      <w:r w:rsidRPr="00B849DC" w:rsidR="002A3DC4">
        <w:rPr>
          <w:lang w:val="en-US"/>
        </w:rPr>
        <w:t xml:space="preserve"> above).</w:t>
      </w:r>
      <w:r w:rsidRPr="00B849DC" w:rsidR="008735EF">
        <w:rPr>
          <w:lang w:val="en-US"/>
        </w:rPr>
        <w:t xml:space="preserve"> Therefore, the Court is unable to conclude that the exi</w:t>
      </w:r>
      <w:r w:rsidRPr="00B849DC" w:rsidR="00B849DC">
        <w:rPr>
          <w:lang w:val="en-US"/>
        </w:rPr>
        <w:t>s</w:t>
      </w:r>
      <w:r w:rsidRPr="00B849DC" w:rsidR="008735EF">
        <w:rPr>
          <w:lang w:val="en-US"/>
        </w:rPr>
        <w:t xml:space="preserve">ting legal framework provides </w:t>
      </w:r>
      <w:r w:rsidRPr="00B849DC" w:rsidR="00584565">
        <w:rPr>
          <w:lang w:val="en-US"/>
        </w:rPr>
        <w:t xml:space="preserve">such companies with </w:t>
      </w:r>
      <w:r w:rsidRPr="00B849DC" w:rsidR="00D62FD7">
        <w:rPr>
          <w:lang w:val="en-US"/>
        </w:rPr>
        <w:t xml:space="preserve">a </w:t>
      </w:r>
      <w:r w:rsidRPr="00B849DC" w:rsidR="008735EF">
        <w:rPr>
          <w:lang w:val="en-US"/>
        </w:rPr>
        <w:t xml:space="preserve">degree </w:t>
      </w:r>
      <w:r w:rsidRPr="00B849DC" w:rsidR="0031085D">
        <w:rPr>
          <w:lang w:val="en-US"/>
        </w:rPr>
        <w:t xml:space="preserve">of </w:t>
      </w:r>
      <w:r w:rsidRPr="00B849DC" w:rsidR="008735EF">
        <w:rPr>
          <w:lang w:val="en-US"/>
        </w:rPr>
        <w:t xml:space="preserve">institutional and operational independence </w:t>
      </w:r>
      <w:r w:rsidRPr="00B849DC" w:rsidR="00584565">
        <w:rPr>
          <w:lang w:val="en-US"/>
        </w:rPr>
        <w:t>that would</w:t>
      </w:r>
      <w:r w:rsidRPr="00B849DC" w:rsidR="008735EF">
        <w:rPr>
          <w:lang w:val="en-US"/>
        </w:rPr>
        <w:t xml:space="preserve"> absolve the State from </w:t>
      </w:r>
      <w:r w:rsidRPr="00B849DC" w:rsidR="0020073E">
        <w:rPr>
          <w:lang w:val="en-US"/>
        </w:rPr>
        <w:t xml:space="preserve">any </w:t>
      </w:r>
      <w:r w:rsidRPr="00B849DC" w:rsidR="008735EF">
        <w:rPr>
          <w:lang w:val="en-US"/>
        </w:rPr>
        <w:t xml:space="preserve">responsibility </w:t>
      </w:r>
      <w:r w:rsidRPr="00B849DC" w:rsidR="0020073E">
        <w:rPr>
          <w:lang w:val="en-US"/>
        </w:rPr>
        <w:t xml:space="preserve">under the Convention </w:t>
      </w:r>
      <w:r w:rsidRPr="00B849DC" w:rsidR="008735EF">
        <w:rPr>
          <w:lang w:val="en-US"/>
        </w:rPr>
        <w:t xml:space="preserve">for </w:t>
      </w:r>
      <w:r w:rsidRPr="00B849DC" w:rsidR="00237541">
        <w:rPr>
          <w:lang w:val="en-US"/>
        </w:rPr>
        <w:t>any such compan</w:t>
      </w:r>
      <w:r w:rsidRPr="00B849DC" w:rsidR="0020073E">
        <w:rPr>
          <w:lang w:val="en-US"/>
        </w:rPr>
        <w:t>ie</w:t>
      </w:r>
      <w:r w:rsidRPr="00B849DC" w:rsidR="00237541">
        <w:rPr>
          <w:lang w:val="en-US"/>
        </w:rPr>
        <w:t>s</w:t>
      </w:r>
      <w:r w:rsidRPr="00B849DC" w:rsidR="00B849DC">
        <w:rPr>
          <w:lang w:val="en-US"/>
        </w:rPr>
        <w:t>’</w:t>
      </w:r>
      <w:r w:rsidRPr="00B849DC" w:rsidR="00237541">
        <w:rPr>
          <w:lang w:val="en-US"/>
        </w:rPr>
        <w:t xml:space="preserve"> debts</w:t>
      </w:r>
      <w:r w:rsidRPr="00B849DC" w:rsidR="00584565">
        <w:rPr>
          <w:lang w:val="en-US"/>
        </w:rPr>
        <w:t>.</w:t>
      </w:r>
    </w:p>
    <w:p w:rsidRPr="00B849DC" w:rsidR="00956251" w:rsidP="00B849DC" w:rsidRDefault="00C73F04">
      <w:pPr>
        <w:pStyle w:val="ECHRPara"/>
        <w:rPr>
          <w:lang w:val="en-US"/>
        </w:rPr>
      </w:pPr>
      <w:r w:rsidRPr="00B849DC">
        <w:rPr>
          <w:lang w:val="en-US"/>
        </w:rPr>
        <w:fldChar w:fldCharType="begin"/>
      </w:r>
      <w:r w:rsidRPr="00B849DC">
        <w:rPr>
          <w:lang w:val="en-US"/>
        </w:rPr>
        <w:instrText xml:space="preserve"> SEQ level0 \*arabic </w:instrText>
      </w:r>
      <w:r w:rsidRPr="00B849DC">
        <w:rPr>
          <w:lang w:val="en-US"/>
        </w:rPr>
        <w:fldChar w:fldCharType="separate"/>
      </w:r>
      <w:r w:rsidRPr="00B849DC" w:rsidR="00B849DC">
        <w:rPr>
          <w:noProof/>
          <w:lang w:val="en-US"/>
        </w:rPr>
        <w:t>205</w:t>
      </w:r>
      <w:r w:rsidRPr="00B849DC">
        <w:rPr>
          <w:lang w:val="en-US"/>
        </w:rPr>
        <w:fldChar w:fldCharType="end"/>
      </w:r>
      <w:r w:rsidRPr="00B849DC">
        <w:rPr>
          <w:lang w:val="en-US"/>
        </w:rPr>
        <w:t>.  </w:t>
      </w:r>
      <w:r w:rsidRPr="00B849DC" w:rsidR="008735EF">
        <w:rPr>
          <w:lang w:val="en-US"/>
        </w:rPr>
        <w:t>Acc</w:t>
      </w:r>
      <w:r w:rsidRPr="00B849DC" w:rsidR="00E9144E">
        <w:rPr>
          <w:lang w:val="en-US"/>
        </w:rPr>
        <w:t xml:space="preserve">ordingly, </w:t>
      </w:r>
      <w:r w:rsidRPr="00B849DC" w:rsidR="005A0276">
        <w:rPr>
          <w:lang w:val="en-US"/>
        </w:rPr>
        <w:t>in order to decide on the operational and institutional independence of a given municipal unitary enterprise</w:t>
      </w:r>
      <w:r w:rsidRPr="00B849DC" w:rsidR="00237541">
        <w:rPr>
          <w:lang w:val="en-US"/>
        </w:rPr>
        <w:t xml:space="preserve"> having the right of economic control</w:t>
      </w:r>
      <w:r w:rsidRPr="00B849DC" w:rsidR="005A0276">
        <w:rPr>
          <w:lang w:val="en-US"/>
        </w:rPr>
        <w:t>,</w:t>
      </w:r>
      <w:r w:rsidRPr="00B849DC" w:rsidR="00D62FD7">
        <w:rPr>
          <w:lang w:val="en-US"/>
        </w:rPr>
        <w:t xml:space="preserve"> and in line with its earlier case-law (</w:t>
      </w:r>
      <w:r w:rsidRPr="00B849DC" w:rsidR="00CC539D">
        <w:rPr>
          <w:lang w:val="en-US"/>
        </w:rPr>
        <w:t>cited in paragraphs </w:t>
      </w:r>
      <w:r w:rsidRPr="00B849DC" w:rsidR="0012143E">
        <w:rPr>
          <w:lang w:val="en-US"/>
        </w:rPr>
        <w:t>18</w:t>
      </w:r>
      <w:r w:rsidRPr="00B849DC" w:rsidR="00DF43D8">
        <w:rPr>
          <w:lang w:val="en-US"/>
        </w:rPr>
        <w:t>6</w:t>
      </w:r>
      <w:r w:rsidRPr="00B849DC" w:rsidR="002E3CE4">
        <w:rPr>
          <w:lang w:val="en-US"/>
        </w:rPr>
        <w:t>-</w:t>
      </w:r>
      <w:r w:rsidRPr="00B849DC" w:rsidR="0012143E">
        <w:rPr>
          <w:lang w:val="en-US"/>
        </w:rPr>
        <w:t>9</w:t>
      </w:r>
      <w:r w:rsidRPr="00B849DC" w:rsidR="00DF43D8">
        <w:rPr>
          <w:lang w:val="en-US"/>
        </w:rPr>
        <w:t>2</w:t>
      </w:r>
      <w:r w:rsidRPr="00B849DC" w:rsidR="00CC539D">
        <w:rPr>
          <w:lang w:val="en-US"/>
        </w:rPr>
        <w:t xml:space="preserve"> above) </w:t>
      </w:r>
      <w:r w:rsidRPr="00B849DC" w:rsidR="00E9144E">
        <w:rPr>
          <w:lang w:val="en-US"/>
        </w:rPr>
        <w:t xml:space="preserve">the Court </w:t>
      </w:r>
      <w:r w:rsidRPr="00B849DC" w:rsidR="00D62FD7">
        <w:rPr>
          <w:lang w:val="en-US"/>
        </w:rPr>
        <w:t>has</w:t>
      </w:r>
      <w:r w:rsidRPr="00B849DC" w:rsidR="00E9144E">
        <w:rPr>
          <w:lang w:val="en-US"/>
        </w:rPr>
        <w:t xml:space="preserve"> to examine the actual manner </w:t>
      </w:r>
      <w:r w:rsidRPr="00B849DC" w:rsidR="00584565">
        <w:rPr>
          <w:lang w:val="en-US"/>
        </w:rPr>
        <w:t xml:space="preserve">in which </w:t>
      </w:r>
      <w:r w:rsidRPr="00B849DC" w:rsidR="00E9144E">
        <w:rPr>
          <w:lang w:val="en-US"/>
        </w:rPr>
        <w:t xml:space="preserve">State control was exercised in </w:t>
      </w:r>
      <w:r w:rsidRPr="00B849DC">
        <w:rPr>
          <w:lang w:val="en-US"/>
        </w:rPr>
        <w:t xml:space="preserve">a </w:t>
      </w:r>
      <w:r w:rsidRPr="00B849DC" w:rsidR="00E9144E">
        <w:rPr>
          <w:lang w:val="en-US"/>
        </w:rPr>
        <w:t>particular case</w:t>
      </w:r>
      <w:r w:rsidRPr="00B849DC" w:rsidR="00D62FD7">
        <w:rPr>
          <w:lang w:val="en-US"/>
        </w:rPr>
        <w:t>.</w:t>
      </w:r>
      <w:r w:rsidRPr="00B849DC" w:rsidR="00AC0EFB">
        <w:rPr>
          <w:lang w:val="en-US"/>
        </w:rPr>
        <w:t xml:space="preserve"> </w:t>
      </w:r>
      <w:r w:rsidRPr="00B849DC" w:rsidR="00D62FD7">
        <w:rPr>
          <w:lang w:val="en-US"/>
        </w:rPr>
        <w:t>In the Court</w:t>
      </w:r>
      <w:r w:rsidRPr="00B849DC" w:rsidR="00B849DC">
        <w:rPr>
          <w:lang w:val="en-US"/>
        </w:rPr>
        <w:t>’</w:t>
      </w:r>
      <w:r w:rsidRPr="00B849DC" w:rsidR="00D62FD7">
        <w:rPr>
          <w:lang w:val="en-US"/>
        </w:rPr>
        <w:t>s view, this approach is consistent with the ILC</w:t>
      </w:r>
      <w:r w:rsidRPr="00B849DC" w:rsidR="00B849DC">
        <w:rPr>
          <w:lang w:val="en-US"/>
        </w:rPr>
        <w:t>’</w:t>
      </w:r>
      <w:r w:rsidRPr="00B849DC" w:rsidR="006E03CE">
        <w:rPr>
          <w:lang w:val="en-US"/>
        </w:rPr>
        <w:t>s</w:t>
      </w:r>
      <w:r w:rsidRPr="00B849DC" w:rsidR="00D62FD7">
        <w:rPr>
          <w:lang w:val="en-US"/>
        </w:rPr>
        <w:t xml:space="preserve"> interpretation of the aforementioned Article 8 of the Articles on State Responsibility (see paragraph </w:t>
      </w:r>
      <w:r w:rsidRPr="00B849DC" w:rsidR="00DF43D8">
        <w:rPr>
          <w:lang w:val="en-US"/>
        </w:rPr>
        <w:t>130</w:t>
      </w:r>
      <w:r w:rsidRPr="00B849DC" w:rsidR="00D62FD7">
        <w:rPr>
          <w:lang w:val="en-US"/>
        </w:rPr>
        <w:t xml:space="preserve"> above).</w:t>
      </w:r>
    </w:p>
    <w:p w:rsidRPr="00B849DC" w:rsidR="00CA087B" w:rsidP="00B849DC" w:rsidRDefault="00956251">
      <w:pPr>
        <w:pStyle w:val="ECHRPara"/>
        <w:rPr>
          <w:color w:val="000000"/>
          <w:lang w:val="en-US"/>
        </w:rPr>
      </w:pPr>
      <w:r w:rsidRPr="00B849DC">
        <w:rPr>
          <w:lang w:val="en-US"/>
        </w:rPr>
        <w:fldChar w:fldCharType="begin"/>
      </w:r>
      <w:r w:rsidRPr="00B849DC">
        <w:rPr>
          <w:lang w:val="en-US"/>
        </w:rPr>
        <w:instrText xml:space="preserve"> SEQ level0 \*arabic </w:instrText>
      </w:r>
      <w:r w:rsidRPr="00B849DC">
        <w:rPr>
          <w:lang w:val="en-US"/>
        </w:rPr>
        <w:fldChar w:fldCharType="separate"/>
      </w:r>
      <w:r w:rsidRPr="00B849DC" w:rsidR="00B849DC">
        <w:rPr>
          <w:noProof/>
          <w:lang w:val="en-US"/>
        </w:rPr>
        <w:t>206</w:t>
      </w:r>
      <w:r w:rsidRPr="00B849DC">
        <w:rPr>
          <w:lang w:val="en-US"/>
        </w:rPr>
        <w:fldChar w:fldCharType="end"/>
      </w:r>
      <w:r w:rsidRPr="00B849DC">
        <w:rPr>
          <w:lang w:val="en-US"/>
        </w:rPr>
        <w:t>.  </w:t>
      </w:r>
      <w:r w:rsidRPr="00B849DC" w:rsidR="008735EF">
        <w:rPr>
          <w:lang w:val="en-US"/>
        </w:rPr>
        <w:t>In doing so, the Court will</w:t>
      </w:r>
      <w:r w:rsidRPr="00B849DC" w:rsidR="002861FE">
        <w:rPr>
          <w:lang w:val="en-US"/>
        </w:rPr>
        <w:t xml:space="preserve"> </w:t>
      </w:r>
      <w:r w:rsidRPr="00B849DC" w:rsidR="008735EF">
        <w:rPr>
          <w:lang w:val="en-US"/>
        </w:rPr>
        <w:t>have regard</w:t>
      </w:r>
      <w:r w:rsidRPr="00B849DC" w:rsidR="00AD3E83">
        <w:rPr>
          <w:lang w:val="en-US"/>
        </w:rPr>
        <w:t xml:space="preserve">, </w:t>
      </w:r>
      <w:r w:rsidRPr="00B849DC" w:rsidR="00AD3E83">
        <w:rPr>
          <w:i/>
          <w:lang w:val="en-US"/>
        </w:rPr>
        <w:t>inter alia</w:t>
      </w:r>
      <w:r w:rsidRPr="00B849DC" w:rsidR="00AD3E83">
        <w:rPr>
          <w:lang w:val="en-US"/>
        </w:rPr>
        <w:t>,</w:t>
      </w:r>
      <w:r w:rsidRPr="00B849DC" w:rsidR="008735EF">
        <w:rPr>
          <w:lang w:val="en-US"/>
        </w:rPr>
        <w:t xml:space="preserve"> to the </w:t>
      </w:r>
      <w:r w:rsidRPr="00B849DC" w:rsidR="00DA5E51">
        <w:rPr>
          <w:lang w:val="en-US"/>
        </w:rPr>
        <w:t>nature of the enterprise</w:t>
      </w:r>
      <w:r w:rsidRPr="00B849DC" w:rsidR="00B849DC">
        <w:rPr>
          <w:lang w:val="en-US"/>
        </w:rPr>
        <w:t>’</w:t>
      </w:r>
      <w:r w:rsidRPr="00B849DC" w:rsidR="00DA5E51">
        <w:rPr>
          <w:lang w:val="en-US"/>
        </w:rPr>
        <w:t xml:space="preserve">s </w:t>
      </w:r>
      <w:r w:rsidRPr="00B849DC" w:rsidR="008735EF">
        <w:rPr>
          <w:lang w:val="en-US"/>
        </w:rPr>
        <w:t xml:space="preserve">functions </w:t>
      </w:r>
      <w:r w:rsidRPr="00B849DC" w:rsidR="002861FE">
        <w:rPr>
          <w:lang w:val="en-US"/>
        </w:rPr>
        <w:t>and the sphere it operated in</w:t>
      </w:r>
      <w:r w:rsidRPr="00B849DC" w:rsidR="009F7127">
        <w:rPr>
          <w:lang w:val="en-US"/>
        </w:rPr>
        <w:t xml:space="preserve"> (see the case</w:t>
      </w:r>
      <w:r w:rsidRPr="00B849DC" w:rsidR="009F7127">
        <w:rPr>
          <w:lang w:val="en-US"/>
        </w:rPr>
        <w:noBreakHyphen/>
      </w:r>
      <w:r w:rsidRPr="00B849DC" w:rsidR="009E7A0E">
        <w:rPr>
          <w:lang w:val="en-US"/>
        </w:rPr>
        <w:t>law cited in paragraph </w:t>
      </w:r>
      <w:r w:rsidRPr="00B849DC" w:rsidR="005521A1">
        <w:rPr>
          <w:lang w:val="en-US"/>
        </w:rPr>
        <w:t>1</w:t>
      </w:r>
      <w:r w:rsidRPr="00B849DC" w:rsidR="00DF43D8">
        <w:rPr>
          <w:lang w:val="en-US"/>
        </w:rPr>
        <w:t>89</w:t>
      </w:r>
      <w:r w:rsidRPr="00B849DC" w:rsidR="009E7A0E">
        <w:rPr>
          <w:lang w:val="en-US"/>
        </w:rPr>
        <w:t xml:space="preserve"> above)</w:t>
      </w:r>
      <w:r w:rsidRPr="00B849DC" w:rsidR="006C3614">
        <w:rPr>
          <w:lang w:val="en-US"/>
        </w:rPr>
        <w:t xml:space="preserve">, in order to determine whether the company exercised a public duty and was, by virtue of its functions, placed </w:t>
      </w:r>
      <w:r w:rsidRPr="00B849DC" w:rsidR="009E7A0E">
        <w:rPr>
          <w:lang w:val="en-US"/>
        </w:rPr>
        <w:t>under the actual strict control of the authorities</w:t>
      </w:r>
      <w:r w:rsidRPr="00B849DC" w:rsidR="003637D7">
        <w:rPr>
          <w:lang w:val="en-US"/>
        </w:rPr>
        <w:t xml:space="preserve"> </w:t>
      </w:r>
      <w:r w:rsidRPr="00B849DC" w:rsidR="00104743">
        <w:rPr>
          <w:lang w:val="en-US"/>
        </w:rPr>
        <w:t xml:space="preserve">(see </w:t>
      </w:r>
      <w:r w:rsidRPr="00B849DC" w:rsidR="00A57AEC">
        <w:rPr>
          <w:i/>
          <w:lang w:val="en-US"/>
        </w:rPr>
        <w:t>Yershova</w:t>
      </w:r>
      <w:r w:rsidRPr="00B849DC" w:rsidR="00A57AEC">
        <w:rPr>
          <w:lang w:val="en-US"/>
        </w:rPr>
        <w:t>, cited above, § </w:t>
      </w:r>
      <w:r w:rsidRPr="00B849DC" w:rsidR="00D24106">
        <w:rPr>
          <w:lang w:val="en-US"/>
        </w:rPr>
        <w:t>58</w:t>
      </w:r>
      <w:r w:rsidRPr="00B849DC" w:rsidR="006C3614">
        <w:rPr>
          <w:lang w:val="en-US"/>
        </w:rPr>
        <w:t>,</w:t>
      </w:r>
      <w:r w:rsidRPr="00B849DC" w:rsidR="007224FD">
        <w:rPr>
          <w:lang w:val="en-US"/>
        </w:rPr>
        <w:t xml:space="preserve"> and paragraph </w:t>
      </w:r>
      <w:r w:rsidRPr="00B849DC" w:rsidR="0012143E">
        <w:rPr>
          <w:lang w:val="en-US"/>
        </w:rPr>
        <w:t>20</w:t>
      </w:r>
      <w:r w:rsidRPr="00B849DC" w:rsidR="00DF43D8">
        <w:rPr>
          <w:lang w:val="en-US"/>
        </w:rPr>
        <w:t>3</w:t>
      </w:r>
      <w:r w:rsidRPr="00B849DC" w:rsidR="007224FD">
        <w:rPr>
          <w:lang w:val="en-US"/>
        </w:rPr>
        <w:t xml:space="preserve"> above</w:t>
      </w:r>
      <w:r w:rsidRPr="00B849DC" w:rsidR="00A57AEC">
        <w:rPr>
          <w:lang w:val="en-US"/>
        </w:rPr>
        <w:t>).</w:t>
      </w:r>
      <w:r w:rsidRPr="00B849DC">
        <w:rPr>
          <w:lang w:val="en-US"/>
        </w:rPr>
        <w:t xml:space="preserve"> </w:t>
      </w:r>
      <w:r w:rsidRPr="00B849DC" w:rsidR="00255F93">
        <w:rPr>
          <w:lang w:val="en-US"/>
        </w:rPr>
        <w:t>In any event – and</w:t>
      </w:r>
      <w:r w:rsidRPr="00B849DC" w:rsidR="00945F3A">
        <w:rPr>
          <w:lang w:val="en-US"/>
        </w:rPr>
        <w:t xml:space="preserve"> especially</w:t>
      </w:r>
      <w:r w:rsidRPr="00B849DC" w:rsidR="00255F93">
        <w:rPr>
          <w:lang w:val="en-US"/>
        </w:rPr>
        <w:t xml:space="preserve"> where the function</w:t>
      </w:r>
      <w:r w:rsidRPr="00B849DC" w:rsidR="000709B2">
        <w:rPr>
          <w:lang w:val="en-US"/>
        </w:rPr>
        <w:t>s</w:t>
      </w:r>
      <w:r w:rsidRPr="00B849DC" w:rsidR="00255F93">
        <w:rPr>
          <w:lang w:val="en-US"/>
        </w:rPr>
        <w:t xml:space="preserve"> performed by the </w:t>
      </w:r>
      <w:r w:rsidRPr="00B849DC" w:rsidR="004C15EB">
        <w:rPr>
          <w:lang w:val="en-US"/>
        </w:rPr>
        <w:t xml:space="preserve">State or </w:t>
      </w:r>
      <w:r w:rsidRPr="00B849DC" w:rsidR="00837B16">
        <w:rPr>
          <w:lang w:val="en-US"/>
        </w:rPr>
        <w:t>municipal unitary enterprise</w:t>
      </w:r>
      <w:r w:rsidRPr="00B849DC" w:rsidR="00255F93">
        <w:rPr>
          <w:lang w:val="en-US"/>
        </w:rPr>
        <w:t xml:space="preserve"> </w:t>
      </w:r>
      <w:r w:rsidRPr="00B849DC" w:rsidR="000709B2">
        <w:rPr>
          <w:lang w:val="en-US"/>
        </w:rPr>
        <w:t>are</w:t>
      </w:r>
      <w:r w:rsidRPr="00B849DC" w:rsidR="00255F93">
        <w:rPr>
          <w:lang w:val="en-US"/>
        </w:rPr>
        <w:t xml:space="preserve"> of </w:t>
      </w:r>
      <w:r w:rsidRPr="00B849DC" w:rsidR="00584565">
        <w:rPr>
          <w:lang w:val="en-US"/>
        </w:rPr>
        <w:t xml:space="preserve">a </w:t>
      </w:r>
      <w:r w:rsidRPr="00B849DC" w:rsidR="00255F93">
        <w:rPr>
          <w:lang w:val="en-US"/>
        </w:rPr>
        <w:t xml:space="preserve">“mixed” nature, </w:t>
      </w:r>
      <w:r w:rsidRPr="00B849DC" w:rsidR="004265A2">
        <w:rPr>
          <w:lang w:val="en-US"/>
        </w:rPr>
        <w:t xml:space="preserve">either </w:t>
      </w:r>
      <w:r w:rsidRPr="00B849DC" w:rsidR="00255F93">
        <w:rPr>
          <w:lang w:val="en-US"/>
        </w:rPr>
        <w:t xml:space="preserve">combining </w:t>
      </w:r>
      <w:r w:rsidRPr="00B849DC" w:rsidR="000709B2">
        <w:rPr>
          <w:lang w:val="en-US"/>
        </w:rPr>
        <w:t xml:space="preserve">specific public duties and </w:t>
      </w:r>
      <w:r w:rsidRPr="00B849DC" w:rsidR="00255F93">
        <w:rPr>
          <w:lang w:val="en-US"/>
        </w:rPr>
        <w:t xml:space="preserve">elements of commercial activity </w:t>
      </w:r>
      <w:r w:rsidRPr="00B849DC" w:rsidR="004265A2">
        <w:rPr>
          <w:lang w:val="en-US"/>
        </w:rPr>
        <w:t xml:space="preserve">or </w:t>
      </w:r>
      <w:r w:rsidRPr="00B849DC" w:rsidR="00837B16">
        <w:rPr>
          <w:lang w:val="en-US"/>
        </w:rPr>
        <w:t xml:space="preserve">are </w:t>
      </w:r>
      <w:r w:rsidRPr="00B849DC" w:rsidR="004265A2">
        <w:rPr>
          <w:lang w:val="en-US"/>
        </w:rPr>
        <w:t>“purely commercial”, as suggested by the Government in many cases</w:t>
      </w:r>
      <w:r w:rsidRPr="00B849DC" w:rsidR="00584565">
        <w:rPr>
          <w:lang w:val="en-US"/>
        </w:rPr>
        <w:t xml:space="preserve"> </w:t>
      </w:r>
      <w:r w:rsidRPr="00B849DC" w:rsidR="009F7127">
        <w:rPr>
          <w:lang w:val="en-US"/>
        </w:rPr>
        <w:t>– </w:t>
      </w:r>
      <w:r w:rsidRPr="00B849DC" w:rsidR="00255F93">
        <w:rPr>
          <w:lang w:val="en-US"/>
        </w:rPr>
        <w:t xml:space="preserve">the Court will </w:t>
      </w:r>
      <w:r w:rsidRPr="00B849DC" w:rsidR="00BD7C63">
        <w:rPr>
          <w:lang w:val="en-US"/>
        </w:rPr>
        <w:t>assess</w:t>
      </w:r>
      <w:r w:rsidRPr="00B849DC" w:rsidR="00255F93">
        <w:rPr>
          <w:lang w:val="en-US"/>
        </w:rPr>
        <w:t xml:space="preserve"> </w:t>
      </w:r>
      <w:r w:rsidRPr="00B849DC" w:rsidR="00E9144E">
        <w:rPr>
          <w:lang w:val="en-US"/>
        </w:rPr>
        <w:t>the degree of the State or municipal authorities</w:t>
      </w:r>
      <w:r w:rsidRPr="00B849DC" w:rsidR="00B849DC">
        <w:rPr>
          <w:lang w:val="en-US"/>
        </w:rPr>
        <w:t>’</w:t>
      </w:r>
      <w:r w:rsidRPr="00B849DC" w:rsidR="00E9144E">
        <w:rPr>
          <w:lang w:val="en-US"/>
        </w:rPr>
        <w:t xml:space="preserve"> </w:t>
      </w:r>
      <w:r w:rsidRPr="00B849DC" w:rsidR="0031085D">
        <w:rPr>
          <w:lang w:val="en-US"/>
        </w:rPr>
        <w:t xml:space="preserve">actual </w:t>
      </w:r>
      <w:r w:rsidRPr="00B849DC" w:rsidR="00E9144E">
        <w:rPr>
          <w:lang w:val="en-US"/>
        </w:rPr>
        <w:t>involvement in the management of the enterprises</w:t>
      </w:r>
      <w:r w:rsidRPr="00B849DC" w:rsidR="00B849DC">
        <w:rPr>
          <w:lang w:val="en-US"/>
        </w:rPr>
        <w:t>’</w:t>
      </w:r>
      <w:r w:rsidRPr="00B849DC" w:rsidR="00E9144E">
        <w:rPr>
          <w:lang w:val="en-US"/>
        </w:rPr>
        <w:t xml:space="preserve"> assets, including – but not limited to –</w:t>
      </w:r>
      <w:r w:rsidRPr="00B849DC" w:rsidR="00584565">
        <w:rPr>
          <w:lang w:val="en-US"/>
        </w:rPr>
        <w:t xml:space="preserve"> </w:t>
      </w:r>
      <w:r w:rsidRPr="00B849DC" w:rsidR="00E9144E">
        <w:rPr>
          <w:lang w:val="en-US"/>
        </w:rPr>
        <w:t>disposal of the assets</w:t>
      </w:r>
      <w:r w:rsidRPr="00B849DC" w:rsidR="0031085D">
        <w:rPr>
          <w:lang w:val="en-US"/>
        </w:rPr>
        <w:t xml:space="preserve">, the </w:t>
      </w:r>
      <w:r w:rsidRPr="00B849DC">
        <w:rPr>
          <w:lang w:val="en-US"/>
        </w:rPr>
        <w:t>authorities</w:t>
      </w:r>
      <w:r w:rsidRPr="00B849DC" w:rsidR="00B849DC">
        <w:rPr>
          <w:lang w:val="en-US"/>
        </w:rPr>
        <w:t>’</w:t>
      </w:r>
      <w:r w:rsidRPr="00B849DC">
        <w:rPr>
          <w:lang w:val="en-US"/>
        </w:rPr>
        <w:t xml:space="preserve"> </w:t>
      </w:r>
      <w:r w:rsidRPr="00B849DC" w:rsidR="0031085D">
        <w:rPr>
          <w:lang w:val="en-US"/>
        </w:rPr>
        <w:t xml:space="preserve">conduct </w:t>
      </w:r>
      <w:r w:rsidRPr="00B849DC" w:rsidR="00EB71BC">
        <w:rPr>
          <w:lang w:val="en-US"/>
        </w:rPr>
        <w:t>in the</w:t>
      </w:r>
      <w:r w:rsidRPr="00B849DC" w:rsidR="0031085D">
        <w:rPr>
          <w:lang w:val="en-US"/>
        </w:rPr>
        <w:t xml:space="preserve"> </w:t>
      </w:r>
      <w:r w:rsidRPr="00B849DC" w:rsidR="00E9144E">
        <w:rPr>
          <w:lang w:val="en-US"/>
        </w:rPr>
        <w:t xml:space="preserve">liquidation and </w:t>
      </w:r>
      <w:r w:rsidRPr="00B849DC" w:rsidR="00584565">
        <w:rPr>
          <w:lang w:val="en-US"/>
        </w:rPr>
        <w:t xml:space="preserve">restructuring </w:t>
      </w:r>
      <w:r w:rsidRPr="00B849DC" w:rsidR="00E9144E">
        <w:rPr>
          <w:lang w:val="en-US"/>
        </w:rPr>
        <w:t xml:space="preserve">proceedings, giving </w:t>
      </w:r>
      <w:r w:rsidRPr="00B849DC" w:rsidR="00562793">
        <w:rPr>
          <w:lang w:val="en-US"/>
        </w:rPr>
        <w:t>binding</w:t>
      </w:r>
      <w:r w:rsidRPr="00B849DC" w:rsidR="00E9144E">
        <w:rPr>
          <w:lang w:val="en-US"/>
        </w:rPr>
        <w:t xml:space="preserve"> instructions</w:t>
      </w:r>
      <w:r w:rsidRPr="00B849DC" w:rsidR="007224FD">
        <w:rPr>
          <w:lang w:val="en-US"/>
        </w:rPr>
        <w:t xml:space="preserve"> </w:t>
      </w:r>
      <w:r w:rsidRPr="00B849DC" w:rsidR="00E9144E">
        <w:rPr>
          <w:lang w:val="en-US"/>
        </w:rPr>
        <w:t xml:space="preserve">or other </w:t>
      </w:r>
      <w:r w:rsidRPr="00B849DC" w:rsidR="0031085D">
        <w:rPr>
          <w:lang w:val="en-US"/>
        </w:rPr>
        <w:t>circumstances evidencing the actual degree of State control in a particular case</w:t>
      </w:r>
      <w:r w:rsidRPr="00B849DC" w:rsidR="00945F3A">
        <w:rPr>
          <w:lang w:val="en-US"/>
        </w:rPr>
        <w:t xml:space="preserve"> </w:t>
      </w:r>
      <w:r w:rsidRPr="00B849DC" w:rsidR="0031085D">
        <w:rPr>
          <w:lang w:val="en-US"/>
        </w:rPr>
        <w:t xml:space="preserve">(see </w:t>
      </w:r>
      <w:r w:rsidRPr="00B849DC" w:rsidR="00D24106">
        <w:rPr>
          <w:i/>
          <w:iCs/>
          <w:color w:val="000000"/>
          <w:lang w:val="en-US"/>
        </w:rPr>
        <w:t>Khachatryan</w:t>
      </w:r>
      <w:r w:rsidRPr="00B849DC" w:rsidR="00D24106">
        <w:rPr>
          <w:color w:val="000000"/>
          <w:lang w:val="en-US"/>
        </w:rPr>
        <w:t xml:space="preserve">, cited above, § 51; </w:t>
      </w:r>
      <w:r w:rsidRPr="00B849DC" w:rsidR="00D24106">
        <w:rPr>
          <w:i/>
          <w:iCs/>
          <w:color w:val="000000"/>
          <w:lang w:val="en-US"/>
        </w:rPr>
        <w:t>Chernobryvko</w:t>
      </w:r>
      <w:r w:rsidRPr="00B849DC" w:rsidR="009F7127">
        <w:rPr>
          <w:i/>
          <w:iCs/>
          <w:color w:val="000000"/>
          <w:lang w:val="en-US"/>
        </w:rPr>
        <w:t xml:space="preserve"> v. </w:t>
      </w:r>
      <w:r w:rsidRPr="00B849DC" w:rsidR="00D24106">
        <w:rPr>
          <w:i/>
          <w:iCs/>
          <w:color w:val="000000"/>
          <w:lang w:val="en-US"/>
        </w:rPr>
        <w:t>Ukraine</w:t>
      </w:r>
      <w:r w:rsidRPr="00B849DC" w:rsidR="00D24106">
        <w:rPr>
          <w:color w:val="000000"/>
          <w:lang w:val="en-US"/>
        </w:rPr>
        <w:t xml:space="preserve">, no. 11324/02, §§ 23 and 24, 13 September 2005; and </w:t>
      </w:r>
      <w:r w:rsidRPr="00B849DC" w:rsidR="00D24106">
        <w:rPr>
          <w:i/>
          <w:color w:val="000000"/>
          <w:lang w:val="en-US"/>
        </w:rPr>
        <w:t>Yershova</w:t>
      </w:r>
      <w:r w:rsidRPr="00B849DC" w:rsidR="00D24106">
        <w:rPr>
          <w:color w:val="000000"/>
          <w:lang w:val="en-US"/>
        </w:rPr>
        <w:t>, cited above, § 60)</w:t>
      </w:r>
      <w:r w:rsidRPr="00B849DC" w:rsidR="00945F3A">
        <w:rPr>
          <w:color w:val="000000"/>
          <w:lang w:val="en-US"/>
        </w:rPr>
        <w:t>.</w:t>
      </w:r>
      <w:r w:rsidRPr="00B849DC" w:rsidR="004537EF">
        <w:rPr>
          <w:color w:val="000000"/>
          <w:lang w:val="en-US"/>
        </w:rPr>
        <w:t xml:space="preserve"> </w:t>
      </w:r>
      <w:r w:rsidRPr="00B849DC" w:rsidR="00E82182">
        <w:rPr>
          <w:color w:val="000000"/>
          <w:lang w:val="en-US"/>
        </w:rPr>
        <w:t>In</w:t>
      </w:r>
      <w:r w:rsidRPr="00B849DC" w:rsidR="00972314">
        <w:rPr>
          <w:color w:val="000000"/>
          <w:lang w:val="en-US"/>
        </w:rPr>
        <w:t xml:space="preserve"> </w:t>
      </w:r>
      <w:r w:rsidRPr="00B849DC" w:rsidR="00F019C2">
        <w:rPr>
          <w:color w:val="000000"/>
          <w:lang w:val="en-US"/>
        </w:rPr>
        <w:t>other words</w:t>
      </w:r>
      <w:r w:rsidRPr="00B849DC" w:rsidR="00972314">
        <w:rPr>
          <w:color w:val="000000"/>
          <w:lang w:val="en-US"/>
        </w:rPr>
        <w:t xml:space="preserve">, </w:t>
      </w:r>
      <w:r w:rsidRPr="00B849DC" w:rsidR="0002697B">
        <w:rPr>
          <w:color w:val="000000"/>
          <w:lang w:val="en-US"/>
        </w:rPr>
        <w:t xml:space="preserve">in order to determine the issue </w:t>
      </w:r>
      <w:r w:rsidRPr="00B849DC" w:rsidR="0002697B">
        <w:rPr>
          <w:lang w:val="en-US"/>
        </w:rPr>
        <w:t xml:space="preserve">of State responsibility for </w:t>
      </w:r>
      <w:r w:rsidRPr="00B849DC" w:rsidR="00E453E7">
        <w:rPr>
          <w:lang w:val="en-US"/>
        </w:rPr>
        <w:t xml:space="preserve">the debts of </w:t>
      </w:r>
      <w:r w:rsidRPr="00B849DC" w:rsidR="0002697B">
        <w:rPr>
          <w:lang w:val="en-US"/>
        </w:rPr>
        <w:t>unitary enterprises th</w:t>
      </w:r>
      <w:r w:rsidRPr="00B849DC" w:rsidR="0002697B">
        <w:rPr>
          <w:color w:val="000000"/>
          <w:lang w:val="en-US"/>
        </w:rPr>
        <w:t>e</w:t>
      </w:r>
      <w:r w:rsidRPr="00B849DC" w:rsidR="00972314">
        <w:rPr>
          <w:color w:val="000000"/>
          <w:lang w:val="en-US"/>
        </w:rPr>
        <w:t xml:space="preserve"> </w:t>
      </w:r>
      <w:r w:rsidRPr="00B849DC" w:rsidR="00972314">
        <w:rPr>
          <w:lang w:val="en-US"/>
        </w:rPr>
        <w:t xml:space="preserve">Court </w:t>
      </w:r>
      <w:r w:rsidRPr="00B849DC" w:rsidR="00E453E7">
        <w:rPr>
          <w:lang w:val="en-US"/>
        </w:rPr>
        <w:t xml:space="preserve">must </w:t>
      </w:r>
      <w:r w:rsidRPr="00B849DC" w:rsidR="00972314">
        <w:rPr>
          <w:lang w:val="en-US"/>
        </w:rPr>
        <w:t>examine whether</w:t>
      </w:r>
      <w:r w:rsidRPr="00B849DC" w:rsidR="00924931">
        <w:rPr>
          <w:lang w:val="en-US"/>
        </w:rPr>
        <w:t xml:space="preserve"> </w:t>
      </w:r>
      <w:r w:rsidRPr="00B849DC">
        <w:rPr>
          <w:lang w:val="en-US"/>
        </w:rPr>
        <w:t xml:space="preserve">and how </w:t>
      </w:r>
      <w:r w:rsidRPr="00B849DC" w:rsidR="00924931">
        <w:rPr>
          <w:lang w:val="en-US"/>
        </w:rPr>
        <w:t xml:space="preserve">the </w:t>
      </w:r>
      <w:r w:rsidRPr="00B849DC">
        <w:rPr>
          <w:lang w:val="en-US"/>
        </w:rPr>
        <w:t xml:space="preserve">extensive </w:t>
      </w:r>
      <w:r w:rsidRPr="00B849DC" w:rsidR="00E453E7">
        <w:rPr>
          <w:lang w:val="en-US"/>
        </w:rPr>
        <w:t xml:space="preserve">powers of </w:t>
      </w:r>
      <w:r w:rsidRPr="00B849DC">
        <w:rPr>
          <w:lang w:val="en-US"/>
        </w:rPr>
        <w:t xml:space="preserve">control </w:t>
      </w:r>
      <w:r w:rsidRPr="00B849DC" w:rsidR="00924931">
        <w:rPr>
          <w:lang w:val="en-US"/>
        </w:rPr>
        <w:t>provided for in the domestic law</w:t>
      </w:r>
      <w:r w:rsidRPr="00B849DC" w:rsidR="00924931">
        <w:rPr>
          <w:color w:val="000000"/>
          <w:lang w:val="en-US"/>
        </w:rPr>
        <w:t xml:space="preserve"> </w:t>
      </w:r>
      <w:r w:rsidRPr="00B849DC" w:rsidR="004537EF">
        <w:rPr>
          <w:color w:val="000000"/>
          <w:lang w:val="en-US"/>
        </w:rPr>
        <w:t xml:space="preserve">were actually exercised by the </w:t>
      </w:r>
      <w:r w:rsidRPr="00B849DC" w:rsidR="006C3614">
        <w:rPr>
          <w:color w:val="000000"/>
          <w:lang w:val="en-US"/>
        </w:rPr>
        <w:t>authorities</w:t>
      </w:r>
      <w:r w:rsidRPr="00B849DC" w:rsidR="004537EF">
        <w:rPr>
          <w:color w:val="000000"/>
          <w:lang w:val="en-US"/>
        </w:rPr>
        <w:t xml:space="preserve"> in </w:t>
      </w:r>
      <w:r w:rsidRPr="00B849DC" w:rsidR="00F019C2">
        <w:rPr>
          <w:color w:val="000000"/>
          <w:lang w:val="en-US"/>
        </w:rPr>
        <w:t>a</w:t>
      </w:r>
      <w:r w:rsidRPr="00B849DC" w:rsidR="004537EF">
        <w:rPr>
          <w:color w:val="000000"/>
          <w:lang w:val="en-US"/>
        </w:rPr>
        <w:t xml:space="preserve"> </w:t>
      </w:r>
      <w:r w:rsidRPr="00B849DC" w:rsidR="00B820AE">
        <w:rPr>
          <w:color w:val="000000"/>
          <w:lang w:val="en-US"/>
        </w:rPr>
        <w:t>given</w:t>
      </w:r>
      <w:r w:rsidRPr="00B849DC" w:rsidR="004537EF">
        <w:rPr>
          <w:color w:val="000000"/>
          <w:lang w:val="en-US"/>
        </w:rPr>
        <w:t xml:space="preserve"> case.</w:t>
      </w:r>
    </w:p>
    <w:p w:rsidRPr="00B849DC" w:rsidR="0095545B" w:rsidP="00B849DC" w:rsidRDefault="00BE5A1F">
      <w:pPr>
        <w:pStyle w:val="ECHRHeading5"/>
        <w:rPr>
          <w:lang w:val="en-US"/>
        </w:rPr>
      </w:pPr>
      <w:r w:rsidRPr="00B849DC">
        <w:rPr>
          <w:lang w:val="en-GB"/>
        </w:rPr>
        <w:t>(</w:t>
      </w:r>
      <w:r w:rsidRPr="00B849DC" w:rsidR="006D4EB7">
        <w:rPr>
          <w:lang w:val="en-GB"/>
        </w:rPr>
        <w:t>ii</w:t>
      </w:r>
      <w:r w:rsidRPr="00B849DC">
        <w:rPr>
          <w:lang w:val="en-GB"/>
        </w:rPr>
        <w:t>)  </w:t>
      </w:r>
      <w:r w:rsidRPr="00B849DC" w:rsidR="006D4EB7">
        <w:rPr>
          <w:lang w:val="en-US"/>
        </w:rPr>
        <w:t>Whether</w:t>
      </w:r>
      <w:r w:rsidRPr="00B849DC" w:rsidR="0095545B">
        <w:rPr>
          <w:lang w:val="en-US"/>
        </w:rPr>
        <w:t xml:space="preserve"> the respondent enterprises</w:t>
      </w:r>
      <w:r w:rsidRPr="00B849DC" w:rsidR="00B849DC">
        <w:rPr>
          <w:lang w:val="en-US"/>
        </w:rPr>
        <w:t>’</w:t>
      </w:r>
      <w:r w:rsidRPr="00B849DC" w:rsidR="0095545B">
        <w:rPr>
          <w:lang w:val="en-US"/>
        </w:rPr>
        <w:t xml:space="preserve"> debts </w:t>
      </w:r>
      <w:r w:rsidRPr="00B849DC" w:rsidR="006D4EB7">
        <w:rPr>
          <w:lang w:val="en-US"/>
        </w:rPr>
        <w:t xml:space="preserve">are attributable </w:t>
      </w:r>
      <w:r w:rsidRPr="00B849DC" w:rsidR="0095545B">
        <w:rPr>
          <w:lang w:val="en-US"/>
        </w:rPr>
        <w:t>to the State in the present two cases</w:t>
      </w:r>
    </w:p>
    <w:p w:rsidRPr="00B849DC" w:rsidR="00D83AC7" w:rsidP="00B849DC" w:rsidRDefault="0012143E">
      <w:pPr>
        <w:pStyle w:val="ECHRPara"/>
        <w:rPr>
          <w:lang w:val="en-GB"/>
        </w:rPr>
      </w:pPr>
      <w:r w:rsidRPr="00B849DC">
        <w:rPr>
          <w:lang w:val="en-US"/>
        </w:rPr>
        <w:fldChar w:fldCharType="begin"/>
      </w:r>
      <w:r w:rsidRPr="00B849DC">
        <w:rPr>
          <w:lang w:val="en-US"/>
        </w:rPr>
        <w:instrText xml:space="preserve"> SEQ level0 \*arabic </w:instrText>
      </w:r>
      <w:r w:rsidRPr="00B849DC">
        <w:rPr>
          <w:lang w:val="en-US"/>
        </w:rPr>
        <w:fldChar w:fldCharType="separate"/>
      </w:r>
      <w:r w:rsidRPr="00B849DC" w:rsidR="00B849DC">
        <w:rPr>
          <w:noProof/>
          <w:lang w:val="en-US"/>
        </w:rPr>
        <w:t>207</w:t>
      </w:r>
      <w:r w:rsidRPr="00B849DC">
        <w:rPr>
          <w:lang w:val="en-US"/>
        </w:rPr>
        <w:fldChar w:fldCharType="end"/>
      </w:r>
      <w:r w:rsidRPr="00B849DC">
        <w:rPr>
          <w:lang w:val="en-US"/>
        </w:rPr>
        <w:t>.  </w:t>
      </w:r>
      <w:r w:rsidRPr="00B849DC" w:rsidR="00B80429">
        <w:rPr>
          <w:lang w:val="en-US"/>
        </w:rPr>
        <w:t>The Court will now apply the above criteria to the present two cases.</w:t>
      </w:r>
    </w:p>
    <w:p w:rsidRPr="00B849DC" w:rsidR="00730FC4" w:rsidP="00B849DC" w:rsidRDefault="009F7127">
      <w:pPr>
        <w:pStyle w:val="ECHRHeading6"/>
        <w:rPr>
          <w:lang w:val="en-US"/>
        </w:rPr>
      </w:pPr>
      <w:r w:rsidRPr="00B849DC">
        <w:rPr>
          <w:rFonts w:cstheme="majorHAnsi"/>
          <w:lang w:val="en-US"/>
        </w:rPr>
        <w:t>(</w:t>
      </w:r>
      <w:r w:rsidRPr="00B849DC" w:rsidR="006D4EB7">
        <w:rPr>
          <w:rFonts w:cstheme="majorHAnsi"/>
        </w:rPr>
        <w:t>α</w:t>
      </w:r>
      <w:r w:rsidRPr="00B849DC">
        <w:rPr>
          <w:rFonts w:cstheme="majorHAnsi"/>
          <w:lang w:val="en-US"/>
        </w:rPr>
        <w:t>)</w:t>
      </w:r>
      <w:r w:rsidRPr="00B849DC" w:rsidR="00730FC4">
        <w:rPr>
          <w:lang w:val="en-US"/>
        </w:rPr>
        <w:t>  Application by Mr Maslov</w:t>
      </w:r>
    </w:p>
    <w:p w:rsidRPr="00B849DC" w:rsidR="00B80429" w:rsidP="00B849DC" w:rsidRDefault="00730FC4">
      <w:pPr>
        <w:pStyle w:val="ECHRPara"/>
        <w:rPr>
          <w:lang w:val="en-US"/>
        </w:rPr>
      </w:pPr>
      <w:r w:rsidRPr="00B849DC">
        <w:fldChar w:fldCharType="begin"/>
      </w:r>
      <w:r w:rsidRPr="00B849DC">
        <w:rPr>
          <w:lang w:val="en-US"/>
        </w:rPr>
        <w:instrText xml:space="preserve"> SEQ level0 \*arabic </w:instrText>
      </w:r>
      <w:r w:rsidRPr="00B849DC">
        <w:fldChar w:fldCharType="separate"/>
      </w:r>
      <w:r w:rsidRPr="00B849DC" w:rsidR="00B849DC">
        <w:rPr>
          <w:noProof/>
          <w:lang w:val="en-US"/>
        </w:rPr>
        <w:t>208</w:t>
      </w:r>
      <w:r w:rsidRPr="00B849DC">
        <w:fldChar w:fldCharType="end"/>
      </w:r>
      <w:r w:rsidRPr="00B849DC">
        <w:rPr>
          <w:lang w:val="en-US"/>
        </w:rPr>
        <w:t>.  </w:t>
      </w:r>
      <w:r w:rsidRPr="00B849DC" w:rsidR="00026172">
        <w:rPr>
          <w:lang w:val="en-US"/>
        </w:rPr>
        <w:t xml:space="preserve">As regards the </w:t>
      </w:r>
      <w:r w:rsidRPr="00B849DC" w:rsidR="009E7A0E">
        <w:rPr>
          <w:lang w:val="en-US"/>
        </w:rPr>
        <w:t xml:space="preserve">sphere of </w:t>
      </w:r>
      <w:r w:rsidRPr="00B849DC" w:rsidR="00026172">
        <w:rPr>
          <w:lang w:val="en-US"/>
        </w:rPr>
        <w:t>company</w:t>
      </w:r>
      <w:r w:rsidRPr="00B849DC" w:rsidR="00B849DC">
        <w:rPr>
          <w:lang w:val="en-US"/>
        </w:rPr>
        <w:t>’</w:t>
      </w:r>
      <w:r w:rsidRPr="00B849DC" w:rsidR="00026172">
        <w:rPr>
          <w:lang w:val="en-US"/>
        </w:rPr>
        <w:t xml:space="preserve">s </w:t>
      </w:r>
      <w:r w:rsidRPr="00B849DC" w:rsidR="009E7A0E">
        <w:rPr>
          <w:lang w:val="en-US"/>
        </w:rPr>
        <w:t>operation</w:t>
      </w:r>
      <w:r w:rsidRPr="00B849DC" w:rsidR="00026172">
        <w:rPr>
          <w:lang w:val="en-US"/>
        </w:rPr>
        <w:t xml:space="preserve">, the </w:t>
      </w:r>
      <w:r w:rsidRPr="00B849DC" w:rsidR="00B80429">
        <w:rPr>
          <w:lang w:val="en-US"/>
        </w:rPr>
        <w:t xml:space="preserve">Government put special emphasis </w:t>
      </w:r>
      <w:r w:rsidRPr="00B849DC" w:rsidR="008313B7">
        <w:rPr>
          <w:lang w:val="en-US"/>
        </w:rPr>
        <w:t xml:space="preserve">in their observations </w:t>
      </w:r>
      <w:r w:rsidRPr="00B849DC" w:rsidR="00B80429">
        <w:rPr>
          <w:lang w:val="en-US"/>
        </w:rPr>
        <w:t>on such functions of the debtor company as transportation, funeral services, production of fast</w:t>
      </w:r>
      <w:r w:rsidRPr="00B849DC" w:rsidR="009F7127">
        <w:rPr>
          <w:lang w:val="en-US"/>
        </w:rPr>
        <w:noBreakHyphen/>
      </w:r>
      <w:r w:rsidRPr="00B849DC" w:rsidR="00B80429">
        <w:rPr>
          <w:lang w:val="en-US"/>
        </w:rPr>
        <w:t>moving consumer goods or disposal of dry waste</w:t>
      </w:r>
      <w:r w:rsidRPr="00B849DC" w:rsidR="00026172">
        <w:rPr>
          <w:lang w:val="en-US"/>
        </w:rPr>
        <w:t xml:space="preserve"> (see paragraph </w:t>
      </w:r>
      <w:r w:rsidRPr="00B849DC" w:rsidR="005521A1">
        <w:rPr>
          <w:lang w:val="en-US"/>
        </w:rPr>
        <w:t>1</w:t>
      </w:r>
      <w:r w:rsidRPr="00B849DC" w:rsidR="00D9299E">
        <w:rPr>
          <w:lang w:val="en-US"/>
        </w:rPr>
        <w:t>4</w:t>
      </w:r>
      <w:r w:rsidRPr="00B849DC" w:rsidR="00DF43D8">
        <w:rPr>
          <w:lang w:val="en-US"/>
        </w:rPr>
        <w:t>3</w:t>
      </w:r>
      <w:r w:rsidRPr="00B849DC" w:rsidR="00026172">
        <w:rPr>
          <w:lang w:val="en-US"/>
        </w:rPr>
        <w:t xml:space="preserve"> above).</w:t>
      </w:r>
      <w:r w:rsidRPr="00B849DC" w:rsidR="00B80429">
        <w:rPr>
          <w:lang w:val="en-US"/>
        </w:rPr>
        <w:t xml:space="preserve"> </w:t>
      </w:r>
      <w:r w:rsidRPr="00B849DC" w:rsidR="00026172">
        <w:rPr>
          <w:lang w:val="en-US"/>
        </w:rPr>
        <w:t>However, it appears from the domestic courts</w:t>
      </w:r>
      <w:r w:rsidRPr="00B849DC" w:rsidR="00B849DC">
        <w:rPr>
          <w:lang w:val="en-US"/>
        </w:rPr>
        <w:t>’</w:t>
      </w:r>
      <w:r w:rsidRPr="00B849DC" w:rsidR="00026172">
        <w:rPr>
          <w:lang w:val="en-US"/>
        </w:rPr>
        <w:t xml:space="preserve"> findings and the applicant</w:t>
      </w:r>
      <w:r w:rsidRPr="00B849DC" w:rsidR="00B849DC">
        <w:rPr>
          <w:lang w:val="en-US"/>
        </w:rPr>
        <w:t>’</w:t>
      </w:r>
      <w:r w:rsidRPr="00B849DC" w:rsidR="00026172">
        <w:rPr>
          <w:lang w:val="en-US"/>
        </w:rPr>
        <w:t>s submissions</w:t>
      </w:r>
      <w:r w:rsidRPr="00B849DC" w:rsidR="009E7A0E">
        <w:rPr>
          <w:lang w:val="en-US"/>
        </w:rPr>
        <w:t xml:space="preserve"> – </w:t>
      </w:r>
      <w:r w:rsidRPr="00B849DC" w:rsidR="00026172">
        <w:rPr>
          <w:lang w:val="en-US"/>
        </w:rPr>
        <w:t xml:space="preserve">which were not challenged by the Government at any stage of </w:t>
      </w:r>
      <w:r w:rsidRPr="00B849DC" w:rsidR="00E46089">
        <w:rPr>
          <w:lang w:val="en-US"/>
        </w:rPr>
        <w:t xml:space="preserve">the </w:t>
      </w:r>
      <w:r w:rsidRPr="00B849DC" w:rsidR="00026172">
        <w:rPr>
          <w:lang w:val="en-US"/>
        </w:rPr>
        <w:t xml:space="preserve">proceedings </w:t>
      </w:r>
      <w:r w:rsidRPr="00B849DC" w:rsidR="009E7A0E">
        <w:rPr>
          <w:lang w:val="en-US"/>
        </w:rPr>
        <w:t xml:space="preserve">– </w:t>
      </w:r>
      <w:r w:rsidRPr="00B849DC" w:rsidR="00026172">
        <w:rPr>
          <w:lang w:val="en-US"/>
        </w:rPr>
        <w:t xml:space="preserve">that the company was, in fact, </w:t>
      </w:r>
      <w:r w:rsidRPr="00B849DC" w:rsidR="00EC5A67">
        <w:rPr>
          <w:lang w:val="en-US"/>
        </w:rPr>
        <w:t xml:space="preserve">responsible for water and heating supply in the Mezen </w:t>
      </w:r>
      <w:r w:rsidRPr="00B849DC" w:rsidR="008313B7">
        <w:rPr>
          <w:lang w:val="en-US"/>
        </w:rPr>
        <w:t>District</w:t>
      </w:r>
      <w:r w:rsidRPr="00B849DC" w:rsidR="00EC5A67">
        <w:rPr>
          <w:lang w:val="en-US"/>
        </w:rPr>
        <w:t xml:space="preserve"> of the Arkhangelsk Region. Its </w:t>
      </w:r>
      <w:r w:rsidRPr="00B849DC" w:rsidR="00B80429">
        <w:rPr>
          <w:lang w:val="en-US"/>
        </w:rPr>
        <w:t xml:space="preserve">core functions included, first and foremost, heating and water supply, maintenance of sewage systems, boiler plants, artesian wells and </w:t>
      </w:r>
      <w:r w:rsidRPr="00B849DC" w:rsidR="008313B7">
        <w:rPr>
          <w:lang w:val="en-US"/>
        </w:rPr>
        <w:t xml:space="preserve">related </w:t>
      </w:r>
      <w:r w:rsidRPr="00B849DC" w:rsidR="00B80429">
        <w:rPr>
          <w:lang w:val="en-US"/>
        </w:rPr>
        <w:t>infrastructure, heating supply systems (networks)</w:t>
      </w:r>
      <w:r w:rsidRPr="00B849DC" w:rsidR="00EC5A67">
        <w:rPr>
          <w:lang w:val="en-US"/>
        </w:rPr>
        <w:t>, as well as</w:t>
      </w:r>
      <w:r w:rsidRPr="00B849DC" w:rsidR="00B80429">
        <w:rPr>
          <w:lang w:val="en-US"/>
        </w:rPr>
        <w:t xml:space="preserve"> </w:t>
      </w:r>
      <w:r w:rsidRPr="00B849DC" w:rsidR="00EC5A67">
        <w:rPr>
          <w:lang w:val="en-US"/>
        </w:rPr>
        <w:t xml:space="preserve">maintenance of the </w:t>
      </w:r>
      <w:r w:rsidRPr="00B849DC" w:rsidR="001F3EFA">
        <w:rPr>
          <w:lang w:val="en-US"/>
        </w:rPr>
        <w:t xml:space="preserve">municipal </w:t>
      </w:r>
      <w:r w:rsidRPr="00B849DC" w:rsidR="00EC5A67">
        <w:rPr>
          <w:lang w:val="en-US"/>
        </w:rPr>
        <w:t xml:space="preserve">housing </w:t>
      </w:r>
      <w:r w:rsidRPr="00B849DC" w:rsidR="004932D9">
        <w:rPr>
          <w:lang w:val="en-US"/>
        </w:rPr>
        <w:t xml:space="preserve">stock </w:t>
      </w:r>
      <w:r w:rsidRPr="00B849DC" w:rsidR="00EC5A67">
        <w:rPr>
          <w:lang w:val="en-US"/>
        </w:rPr>
        <w:t>(see paragraph 26 above).</w:t>
      </w:r>
    </w:p>
    <w:p w:rsidRPr="00B849DC" w:rsidR="00A52B94" w:rsidP="00B849DC" w:rsidRDefault="00B80429">
      <w:pPr>
        <w:pStyle w:val="ECHRPara"/>
        <w:rPr>
          <w:lang w:val="en-US"/>
        </w:rPr>
      </w:pPr>
      <w:r w:rsidRPr="00B849DC">
        <w:rPr>
          <w:lang w:val="en-US"/>
        </w:rPr>
        <w:fldChar w:fldCharType="begin"/>
      </w:r>
      <w:r w:rsidRPr="00B849DC">
        <w:rPr>
          <w:lang w:val="en-US"/>
        </w:rPr>
        <w:instrText xml:space="preserve"> SEQ level0 \*arabic </w:instrText>
      </w:r>
      <w:r w:rsidRPr="00B849DC">
        <w:rPr>
          <w:lang w:val="en-US"/>
        </w:rPr>
        <w:fldChar w:fldCharType="separate"/>
      </w:r>
      <w:r w:rsidRPr="00B849DC" w:rsidR="00B849DC">
        <w:rPr>
          <w:noProof/>
          <w:lang w:val="en-US"/>
        </w:rPr>
        <w:t>209</w:t>
      </w:r>
      <w:r w:rsidRPr="00B849DC">
        <w:rPr>
          <w:lang w:val="en-US"/>
        </w:rPr>
        <w:fldChar w:fldCharType="end"/>
      </w:r>
      <w:r w:rsidRPr="00B849DC">
        <w:rPr>
          <w:lang w:val="en-US"/>
        </w:rPr>
        <w:t>.  </w:t>
      </w:r>
      <w:r w:rsidRPr="00B849DC" w:rsidR="00A52B94">
        <w:rPr>
          <w:lang w:val="en-US"/>
        </w:rPr>
        <w:t xml:space="preserve">Therefore, as in </w:t>
      </w:r>
      <w:r w:rsidRPr="00B849DC" w:rsidR="00A52B94">
        <w:rPr>
          <w:i/>
          <w:lang w:val="en-US"/>
        </w:rPr>
        <w:t>Yershova</w:t>
      </w:r>
      <w:r w:rsidRPr="00B849DC" w:rsidR="00A52B94">
        <w:rPr>
          <w:lang w:val="en-US"/>
        </w:rPr>
        <w:t xml:space="preserve"> (cited above, § 58), the company</w:t>
      </w:r>
      <w:r w:rsidRPr="00B849DC" w:rsidR="00B849DC">
        <w:rPr>
          <w:lang w:val="en-US"/>
        </w:rPr>
        <w:t>’</w:t>
      </w:r>
      <w:r w:rsidRPr="00B849DC" w:rsidR="00A52B94">
        <w:rPr>
          <w:lang w:val="en-US"/>
        </w:rPr>
        <w:t xml:space="preserve">s institutional links with the public administration were strengthened in the instant case by the special nature of its activities. </w:t>
      </w:r>
      <w:r w:rsidRPr="00B849DC" w:rsidR="00852C5F">
        <w:rPr>
          <w:lang w:val="en-US"/>
        </w:rPr>
        <w:t xml:space="preserve">It provided services which were, by their nature, of vital importance to the district population. </w:t>
      </w:r>
      <w:r w:rsidRPr="00B849DC" w:rsidR="00A52B94">
        <w:rPr>
          <w:lang w:val="en-US"/>
        </w:rPr>
        <w:t xml:space="preserve">The </w:t>
      </w:r>
      <w:r w:rsidRPr="00B849DC" w:rsidR="00852C5F">
        <w:rPr>
          <w:lang w:val="en-US"/>
        </w:rPr>
        <w:t>property</w:t>
      </w:r>
      <w:r w:rsidRPr="00B849DC" w:rsidR="00A52B94">
        <w:rPr>
          <w:lang w:val="en-US"/>
        </w:rPr>
        <w:t xml:space="preserve"> allocated for the above</w:t>
      </w:r>
      <w:r w:rsidRPr="00B849DC" w:rsidR="00665E22">
        <w:rPr>
          <w:lang w:val="en-US"/>
        </w:rPr>
        <w:t>-mentioned</w:t>
      </w:r>
      <w:r w:rsidRPr="00B849DC" w:rsidR="00A52B94">
        <w:rPr>
          <w:lang w:val="en-US"/>
        </w:rPr>
        <w:t xml:space="preserve"> purposes </w:t>
      </w:r>
      <w:r w:rsidRPr="00B849DC" w:rsidR="004C15EB">
        <w:rPr>
          <w:lang w:val="en-US"/>
        </w:rPr>
        <w:t xml:space="preserve">accordingly </w:t>
      </w:r>
      <w:r w:rsidRPr="00B849DC" w:rsidR="00A52B94">
        <w:rPr>
          <w:lang w:val="en-US"/>
        </w:rPr>
        <w:t xml:space="preserve">enjoyed special </w:t>
      </w:r>
      <w:r w:rsidRPr="00B849DC" w:rsidR="00957BF7">
        <w:rPr>
          <w:lang w:val="en-US"/>
        </w:rPr>
        <w:t xml:space="preserve">treatment </w:t>
      </w:r>
      <w:r w:rsidRPr="00B849DC" w:rsidR="00A52B94">
        <w:rPr>
          <w:lang w:val="en-US"/>
        </w:rPr>
        <w:t>under the domestic law, constituting “socially important assets” within the meaning of the Insolvency Act (see paragraph </w:t>
      </w:r>
      <w:r w:rsidRPr="00B849DC" w:rsidR="005521A1">
        <w:rPr>
          <w:lang w:val="en-US"/>
        </w:rPr>
        <w:t>1</w:t>
      </w:r>
      <w:r w:rsidRPr="00B849DC" w:rsidR="00061EC3">
        <w:rPr>
          <w:lang w:val="en-US"/>
        </w:rPr>
        <w:t>2</w:t>
      </w:r>
      <w:r w:rsidRPr="00B849DC" w:rsidR="00DF43D8">
        <w:rPr>
          <w:lang w:val="en-US"/>
        </w:rPr>
        <w:t>5</w:t>
      </w:r>
      <w:r w:rsidRPr="00B849DC" w:rsidR="00A52B94">
        <w:rPr>
          <w:lang w:val="en-US"/>
        </w:rPr>
        <w:t xml:space="preserve"> above). It has not been disputed that the </w:t>
      </w:r>
      <w:r w:rsidRPr="00B849DC" w:rsidR="00B24DBA">
        <w:rPr>
          <w:lang w:val="en-US"/>
        </w:rPr>
        <w:t xml:space="preserve">tariffs of the </w:t>
      </w:r>
      <w:r w:rsidRPr="00B849DC" w:rsidR="00A52B94">
        <w:rPr>
          <w:lang w:val="en-US"/>
        </w:rPr>
        <w:t xml:space="preserve">housing and communal services, as well as </w:t>
      </w:r>
      <w:r w:rsidRPr="00B849DC" w:rsidR="007323C7">
        <w:rPr>
          <w:lang w:val="en-US"/>
        </w:rPr>
        <w:t xml:space="preserve">the </w:t>
      </w:r>
      <w:r w:rsidRPr="00B849DC" w:rsidR="00A52B94">
        <w:rPr>
          <w:lang w:val="en-US"/>
        </w:rPr>
        <w:t>heating and water supply services provided by the company</w:t>
      </w:r>
      <w:r w:rsidRPr="00B849DC" w:rsidR="00957BF7">
        <w:rPr>
          <w:lang w:val="en-US"/>
        </w:rPr>
        <w:t>,</w:t>
      </w:r>
      <w:r w:rsidRPr="00B849DC" w:rsidR="00A52B94">
        <w:rPr>
          <w:lang w:val="en-US"/>
        </w:rPr>
        <w:t xml:space="preserve"> were </w:t>
      </w:r>
      <w:r w:rsidRPr="00B849DC" w:rsidR="00B24DBA">
        <w:rPr>
          <w:lang w:val="en-US"/>
        </w:rPr>
        <w:t xml:space="preserve">set </w:t>
      </w:r>
      <w:r w:rsidRPr="00B849DC" w:rsidR="00A52B94">
        <w:rPr>
          <w:lang w:val="en-US"/>
        </w:rPr>
        <w:t>by the district administration (see paragraphs </w:t>
      </w:r>
      <w:r w:rsidRPr="00B849DC" w:rsidR="005521A1">
        <w:rPr>
          <w:lang w:val="en-US"/>
        </w:rPr>
        <w:t>31</w:t>
      </w:r>
      <w:r w:rsidRPr="00B849DC" w:rsidR="00A52B94">
        <w:rPr>
          <w:lang w:val="en-US"/>
        </w:rPr>
        <w:t xml:space="preserve">, </w:t>
      </w:r>
      <w:r w:rsidRPr="00B849DC" w:rsidR="005521A1">
        <w:rPr>
          <w:lang w:val="en-US"/>
        </w:rPr>
        <w:t>33</w:t>
      </w:r>
      <w:r w:rsidRPr="00B849DC" w:rsidR="00A52B94">
        <w:rPr>
          <w:lang w:val="en-US"/>
        </w:rPr>
        <w:t xml:space="preserve"> and </w:t>
      </w:r>
      <w:r w:rsidRPr="00B849DC" w:rsidR="005521A1">
        <w:rPr>
          <w:lang w:val="en-US"/>
        </w:rPr>
        <w:t>48</w:t>
      </w:r>
      <w:r w:rsidRPr="00B849DC" w:rsidR="00A52B94">
        <w:rPr>
          <w:lang w:val="en-US"/>
        </w:rPr>
        <w:t xml:space="preserve"> above). </w:t>
      </w:r>
      <w:r w:rsidRPr="00B849DC" w:rsidR="007323C7">
        <w:rPr>
          <w:lang w:val="en-US"/>
        </w:rPr>
        <w:t>It</w:t>
      </w:r>
      <w:r w:rsidRPr="00B849DC" w:rsidR="00A52B94">
        <w:rPr>
          <w:lang w:val="en-US"/>
        </w:rPr>
        <w:t xml:space="preserve"> was established in the subsidiary liability proceedings that the tariff</w:t>
      </w:r>
      <w:r w:rsidRPr="00B849DC" w:rsidR="009F7127">
        <w:rPr>
          <w:lang w:val="en-US"/>
        </w:rPr>
        <w:noBreakHyphen/>
      </w:r>
      <w:r w:rsidRPr="00B849DC" w:rsidR="00A52B94">
        <w:rPr>
          <w:lang w:val="en-US"/>
        </w:rPr>
        <w:t>setting policy adopted by the local administration had considerable effect on the company</w:t>
      </w:r>
      <w:r w:rsidRPr="00B849DC" w:rsidR="00B849DC">
        <w:rPr>
          <w:lang w:val="en-US"/>
        </w:rPr>
        <w:t>’</w:t>
      </w:r>
      <w:r w:rsidRPr="00B849DC" w:rsidR="00A52B94">
        <w:rPr>
          <w:lang w:val="en-US"/>
        </w:rPr>
        <w:t>s financial situation (see paragraph </w:t>
      </w:r>
      <w:r w:rsidRPr="00B849DC" w:rsidR="005521A1">
        <w:rPr>
          <w:lang w:val="en-US"/>
        </w:rPr>
        <w:t>48</w:t>
      </w:r>
      <w:r w:rsidRPr="00B849DC" w:rsidR="00A52B94">
        <w:rPr>
          <w:lang w:val="en-US"/>
        </w:rPr>
        <w:t xml:space="preserve"> above). The Court notes that relations arising from the management of communal infrastructure of vital importance were </w:t>
      </w:r>
      <w:r w:rsidRPr="00B849DC" w:rsidR="00B24DBA">
        <w:rPr>
          <w:lang w:val="en-US"/>
        </w:rPr>
        <w:t xml:space="preserve">considered </w:t>
      </w:r>
      <w:r w:rsidRPr="00B849DC" w:rsidR="00A52B94">
        <w:rPr>
          <w:lang w:val="en-US"/>
        </w:rPr>
        <w:t>by the Constitutional Court of the Russian Federation as public in nature (see paragraph </w:t>
      </w:r>
      <w:r w:rsidRPr="00B849DC" w:rsidR="00061EC3">
        <w:rPr>
          <w:lang w:val="en-US"/>
        </w:rPr>
        <w:t>12</w:t>
      </w:r>
      <w:r w:rsidRPr="00B849DC" w:rsidR="00DF43D8">
        <w:rPr>
          <w:lang w:val="en-US"/>
        </w:rPr>
        <w:t>4</w:t>
      </w:r>
      <w:r w:rsidRPr="00B849DC" w:rsidR="009F7127">
        <w:rPr>
          <w:lang w:val="en-US"/>
        </w:rPr>
        <w:t xml:space="preserve"> above).</w:t>
      </w:r>
    </w:p>
    <w:p w:rsidRPr="00B849DC" w:rsidR="00B80429" w:rsidP="00B849DC" w:rsidRDefault="008415FC">
      <w:pPr>
        <w:pStyle w:val="ECHRPara"/>
        <w:rPr>
          <w:lang w:val="en-US"/>
        </w:rPr>
      </w:pPr>
      <w:r w:rsidRPr="00B849DC">
        <w:rPr>
          <w:lang w:val="en-US"/>
        </w:rPr>
        <w:fldChar w:fldCharType="begin"/>
      </w:r>
      <w:r w:rsidRPr="00B849DC">
        <w:rPr>
          <w:lang w:val="en-US"/>
        </w:rPr>
        <w:instrText xml:space="preserve"> SEQ level0 \*arabic </w:instrText>
      </w:r>
      <w:r w:rsidRPr="00B849DC">
        <w:rPr>
          <w:lang w:val="en-US"/>
        </w:rPr>
        <w:fldChar w:fldCharType="separate"/>
      </w:r>
      <w:r w:rsidRPr="00B849DC" w:rsidR="00B849DC">
        <w:rPr>
          <w:noProof/>
          <w:lang w:val="en-US"/>
        </w:rPr>
        <w:t>210</w:t>
      </w:r>
      <w:r w:rsidRPr="00B849DC">
        <w:rPr>
          <w:lang w:val="en-US"/>
        </w:rPr>
        <w:fldChar w:fldCharType="end"/>
      </w:r>
      <w:r w:rsidRPr="00B849DC">
        <w:rPr>
          <w:lang w:val="en-US"/>
        </w:rPr>
        <w:t>.  </w:t>
      </w:r>
      <w:r w:rsidRPr="00B849DC" w:rsidR="00AC3DE9">
        <w:rPr>
          <w:lang w:val="en-US"/>
        </w:rPr>
        <w:t xml:space="preserve">Therefore, in </w:t>
      </w:r>
      <w:r w:rsidRPr="00B849DC">
        <w:rPr>
          <w:lang w:val="en-US"/>
        </w:rPr>
        <w:t>the Court</w:t>
      </w:r>
      <w:r w:rsidRPr="00B849DC" w:rsidR="00B849DC">
        <w:rPr>
          <w:lang w:val="en-US"/>
        </w:rPr>
        <w:t>’</w:t>
      </w:r>
      <w:r w:rsidRPr="00B849DC">
        <w:rPr>
          <w:lang w:val="en-US"/>
        </w:rPr>
        <w:t xml:space="preserve">s view, </w:t>
      </w:r>
      <w:r w:rsidRPr="00B849DC" w:rsidR="00B24DBA">
        <w:rPr>
          <w:lang w:val="en-US"/>
        </w:rPr>
        <w:t xml:space="preserve">in the present case </w:t>
      </w:r>
      <w:r w:rsidRPr="00B849DC">
        <w:rPr>
          <w:lang w:val="en-US"/>
        </w:rPr>
        <w:t>the company</w:t>
      </w:r>
      <w:r w:rsidRPr="00B849DC" w:rsidR="00B849DC">
        <w:rPr>
          <w:lang w:val="en-US"/>
        </w:rPr>
        <w:t>’</w:t>
      </w:r>
      <w:r w:rsidRPr="00B849DC">
        <w:rPr>
          <w:lang w:val="en-US"/>
        </w:rPr>
        <w:t xml:space="preserve">s core activities </w:t>
      </w:r>
      <w:r w:rsidRPr="00B849DC" w:rsidR="00E14D14">
        <w:rPr>
          <w:lang w:val="en-US"/>
        </w:rPr>
        <w:t>constituted “</w:t>
      </w:r>
      <w:r w:rsidRPr="00B849DC" w:rsidR="00B80429">
        <w:rPr>
          <w:lang w:val="en-US"/>
        </w:rPr>
        <w:t xml:space="preserve">public </w:t>
      </w:r>
      <w:r w:rsidRPr="00B849DC" w:rsidR="001540E0">
        <w:rPr>
          <w:lang w:val="en-US"/>
        </w:rPr>
        <w:t>dut</w:t>
      </w:r>
      <w:r w:rsidRPr="00B849DC" w:rsidR="00E14D14">
        <w:rPr>
          <w:lang w:val="en-US"/>
        </w:rPr>
        <w:t>ies</w:t>
      </w:r>
      <w:r w:rsidRPr="00B849DC" w:rsidR="00B80429">
        <w:rPr>
          <w:lang w:val="en-US"/>
        </w:rPr>
        <w:t xml:space="preserve"> </w:t>
      </w:r>
      <w:r w:rsidRPr="00B849DC">
        <w:rPr>
          <w:lang w:val="en-US"/>
        </w:rPr>
        <w:t>performed under the control of the authorities</w:t>
      </w:r>
      <w:r w:rsidRPr="00B849DC" w:rsidR="00E14D14">
        <w:rPr>
          <w:lang w:val="en-US"/>
        </w:rPr>
        <w:t>”</w:t>
      </w:r>
      <w:r w:rsidRPr="00B849DC">
        <w:rPr>
          <w:lang w:val="en-US"/>
        </w:rPr>
        <w:t xml:space="preserve"> (see paragraph </w:t>
      </w:r>
      <w:r w:rsidRPr="00B849DC" w:rsidR="0012143E">
        <w:rPr>
          <w:lang w:val="en-US"/>
        </w:rPr>
        <w:t>20</w:t>
      </w:r>
      <w:r w:rsidRPr="00B849DC" w:rsidR="00DF43D8">
        <w:rPr>
          <w:lang w:val="en-US"/>
        </w:rPr>
        <w:t>6</w:t>
      </w:r>
      <w:r w:rsidRPr="00B849DC" w:rsidR="006C4ABA">
        <w:rPr>
          <w:lang w:val="en-US"/>
        </w:rPr>
        <w:t xml:space="preserve"> above and the Court</w:t>
      </w:r>
      <w:r w:rsidRPr="00B849DC" w:rsidR="00B849DC">
        <w:rPr>
          <w:lang w:val="en-US"/>
        </w:rPr>
        <w:t>’</w:t>
      </w:r>
      <w:r w:rsidRPr="00B849DC" w:rsidR="006C4ABA">
        <w:rPr>
          <w:lang w:val="en-US"/>
        </w:rPr>
        <w:t>s case-law cited in paragraphs </w:t>
      </w:r>
      <w:r w:rsidRPr="00B849DC" w:rsidR="00DF43D8">
        <w:rPr>
          <w:lang w:val="en-US"/>
        </w:rPr>
        <w:t>184</w:t>
      </w:r>
      <w:r w:rsidRPr="00B849DC" w:rsidR="00061EC3">
        <w:rPr>
          <w:lang w:val="en-US"/>
        </w:rPr>
        <w:t xml:space="preserve"> </w:t>
      </w:r>
      <w:r w:rsidRPr="00B849DC" w:rsidR="006C4ABA">
        <w:rPr>
          <w:lang w:val="en-US"/>
        </w:rPr>
        <w:t>and 1</w:t>
      </w:r>
      <w:r w:rsidRPr="00B849DC" w:rsidR="00DF43D8">
        <w:rPr>
          <w:lang w:val="en-US"/>
        </w:rPr>
        <w:t>89</w:t>
      </w:r>
      <w:r w:rsidRPr="00B849DC">
        <w:rPr>
          <w:lang w:val="en-US"/>
        </w:rPr>
        <w:t xml:space="preserve"> above)</w:t>
      </w:r>
      <w:r w:rsidRPr="00B849DC" w:rsidR="00B80429">
        <w:rPr>
          <w:lang w:val="en-US"/>
        </w:rPr>
        <w:t>.</w:t>
      </w:r>
    </w:p>
    <w:p w:rsidRPr="00B849DC" w:rsidR="00BD5E85" w:rsidP="00B849DC" w:rsidRDefault="008415FC">
      <w:pPr>
        <w:pStyle w:val="ECHRPara"/>
        <w:rPr>
          <w:lang w:val="en-US"/>
        </w:rPr>
      </w:pPr>
      <w:r w:rsidRPr="00B849DC">
        <w:rPr>
          <w:lang w:val="en-US"/>
        </w:rPr>
        <w:fldChar w:fldCharType="begin"/>
      </w:r>
      <w:r w:rsidRPr="00B849DC">
        <w:rPr>
          <w:lang w:val="en-US"/>
        </w:rPr>
        <w:instrText xml:space="preserve"> SEQ level0 \*arabic </w:instrText>
      </w:r>
      <w:r w:rsidRPr="00B849DC">
        <w:rPr>
          <w:lang w:val="en-US"/>
        </w:rPr>
        <w:fldChar w:fldCharType="separate"/>
      </w:r>
      <w:r w:rsidRPr="00B849DC" w:rsidR="00B849DC">
        <w:rPr>
          <w:noProof/>
          <w:lang w:val="en-US"/>
        </w:rPr>
        <w:t>211</w:t>
      </w:r>
      <w:r w:rsidRPr="00B849DC">
        <w:rPr>
          <w:lang w:val="en-US"/>
        </w:rPr>
        <w:fldChar w:fldCharType="end"/>
      </w:r>
      <w:r w:rsidRPr="00B849DC">
        <w:rPr>
          <w:lang w:val="en-US"/>
        </w:rPr>
        <w:t>.  </w:t>
      </w:r>
      <w:r w:rsidRPr="00B849DC" w:rsidR="00D83AC7">
        <w:rPr>
          <w:lang w:val="en-US"/>
        </w:rPr>
        <w:t xml:space="preserve">Furthermore, the actual degree of the State control over the company was amply demonstrated by the </w:t>
      </w:r>
      <w:r w:rsidRPr="00B849DC" w:rsidR="003F47C9">
        <w:rPr>
          <w:lang w:val="en-US"/>
        </w:rPr>
        <w:t>events of 2005-2006.</w:t>
      </w:r>
      <w:r w:rsidRPr="00B849DC" w:rsidR="0028734B">
        <w:rPr>
          <w:lang w:val="en-US"/>
        </w:rPr>
        <w:t xml:space="preserve"> </w:t>
      </w:r>
      <w:r w:rsidRPr="00B849DC" w:rsidR="000207CE">
        <w:rPr>
          <w:lang w:val="en-US"/>
        </w:rPr>
        <w:t>The Court observes that the district administration or</w:t>
      </w:r>
      <w:r w:rsidRPr="00B849DC" w:rsidR="00531BF4">
        <w:rPr>
          <w:lang w:val="en-US"/>
        </w:rPr>
        <w:t xml:space="preserve">dered the </w:t>
      </w:r>
      <w:r w:rsidRPr="00B849DC" w:rsidR="00B24DBA">
        <w:rPr>
          <w:lang w:val="en-US"/>
        </w:rPr>
        <w:t>company</w:t>
      </w:r>
      <w:r w:rsidRPr="00B849DC" w:rsidR="00B849DC">
        <w:rPr>
          <w:lang w:val="en-US"/>
        </w:rPr>
        <w:t>’</w:t>
      </w:r>
      <w:r w:rsidRPr="00B849DC" w:rsidR="00B24DBA">
        <w:rPr>
          <w:lang w:val="en-US"/>
        </w:rPr>
        <w:t xml:space="preserve">s restructuring </w:t>
      </w:r>
      <w:r w:rsidRPr="00B849DC" w:rsidR="000207CE">
        <w:rPr>
          <w:lang w:val="en-US"/>
        </w:rPr>
        <w:t xml:space="preserve">in the form of </w:t>
      </w:r>
      <w:r w:rsidRPr="00B849DC" w:rsidR="000C2E47">
        <w:rPr>
          <w:lang w:val="en-US"/>
        </w:rPr>
        <w:t xml:space="preserve">a </w:t>
      </w:r>
      <w:r w:rsidRPr="00B849DC" w:rsidR="000207CE">
        <w:rPr>
          <w:lang w:val="en-US"/>
        </w:rPr>
        <w:t>spin-off (see paragraph 32 above). Further</w:t>
      </w:r>
      <w:r w:rsidRPr="00B849DC" w:rsidR="00531BF4">
        <w:rPr>
          <w:lang w:val="en-US"/>
        </w:rPr>
        <w:t xml:space="preserve">, in the context of the </w:t>
      </w:r>
      <w:r w:rsidRPr="00B849DC" w:rsidR="00B24DBA">
        <w:rPr>
          <w:lang w:val="en-US"/>
        </w:rPr>
        <w:t xml:space="preserve">restructuring </w:t>
      </w:r>
      <w:r w:rsidRPr="00B849DC" w:rsidR="000207CE">
        <w:rPr>
          <w:lang w:val="en-US"/>
        </w:rPr>
        <w:t>the owner disposed of the company</w:t>
      </w:r>
      <w:r w:rsidRPr="00B849DC" w:rsidR="00B849DC">
        <w:rPr>
          <w:lang w:val="en-US"/>
        </w:rPr>
        <w:t>’</w:t>
      </w:r>
      <w:r w:rsidRPr="00B849DC" w:rsidR="000207CE">
        <w:rPr>
          <w:lang w:val="en-US"/>
        </w:rPr>
        <w:t>s assets as it saw fit: all assets except for the company</w:t>
      </w:r>
      <w:r w:rsidRPr="00B849DC" w:rsidR="00B849DC">
        <w:rPr>
          <w:lang w:val="en-US"/>
        </w:rPr>
        <w:t>’</w:t>
      </w:r>
      <w:r w:rsidRPr="00B849DC" w:rsidR="000207CE">
        <w:rPr>
          <w:lang w:val="en-US"/>
        </w:rPr>
        <w:t>s authorized fund, as well as coal</w:t>
      </w:r>
      <w:r w:rsidRPr="00B849DC" w:rsidR="002145D1">
        <w:rPr>
          <w:lang w:val="en-US"/>
        </w:rPr>
        <w:t>,</w:t>
      </w:r>
      <w:r w:rsidRPr="00B849DC" w:rsidR="000207CE">
        <w:rPr>
          <w:lang w:val="en-US"/>
        </w:rPr>
        <w:t xml:space="preserve"> were transferred to MUP “MTS”, a newly</w:t>
      </w:r>
      <w:r w:rsidRPr="00B849DC" w:rsidR="00105275">
        <w:rPr>
          <w:lang w:val="en-US"/>
        </w:rPr>
        <w:t xml:space="preserve"> </w:t>
      </w:r>
      <w:r w:rsidRPr="00B849DC" w:rsidR="000207CE">
        <w:rPr>
          <w:lang w:val="en-US"/>
        </w:rPr>
        <w:t xml:space="preserve">created </w:t>
      </w:r>
      <w:r w:rsidRPr="00B849DC" w:rsidR="002145D1">
        <w:rPr>
          <w:lang w:val="en-US"/>
        </w:rPr>
        <w:t xml:space="preserve">legal entity </w:t>
      </w:r>
      <w:r w:rsidRPr="00B849DC" w:rsidR="000207CE">
        <w:rPr>
          <w:lang w:val="en-US"/>
        </w:rPr>
        <w:t xml:space="preserve">performing the same functions as the debtor company (see paragraph 34 above; </w:t>
      </w:r>
      <w:r w:rsidRPr="00B849DC" w:rsidR="004B41DD">
        <w:rPr>
          <w:lang w:val="en-US"/>
        </w:rPr>
        <w:t>see, in somewhat similar circumstances,</w:t>
      </w:r>
      <w:r w:rsidRPr="00B849DC" w:rsidR="000207CE">
        <w:rPr>
          <w:lang w:val="en-US"/>
        </w:rPr>
        <w:t xml:space="preserve"> </w:t>
      </w:r>
      <w:r w:rsidRPr="00B849DC" w:rsidR="000207CE">
        <w:rPr>
          <w:i/>
          <w:lang w:val="en-US"/>
        </w:rPr>
        <w:t>Yershova</w:t>
      </w:r>
      <w:r w:rsidRPr="00B849DC" w:rsidR="000207CE">
        <w:rPr>
          <w:lang w:val="en-US"/>
        </w:rPr>
        <w:t>, cited above, § </w:t>
      </w:r>
      <w:r w:rsidRPr="00B849DC" w:rsidR="007F3A2F">
        <w:rPr>
          <w:lang w:val="en-US"/>
        </w:rPr>
        <w:t>60</w:t>
      </w:r>
      <w:r w:rsidRPr="00B849DC" w:rsidR="000207CE">
        <w:rPr>
          <w:lang w:val="en-US"/>
        </w:rPr>
        <w:t>), whilst the unpaid salary debts had remained with the applicant</w:t>
      </w:r>
      <w:r w:rsidRPr="00B849DC" w:rsidR="00B849DC">
        <w:rPr>
          <w:lang w:val="en-US"/>
        </w:rPr>
        <w:t>’</w:t>
      </w:r>
      <w:r w:rsidRPr="00B849DC" w:rsidR="000207CE">
        <w:rPr>
          <w:lang w:val="en-US"/>
        </w:rPr>
        <w:t>s employer (see paragraph 3</w:t>
      </w:r>
      <w:r w:rsidRPr="00B849DC" w:rsidR="006C4ABA">
        <w:rPr>
          <w:lang w:val="en-US"/>
        </w:rPr>
        <w:t>5</w:t>
      </w:r>
      <w:r w:rsidRPr="00B849DC" w:rsidR="000207CE">
        <w:rPr>
          <w:lang w:val="en-US"/>
        </w:rPr>
        <w:t xml:space="preserve"> above).</w:t>
      </w:r>
      <w:r w:rsidRPr="00B849DC" w:rsidR="0028734B">
        <w:rPr>
          <w:lang w:val="en-US"/>
        </w:rPr>
        <w:t>The district administration further decided to wind up the company</w:t>
      </w:r>
      <w:r w:rsidRPr="00B849DC" w:rsidR="000207CE">
        <w:rPr>
          <w:lang w:val="en-US"/>
        </w:rPr>
        <w:t xml:space="preserve"> (see paragraph </w:t>
      </w:r>
      <w:r w:rsidRPr="00B849DC" w:rsidR="00690FC7">
        <w:rPr>
          <w:lang w:val="en-US"/>
        </w:rPr>
        <w:t>3</w:t>
      </w:r>
      <w:r w:rsidRPr="00B849DC" w:rsidR="006C4ABA">
        <w:rPr>
          <w:lang w:val="en-US"/>
        </w:rPr>
        <w:t>7</w:t>
      </w:r>
      <w:r w:rsidRPr="00B849DC" w:rsidR="000207CE">
        <w:rPr>
          <w:lang w:val="en-US"/>
        </w:rPr>
        <w:t xml:space="preserve"> above)</w:t>
      </w:r>
      <w:r w:rsidRPr="00B849DC" w:rsidR="0028734B">
        <w:rPr>
          <w:lang w:val="en-US"/>
        </w:rPr>
        <w:t>.</w:t>
      </w:r>
      <w:r w:rsidRPr="00B849DC" w:rsidR="00BD5E85">
        <w:rPr>
          <w:lang w:val="en-US"/>
        </w:rPr>
        <w:t xml:space="preserve"> </w:t>
      </w:r>
      <w:r w:rsidRPr="00B849DC" w:rsidR="00690FC7">
        <w:rPr>
          <w:lang w:val="en-US"/>
        </w:rPr>
        <w:t>The la</w:t>
      </w:r>
      <w:r w:rsidRPr="00B849DC" w:rsidR="00B24DBA">
        <w:rPr>
          <w:lang w:val="en-US"/>
        </w:rPr>
        <w:t>t</w:t>
      </w:r>
      <w:r w:rsidRPr="00B849DC" w:rsidR="00690FC7">
        <w:rPr>
          <w:lang w:val="en-US"/>
        </w:rPr>
        <w:t>ter proved unable to satisfy the applicant</w:t>
      </w:r>
      <w:r w:rsidRPr="00B849DC" w:rsidR="00B849DC">
        <w:rPr>
          <w:lang w:val="en-US"/>
        </w:rPr>
        <w:t>’</w:t>
      </w:r>
      <w:r w:rsidRPr="00B849DC" w:rsidR="00690FC7">
        <w:rPr>
          <w:lang w:val="en-US"/>
        </w:rPr>
        <w:t>s claims in the insolvency proceedings, for lack of assets.</w:t>
      </w:r>
    </w:p>
    <w:p w:rsidRPr="00B849DC" w:rsidR="00F866FB" w:rsidP="00B849DC" w:rsidRDefault="0028734B">
      <w:pPr>
        <w:pStyle w:val="ECHRPara"/>
        <w:rPr>
          <w:lang w:val="en-US"/>
        </w:rPr>
      </w:pPr>
      <w:r w:rsidRPr="00B849DC">
        <w:rPr>
          <w:lang w:val="en-US"/>
        </w:rPr>
        <w:fldChar w:fldCharType="begin"/>
      </w:r>
      <w:r w:rsidRPr="00B849DC">
        <w:rPr>
          <w:lang w:val="en-US"/>
        </w:rPr>
        <w:instrText xml:space="preserve"> SEQ level0 \*arabic </w:instrText>
      </w:r>
      <w:r w:rsidRPr="00B849DC">
        <w:rPr>
          <w:lang w:val="en-US"/>
        </w:rPr>
        <w:fldChar w:fldCharType="separate"/>
      </w:r>
      <w:r w:rsidRPr="00B849DC" w:rsidR="00B849DC">
        <w:rPr>
          <w:noProof/>
          <w:lang w:val="en-US"/>
        </w:rPr>
        <w:t>212</w:t>
      </w:r>
      <w:r w:rsidRPr="00B849DC">
        <w:rPr>
          <w:lang w:val="en-US"/>
        </w:rPr>
        <w:fldChar w:fldCharType="end"/>
      </w:r>
      <w:r w:rsidRPr="00B849DC">
        <w:rPr>
          <w:lang w:val="en-US"/>
        </w:rPr>
        <w:t>.  </w:t>
      </w:r>
      <w:r w:rsidRPr="00B849DC" w:rsidR="00BD5E85">
        <w:rPr>
          <w:lang w:val="en-US"/>
        </w:rPr>
        <w:t>The Court further observes that the applicant</w:t>
      </w:r>
      <w:r w:rsidRPr="00B849DC" w:rsidR="00B849DC">
        <w:rPr>
          <w:lang w:val="en-US"/>
        </w:rPr>
        <w:t>’</w:t>
      </w:r>
      <w:r w:rsidRPr="00B849DC" w:rsidR="00BD5E85">
        <w:rPr>
          <w:lang w:val="en-US"/>
        </w:rPr>
        <w:t>s attempt to claim the owner</w:t>
      </w:r>
      <w:r w:rsidRPr="00B849DC" w:rsidR="00B849DC">
        <w:rPr>
          <w:lang w:val="en-US"/>
        </w:rPr>
        <w:t>’</w:t>
      </w:r>
      <w:r w:rsidRPr="00B849DC" w:rsidR="00BD5E85">
        <w:rPr>
          <w:lang w:val="en-US"/>
        </w:rPr>
        <w:t>s subsidiary liability proved futile</w:t>
      </w:r>
      <w:r w:rsidRPr="00B849DC" w:rsidR="007542BD">
        <w:rPr>
          <w:lang w:val="en-US"/>
        </w:rPr>
        <w:t xml:space="preserve">. </w:t>
      </w:r>
      <w:r w:rsidRPr="00B849DC" w:rsidR="009151F3">
        <w:rPr>
          <w:lang w:val="en-US"/>
        </w:rPr>
        <w:t xml:space="preserve">Remarkably, </w:t>
      </w:r>
      <w:r w:rsidRPr="00B849DC" w:rsidR="00B24DBA">
        <w:rPr>
          <w:lang w:val="en-US"/>
        </w:rPr>
        <w:t xml:space="preserve">in the first set of proceedings </w:t>
      </w:r>
      <w:r w:rsidRPr="00B849DC" w:rsidR="009151F3">
        <w:rPr>
          <w:lang w:val="en-US"/>
        </w:rPr>
        <w:t>the</w:t>
      </w:r>
      <w:r w:rsidRPr="00B849DC" w:rsidR="00B4738E">
        <w:rPr>
          <w:lang w:val="en-US"/>
        </w:rPr>
        <w:t xml:space="preserve"> Mezenskiy District Court </w:t>
      </w:r>
      <w:r w:rsidRPr="00B849DC" w:rsidR="00E62D5A">
        <w:rPr>
          <w:lang w:val="en-US"/>
        </w:rPr>
        <w:t>established</w:t>
      </w:r>
      <w:r w:rsidRPr="00B849DC" w:rsidR="00607F30">
        <w:rPr>
          <w:lang w:val="en-US"/>
        </w:rPr>
        <w:t xml:space="preserve"> that the company had become unable to continue its activities as </w:t>
      </w:r>
      <w:r w:rsidRPr="00B849DC" w:rsidR="00B4738E">
        <w:rPr>
          <w:lang w:val="en-US"/>
        </w:rPr>
        <w:t>a result of the owner</w:t>
      </w:r>
      <w:r w:rsidRPr="00B849DC" w:rsidR="00B849DC">
        <w:rPr>
          <w:lang w:val="en-US"/>
        </w:rPr>
        <w:t>’</w:t>
      </w:r>
      <w:r w:rsidRPr="00B849DC" w:rsidR="00B4738E">
        <w:rPr>
          <w:lang w:val="en-US"/>
        </w:rPr>
        <w:t>s actions and concluded that the company</w:t>
      </w:r>
      <w:r w:rsidRPr="00B849DC" w:rsidR="00B849DC">
        <w:rPr>
          <w:lang w:val="en-US"/>
        </w:rPr>
        <w:t>’</w:t>
      </w:r>
      <w:r w:rsidRPr="00B849DC" w:rsidR="00B4738E">
        <w:rPr>
          <w:lang w:val="en-US"/>
        </w:rPr>
        <w:t xml:space="preserve">s debts were therefore attributable to the State. </w:t>
      </w:r>
      <w:r w:rsidRPr="00B849DC" w:rsidR="009151F3">
        <w:rPr>
          <w:lang w:val="en-US"/>
        </w:rPr>
        <w:t xml:space="preserve">However, the appeal </w:t>
      </w:r>
      <w:proofErr w:type="gramStart"/>
      <w:r w:rsidRPr="00B849DC" w:rsidR="00B24DBA">
        <w:rPr>
          <w:lang w:val="en-US"/>
        </w:rPr>
        <w:t xml:space="preserve">court </w:t>
      </w:r>
      <w:r w:rsidRPr="00B849DC" w:rsidR="009151F3">
        <w:rPr>
          <w:lang w:val="en-US"/>
        </w:rPr>
        <w:t xml:space="preserve">reversed the finding on the </w:t>
      </w:r>
      <w:r w:rsidRPr="00B849DC" w:rsidR="00B24DBA">
        <w:rPr>
          <w:lang w:val="en-US"/>
        </w:rPr>
        <w:t>State</w:t>
      </w:r>
      <w:r w:rsidRPr="00B849DC" w:rsidR="00B849DC">
        <w:rPr>
          <w:lang w:val="en-US"/>
        </w:rPr>
        <w:t>’</w:t>
      </w:r>
      <w:r w:rsidRPr="00B849DC" w:rsidR="00B24DBA">
        <w:rPr>
          <w:lang w:val="en-US"/>
        </w:rPr>
        <w:t>s liability</w:t>
      </w:r>
      <w:r w:rsidRPr="00B849DC" w:rsidR="009151F3">
        <w:rPr>
          <w:lang w:val="en-US"/>
        </w:rPr>
        <w:t xml:space="preserve">, and </w:t>
      </w:r>
      <w:r w:rsidRPr="00B849DC" w:rsidR="000C2E47">
        <w:rPr>
          <w:lang w:val="en-US"/>
        </w:rPr>
        <w:t xml:space="preserve">in the second round of the proceedings </w:t>
      </w:r>
      <w:r w:rsidRPr="00B849DC" w:rsidR="009151F3">
        <w:rPr>
          <w:lang w:val="en-US"/>
        </w:rPr>
        <w:t xml:space="preserve">the domestic courts </w:t>
      </w:r>
      <w:r w:rsidRPr="00B849DC" w:rsidR="00607F30">
        <w:rPr>
          <w:lang w:val="en-US"/>
        </w:rPr>
        <w:t xml:space="preserve">concluded that </w:t>
      </w:r>
      <w:r w:rsidRPr="00B849DC" w:rsidR="00BD5E85">
        <w:rPr>
          <w:lang w:val="en-US"/>
        </w:rPr>
        <w:t xml:space="preserve">the owner </w:t>
      </w:r>
      <w:r w:rsidRPr="00B849DC" w:rsidR="004B41DD">
        <w:rPr>
          <w:lang w:val="en-US"/>
        </w:rPr>
        <w:t xml:space="preserve">authority </w:t>
      </w:r>
      <w:r w:rsidRPr="00B849DC" w:rsidR="00B24DBA">
        <w:rPr>
          <w:lang w:val="en-US"/>
        </w:rPr>
        <w:t xml:space="preserve">had </w:t>
      </w:r>
      <w:r w:rsidRPr="00B849DC" w:rsidR="00BD5E85">
        <w:rPr>
          <w:lang w:val="en-US"/>
        </w:rPr>
        <w:t xml:space="preserve">acted lawfully and the insolvency had not occurred through </w:t>
      </w:r>
      <w:r w:rsidRPr="00B849DC" w:rsidR="00B24DBA">
        <w:rPr>
          <w:lang w:val="en-US"/>
        </w:rPr>
        <w:t xml:space="preserve">any </w:t>
      </w:r>
      <w:r w:rsidRPr="00B849DC" w:rsidR="00BD5E85">
        <w:rPr>
          <w:lang w:val="en-US"/>
        </w:rPr>
        <w:t xml:space="preserve">fault </w:t>
      </w:r>
      <w:r w:rsidRPr="00B849DC" w:rsidR="00B24DBA">
        <w:rPr>
          <w:lang w:val="en-US"/>
        </w:rPr>
        <w:t xml:space="preserve">on its part </w:t>
      </w:r>
      <w:r w:rsidRPr="00B849DC" w:rsidR="00BD5E85">
        <w:rPr>
          <w:lang w:val="en-US"/>
        </w:rPr>
        <w:t>(see</w:t>
      </w:r>
      <w:proofErr w:type="gramEnd"/>
      <w:r w:rsidRPr="00B849DC" w:rsidR="00BD5E85">
        <w:rPr>
          <w:lang w:val="en-US"/>
        </w:rPr>
        <w:t xml:space="preserve"> paragraphs </w:t>
      </w:r>
      <w:r w:rsidRPr="00B849DC" w:rsidR="006C4ABA">
        <w:rPr>
          <w:lang w:val="en-US"/>
        </w:rPr>
        <w:t>50</w:t>
      </w:r>
      <w:r w:rsidRPr="00B849DC" w:rsidR="00BD5E85">
        <w:rPr>
          <w:lang w:val="en-US"/>
        </w:rPr>
        <w:t xml:space="preserve"> and </w:t>
      </w:r>
      <w:r w:rsidRPr="00B849DC" w:rsidR="006C4ABA">
        <w:rPr>
          <w:lang w:val="en-US"/>
        </w:rPr>
        <w:t>53</w:t>
      </w:r>
      <w:r w:rsidRPr="00B849DC" w:rsidR="00BD5E85">
        <w:rPr>
          <w:lang w:val="en-US"/>
        </w:rPr>
        <w:t xml:space="preserve"> above). </w:t>
      </w:r>
      <w:r w:rsidRPr="00B849DC">
        <w:rPr>
          <w:lang w:val="en-US"/>
        </w:rPr>
        <w:t xml:space="preserve">The Court </w:t>
      </w:r>
      <w:r w:rsidRPr="00B849DC" w:rsidR="00DC7C34">
        <w:rPr>
          <w:lang w:val="en-US"/>
        </w:rPr>
        <w:t>notes that</w:t>
      </w:r>
      <w:r w:rsidRPr="00B849DC">
        <w:rPr>
          <w:lang w:val="en-US"/>
        </w:rPr>
        <w:t>, contrary to the applicant</w:t>
      </w:r>
      <w:r w:rsidRPr="00B849DC" w:rsidR="00B849DC">
        <w:rPr>
          <w:lang w:val="en-US"/>
        </w:rPr>
        <w:t>’</w:t>
      </w:r>
      <w:r w:rsidRPr="00B849DC">
        <w:rPr>
          <w:lang w:val="en-US"/>
        </w:rPr>
        <w:t xml:space="preserve">s submissions, </w:t>
      </w:r>
      <w:r w:rsidRPr="00B849DC" w:rsidR="00EE6D97">
        <w:rPr>
          <w:lang w:val="en-US"/>
        </w:rPr>
        <w:t>it</w:t>
      </w:r>
      <w:r w:rsidRPr="00B849DC">
        <w:rPr>
          <w:lang w:val="en-US"/>
        </w:rPr>
        <w:t xml:space="preserve"> is not called </w:t>
      </w:r>
      <w:r w:rsidRPr="00B849DC" w:rsidR="00B24DBA">
        <w:rPr>
          <w:lang w:val="en-US"/>
        </w:rPr>
        <w:t xml:space="preserve">upon </w:t>
      </w:r>
      <w:r w:rsidRPr="00B849DC">
        <w:rPr>
          <w:lang w:val="en-US"/>
        </w:rPr>
        <w:t>to decide</w:t>
      </w:r>
      <w:r w:rsidRPr="00B849DC" w:rsidR="007542BD">
        <w:rPr>
          <w:lang w:val="en-US"/>
        </w:rPr>
        <w:t xml:space="preserve"> whether the owner</w:t>
      </w:r>
      <w:r w:rsidRPr="00B849DC" w:rsidR="00B849DC">
        <w:rPr>
          <w:lang w:val="en-US"/>
        </w:rPr>
        <w:t>’</w:t>
      </w:r>
      <w:r w:rsidRPr="00B849DC" w:rsidR="007542BD">
        <w:rPr>
          <w:lang w:val="en-US"/>
        </w:rPr>
        <w:t>s actions were lawful in terms of the domestic civil law</w:t>
      </w:r>
      <w:r w:rsidRPr="00B849DC">
        <w:rPr>
          <w:lang w:val="en-US"/>
        </w:rPr>
        <w:t xml:space="preserve">. </w:t>
      </w:r>
      <w:r w:rsidRPr="00B849DC" w:rsidR="006A39D0">
        <w:rPr>
          <w:lang w:val="en-US"/>
        </w:rPr>
        <w:t>Instead</w:t>
      </w:r>
      <w:r w:rsidRPr="00B849DC">
        <w:rPr>
          <w:lang w:val="en-US"/>
        </w:rPr>
        <w:t xml:space="preserve">, the Court will take into account the facts established by the courts in those proceedings </w:t>
      </w:r>
      <w:r w:rsidRPr="00B849DC" w:rsidR="007542BD">
        <w:rPr>
          <w:lang w:val="en-US"/>
        </w:rPr>
        <w:t xml:space="preserve">as important elements </w:t>
      </w:r>
      <w:r w:rsidRPr="00B849DC" w:rsidR="004B41DD">
        <w:rPr>
          <w:lang w:val="en-US"/>
        </w:rPr>
        <w:t xml:space="preserve">in </w:t>
      </w:r>
      <w:r w:rsidRPr="00B849DC" w:rsidR="0061575A">
        <w:rPr>
          <w:lang w:val="en-US"/>
        </w:rPr>
        <w:t>its</w:t>
      </w:r>
      <w:r w:rsidRPr="00B849DC" w:rsidR="004B41DD">
        <w:rPr>
          <w:lang w:val="en-US"/>
        </w:rPr>
        <w:t xml:space="preserve"> assessment</w:t>
      </w:r>
      <w:r w:rsidRPr="00B849DC" w:rsidR="007542BD">
        <w:rPr>
          <w:lang w:val="en-US"/>
        </w:rPr>
        <w:t xml:space="preserve"> of</w:t>
      </w:r>
      <w:r w:rsidRPr="00B849DC" w:rsidR="008A6BFD">
        <w:rPr>
          <w:lang w:val="en-US"/>
        </w:rPr>
        <w:t xml:space="preserve"> the actual degree of State control exercised </w:t>
      </w:r>
      <w:r w:rsidRPr="00B849DC" w:rsidR="00033729">
        <w:rPr>
          <w:lang w:val="en-US"/>
        </w:rPr>
        <w:t xml:space="preserve">over the company </w:t>
      </w:r>
      <w:r w:rsidRPr="00B849DC" w:rsidR="0061575A">
        <w:rPr>
          <w:lang w:val="en-US"/>
        </w:rPr>
        <w:t>in question</w:t>
      </w:r>
      <w:r w:rsidRPr="00B849DC" w:rsidR="0020073E">
        <w:rPr>
          <w:lang w:val="en-US"/>
        </w:rPr>
        <w:t xml:space="preserve">, as well as the effect of such control on the prospects of the enforcement of the domestic judgments given in the </w:t>
      </w:r>
      <w:r w:rsidRPr="00B849DC" w:rsidR="00F866FB">
        <w:rPr>
          <w:lang w:val="en-US"/>
        </w:rPr>
        <w:t>applicant</w:t>
      </w:r>
      <w:r w:rsidRPr="00B849DC" w:rsidR="00B849DC">
        <w:rPr>
          <w:lang w:val="en-US"/>
        </w:rPr>
        <w:t>’</w:t>
      </w:r>
      <w:r w:rsidRPr="00B849DC" w:rsidR="00F866FB">
        <w:rPr>
          <w:lang w:val="en-US"/>
        </w:rPr>
        <w:t>s favour.</w:t>
      </w:r>
    </w:p>
    <w:p w:rsidRPr="00B849DC" w:rsidR="00137444" w:rsidP="00B849DC" w:rsidRDefault="008A6BFD">
      <w:pPr>
        <w:pStyle w:val="ECHRPara"/>
        <w:rPr>
          <w:lang w:val="en-US"/>
        </w:rPr>
      </w:pPr>
      <w:r w:rsidRPr="00B849DC">
        <w:rPr>
          <w:lang w:val="en-US"/>
        </w:rPr>
        <w:fldChar w:fldCharType="begin"/>
      </w:r>
      <w:r w:rsidRPr="00B849DC">
        <w:rPr>
          <w:lang w:val="en-US"/>
        </w:rPr>
        <w:instrText xml:space="preserve"> SEQ level0 \*arabic </w:instrText>
      </w:r>
      <w:r w:rsidRPr="00B849DC">
        <w:rPr>
          <w:lang w:val="en-US"/>
        </w:rPr>
        <w:fldChar w:fldCharType="separate"/>
      </w:r>
      <w:r w:rsidRPr="00B849DC" w:rsidR="00B849DC">
        <w:rPr>
          <w:noProof/>
          <w:lang w:val="en-US"/>
        </w:rPr>
        <w:t>213</w:t>
      </w:r>
      <w:r w:rsidRPr="00B849DC">
        <w:rPr>
          <w:lang w:val="en-US"/>
        </w:rPr>
        <w:fldChar w:fldCharType="end"/>
      </w:r>
      <w:r w:rsidRPr="00B849DC">
        <w:rPr>
          <w:lang w:val="en-US"/>
        </w:rPr>
        <w:t>.  </w:t>
      </w:r>
      <w:r w:rsidRPr="00B849DC" w:rsidR="00137444">
        <w:rPr>
          <w:lang w:val="en-US"/>
        </w:rPr>
        <w:t>In the Court</w:t>
      </w:r>
      <w:r w:rsidRPr="00B849DC" w:rsidR="00B849DC">
        <w:rPr>
          <w:lang w:val="en-US"/>
        </w:rPr>
        <w:t>’</w:t>
      </w:r>
      <w:r w:rsidRPr="00B849DC" w:rsidR="00137444">
        <w:rPr>
          <w:lang w:val="en-US"/>
        </w:rPr>
        <w:t>s view, the facts</w:t>
      </w:r>
      <w:r w:rsidRPr="00B849DC" w:rsidR="00B4738E">
        <w:rPr>
          <w:lang w:val="en-US"/>
        </w:rPr>
        <w:t xml:space="preserve"> </w:t>
      </w:r>
      <w:r w:rsidRPr="00B849DC" w:rsidR="00FD05B9">
        <w:rPr>
          <w:lang w:val="en-US"/>
        </w:rPr>
        <w:t xml:space="preserve">described above </w:t>
      </w:r>
      <w:r w:rsidRPr="00B849DC" w:rsidR="00137444">
        <w:rPr>
          <w:lang w:val="en-US"/>
        </w:rPr>
        <w:t xml:space="preserve">clearly </w:t>
      </w:r>
      <w:r w:rsidRPr="00B849DC" w:rsidR="00FD05B9">
        <w:rPr>
          <w:lang w:val="en-US"/>
        </w:rPr>
        <w:t xml:space="preserve">show that </w:t>
      </w:r>
      <w:r w:rsidRPr="00B849DC" w:rsidR="000C54D5">
        <w:rPr>
          <w:lang w:val="en-US"/>
        </w:rPr>
        <w:t xml:space="preserve">a strong degree of State control </w:t>
      </w:r>
      <w:r w:rsidRPr="00B849DC" w:rsidR="00FD05B9">
        <w:rPr>
          <w:lang w:val="en-US"/>
        </w:rPr>
        <w:t xml:space="preserve">was </w:t>
      </w:r>
      <w:r w:rsidRPr="00B849DC" w:rsidR="000C54D5">
        <w:rPr>
          <w:lang w:val="en-US"/>
        </w:rPr>
        <w:t xml:space="preserve">actually exercised by </w:t>
      </w:r>
      <w:r w:rsidRPr="00B849DC" w:rsidR="00137444">
        <w:rPr>
          <w:lang w:val="en-US"/>
        </w:rPr>
        <w:t xml:space="preserve">the municipal authority </w:t>
      </w:r>
      <w:r w:rsidRPr="00B849DC" w:rsidR="000C54D5">
        <w:rPr>
          <w:lang w:val="en-US"/>
        </w:rPr>
        <w:t>over the debtor company in the present case</w:t>
      </w:r>
      <w:r w:rsidRPr="00B849DC" w:rsidR="0011422C">
        <w:rPr>
          <w:lang w:val="en-US"/>
        </w:rPr>
        <w:t xml:space="preserve"> (see paragraph </w:t>
      </w:r>
      <w:r w:rsidRPr="00B849DC" w:rsidR="003E417A">
        <w:rPr>
          <w:lang w:val="en-US"/>
        </w:rPr>
        <w:t>20</w:t>
      </w:r>
      <w:r w:rsidRPr="00B849DC" w:rsidR="00DF43D8">
        <w:rPr>
          <w:lang w:val="en-US"/>
        </w:rPr>
        <w:t>6</w:t>
      </w:r>
      <w:r w:rsidRPr="00B849DC" w:rsidR="0011422C">
        <w:rPr>
          <w:lang w:val="en-US"/>
        </w:rPr>
        <w:t xml:space="preserve"> above)</w:t>
      </w:r>
      <w:r w:rsidRPr="00B849DC" w:rsidR="000C54D5">
        <w:rPr>
          <w:lang w:val="en-US"/>
        </w:rPr>
        <w:t>.</w:t>
      </w:r>
    </w:p>
    <w:p w:rsidRPr="00B849DC" w:rsidR="00730FC4" w:rsidP="00B849DC" w:rsidRDefault="00730FC4">
      <w:pPr>
        <w:pStyle w:val="ECHRPara"/>
        <w:rPr>
          <w:lang w:val="en-US"/>
        </w:rPr>
      </w:pPr>
      <w:r w:rsidRPr="00B849DC">
        <w:rPr>
          <w:lang w:val="en-US"/>
        </w:rPr>
        <w:fldChar w:fldCharType="begin"/>
      </w:r>
      <w:r w:rsidRPr="00B849DC">
        <w:rPr>
          <w:lang w:val="en-US"/>
        </w:rPr>
        <w:instrText xml:space="preserve"> SEQ level0 \*arabic </w:instrText>
      </w:r>
      <w:r w:rsidRPr="00B849DC">
        <w:rPr>
          <w:lang w:val="en-US"/>
        </w:rPr>
        <w:fldChar w:fldCharType="separate"/>
      </w:r>
      <w:r w:rsidRPr="00B849DC" w:rsidR="00B849DC">
        <w:rPr>
          <w:noProof/>
          <w:lang w:val="en-US"/>
        </w:rPr>
        <w:t>214</w:t>
      </w:r>
      <w:r w:rsidRPr="00B849DC">
        <w:rPr>
          <w:lang w:val="en-US"/>
        </w:rPr>
        <w:fldChar w:fldCharType="end"/>
      </w:r>
      <w:r w:rsidRPr="00B849DC">
        <w:rPr>
          <w:lang w:val="en-US"/>
        </w:rPr>
        <w:t>.  In view of the foregoing, the Court concludes that the company did not enjoy sufficient institutional and operational independence from the municipal authority</w:t>
      </w:r>
      <w:r w:rsidRPr="00B849DC" w:rsidR="00D83AC7">
        <w:rPr>
          <w:lang w:val="en-US"/>
        </w:rPr>
        <w:t xml:space="preserve"> and therefore rejects the Government</w:t>
      </w:r>
      <w:r w:rsidRPr="00B849DC" w:rsidR="00B849DC">
        <w:rPr>
          <w:lang w:val="en-US"/>
        </w:rPr>
        <w:t>’</w:t>
      </w:r>
      <w:r w:rsidRPr="00B849DC" w:rsidR="00D83AC7">
        <w:rPr>
          <w:lang w:val="en-US"/>
        </w:rPr>
        <w:t xml:space="preserve">s </w:t>
      </w:r>
      <w:r w:rsidRPr="00B849DC" w:rsidR="00D83AC7">
        <w:rPr>
          <w:i/>
          <w:lang w:val="en-US"/>
        </w:rPr>
        <w:t>ratione personae</w:t>
      </w:r>
      <w:r w:rsidRPr="00B849DC" w:rsidR="00D83AC7">
        <w:rPr>
          <w:lang w:val="en-US"/>
        </w:rPr>
        <w:t xml:space="preserve"> objection</w:t>
      </w:r>
      <w:r w:rsidRPr="00B849DC">
        <w:rPr>
          <w:lang w:val="en-US"/>
        </w:rPr>
        <w:t>. According</w:t>
      </w:r>
      <w:r w:rsidRPr="00B849DC" w:rsidR="00AC3DE9">
        <w:rPr>
          <w:lang w:val="en-US"/>
        </w:rPr>
        <w:t>ly, notwithstanding the company</w:t>
      </w:r>
      <w:r w:rsidRPr="00B849DC" w:rsidR="00B849DC">
        <w:rPr>
          <w:lang w:val="en-US"/>
        </w:rPr>
        <w:t>’</w:t>
      </w:r>
      <w:r w:rsidRPr="00B849DC">
        <w:rPr>
          <w:lang w:val="en-US"/>
        </w:rPr>
        <w:t xml:space="preserve">s status as a separate legal entity, the municipal authority, and hence the State, is to be held responsible under the Convention for </w:t>
      </w:r>
      <w:r w:rsidRPr="00B849DC" w:rsidR="0020073E">
        <w:rPr>
          <w:lang w:val="en-US"/>
        </w:rPr>
        <w:t>the judgment debt in the applicant</w:t>
      </w:r>
      <w:r w:rsidRPr="00B849DC" w:rsidR="00B849DC">
        <w:rPr>
          <w:lang w:val="en-US"/>
        </w:rPr>
        <w:t>’</w:t>
      </w:r>
      <w:r w:rsidRPr="00B849DC" w:rsidR="0020073E">
        <w:rPr>
          <w:lang w:val="en-US"/>
        </w:rPr>
        <w:t>s favour</w:t>
      </w:r>
      <w:r w:rsidRPr="00B849DC">
        <w:rPr>
          <w:lang w:val="en-US"/>
        </w:rPr>
        <w:t xml:space="preserve"> (see </w:t>
      </w:r>
      <w:r w:rsidRPr="00B849DC">
        <w:rPr>
          <w:i/>
          <w:lang w:val="en-GB"/>
        </w:rPr>
        <w:t xml:space="preserve">Yershova, </w:t>
      </w:r>
      <w:r w:rsidRPr="00B849DC">
        <w:rPr>
          <w:lang w:val="en-GB"/>
        </w:rPr>
        <w:t>cited above, § 62, with further references</w:t>
      </w:r>
      <w:r w:rsidRPr="00B849DC">
        <w:rPr>
          <w:lang w:val="en-US"/>
        </w:rPr>
        <w:t>).</w:t>
      </w:r>
    </w:p>
    <w:p w:rsidRPr="00B849DC" w:rsidR="00730FC4" w:rsidP="00B849DC" w:rsidRDefault="009F7127">
      <w:pPr>
        <w:pStyle w:val="ECHRHeading6"/>
        <w:rPr>
          <w:lang w:val="en-US"/>
        </w:rPr>
      </w:pPr>
      <w:r w:rsidRPr="00B849DC">
        <w:rPr>
          <w:rFonts w:cstheme="majorHAnsi"/>
          <w:lang w:val="en-US"/>
        </w:rPr>
        <w:t>(</w:t>
      </w:r>
      <w:r w:rsidRPr="00B849DC" w:rsidR="006D4EB7">
        <w:rPr>
          <w:rFonts w:cstheme="majorHAnsi"/>
        </w:rPr>
        <w:t>β</w:t>
      </w:r>
      <w:r w:rsidRPr="00B849DC">
        <w:rPr>
          <w:rFonts w:cstheme="majorHAnsi"/>
          <w:lang w:val="en-US"/>
        </w:rPr>
        <w:t>)</w:t>
      </w:r>
      <w:r w:rsidRPr="00B849DC" w:rsidR="0095545B">
        <w:rPr>
          <w:lang w:val="en-US"/>
        </w:rPr>
        <w:t>  Application by Ms Liseytseva</w:t>
      </w:r>
    </w:p>
    <w:p w:rsidRPr="00B849DC" w:rsidR="007B1948" w:rsidP="00B849DC" w:rsidRDefault="00730FC4">
      <w:pPr>
        <w:pStyle w:val="ECHRPara"/>
        <w:rPr>
          <w:lang w:val="en-US" w:bidi="en-US"/>
        </w:rPr>
      </w:pPr>
      <w:r w:rsidRPr="00B849DC">
        <w:rPr>
          <w:lang w:bidi="en-US"/>
        </w:rPr>
        <w:fldChar w:fldCharType="begin"/>
      </w:r>
      <w:r w:rsidRPr="00B849DC">
        <w:rPr>
          <w:lang w:val="en-US" w:bidi="en-US"/>
        </w:rPr>
        <w:instrText xml:space="preserve"> SEQ level0 \*arabic </w:instrText>
      </w:r>
      <w:r w:rsidRPr="00B849DC">
        <w:rPr>
          <w:lang w:bidi="en-US"/>
        </w:rPr>
        <w:fldChar w:fldCharType="separate"/>
      </w:r>
      <w:r w:rsidRPr="00B849DC" w:rsidR="00B849DC">
        <w:rPr>
          <w:noProof/>
          <w:lang w:val="en-US" w:bidi="en-US"/>
        </w:rPr>
        <w:t>215</w:t>
      </w:r>
      <w:r w:rsidRPr="00B849DC">
        <w:rPr>
          <w:lang w:bidi="en-US"/>
        </w:rPr>
        <w:fldChar w:fldCharType="end"/>
      </w:r>
      <w:r w:rsidRPr="00B849DC">
        <w:rPr>
          <w:lang w:val="en-US" w:bidi="en-US"/>
        </w:rPr>
        <w:t>.  </w:t>
      </w:r>
      <w:r w:rsidRPr="00B849DC" w:rsidR="00787057">
        <w:rPr>
          <w:lang w:val="en-US" w:bidi="en-US"/>
        </w:rPr>
        <w:t>In so far as the application by Ms Liseytseva is concerned, the issue whether the debtor enterprise exercised a public function is, in the Court</w:t>
      </w:r>
      <w:r w:rsidRPr="00B849DC" w:rsidR="00B849DC">
        <w:rPr>
          <w:lang w:val="en-US" w:bidi="en-US"/>
        </w:rPr>
        <w:t>’</w:t>
      </w:r>
      <w:r w:rsidRPr="00B849DC" w:rsidR="00787057">
        <w:rPr>
          <w:lang w:val="en-US" w:bidi="en-US"/>
        </w:rPr>
        <w:t xml:space="preserve">s view, less straightforward than in the </w:t>
      </w:r>
      <w:r w:rsidRPr="00B849DC" w:rsidR="00787057">
        <w:rPr>
          <w:i/>
          <w:lang w:val="en-US" w:bidi="en-US"/>
        </w:rPr>
        <w:t>Maslov</w:t>
      </w:r>
      <w:r w:rsidRPr="00B849DC" w:rsidR="00787057">
        <w:rPr>
          <w:lang w:val="en-US" w:bidi="en-US"/>
        </w:rPr>
        <w:t xml:space="preserve"> case. The Court observes that the company provided various passenger transportation services in the region </w:t>
      </w:r>
      <w:r w:rsidRPr="00B849DC" w:rsidR="009E7A0E">
        <w:rPr>
          <w:lang w:val="en-US" w:bidi="en-US"/>
        </w:rPr>
        <w:t xml:space="preserve">on </w:t>
      </w:r>
      <w:r w:rsidRPr="00B849DC" w:rsidR="00B053EF">
        <w:rPr>
          <w:lang w:val="en-US" w:bidi="en-US"/>
        </w:rPr>
        <w:t xml:space="preserve">a </w:t>
      </w:r>
      <w:r w:rsidRPr="00B849DC" w:rsidR="009E7A0E">
        <w:rPr>
          <w:lang w:val="en-US" w:bidi="en-US"/>
        </w:rPr>
        <w:t xml:space="preserve">commercial basis </w:t>
      </w:r>
      <w:r w:rsidRPr="00B849DC" w:rsidR="00787057">
        <w:rPr>
          <w:lang w:val="en-US" w:bidi="en-US"/>
        </w:rPr>
        <w:t>(see paragraph </w:t>
      </w:r>
      <w:r w:rsidRPr="00B849DC" w:rsidR="006C4ABA">
        <w:rPr>
          <w:lang w:val="en-US" w:bidi="en-US"/>
        </w:rPr>
        <w:t>7</w:t>
      </w:r>
      <w:r w:rsidRPr="00B849DC" w:rsidR="00787057">
        <w:rPr>
          <w:lang w:val="en-US" w:bidi="en-US"/>
        </w:rPr>
        <w:t xml:space="preserve"> above). Admittedly, </w:t>
      </w:r>
      <w:r w:rsidRPr="00B849DC" w:rsidR="00AB17F9">
        <w:rPr>
          <w:lang w:val="en-US" w:bidi="en-US"/>
        </w:rPr>
        <w:t xml:space="preserve">in the absence of further information </w:t>
      </w:r>
      <w:r w:rsidRPr="00B849DC" w:rsidR="00787057">
        <w:rPr>
          <w:lang w:val="en-US" w:bidi="en-US"/>
        </w:rPr>
        <w:t xml:space="preserve">such activity </w:t>
      </w:r>
      <w:r w:rsidRPr="00B849DC" w:rsidR="00AB17F9">
        <w:rPr>
          <w:lang w:val="en-US" w:bidi="en-US"/>
        </w:rPr>
        <w:t>could</w:t>
      </w:r>
      <w:r w:rsidRPr="00B849DC" w:rsidR="006A39D0">
        <w:rPr>
          <w:lang w:val="en-US" w:bidi="en-US"/>
        </w:rPr>
        <w:t xml:space="preserve"> </w:t>
      </w:r>
      <w:r w:rsidRPr="00B849DC" w:rsidR="00787057">
        <w:rPr>
          <w:lang w:val="en-US" w:bidi="en-US"/>
        </w:rPr>
        <w:t xml:space="preserve">be regarded as purely </w:t>
      </w:r>
      <w:r w:rsidRPr="00B849DC" w:rsidR="00033729">
        <w:rPr>
          <w:lang w:val="en-US" w:bidi="en-US"/>
        </w:rPr>
        <w:t>commerc</w:t>
      </w:r>
      <w:r w:rsidRPr="00B849DC" w:rsidR="00B053EF">
        <w:rPr>
          <w:lang w:val="en-US" w:bidi="en-US"/>
        </w:rPr>
        <w:t>i</w:t>
      </w:r>
      <w:r w:rsidRPr="00B849DC" w:rsidR="00033729">
        <w:rPr>
          <w:lang w:val="en-US" w:bidi="en-US"/>
        </w:rPr>
        <w:t>al</w:t>
      </w:r>
      <w:r w:rsidRPr="00B849DC" w:rsidR="00787057">
        <w:rPr>
          <w:lang w:val="en-US" w:bidi="en-US"/>
        </w:rPr>
        <w:t>, as suggested by the Government.</w:t>
      </w:r>
    </w:p>
    <w:p w:rsidRPr="00B849DC" w:rsidR="00CA087B" w:rsidP="00B849DC" w:rsidRDefault="00730FC4">
      <w:pPr>
        <w:pStyle w:val="ECHRPara"/>
        <w:rPr>
          <w:lang w:val="en-US" w:bidi="en-US"/>
        </w:rPr>
      </w:pPr>
      <w:r w:rsidRPr="00B849DC">
        <w:rPr>
          <w:lang w:val="en-GB" w:bidi="en-US"/>
        </w:rPr>
        <w:fldChar w:fldCharType="begin"/>
      </w:r>
      <w:r w:rsidRPr="00B849DC">
        <w:rPr>
          <w:lang w:val="en-US" w:bidi="en-US"/>
        </w:rPr>
        <w:instrText xml:space="preserve"> SEQ level0 \*arabic </w:instrText>
      </w:r>
      <w:r w:rsidRPr="00B849DC">
        <w:rPr>
          <w:lang w:val="en-GB" w:bidi="en-US"/>
        </w:rPr>
        <w:fldChar w:fldCharType="separate"/>
      </w:r>
      <w:r w:rsidRPr="00B849DC" w:rsidR="00B849DC">
        <w:rPr>
          <w:noProof/>
          <w:lang w:val="en-US" w:bidi="en-US"/>
        </w:rPr>
        <w:t>216</w:t>
      </w:r>
      <w:r w:rsidRPr="00B849DC">
        <w:rPr>
          <w:lang w:bidi="en-US"/>
        </w:rPr>
        <w:fldChar w:fldCharType="end"/>
      </w:r>
      <w:r w:rsidRPr="00B849DC">
        <w:rPr>
          <w:lang w:val="en-US" w:bidi="en-US"/>
        </w:rPr>
        <w:t>.  </w:t>
      </w:r>
      <w:r w:rsidRPr="00B849DC" w:rsidR="007F3A2F">
        <w:rPr>
          <w:lang w:val="en-US" w:bidi="en-US"/>
        </w:rPr>
        <w:t xml:space="preserve">However, </w:t>
      </w:r>
      <w:r w:rsidRPr="00B849DC" w:rsidR="00607F30">
        <w:rPr>
          <w:lang w:val="en-US" w:bidi="en-US"/>
        </w:rPr>
        <w:t xml:space="preserve">the Court </w:t>
      </w:r>
      <w:r w:rsidRPr="00B849DC" w:rsidR="00B053EF">
        <w:rPr>
          <w:lang w:val="en-US" w:bidi="en-US"/>
        </w:rPr>
        <w:t xml:space="preserve">firstly </w:t>
      </w:r>
      <w:r w:rsidRPr="00B849DC" w:rsidR="00607F30">
        <w:rPr>
          <w:lang w:val="en-US" w:bidi="en-US"/>
        </w:rPr>
        <w:t xml:space="preserve">observes that the debtor company in the present case undertook to provide public transport services to several groups of individuals free of charge, </w:t>
      </w:r>
      <w:r w:rsidRPr="00B849DC" w:rsidR="002F5C8C">
        <w:rPr>
          <w:lang w:val="en-US" w:bidi="en-US"/>
        </w:rPr>
        <w:t xml:space="preserve">conditional </w:t>
      </w:r>
      <w:r w:rsidRPr="00B849DC" w:rsidR="00B053EF">
        <w:rPr>
          <w:lang w:val="en-US" w:bidi="en-US"/>
        </w:rPr>
        <w:t>on</w:t>
      </w:r>
      <w:r w:rsidRPr="00B849DC" w:rsidR="002F5C8C">
        <w:rPr>
          <w:lang w:val="en-US" w:bidi="en-US"/>
        </w:rPr>
        <w:t xml:space="preserve"> </w:t>
      </w:r>
      <w:r w:rsidRPr="00B849DC" w:rsidR="00B053EF">
        <w:rPr>
          <w:lang w:val="en-US" w:bidi="en-US"/>
        </w:rPr>
        <w:t xml:space="preserve">the cost of </w:t>
      </w:r>
      <w:r w:rsidRPr="00B849DC" w:rsidR="002F5C8C">
        <w:rPr>
          <w:lang w:val="en-US" w:bidi="en-US"/>
        </w:rPr>
        <w:t>those services</w:t>
      </w:r>
      <w:r w:rsidRPr="00B849DC" w:rsidR="00B053EF">
        <w:rPr>
          <w:lang w:val="en-US" w:bidi="en-US"/>
        </w:rPr>
        <w:t xml:space="preserve"> being reimbursed</w:t>
      </w:r>
      <w:r w:rsidRPr="00B849DC" w:rsidR="002F5C8C">
        <w:rPr>
          <w:lang w:val="en-US" w:bidi="en-US"/>
        </w:rPr>
        <w:t xml:space="preserve"> </w:t>
      </w:r>
      <w:r w:rsidRPr="00B849DC" w:rsidR="0020073E">
        <w:rPr>
          <w:lang w:val="en-US" w:bidi="en-US"/>
        </w:rPr>
        <w:t>from public funds</w:t>
      </w:r>
      <w:r w:rsidRPr="00B849DC" w:rsidR="00B053EF">
        <w:rPr>
          <w:lang w:val="en-US" w:bidi="en-US"/>
        </w:rPr>
        <w:t xml:space="preserve"> later</w:t>
      </w:r>
      <w:r w:rsidRPr="00B849DC" w:rsidR="002F5C8C">
        <w:rPr>
          <w:lang w:val="en-US" w:bidi="en-US"/>
        </w:rPr>
        <w:t xml:space="preserve">. </w:t>
      </w:r>
      <w:r w:rsidRPr="00B849DC" w:rsidR="00E233BD">
        <w:rPr>
          <w:lang w:val="en-US" w:bidi="en-US"/>
        </w:rPr>
        <w:t>However,</w:t>
      </w:r>
      <w:r w:rsidRPr="00B849DC" w:rsidR="00607F30">
        <w:rPr>
          <w:lang w:val="en-US" w:bidi="en-US"/>
        </w:rPr>
        <w:t xml:space="preserve"> various</w:t>
      </w:r>
      <w:r w:rsidRPr="00B849DC" w:rsidR="00E233BD">
        <w:rPr>
          <w:lang w:val="en-US" w:bidi="en-US"/>
        </w:rPr>
        <w:t xml:space="preserve"> </w:t>
      </w:r>
      <w:r w:rsidRPr="00B849DC" w:rsidR="0020073E">
        <w:rPr>
          <w:lang w:val="en-US" w:bidi="en-US"/>
        </w:rPr>
        <w:t xml:space="preserve">public </w:t>
      </w:r>
      <w:r w:rsidRPr="00B849DC" w:rsidR="00E233BD">
        <w:rPr>
          <w:lang w:val="en-US" w:bidi="en-US"/>
        </w:rPr>
        <w:t>authorities failed to comply with their undertaking</w:t>
      </w:r>
      <w:r w:rsidRPr="00B849DC" w:rsidR="00033729">
        <w:rPr>
          <w:lang w:val="en-US" w:bidi="en-US"/>
        </w:rPr>
        <w:t xml:space="preserve"> in a timely manner</w:t>
      </w:r>
      <w:r w:rsidRPr="00B849DC" w:rsidR="00E233BD">
        <w:rPr>
          <w:lang w:val="en-US" w:bidi="en-US"/>
        </w:rPr>
        <w:t>, thus triggering the company</w:t>
      </w:r>
      <w:r w:rsidRPr="00B849DC" w:rsidR="00B849DC">
        <w:rPr>
          <w:lang w:val="en-US" w:bidi="en-US"/>
        </w:rPr>
        <w:t>’</w:t>
      </w:r>
      <w:r w:rsidRPr="00B849DC" w:rsidR="00E233BD">
        <w:rPr>
          <w:lang w:val="en-US" w:bidi="en-US"/>
        </w:rPr>
        <w:t>s difficult financial situation (see paragraphs </w:t>
      </w:r>
      <w:r w:rsidRPr="00B849DC" w:rsidR="006C4ABA">
        <w:rPr>
          <w:lang w:val="en-US" w:bidi="en-US"/>
        </w:rPr>
        <w:t>9 and 18</w:t>
      </w:r>
      <w:r w:rsidRPr="00B849DC" w:rsidR="00E233BD">
        <w:rPr>
          <w:lang w:val="en-US" w:bidi="en-US"/>
        </w:rPr>
        <w:t xml:space="preserve"> above).</w:t>
      </w:r>
    </w:p>
    <w:p w:rsidRPr="00B849DC" w:rsidR="00CA087B" w:rsidP="00B849DC" w:rsidRDefault="00916136">
      <w:pPr>
        <w:pStyle w:val="ECHRPara"/>
        <w:rPr>
          <w:lang w:val="en-US"/>
        </w:rPr>
      </w:pPr>
      <w:r w:rsidRPr="00B849DC">
        <w:rPr>
          <w:lang w:val="en-US" w:bidi="en-US"/>
        </w:rPr>
        <w:fldChar w:fldCharType="begin"/>
      </w:r>
      <w:r w:rsidRPr="00B849DC">
        <w:rPr>
          <w:lang w:val="en-US" w:bidi="en-US"/>
        </w:rPr>
        <w:instrText xml:space="preserve"> SEQ level0 \*arabic </w:instrText>
      </w:r>
      <w:r w:rsidRPr="00B849DC">
        <w:rPr>
          <w:lang w:val="en-US" w:bidi="en-US"/>
        </w:rPr>
        <w:fldChar w:fldCharType="separate"/>
      </w:r>
      <w:r w:rsidRPr="00B849DC" w:rsidR="00B849DC">
        <w:rPr>
          <w:noProof/>
          <w:lang w:val="en-US" w:bidi="en-US"/>
        </w:rPr>
        <w:t>217</w:t>
      </w:r>
      <w:r w:rsidRPr="00B849DC">
        <w:rPr>
          <w:lang w:val="en-US" w:bidi="en-US"/>
        </w:rPr>
        <w:fldChar w:fldCharType="end"/>
      </w:r>
      <w:r w:rsidRPr="00B849DC">
        <w:rPr>
          <w:lang w:val="en-US" w:bidi="en-US"/>
        </w:rPr>
        <w:t>.  </w:t>
      </w:r>
      <w:r w:rsidRPr="00B849DC" w:rsidR="0011422C">
        <w:rPr>
          <w:lang w:val="en-US" w:bidi="en-US"/>
        </w:rPr>
        <w:t xml:space="preserve">Second, in any event, </w:t>
      </w:r>
      <w:r w:rsidRPr="00B849DC" w:rsidR="007B1948">
        <w:rPr>
          <w:lang w:val="en-US"/>
        </w:rPr>
        <w:t>the municipality – and hence the State – disposed of the company</w:t>
      </w:r>
      <w:r w:rsidRPr="00B849DC" w:rsidR="00B849DC">
        <w:rPr>
          <w:lang w:val="en-US"/>
        </w:rPr>
        <w:t>’</w:t>
      </w:r>
      <w:r w:rsidRPr="00B849DC" w:rsidR="007B1948">
        <w:rPr>
          <w:lang w:val="en-US"/>
        </w:rPr>
        <w:t>s property as they saw</w:t>
      </w:r>
      <w:r w:rsidRPr="00B849DC" w:rsidR="00B053EF">
        <w:rPr>
          <w:lang w:val="en-US"/>
        </w:rPr>
        <w:t xml:space="preserve"> fit</w:t>
      </w:r>
      <w:r w:rsidRPr="00B849DC" w:rsidR="007B1948">
        <w:rPr>
          <w:lang w:val="en-US"/>
        </w:rPr>
        <w:t xml:space="preserve">. In fact, </w:t>
      </w:r>
      <w:r w:rsidRPr="00B849DC" w:rsidR="00607F30">
        <w:rPr>
          <w:lang w:val="en-US"/>
        </w:rPr>
        <w:t xml:space="preserve">the administration ordered </w:t>
      </w:r>
      <w:r w:rsidRPr="00B849DC" w:rsidR="00B053EF">
        <w:rPr>
          <w:lang w:val="en-US"/>
        </w:rPr>
        <w:t xml:space="preserve">the restructuring </w:t>
      </w:r>
      <w:r w:rsidRPr="00B849DC" w:rsidR="00607F30">
        <w:rPr>
          <w:lang w:val="en-US"/>
        </w:rPr>
        <w:t xml:space="preserve">of the enterprise in the form of </w:t>
      </w:r>
      <w:r w:rsidRPr="00B849DC" w:rsidR="000C2E47">
        <w:rPr>
          <w:lang w:val="en-US"/>
        </w:rPr>
        <w:t xml:space="preserve">a </w:t>
      </w:r>
      <w:r w:rsidRPr="00B849DC" w:rsidR="00607F30">
        <w:rPr>
          <w:lang w:val="en-US"/>
        </w:rPr>
        <w:t>spi</w:t>
      </w:r>
      <w:r w:rsidRPr="00B849DC" w:rsidR="000C2E47">
        <w:rPr>
          <w:lang w:val="en-US"/>
        </w:rPr>
        <w:t>n</w:t>
      </w:r>
      <w:r w:rsidRPr="00B849DC" w:rsidR="009F7127">
        <w:rPr>
          <w:lang w:val="en-US"/>
        </w:rPr>
        <w:noBreakHyphen/>
      </w:r>
      <w:r w:rsidRPr="00B849DC" w:rsidR="00607F30">
        <w:rPr>
          <w:lang w:val="en-US"/>
        </w:rPr>
        <w:t>off and transferred the above</w:t>
      </w:r>
      <w:r w:rsidRPr="00B849DC" w:rsidR="00B053EF">
        <w:rPr>
          <w:lang w:val="en-US"/>
        </w:rPr>
        <w:t>-mentioned</w:t>
      </w:r>
      <w:r w:rsidRPr="00B849DC" w:rsidR="00607F30">
        <w:rPr>
          <w:lang w:val="en-US"/>
        </w:rPr>
        <w:t xml:space="preserve"> assets to the newly</w:t>
      </w:r>
      <w:r w:rsidRPr="00B849DC" w:rsidR="00105275">
        <w:rPr>
          <w:lang w:val="en-US"/>
        </w:rPr>
        <w:t xml:space="preserve"> </w:t>
      </w:r>
      <w:r w:rsidRPr="00B849DC" w:rsidR="00607F30">
        <w:rPr>
          <w:lang w:val="en-US"/>
        </w:rPr>
        <w:t>created municipal unitary ent</w:t>
      </w:r>
      <w:r w:rsidRPr="00B849DC" w:rsidR="007B1948">
        <w:rPr>
          <w:lang w:val="en-US"/>
        </w:rPr>
        <w:t>erprise “Avtokolonna 1126 Plus”, whilst the</w:t>
      </w:r>
      <w:r w:rsidRPr="00B849DC" w:rsidR="00607F30">
        <w:rPr>
          <w:lang w:val="en-US"/>
        </w:rPr>
        <w:t xml:space="preserve"> debt accumulated in respect of the unpaid salaries was not transferred </w:t>
      </w:r>
      <w:r w:rsidRPr="00B849DC" w:rsidR="007B1948">
        <w:rPr>
          <w:lang w:val="en-US"/>
        </w:rPr>
        <w:t xml:space="preserve">to the new entity </w:t>
      </w:r>
      <w:r w:rsidRPr="00B849DC" w:rsidR="00607F30">
        <w:rPr>
          <w:lang w:val="en-US"/>
        </w:rPr>
        <w:t>(see paragraph </w:t>
      </w:r>
      <w:r w:rsidRPr="00B849DC" w:rsidR="006C4ABA">
        <w:rPr>
          <w:lang w:val="en-US"/>
        </w:rPr>
        <w:t>10</w:t>
      </w:r>
      <w:r w:rsidRPr="00B849DC" w:rsidR="00607F30">
        <w:rPr>
          <w:lang w:val="en-US"/>
        </w:rPr>
        <w:t xml:space="preserve"> above).</w:t>
      </w:r>
    </w:p>
    <w:p w:rsidRPr="00B849DC" w:rsidR="007F3A2F" w:rsidP="00B849DC" w:rsidRDefault="00B34938">
      <w:pPr>
        <w:pStyle w:val="ECHRPara"/>
        <w:rPr>
          <w:lang w:val="en-US" w:bidi="en-US"/>
        </w:rPr>
      </w:pPr>
      <w:r w:rsidRPr="00B849DC">
        <w:rPr>
          <w:lang w:val="en-US"/>
        </w:rPr>
        <w:fldChar w:fldCharType="begin"/>
      </w:r>
      <w:r w:rsidRPr="00B849DC">
        <w:rPr>
          <w:lang w:val="en-US"/>
        </w:rPr>
        <w:instrText xml:space="preserve"> SEQ level0 \*arabic </w:instrText>
      </w:r>
      <w:r w:rsidRPr="00B849DC">
        <w:rPr>
          <w:lang w:val="en-US"/>
        </w:rPr>
        <w:fldChar w:fldCharType="separate"/>
      </w:r>
      <w:r w:rsidRPr="00B849DC" w:rsidR="00B849DC">
        <w:rPr>
          <w:noProof/>
          <w:lang w:val="en-US"/>
        </w:rPr>
        <w:t>218</w:t>
      </w:r>
      <w:r w:rsidRPr="00B849DC">
        <w:rPr>
          <w:lang w:val="en-US"/>
        </w:rPr>
        <w:fldChar w:fldCharType="end"/>
      </w:r>
      <w:r w:rsidRPr="00B849DC">
        <w:rPr>
          <w:lang w:val="en-US"/>
        </w:rPr>
        <w:t>.  </w:t>
      </w:r>
      <w:r w:rsidRPr="00B849DC" w:rsidR="00232C98">
        <w:rPr>
          <w:lang w:val="en-US"/>
        </w:rPr>
        <w:t xml:space="preserve">These elements are sufficient for the Court to conclude that </w:t>
      </w:r>
      <w:r w:rsidRPr="00B849DC">
        <w:rPr>
          <w:lang w:val="en-US"/>
        </w:rPr>
        <w:t>the company</w:t>
      </w:r>
      <w:r w:rsidRPr="00B849DC" w:rsidR="00B849DC">
        <w:rPr>
          <w:lang w:val="en-US"/>
        </w:rPr>
        <w:t>’</w:t>
      </w:r>
      <w:r w:rsidRPr="00B849DC">
        <w:rPr>
          <w:lang w:val="en-US"/>
        </w:rPr>
        <w:t xml:space="preserve">s assets and activities were, </w:t>
      </w:r>
      <w:r w:rsidRPr="00B849DC" w:rsidR="0020073E">
        <w:rPr>
          <w:lang w:val="en-US"/>
        </w:rPr>
        <w:t xml:space="preserve">as a matter of fact, </w:t>
      </w:r>
      <w:r w:rsidRPr="00B849DC">
        <w:rPr>
          <w:lang w:val="en-US"/>
        </w:rPr>
        <w:t>controlled and managed by the State</w:t>
      </w:r>
      <w:r w:rsidRPr="00B849DC" w:rsidR="007B1948">
        <w:rPr>
          <w:lang w:val="en-US"/>
        </w:rPr>
        <w:t xml:space="preserve"> </w:t>
      </w:r>
      <w:r w:rsidRPr="00B849DC">
        <w:rPr>
          <w:lang w:val="en-US"/>
        </w:rPr>
        <w:t xml:space="preserve">to a </w:t>
      </w:r>
      <w:r w:rsidRPr="00B849DC" w:rsidR="00033729">
        <w:rPr>
          <w:lang w:val="en-US"/>
        </w:rPr>
        <w:t>decisive</w:t>
      </w:r>
      <w:r w:rsidRPr="00B849DC">
        <w:rPr>
          <w:lang w:val="en-US"/>
        </w:rPr>
        <w:t xml:space="preserve"> extent </w:t>
      </w:r>
      <w:r w:rsidRPr="00B849DC" w:rsidR="0020073E">
        <w:rPr>
          <w:lang w:val="en-US"/>
        </w:rPr>
        <w:t xml:space="preserve">at the relevant time </w:t>
      </w:r>
      <w:r w:rsidRPr="00B849DC">
        <w:rPr>
          <w:lang w:val="en-US"/>
        </w:rPr>
        <w:t>(see</w:t>
      </w:r>
      <w:r w:rsidRPr="00B849DC" w:rsidR="00E62D5A">
        <w:rPr>
          <w:lang w:val="en-US"/>
        </w:rPr>
        <w:t xml:space="preserve">, </w:t>
      </w:r>
      <w:r w:rsidRPr="00B849DC" w:rsidR="00E62D5A">
        <w:rPr>
          <w:i/>
          <w:lang w:val="en-US"/>
        </w:rPr>
        <w:t>mutatis mutandis</w:t>
      </w:r>
      <w:r w:rsidRPr="00B849DC" w:rsidR="00E62D5A">
        <w:rPr>
          <w:lang w:val="en-US"/>
        </w:rPr>
        <w:t>,</w:t>
      </w:r>
      <w:r w:rsidRPr="00B849DC">
        <w:rPr>
          <w:lang w:val="en-US"/>
        </w:rPr>
        <w:t xml:space="preserve"> </w:t>
      </w:r>
      <w:r w:rsidRPr="00B849DC">
        <w:rPr>
          <w:i/>
          <w:lang w:val="en-US"/>
        </w:rPr>
        <w:t>Khachatryan</w:t>
      </w:r>
      <w:r w:rsidRPr="00B849DC">
        <w:rPr>
          <w:lang w:val="en-US"/>
        </w:rPr>
        <w:t>, cited above, § 51)</w:t>
      </w:r>
    </w:p>
    <w:p w:rsidRPr="00B849DC" w:rsidR="00730FC4" w:rsidP="00B849DC" w:rsidRDefault="00730FC4">
      <w:pPr>
        <w:pStyle w:val="ECHRPara"/>
        <w:rPr>
          <w:lang w:val="en-US" w:bidi="en-US"/>
        </w:rPr>
      </w:pPr>
      <w:r w:rsidRPr="00B849DC">
        <w:rPr>
          <w:lang w:bidi="en-US"/>
        </w:rPr>
        <w:fldChar w:fldCharType="begin"/>
      </w:r>
      <w:r w:rsidRPr="00B849DC">
        <w:rPr>
          <w:lang w:val="en-US" w:bidi="en-US"/>
        </w:rPr>
        <w:instrText xml:space="preserve"> SEQ level0 \*arabic </w:instrText>
      </w:r>
      <w:r w:rsidRPr="00B849DC">
        <w:rPr>
          <w:lang w:bidi="en-US"/>
        </w:rPr>
        <w:fldChar w:fldCharType="separate"/>
      </w:r>
      <w:r w:rsidRPr="00B849DC" w:rsidR="00B849DC">
        <w:rPr>
          <w:noProof/>
          <w:lang w:val="en-US" w:bidi="en-US"/>
        </w:rPr>
        <w:t>219</w:t>
      </w:r>
      <w:r w:rsidRPr="00B849DC">
        <w:rPr>
          <w:lang w:bidi="en-US"/>
        </w:rPr>
        <w:fldChar w:fldCharType="end"/>
      </w:r>
      <w:r w:rsidRPr="00B849DC">
        <w:rPr>
          <w:lang w:val="en-US" w:bidi="en-US"/>
        </w:rPr>
        <w:t xml:space="preserve">.  In view of the </w:t>
      </w:r>
      <w:r w:rsidRPr="00B849DC" w:rsidR="0011422C">
        <w:rPr>
          <w:lang w:val="en-US" w:bidi="en-US"/>
        </w:rPr>
        <w:t>above</w:t>
      </w:r>
      <w:r w:rsidRPr="00B849DC">
        <w:rPr>
          <w:lang w:val="en-US" w:bidi="en-US"/>
        </w:rPr>
        <w:t>, the Court rejects the Government</w:t>
      </w:r>
      <w:r w:rsidRPr="00B849DC" w:rsidR="00B849DC">
        <w:rPr>
          <w:lang w:val="en-US" w:bidi="en-US"/>
        </w:rPr>
        <w:t>’</w:t>
      </w:r>
      <w:r w:rsidRPr="00B849DC">
        <w:rPr>
          <w:lang w:val="en-US" w:bidi="en-US"/>
        </w:rPr>
        <w:t xml:space="preserve">s </w:t>
      </w:r>
      <w:r w:rsidRPr="00B849DC">
        <w:rPr>
          <w:i/>
          <w:lang w:val="en-US" w:bidi="en-US"/>
        </w:rPr>
        <w:t>ratione personae</w:t>
      </w:r>
      <w:r w:rsidRPr="00B849DC">
        <w:rPr>
          <w:lang w:val="en-US" w:bidi="en-US"/>
        </w:rPr>
        <w:t xml:space="preserve"> objection and concludes that the company did not enjoy sufficient institutional and operational independence from the municipal authority. Accordingly, the municipal</w:t>
      </w:r>
      <w:r w:rsidRPr="00B849DC" w:rsidR="009F144F">
        <w:rPr>
          <w:lang w:val="en-US" w:bidi="en-US"/>
        </w:rPr>
        <w:t>ity</w:t>
      </w:r>
      <w:r w:rsidRPr="00B849DC">
        <w:rPr>
          <w:lang w:val="en-US" w:bidi="en-US"/>
        </w:rPr>
        <w:t xml:space="preserve">, and hence the State, is to be held responsible under the Convention for </w:t>
      </w:r>
      <w:r w:rsidRPr="00B849DC" w:rsidR="009F144F">
        <w:rPr>
          <w:lang w:val="en-US" w:bidi="en-US"/>
        </w:rPr>
        <w:t xml:space="preserve">the </w:t>
      </w:r>
      <w:r w:rsidRPr="00B849DC" w:rsidR="0020073E">
        <w:rPr>
          <w:lang w:val="en-US" w:bidi="en-US"/>
        </w:rPr>
        <w:t>debts owned by the respondent company to the applicant</w:t>
      </w:r>
      <w:r w:rsidRPr="00B849DC">
        <w:rPr>
          <w:lang w:val="en-US" w:bidi="en-US"/>
        </w:rPr>
        <w:t xml:space="preserve"> </w:t>
      </w:r>
      <w:r w:rsidRPr="00B849DC" w:rsidR="0020073E">
        <w:rPr>
          <w:lang w:val="en-US" w:bidi="en-US"/>
        </w:rPr>
        <w:t xml:space="preserve">under the final judgments in her favour </w:t>
      </w:r>
      <w:r w:rsidRPr="00B849DC">
        <w:rPr>
          <w:lang w:val="en-US" w:bidi="en-US"/>
        </w:rPr>
        <w:t>(see</w:t>
      </w:r>
      <w:r w:rsidRPr="00B849DC" w:rsidR="009F144F">
        <w:rPr>
          <w:lang w:val="en-US" w:bidi="en-US"/>
        </w:rPr>
        <w:t xml:space="preserve">, </w:t>
      </w:r>
      <w:r w:rsidRPr="00B849DC" w:rsidR="009F144F">
        <w:rPr>
          <w:i/>
          <w:lang w:val="en-US" w:bidi="en-US"/>
        </w:rPr>
        <w:t>mutatis mutandis</w:t>
      </w:r>
      <w:r w:rsidRPr="00B849DC" w:rsidR="009F144F">
        <w:rPr>
          <w:lang w:val="en-US" w:bidi="en-US"/>
        </w:rPr>
        <w:t>,</w:t>
      </w:r>
      <w:r w:rsidRPr="00B849DC">
        <w:rPr>
          <w:lang w:val="en-US" w:bidi="en-US"/>
        </w:rPr>
        <w:t xml:space="preserve"> </w:t>
      </w:r>
      <w:r w:rsidRPr="00B849DC">
        <w:rPr>
          <w:i/>
          <w:lang w:val="en-GB" w:bidi="en-US"/>
        </w:rPr>
        <w:t xml:space="preserve">Yershova, </w:t>
      </w:r>
      <w:r w:rsidRPr="00B849DC">
        <w:rPr>
          <w:lang w:val="en-GB" w:bidi="en-US"/>
        </w:rPr>
        <w:t>cited above, § 62, with further references</w:t>
      </w:r>
      <w:r w:rsidRPr="00B849DC">
        <w:rPr>
          <w:lang w:val="en-US" w:bidi="en-US"/>
        </w:rPr>
        <w:t>).</w:t>
      </w:r>
    </w:p>
    <w:p w:rsidRPr="00B849DC" w:rsidR="00730FC4" w:rsidP="00B849DC" w:rsidRDefault="006D4EB7">
      <w:pPr>
        <w:pStyle w:val="ECHRHeading5"/>
        <w:rPr>
          <w:lang w:val="en-US" w:bidi="en-US"/>
        </w:rPr>
      </w:pPr>
      <w:r w:rsidRPr="00B849DC">
        <w:rPr>
          <w:lang w:val="en-US" w:bidi="en-US"/>
        </w:rPr>
        <w:t>(iii</w:t>
      </w:r>
      <w:r w:rsidRPr="00B849DC" w:rsidR="00A46052">
        <w:rPr>
          <w:lang w:val="en-US" w:bidi="en-US"/>
        </w:rPr>
        <w:t>)</w:t>
      </w:r>
      <w:r w:rsidRPr="00B849DC" w:rsidR="00730FC4">
        <w:rPr>
          <w:lang w:val="en-US" w:bidi="en-US"/>
        </w:rPr>
        <w:t>  Non-enforcement</w:t>
      </w:r>
      <w:r w:rsidRPr="00B849DC">
        <w:rPr>
          <w:lang w:val="en-US" w:bidi="en-US"/>
        </w:rPr>
        <w:t xml:space="preserve"> of the judgments in the applicants</w:t>
      </w:r>
      <w:r w:rsidRPr="00B849DC" w:rsidR="00B849DC">
        <w:rPr>
          <w:lang w:val="en-US" w:bidi="en-US"/>
        </w:rPr>
        <w:t>’</w:t>
      </w:r>
      <w:r w:rsidRPr="00B849DC">
        <w:rPr>
          <w:lang w:val="en-US" w:bidi="en-US"/>
        </w:rPr>
        <w:t xml:space="preserve"> favour</w:t>
      </w:r>
    </w:p>
    <w:p w:rsidRPr="00B849DC" w:rsidR="00650241" w:rsidP="00B849DC" w:rsidRDefault="009F7127">
      <w:pPr>
        <w:pStyle w:val="ECHRHeading6"/>
        <w:rPr>
          <w:lang w:val="en-US"/>
        </w:rPr>
      </w:pPr>
      <w:r w:rsidRPr="00B849DC">
        <w:rPr>
          <w:rFonts w:cstheme="minorHAnsi"/>
          <w:lang w:val="en-US"/>
        </w:rPr>
        <w:t>(</w:t>
      </w:r>
      <w:r w:rsidRPr="00B849DC" w:rsidR="00650241">
        <w:rPr>
          <w:rFonts w:cstheme="minorHAnsi"/>
        </w:rPr>
        <w:t>α</w:t>
      </w:r>
      <w:r w:rsidRPr="00B849DC">
        <w:rPr>
          <w:rFonts w:cstheme="minorHAnsi"/>
          <w:lang w:val="en-US"/>
        </w:rPr>
        <w:t>)</w:t>
      </w:r>
      <w:r w:rsidRPr="00B849DC" w:rsidR="00650241">
        <w:rPr>
          <w:lang w:val="en-US"/>
        </w:rPr>
        <w:t>  Article 6 of the Convention</w:t>
      </w:r>
    </w:p>
    <w:p w:rsidRPr="00B849DC" w:rsidR="00A46052" w:rsidP="00B849DC" w:rsidRDefault="00A46052">
      <w:pPr>
        <w:pStyle w:val="ECHRPara"/>
        <w:rPr>
          <w:lang w:val="en-US" w:bidi="en-US"/>
        </w:rPr>
      </w:pPr>
      <w:r w:rsidRPr="00B849DC">
        <w:rPr>
          <w:lang w:bidi="en-US"/>
        </w:rPr>
        <w:fldChar w:fldCharType="begin"/>
      </w:r>
      <w:r w:rsidRPr="00B849DC">
        <w:rPr>
          <w:lang w:val="en-US" w:bidi="en-US"/>
        </w:rPr>
        <w:instrText xml:space="preserve"> SEQ level0 \*arabic </w:instrText>
      </w:r>
      <w:r w:rsidRPr="00B849DC">
        <w:rPr>
          <w:lang w:bidi="en-US"/>
        </w:rPr>
        <w:fldChar w:fldCharType="separate"/>
      </w:r>
      <w:r w:rsidRPr="00B849DC" w:rsidR="00B849DC">
        <w:rPr>
          <w:noProof/>
          <w:lang w:val="en-US" w:bidi="en-US"/>
        </w:rPr>
        <w:t>220</w:t>
      </w:r>
      <w:r w:rsidRPr="00B849DC">
        <w:rPr>
          <w:lang w:bidi="en-US"/>
        </w:rPr>
        <w:fldChar w:fldCharType="end"/>
      </w:r>
      <w:r w:rsidRPr="00B849DC">
        <w:rPr>
          <w:lang w:val="en-US" w:bidi="en-US"/>
        </w:rPr>
        <w:t>.  </w:t>
      </w:r>
      <w:r w:rsidRPr="00B849DC" w:rsidR="00505776">
        <w:rPr>
          <w:lang w:val="en-GB" w:bidi="en-US"/>
        </w:rPr>
        <w:t>The Court reiterate</w:t>
      </w:r>
      <w:r w:rsidRPr="00B849DC" w:rsidR="00043096">
        <w:rPr>
          <w:lang w:val="en-GB" w:bidi="en-US"/>
        </w:rPr>
        <w:t>s</w:t>
      </w:r>
      <w:r w:rsidRPr="00B849DC" w:rsidR="00505776">
        <w:rPr>
          <w:lang w:val="en-GB" w:bidi="en-US"/>
        </w:rPr>
        <w:t xml:space="preserve"> that execution of a judgment given by any court is an integral part of the “trial” for the purposes of Article 6 of the Convention; an unreasonably long delay in enforcement of a binding judgment may therefore breach the Convention (see </w:t>
      </w:r>
      <w:r w:rsidRPr="00B849DC" w:rsidR="00505776">
        <w:rPr>
          <w:i/>
          <w:lang w:val="en-GB" w:bidi="en-US"/>
        </w:rPr>
        <w:t>Hornsby v. Greece</w:t>
      </w:r>
      <w:r w:rsidRPr="00B849DC" w:rsidR="00505776">
        <w:rPr>
          <w:lang w:val="en-GB" w:bidi="en-US"/>
        </w:rPr>
        <w:t xml:space="preserve">, 19 March 1997, § 40, </w:t>
      </w:r>
      <w:r w:rsidRPr="00B849DC" w:rsidR="00505776">
        <w:rPr>
          <w:i/>
          <w:lang w:val="en-GB" w:bidi="en-US"/>
        </w:rPr>
        <w:t>Reports of Judgments and Decisions</w:t>
      </w:r>
      <w:r w:rsidRPr="00B849DC" w:rsidR="00505776">
        <w:rPr>
          <w:lang w:val="en-GB" w:bidi="en-US"/>
        </w:rPr>
        <w:t xml:space="preserve"> 1997</w:t>
      </w:r>
      <w:r w:rsidRPr="00B849DC" w:rsidR="00505776">
        <w:rPr>
          <w:lang w:val="en-GB" w:bidi="en-US"/>
        </w:rPr>
        <w:noBreakHyphen/>
        <w:t xml:space="preserve">II, and </w:t>
      </w:r>
      <w:r w:rsidRPr="00B849DC" w:rsidR="00505776">
        <w:rPr>
          <w:i/>
          <w:lang w:val="en-GB" w:bidi="en-US"/>
        </w:rPr>
        <w:t>Burdov</w:t>
      </w:r>
      <w:r w:rsidRPr="00B849DC" w:rsidR="00505776">
        <w:rPr>
          <w:lang w:val="en-GB" w:bidi="en-US"/>
        </w:rPr>
        <w:t xml:space="preserve">, cited above, § 37). Some delay may be justified in particular circumstances but it may not, in any event, be such as to impair the essence of the right protected under Article 6 § 1 (see </w:t>
      </w:r>
      <w:r w:rsidRPr="00B849DC" w:rsidR="00505776">
        <w:rPr>
          <w:i/>
          <w:lang w:val="en-GB" w:bidi="en-US"/>
        </w:rPr>
        <w:t>Burdov</w:t>
      </w:r>
      <w:r w:rsidRPr="00B849DC" w:rsidR="00505776">
        <w:rPr>
          <w:lang w:val="en-GB" w:bidi="en-US"/>
        </w:rPr>
        <w:t xml:space="preserve">, cited above, § 35). </w:t>
      </w:r>
      <w:r w:rsidRPr="00B849DC">
        <w:rPr>
          <w:lang w:val="en-US" w:bidi="en-US"/>
        </w:rPr>
        <w:t xml:space="preserve">The Court reiterates that, in order to decide if the delay in execution of the judgment was reasonable, it will look at how complex the enforcement proceedings were, how the applicants and the authorities behaved, and what the nature of the award </w:t>
      </w:r>
      <w:r w:rsidRPr="00B849DC" w:rsidR="00B053EF">
        <w:rPr>
          <w:lang w:val="en-US" w:bidi="en-US"/>
        </w:rPr>
        <w:t xml:space="preserve">was </w:t>
      </w:r>
      <w:r w:rsidRPr="00B849DC">
        <w:rPr>
          <w:lang w:val="en-US" w:bidi="en-US"/>
        </w:rPr>
        <w:t xml:space="preserve">(see </w:t>
      </w:r>
      <w:r w:rsidRPr="00B849DC">
        <w:rPr>
          <w:i/>
          <w:iCs/>
          <w:lang w:val="en-US" w:bidi="en-US"/>
        </w:rPr>
        <w:t>Raylyan</w:t>
      </w:r>
      <w:r w:rsidRPr="00B849DC">
        <w:rPr>
          <w:lang w:val="en-US" w:bidi="en-US"/>
        </w:rPr>
        <w:t xml:space="preserve"> </w:t>
      </w:r>
      <w:r w:rsidRPr="00B849DC" w:rsidR="009F7127">
        <w:rPr>
          <w:i/>
          <w:iCs/>
          <w:lang w:val="en-US" w:bidi="en-US"/>
        </w:rPr>
        <w:t>v. </w:t>
      </w:r>
      <w:r w:rsidRPr="00B849DC">
        <w:rPr>
          <w:i/>
          <w:iCs/>
          <w:lang w:val="en-US" w:bidi="en-US"/>
        </w:rPr>
        <w:t>Russia</w:t>
      </w:r>
      <w:r w:rsidRPr="00B849DC">
        <w:rPr>
          <w:lang w:val="en-US" w:bidi="en-US"/>
        </w:rPr>
        <w:t>, no. 22000/03, §</w:t>
      </w:r>
      <w:r w:rsidRPr="00B849DC">
        <w:rPr>
          <w:lang w:val="en-US"/>
        </w:rPr>
        <w:t> </w:t>
      </w:r>
      <w:r w:rsidRPr="00B849DC">
        <w:rPr>
          <w:lang w:val="en-US" w:bidi="en-US"/>
        </w:rPr>
        <w:t>31, 15 February 2007).</w:t>
      </w:r>
    </w:p>
    <w:p w:rsidRPr="00B849DC" w:rsidR="00505776" w:rsidP="00B849DC" w:rsidRDefault="00505776">
      <w:pPr>
        <w:pStyle w:val="ECHRPara"/>
        <w:rPr>
          <w:lang w:val="en-US" w:bidi="en-US"/>
        </w:rPr>
      </w:pPr>
      <w:r w:rsidRPr="00B849DC">
        <w:rPr>
          <w:lang w:val="en-US" w:bidi="en-US"/>
        </w:rPr>
        <w:fldChar w:fldCharType="begin"/>
      </w:r>
      <w:r w:rsidRPr="00B849DC">
        <w:rPr>
          <w:lang w:val="en-US" w:bidi="en-US"/>
        </w:rPr>
        <w:instrText xml:space="preserve"> SEQ level0 \*arabic </w:instrText>
      </w:r>
      <w:r w:rsidRPr="00B849DC">
        <w:rPr>
          <w:lang w:val="en-US" w:bidi="en-US"/>
        </w:rPr>
        <w:fldChar w:fldCharType="separate"/>
      </w:r>
      <w:r w:rsidRPr="00B849DC" w:rsidR="00B849DC">
        <w:rPr>
          <w:noProof/>
          <w:lang w:val="en-US" w:bidi="en-US"/>
        </w:rPr>
        <w:t>221</w:t>
      </w:r>
      <w:r w:rsidRPr="00B849DC">
        <w:rPr>
          <w:lang w:val="en-US" w:bidi="en-US"/>
        </w:rPr>
        <w:fldChar w:fldCharType="end"/>
      </w:r>
      <w:r w:rsidRPr="00B849DC">
        <w:rPr>
          <w:lang w:val="en-US" w:bidi="en-US"/>
        </w:rPr>
        <w:t>.  The judgments in the applicants</w:t>
      </w:r>
      <w:r w:rsidRPr="00B849DC" w:rsidR="00B849DC">
        <w:rPr>
          <w:lang w:val="en-US" w:bidi="en-US"/>
        </w:rPr>
        <w:t>’</w:t>
      </w:r>
      <w:r w:rsidRPr="00B849DC">
        <w:rPr>
          <w:lang w:val="en-US" w:bidi="en-US"/>
        </w:rPr>
        <w:t xml:space="preserve"> favour have not been enforced to date. </w:t>
      </w:r>
      <w:r w:rsidRPr="00B849DC" w:rsidR="00CC7707">
        <w:rPr>
          <w:lang w:val="en-US" w:bidi="en-US"/>
        </w:rPr>
        <w:t>G</w:t>
      </w:r>
      <w:r w:rsidRPr="00B849DC">
        <w:rPr>
          <w:lang w:val="en-US" w:bidi="en-US"/>
        </w:rPr>
        <w:t xml:space="preserve">iven the finding of State liability for the debts owed to the applicants in the present case, the period of non-execution should include the period of debt recovery in the course of the liquidation proceedings (see </w:t>
      </w:r>
      <w:r w:rsidRPr="00B849DC">
        <w:rPr>
          <w:i/>
          <w:lang w:val="en-GB" w:bidi="en-US"/>
        </w:rPr>
        <w:t xml:space="preserve">Mykhaylenky and Others, </w:t>
      </w:r>
      <w:r w:rsidRPr="00B849DC">
        <w:rPr>
          <w:lang w:val="en-GB" w:bidi="en-US"/>
        </w:rPr>
        <w:t>cited above, § 53)</w:t>
      </w:r>
      <w:r w:rsidRPr="00B849DC">
        <w:rPr>
          <w:lang w:val="en-US" w:bidi="en-US"/>
        </w:rPr>
        <w:t>. It is sufficient for the Court to note that in the instant cases the judgment of 19 June 2007 in Mr Maslov</w:t>
      </w:r>
      <w:r w:rsidRPr="00B849DC" w:rsidR="00B849DC">
        <w:rPr>
          <w:lang w:val="en-US" w:bidi="en-US"/>
        </w:rPr>
        <w:t>’</w:t>
      </w:r>
      <w:r w:rsidRPr="00B849DC">
        <w:rPr>
          <w:lang w:val="en-US" w:bidi="en-US"/>
        </w:rPr>
        <w:t>s favour had remained unenforced for slightly more than one year and eight months by the date of the debtor company</w:t>
      </w:r>
      <w:r w:rsidRPr="00B849DC" w:rsidR="00B849DC">
        <w:rPr>
          <w:lang w:val="en-US" w:bidi="en-US"/>
        </w:rPr>
        <w:t>’</w:t>
      </w:r>
      <w:r w:rsidRPr="00B849DC">
        <w:rPr>
          <w:lang w:val="en-US" w:bidi="en-US"/>
        </w:rPr>
        <w:t>s liquidation. Three judgments in favour of Ms Liseytseva issued in 2003-2004 have remained partially unenforced for the periods ranging between two years and six months to more than three years before the company had seized to exist.</w:t>
      </w:r>
    </w:p>
    <w:p w:rsidRPr="00B849DC" w:rsidR="00505776" w:rsidP="00B849DC" w:rsidRDefault="00505776">
      <w:pPr>
        <w:pStyle w:val="ECHRPara"/>
        <w:rPr>
          <w:lang w:val="en-US" w:bidi="en-US"/>
        </w:rPr>
      </w:pPr>
      <w:r w:rsidRPr="00B849DC">
        <w:rPr>
          <w:lang w:bidi="en-US"/>
        </w:rPr>
        <w:fldChar w:fldCharType="begin"/>
      </w:r>
      <w:r w:rsidRPr="00B849DC">
        <w:rPr>
          <w:lang w:val="en-US" w:bidi="en-US"/>
        </w:rPr>
        <w:instrText xml:space="preserve"> SEQ level0 \*arabic </w:instrText>
      </w:r>
      <w:r w:rsidRPr="00B849DC">
        <w:rPr>
          <w:lang w:bidi="en-US"/>
        </w:rPr>
        <w:fldChar w:fldCharType="separate"/>
      </w:r>
      <w:r w:rsidRPr="00B849DC" w:rsidR="00B849DC">
        <w:rPr>
          <w:noProof/>
          <w:lang w:val="en-US" w:bidi="en-US"/>
        </w:rPr>
        <w:t>222</w:t>
      </w:r>
      <w:r w:rsidRPr="00B849DC">
        <w:rPr>
          <w:lang w:bidi="en-US"/>
        </w:rPr>
        <w:fldChar w:fldCharType="end"/>
      </w:r>
      <w:r w:rsidRPr="00B849DC">
        <w:rPr>
          <w:lang w:val="en-US" w:bidi="en-US"/>
        </w:rPr>
        <w:t xml:space="preserve">.  Such delays are </w:t>
      </w:r>
      <w:r w:rsidRPr="00B849DC">
        <w:rPr>
          <w:i/>
          <w:lang w:val="en-US" w:bidi="en-US"/>
        </w:rPr>
        <w:t>prima facie</w:t>
      </w:r>
      <w:r w:rsidRPr="00B849DC">
        <w:rPr>
          <w:lang w:val="en-US" w:bidi="en-US"/>
        </w:rPr>
        <w:t xml:space="preserve"> incompatible with the Convention</w:t>
      </w:r>
      <w:r w:rsidRPr="00B849DC" w:rsidR="00750ACD">
        <w:rPr>
          <w:lang w:val="en-US" w:bidi="en-US"/>
        </w:rPr>
        <w:t xml:space="preserve"> (see, among many others, </w:t>
      </w:r>
      <w:r w:rsidRPr="00B849DC" w:rsidR="00750ACD">
        <w:rPr>
          <w:i/>
          <w:lang w:val="en-GB"/>
        </w:rPr>
        <w:t>Kosheleva and Others v. Russia</w:t>
      </w:r>
      <w:r w:rsidRPr="00B849DC" w:rsidR="00750ACD">
        <w:rPr>
          <w:lang w:val="en-GB"/>
        </w:rPr>
        <w:t>, no. 9046/07</w:t>
      </w:r>
      <w:r w:rsidRPr="00B849DC" w:rsidR="00750ACD">
        <w:rPr>
          <w:snapToGrid w:val="0"/>
          <w:szCs w:val="24"/>
          <w:lang w:val="en-GB"/>
        </w:rPr>
        <w:t>, § 19, 17 January 2012)</w:t>
      </w:r>
      <w:r w:rsidRPr="00B849DC">
        <w:rPr>
          <w:lang w:val="en-US" w:bidi="en-US"/>
        </w:rPr>
        <w:t>. While liquidation proceedings may objectively justify some limited delays in enforcement, the continuing non-execution of the judgments in the applicants</w:t>
      </w:r>
      <w:r w:rsidRPr="00B849DC" w:rsidR="00B849DC">
        <w:rPr>
          <w:lang w:val="en-US" w:bidi="en-US"/>
        </w:rPr>
        <w:t>’</w:t>
      </w:r>
      <w:r w:rsidRPr="00B849DC">
        <w:rPr>
          <w:lang w:val="en-US" w:bidi="en-US"/>
        </w:rPr>
        <w:t xml:space="preserve"> favour for several years could hardly be justified in any circumstances. The facts of the present cases would rather suggest that the municipal authorities did not consider themselves bound by the obligation to honour the judgment debt</w:t>
      </w:r>
      <w:r w:rsidRPr="00B849DC" w:rsidR="00722E86">
        <w:rPr>
          <w:lang w:val="en-US" w:bidi="en-US"/>
        </w:rPr>
        <w:t>s</w:t>
      </w:r>
      <w:r w:rsidRPr="00B849DC">
        <w:rPr>
          <w:lang w:val="en-US" w:bidi="en-US"/>
        </w:rPr>
        <w:t xml:space="preserve"> </w:t>
      </w:r>
      <w:r w:rsidRPr="00B849DC" w:rsidR="00D91AB6">
        <w:rPr>
          <w:lang w:val="en-US" w:bidi="en-US"/>
        </w:rPr>
        <w:t xml:space="preserve">towards the employees </w:t>
      </w:r>
      <w:r w:rsidRPr="00B849DC" w:rsidR="00BE18C8">
        <w:rPr>
          <w:lang w:val="en-US" w:bidi="en-US"/>
        </w:rPr>
        <w:t xml:space="preserve">related to their salaries </w:t>
      </w:r>
      <w:r w:rsidRPr="00B849DC">
        <w:rPr>
          <w:lang w:val="en-US" w:bidi="en-US"/>
        </w:rPr>
        <w:t xml:space="preserve">after they had decided to liquidate the debtor companies and to create the new ones in their places (see, </w:t>
      </w:r>
      <w:r w:rsidRPr="00B849DC">
        <w:rPr>
          <w:i/>
          <w:lang w:val="en-US" w:bidi="en-US"/>
        </w:rPr>
        <w:t>mutatis mutandis</w:t>
      </w:r>
      <w:r w:rsidRPr="00B849DC">
        <w:rPr>
          <w:lang w:val="en-US" w:bidi="en-US"/>
        </w:rPr>
        <w:t xml:space="preserve">, </w:t>
      </w:r>
      <w:r w:rsidRPr="00B849DC">
        <w:rPr>
          <w:i/>
          <w:lang w:val="en-US" w:bidi="en-US"/>
        </w:rPr>
        <w:t>Yershova</w:t>
      </w:r>
      <w:r w:rsidRPr="00B849DC">
        <w:rPr>
          <w:lang w:val="en-US" w:bidi="en-US"/>
        </w:rPr>
        <w:t>, cited above, § 72). Such an attitude (see also, for the Government</w:t>
      </w:r>
      <w:r w:rsidRPr="00B849DC" w:rsidR="00B849DC">
        <w:rPr>
          <w:lang w:val="en-US" w:bidi="en-US"/>
        </w:rPr>
        <w:t>’</w:t>
      </w:r>
      <w:r w:rsidRPr="00B849DC">
        <w:rPr>
          <w:lang w:val="en-US" w:bidi="en-US"/>
        </w:rPr>
        <w:t>s position on that matter, paragraph </w:t>
      </w:r>
      <w:r w:rsidRPr="00B849DC" w:rsidR="003E417A">
        <w:rPr>
          <w:lang w:val="en-US" w:bidi="en-US"/>
        </w:rPr>
        <w:t>14</w:t>
      </w:r>
      <w:r w:rsidRPr="00B849DC" w:rsidR="00DF43D8">
        <w:rPr>
          <w:lang w:val="en-US" w:bidi="en-US"/>
        </w:rPr>
        <w:t>7</w:t>
      </w:r>
      <w:r w:rsidRPr="00B849DC">
        <w:rPr>
          <w:lang w:val="en-US" w:bidi="en-US"/>
        </w:rPr>
        <w:t xml:space="preserve"> above) is difficult to reconcile with the State</w:t>
      </w:r>
      <w:r w:rsidRPr="00B849DC" w:rsidR="00B849DC">
        <w:rPr>
          <w:lang w:val="en-US" w:bidi="en-US"/>
        </w:rPr>
        <w:t>’</w:t>
      </w:r>
      <w:r w:rsidRPr="00B849DC">
        <w:rPr>
          <w:lang w:val="en-US" w:bidi="en-US"/>
        </w:rPr>
        <w:t>s obligations under the Convention to comply with domestic judicial decisions within a reasonable time.</w:t>
      </w:r>
    </w:p>
    <w:p w:rsidRPr="00B849DC" w:rsidR="00467EB4" w:rsidP="00B849DC" w:rsidRDefault="00505776">
      <w:pPr>
        <w:pStyle w:val="ECHRPara"/>
        <w:rPr>
          <w:lang w:val="en-US" w:bidi="en-US"/>
        </w:rPr>
      </w:pPr>
      <w:r w:rsidRPr="00B849DC">
        <w:rPr>
          <w:lang w:val="en-US" w:bidi="en-US"/>
        </w:rPr>
        <w:fldChar w:fldCharType="begin"/>
      </w:r>
      <w:r w:rsidRPr="00B849DC">
        <w:rPr>
          <w:lang w:val="en-US" w:bidi="en-US"/>
        </w:rPr>
        <w:instrText xml:space="preserve"> SEQ level0 \*arabic </w:instrText>
      </w:r>
      <w:r w:rsidRPr="00B849DC">
        <w:rPr>
          <w:lang w:val="en-US" w:bidi="en-US"/>
        </w:rPr>
        <w:fldChar w:fldCharType="separate"/>
      </w:r>
      <w:r w:rsidRPr="00B849DC" w:rsidR="00B849DC">
        <w:rPr>
          <w:noProof/>
          <w:lang w:val="en-US" w:bidi="en-US"/>
        </w:rPr>
        <w:t>223</w:t>
      </w:r>
      <w:r w:rsidRPr="00B849DC">
        <w:rPr>
          <w:lang w:val="en-US" w:bidi="en-US"/>
        </w:rPr>
        <w:fldChar w:fldCharType="end"/>
      </w:r>
      <w:r w:rsidRPr="00B849DC">
        <w:rPr>
          <w:lang w:val="en-US" w:bidi="en-US"/>
        </w:rPr>
        <w:t>.  </w:t>
      </w:r>
      <w:r w:rsidRPr="00B849DC" w:rsidR="008258DD">
        <w:rPr>
          <w:lang w:val="en-US" w:bidi="en-US"/>
        </w:rPr>
        <w:t>By failing for several years to take the necessary measures to comply with the final judgments in the instant case, the authorities deprived the provisions of Article 6 § 1 of all useful effect</w:t>
      </w:r>
      <w:r w:rsidRPr="00B849DC" w:rsidR="009021A9">
        <w:rPr>
          <w:lang w:val="en-US" w:bidi="en-US"/>
        </w:rPr>
        <w:t>.</w:t>
      </w:r>
      <w:r w:rsidRPr="00B849DC" w:rsidR="00650241">
        <w:rPr>
          <w:lang w:val="en-US" w:bidi="en-US"/>
        </w:rPr>
        <w:t xml:space="preserve"> Therefore, there has been a violation of Article 6 § 1 of the C</w:t>
      </w:r>
      <w:r w:rsidRPr="00B849DC" w:rsidR="009F7127">
        <w:rPr>
          <w:lang w:val="en-US" w:bidi="en-US"/>
        </w:rPr>
        <w:t>onvention on account of the non</w:t>
      </w:r>
      <w:r w:rsidRPr="00B849DC" w:rsidR="009F7127">
        <w:rPr>
          <w:lang w:val="en-US" w:bidi="en-US"/>
        </w:rPr>
        <w:noBreakHyphen/>
      </w:r>
      <w:r w:rsidRPr="00B849DC" w:rsidR="00650241">
        <w:rPr>
          <w:lang w:val="en-US" w:bidi="en-US"/>
        </w:rPr>
        <w:t>enforcement of the final binding judgments in the applicants</w:t>
      </w:r>
      <w:r w:rsidRPr="00B849DC" w:rsidR="00B849DC">
        <w:rPr>
          <w:lang w:val="en-US" w:bidi="en-US"/>
        </w:rPr>
        <w:t>’</w:t>
      </w:r>
      <w:r w:rsidRPr="00B849DC" w:rsidR="00650241">
        <w:rPr>
          <w:lang w:val="en-US" w:bidi="en-US"/>
        </w:rPr>
        <w:t xml:space="preserve"> favour.</w:t>
      </w:r>
    </w:p>
    <w:p w:rsidRPr="00B849DC" w:rsidR="00EE6D97" w:rsidP="00B849DC" w:rsidRDefault="009F7127">
      <w:pPr>
        <w:pStyle w:val="ECHRHeading6"/>
        <w:rPr>
          <w:lang w:val="en-US"/>
        </w:rPr>
      </w:pPr>
      <w:r w:rsidRPr="00B849DC">
        <w:rPr>
          <w:rFonts w:cstheme="majorHAnsi"/>
          <w:lang w:val="en-US"/>
        </w:rPr>
        <w:t>(</w:t>
      </w:r>
      <w:r w:rsidRPr="00B849DC" w:rsidR="00650241">
        <w:rPr>
          <w:rFonts w:cstheme="majorHAnsi"/>
        </w:rPr>
        <w:t>β</w:t>
      </w:r>
      <w:r w:rsidRPr="00B849DC">
        <w:rPr>
          <w:rFonts w:cstheme="majorHAnsi"/>
          <w:lang w:val="en-US"/>
        </w:rPr>
        <w:t>)</w:t>
      </w:r>
      <w:r w:rsidRPr="00B849DC" w:rsidR="00EE6D97">
        <w:rPr>
          <w:lang w:val="en-US"/>
        </w:rPr>
        <w:t>  Article 1 of Protocol No.</w:t>
      </w:r>
      <w:r w:rsidRPr="00B849DC" w:rsidR="008B151B">
        <w:rPr>
          <w:lang w:val="en-US"/>
        </w:rPr>
        <w:t xml:space="preserve"> </w:t>
      </w:r>
      <w:r w:rsidRPr="00B849DC" w:rsidR="00EE6D97">
        <w:rPr>
          <w:lang w:val="en-US"/>
        </w:rPr>
        <w:t>1</w:t>
      </w:r>
    </w:p>
    <w:p w:rsidRPr="00B849DC" w:rsidR="00A46052" w:rsidP="00B849DC" w:rsidRDefault="00965E62">
      <w:pPr>
        <w:pStyle w:val="ECHRPara"/>
        <w:rPr>
          <w:lang w:val="en-US" w:bidi="en-US"/>
        </w:rPr>
      </w:pPr>
      <w:r w:rsidRPr="00B849DC">
        <w:rPr>
          <w:lang w:val="en-US" w:bidi="en-US"/>
        </w:rPr>
        <w:fldChar w:fldCharType="begin"/>
      </w:r>
      <w:r w:rsidRPr="00B849DC">
        <w:rPr>
          <w:lang w:val="en-US" w:bidi="en-US"/>
        </w:rPr>
        <w:instrText xml:space="preserve"> SEQ level0 \*arabic </w:instrText>
      </w:r>
      <w:r w:rsidRPr="00B849DC">
        <w:rPr>
          <w:lang w:val="en-US" w:bidi="en-US"/>
        </w:rPr>
        <w:fldChar w:fldCharType="separate"/>
      </w:r>
      <w:r w:rsidRPr="00B849DC" w:rsidR="00B849DC">
        <w:rPr>
          <w:noProof/>
          <w:lang w:val="en-US" w:bidi="en-US"/>
        </w:rPr>
        <w:t>224</w:t>
      </w:r>
      <w:r w:rsidRPr="00B849DC">
        <w:rPr>
          <w:lang w:val="en-US" w:bidi="en-US"/>
        </w:rPr>
        <w:fldChar w:fldCharType="end"/>
      </w:r>
      <w:r w:rsidRPr="00B849DC">
        <w:rPr>
          <w:lang w:val="en-US" w:bidi="en-US"/>
        </w:rPr>
        <w:t>.  </w:t>
      </w:r>
      <w:r w:rsidRPr="00B849DC" w:rsidR="009E3B62">
        <w:rPr>
          <w:lang w:val="en-US" w:bidi="en-US"/>
        </w:rPr>
        <w:t>The Court further</w:t>
      </w:r>
      <w:r w:rsidRPr="00B849DC" w:rsidR="00B174CF">
        <w:rPr>
          <w:lang w:val="en-US" w:bidi="en-US"/>
        </w:rPr>
        <w:t xml:space="preserve"> </w:t>
      </w:r>
      <w:r w:rsidRPr="00B849DC" w:rsidR="00F905CE">
        <w:rPr>
          <w:lang w:val="en-US" w:bidi="en-US"/>
        </w:rPr>
        <w:t>reiterates its case-law to the effect that the impossibility for an applicant to obtain the execution of a judgment making an award in his or her favour constitutes an interference with the right to the peaceful enjoyment of possessions, as set out in the first sentence of the first paragraph of Article</w:t>
      </w:r>
      <w:r w:rsidRPr="00B849DC" w:rsidR="00691E50">
        <w:rPr>
          <w:lang w:val="en-US" w:bidi="en-US"/>
        </w:rPr>
        <w:t> </w:t>
      </w:r>
      <w:r w:rsidRPr="00B849DC" w:rsidR="00F905CE">
        <w:rPr>
          <w:lang w:val="en-US" w:bidi="en-US"/>
        </w:rPr>
        <w:t>1 of Protocol</w:t>
      </w:r>
      <w:r w:rsidRPr="00B849DC" w:rsidR="00691E50">
        <w:rPr>
          <w:lang w:val="en-US" w:bidi="en-US"/>
        </w:rPr>
        <w:t> </w:t>
      </w:r>
      <w:r w:rsidRPr="00B849DC" w:rsidR="00F905CE">
        <w:rPr>
          <w:lang w:val="en-US" w:bidi="en-US"/>
        </w:rPr>
        <w:t>No.</w:t>
      </w:r>
      <w:r w:rsidRPr="00B849DC" w:rsidR="00691E50">
        <w:rPr>
          <w:lang w:val="en-US" w:bidi="en-US"/>
        </w:rPr>
        <w:t> </w:t>
      </w:r>
      <w:r w:rsidRPr="00B849DC" w:rsidR="00F905CE">
        <w:rPr>
          <w:lang w:val="en-US" w:bidi="en-US"/>
        </w:rPr>
        <w:t xml:space="preserve">1 (see, among other authorities, </w:t>
      </w:r>
      <w:r w:rsidRPr="00B849DC" w:rsidR="00F905CE">
        <w:rPr>
          <w:i/>
          <w:lang w:val="en-US" w:bidi="en-US"/>
        </w:rPr>
        <w:t>Burdov</w:t>
      </w:r>
      <w:r w:rsidRPr="00B849DC" w:rsidR="00F905CE">
        <w:rPr>
          <w:lang w:val="en-US" w:bidi="en-US"/>
        </w:rPr>
        <w:t xml:space="preserve">, cited above, § 40, and </w:t>
      </w:r>
      <w:r w:rsidRPr="00B849DC" w:rsidR="001907DF">
        <w:rPr>
          <w:i/>
          <w:lang w:val="en-GB"/>
        </w:rPr>
        <w:t>Jasiūnienė v. </w:t>
      </w:r>
      <w:r w:rsidRPr="00B849DC" w:rsidR="00F905CE">
        <w:rPr>
          <w:i/>
          <w:lang w:val="en-GB"/>
        </w:rPr>
        <w:t>Lithuania</w:t>
      </w:r>
      <w:r w:rsidRPr="00B849DC" w:rsidR="00F905CE">
        <w:rPr>
          <w:lang w:val="en-GB"/>
        </w:rPr>
        <w:t>,</w:t>
      </w:r>
      <w:r w:rsidRPr="00B849DC" w:rsidR="00F905CE">
        <w:rPr>
          <w:i/>
          <w:lang w:val="en-GB"/>
        </w:rPr>
        <w:t xml:space="preserve"> </w:t>
      </w:r>
      <w:r w:rsidRPr="00B849DC" w:rsidR="00F905CE">
        <w:rPr>
          <w:lang w:val="en-GB"/>
        </w:rPr>
        <w:t>no. 41510/98, § 45, 6 March</w:t>
      </w:r>
      <w:r w:rsidRPr="00B849DC">
        <w:rPr>
          <w:lang w:val="en-GB"/>
        </w:rPr>
        <w:t xml:space="preserve"> 2003</w:t>
      </w:r>
      <w:r w:rsidRPr="00B849DC" w:rsidR="00F905CE">
        <w:rPr>
          <w:lang w:val="en-US" w:bidi="en-US"/>
        </w:rPr>
        <w:t>).</w:t>
      </w:r>
      <w:r w:rsidRPr="00B849DC" w:rsidR="00B174CF">
        <w:rPr>
          <w:lang w:val="en-US" w:bidi="en-US"/>
        </w:rPr>
        <w:t xml:space="preserve"> </w:t>
      </w:r>
      <w:r w:rsidRPr="00B849DC" w:rsidR="00F905CE">
        <w:rPr>
          <w:lang w:val="en-US" w:bidi="en-US"/>
        </w:rPr>
        <w:t>The Court finds that, by failing for years to take the necessary measures to comply with the final judgment given in favour of the applicants, the Russian authorities for a considerable period prevented the applicants from receiving in full the money to which they were entitled, which amounted to a disproportionate interference with their peaceful enjoyment of possessions</w:t>
      </w:r>
      <w:r w:rsidRPr="00B849DC" w:rsidR="009E3B62">
        <w:rPr>
          <w:lang w:val="en-US" w:bidi="en-US"/>
        </w:rPr>
        <w:t xml:space="preserve"> (see, among many others, </w:t>
      </w:r>
      <w:r w:rsidRPr="00B849DC" w:rsidR="009E3B62">
        <w:rPr>
          <w:i/>
          <w:lang w:val="en-US" w:bidi="en-US"/>
        </w:rPr>
        <w:t>Khachatryan</w:t>
      </w:r>
      <w:r w:rsidRPr="00B849DC" w:rsidR="009E3B62">
        <w:rPr>
          <w:lang w:val="en-US" w:bidi="en-US"/>
        </w:rPr>
        <w:t xml:space="preserve">, cited above, § 69; and, </w:t>
      </w:r>
      <w:r w:rsidRPr="00B849DC" w:rsidR="009E3B62">
        <w:rPr>
          <w:i/>
          <w:lang w:val="en-US" w:bidi="en-US"/>
        </w:rPr>
        <w:t>mutatis mutandis</w:t>
      </w:r>
      <w:r w:rsidRPr="00B849DC" w:rsidR="009E3B62">
        <w:rPr>
          <w:lang w:val="en-US" w:bidi="en-US"/>
        </w:rPr>
        <w:t xml:space="preserve">, </w:t>
      </w:r>
      <w:r w:rsidRPr="00B849DC" w:rsidR="009E3B62">
        <w:rPr>
          <w:i/>
          <w:lang w:val="en-GB"/>
        </w:rPr>
        <w:t>Sharenok v. Ukraine</w:t>
      </w:r>
      <w:r w:rsidRPr="00B849DC" w:rsidR="009E3B62">
        <w:rPr>
          <w:lang w:val="en-GB"/>
        </w:rPr>
        <w:t>, no. 35087/02, §§ 35-38, 22 February 2005</w:t>
      </w:r>
      <w:r w:rsidRPr="00B849DC" w:rsidR="009E3B62">
        <w:rPr>
          <w:lang w:val="en-US" w:bidi="en-US"/>
        </w:rPr>
        <w:t xml:space="preserve">; and </w:t>
      </w:r>
      <w:r w:rsidRPr="00B849DC" w:rsidR="009E3B62">
        <w:rPr>
          <w:i/>
          <w:lang w:val="en-US" w:bidi="en-US"/>
        </w:rPr>
        <w:t>Grigoryev and Kakaurova</w:t>
      </w:r>
      <w:r w:rsidRPr="00B849DC" w:rsidR="009E3B62">
        <w:rPr>
          <w:lang w:val="en-US" w:bidi="en-US"/>
        </w:rPr>
        <w:t>, cited above, § 39.) Accordingly, there</w:t>
      </w:r>
      <w:r w:rsidRPr="00B849DC" w:rsidR="00F15B3F">
        <w:rPr>
          <w:lang w:val="en-US" w:bidi="en-US"/>
        </w:rPr>
        <w:t xml:space="preserve"> has been a </w:t>
      </w:r>
      <w:r w:rsidRPr="00B849DC" w:rsidR="00A46052">
        <w:rPr>
          <w:lang w:val="en-US" w:bidi="en-US"/>
        </w:rPr>
        <w:t xml:space="preserve">violation of Article 1 of Protocol No. 1 on account of </w:t>
      </w:r>
      <w:r w:rsidRPr="00B849DC" w:rsidR="00B053EF">
        <w:rPr>
          <w:lang w:val="en-US" w:bidi="en-US"/>
        </w:rPr>
        <w:t xml:space="preserve">the </w:t>
      </w:r>
      <w:r w:rsidRPr="00B849DC" w:rsidR="00A46052">
        <w:rPr>
          <w:lang w:val="en-US" w:bidi="en-US"/>
        </w:rPr>
        <w:t>non-enforcement of the final binding judgments in the applicants</w:t>
      </w:r>
      <w:r w:rsidRPr="00B849DC" w:rsidR="00B849DC">
        <w:rPr>
          <w:lang w:val="en-US" w:bidi="en-US"/>
        </w:rPr>
        <w:t>’</w:t>
      </w:r>
      <w:r w:rsidRPr="00B849DC" w:rsidR="00A46052">
        <w:rPr>
          <w:lang w:val="en-US" w:bidi="en-US"/>
        </w:rPr>
        <w:t xml:space="preserve"> favour.</w:t>
      </w:r>
    </w:p>
    <w:p w:rsidRPr="00B849DC" w:rsidR="00FD311A" w:rsidP="00B849DC" w:rsidRDefault="005061F9">
      <w:pPr>
        <w:pStyle w:val="ECHRHeading1"/>
        <w:rPr>
          <w:lang w:val="en-US"/>
        </w:rPr>
      </w:pPr>
      <w:r w:rsidRPr="00B849DC">
        <w:rPr>
          <w:lang w:val="en-US"/>
        </w:rPr>
        <w:t>I</w:t>
      </w:r>
      <w:r w:rsidRPr="00B849DC" w:rsidR="002A75D8">
        <w:rPr>
          <w:lang w:val="en-US"/>
        </w:rPr>
        <w:t>II</w:t>
      </w:r>
      <w:r w:rsidRPr="00B849DC">
        <w:rPr>
          <w:lang w:val="en-US"/>
        </w:rPr>
        <w:t>.</w:t>
      </w:r>
      <w:proofErr w:type="gramStart"/>
      <w:r w:rsidRPr="00B849DC" w:rsidR="00F56E76">
        <w:rPr>
          <w:lang w:val="en-US"/>
        </w:rPr>
        <w:t>  </w:t>
      </w:r>
      <w:r w:rsidRPr="00B849DC">
        <w:rPr>
          <w:lang w:val="en-US"/>
        </w:rPr>
        <w:t>OTHER</w:t>
      </w:r>
      <w:proofErr w:type="gramEnd"/>
      <w:r w:rsidRPr="00B849DC">
        <w:rPr>
          <w:lang w:val="en-US"/>
        </w:rPr>
        <w:t xml:space="preserve"> COMP</w:t>
      </w:r>
      <w:r w:rsidRPr="00B849DC" w:rsidR="00FD311A">
        <w:rPr>
          <w:lang w:val="en-US"/>
        </w:rPr>
        <w:t>L</w:t>
      </w:r>
      <w:r w:rsidRPr="00B849DC">
        <w:rPr>
          <w:lang w:val="en-US"/>
        </w:rPr>
        <w:t>A</w:t>
      </w:r>
      <w:r w:rsidRPr="00B849DC" w:rsidR="00FD311A">
        <w:rPr>
          <w:lang w:val="en-US"/>
        </w:rPr>
        <w:t>INTS RAISED BY THE APPLICANTS</w:t>
      </w:r>
    </w:p>
    <w:p w:rsidRPr="00B849DC" w:rsidR="00FD311A" w:rsidP="00B849DC" w:rsidRDefault="00CE6100">
      <w:pPr>
        <w:pStyle w:val="ECHRPara"/>
        <w:rPr>
          <w:lang w:val="en-US"/>
        </w:rPr>
      </w:pPr>
      <w:r w:rsidRPr="00B849DC">
        <w:rPr>
          <w:lang w:val="en-US"/>
        </w:rPr>
        <w:fldChar w:fldCharType="begin"/>
      </w:r>
      <w:r w:rsidRPr="00B849DC">
        <w:rPr>
          <w:lang w:val="en-US"/>
        </w:rPr>
        <w:instrText xml:space="preserve"> SEQ level0 \*arabic </w:instrText>
      </w:r>
      <w:r w:rsidRPr="00B849DC">
        <w:rPr>
          <w:lang w:val="en-US"/>
        </w:rPr>
        <w:fldChar w:fldCharType="separate"/>
      </w:r>
      <w:r w:rsidRPr="00B849DC" w:rsidR="00B849DC">
        <w:rPr>
          <w:noProof/>
          <w:lang w:val="en-US"/>
        </w:rPr>
        <w:t>225</w:t>
      </w:r>
      <w:r w:rsidRPr="00B849DC">
        <w:rPr>
          <w:lang w:val="en-US"/>
        </w:rPr>
        <w:fldChar w:fldCharType="end"/>
      </w:r>
      <w:r w:rsidRPr="00B849DC">
        <w:rPr>
          <w:lang w:val="en-US"/>
        </w:rPr>
        <w:t>.  </w:t>
      </w:r>
      <w:r w:rsidRPr="00B849DC" w:rsidR="005C5EA0">
        <w:rPr>
          <w:lang w:val="en-US"/>
        </w:rPr>
        <w:t xml:space="preserve">In her observations </w:t>
      </w:r>
      <w:r w:rsidRPr="00B849DC" w:rsidR="00FD311A">
        <w:rPr>
          <w:lang w:val="en-US"/>
        </w:rPr>
        <w:t xml:space="preserve">Ms Liseytseva </w:t>
      </w:r>
      <w:r w:rsidRPr="00B849DC" w:rsidR="008D33BE">
        <w:rPr>
          <w:lang w:val="en-US"/>
        </w:rPr>
        <w:t xml:space="preserve">referred to </w:t>
      </w:r>
      <w:r w:rsidRPr="00B849DC" w:rsidR="0067066D">
        <w:rPr>
          <w:lang w:val="en-US"/>
        </w:rPr>
        <w:t xml:space="preserve">at least one new </w:t>
      </w:r>
      <w:r w:rsidRPr="00B849DC" w:rsidR="008D33BE">
        <w:rPr>
          <w:lang w:val="en-US"/>
        </w:rPr>
        <w:t xml:space="preserve">judgment in her favour </w:t>
      </w:r>
      <w:r w:rsidRPr="00B849DC" w:rsidR="001E36ED">
        <w:rPr>
          <w:lang w:val="en-US"/>
        </w:rPr>
        <w:t xml:space="preserve">which </w:t>
      </w:r>
      <w:r w:rsidRPr="00B849DC" w:rsidR="001C1DEE">
        <w:rPr>
          <w:lang w:val="en-US"/>
        </w:rPr>
        <w:t xml:space="preserve">had been </w:t>
      </w:r>
      <w:r w:rsidRPr="00B849DC" w:rsidR="008D33BE">
        <w:rPr>
          <w:lang w:val="en-US"/>
        </w:rPr>
        <w:t>issued on 28 March 2005 against the</w:t>
      </w:r>
      <w:r w:rsidRPr="00B849DC" w:rsidR="00E17695">
        <w:rPr>
          <w:lang w:val="en-US"/>
        </w:rPr>
        <w:t xml:space="preserve"> debtor enterprise</w:t>
      </w:r>
      <w:r w:rsidRPr="00B849DC" w:rsidR="008B165C">
        <w:rPr>
          <w:lang w:val="en-US"/>
        </w:rPr>
        <w:t xml:space="preserve"> </w:t>
      </w:r>
      <w:r w:rsidRPr="00B849DC" w:rsidR="001C1DEE">
        <w:rPr>
          <w:lang w:val="en-US"/>
        </w:rPr>
        <w:t>but had not been enforced to date</w:t>
      </w:r>
      <w:r w:rsidRPr="00B849DC" w:rsidR="00E17695">
        <w:rPr>
          <w:lang w:val="en-US"/>
        </w:rPr>
        <w:t xml:space="preserve">. </w:t>
      </w:r>
      <w:r w:rsidRPr="00B849DC" w:rsidR="008D33BE">
        <w:rPr>
          <w:lang w:val="en-US"/>
        </w:rPr>
        <w:t xml:space="preserve">As </w:t>
      </w:r>
      <w:r w:rsidRPr="00B849DC" w:rsidR="001E36ED">
        <w:rPr>
          <w:lang w:val="en-US"/>
        </w:rPr>
        <w:t xml:space="preserve">in </w:t>
      </w:r>
      <w:r w:rsidRPr="00B849DC" w:rsidR="001C1DEE">
        <w:rPr>
          <w:lang w:val="en-US"/>
        </w:rPr>
        <w:t>several previous cases</w:t>
      </w:r>
      <w:r w:rsidRPr="00B849DC" w:rsidR="008D33BE">
        <w:rPr>
          <w:lang w:val="en-US"/>
        </w:rPr>
        <w:t>, the Court does not find it appropriate to examine any new matters raised by the applicant after communication of the application to the Government, as long as they do not constitute an elaboration upon the applicant</w:t>
      </w:r>
      <w:r w:rsidRPr="00B849DC" w:rsidR="00B849DC">
        <w:rPr>
          <w:lang w:val="en-US"/>
        </w:rPr>
        <w:t>’</w:t>
      </w:r>
      <w:r w:rsidRPr="00B849DC" w:rsidR="008D33BE">
        <w:rPr>
          <w:lang w:val="en-US"/>
        </w:rPr>
        <w:t xml:space="preserve">s original complaints to the Court (see </w:t>
      </w:r>
      <w:r w:rsidRPr="00B849DC" w:rsidR="008D33BE">
        <w:rPr>
          <w:i/>
          <w:lang w:val="en-GB"/>
        </w:rPr>
        <w:t>Yefimova v. Russia</w:t>
      </w:r>
      <w:r w:rsidRPr="00B849DC" w:rsidR="008D33BE">
        <w:rPr>
          <w:lang w:val="en-GB"/>
        </w:rPr>
        <w:t>, no. 39786/09</w:t>
      </w:r>
      <w:r w:rsidRPr="00B849DC" w:rsidR="008D33BE">
        <w:rPr>
          <w:snapToGrid w:val="0"/>
          <w:lang w:val="en-GB"/>
        </w:rPr>
        <w:t>, § 177, 19 February 2013, with further references</w:t>
      </w:r>
      <w:r w:rsidRPr="00B849DC" w:rsidR="008D33BE">
        <w:rPr>
          <w:lang w:val="en-US"/>
        </w:rPr>
        <w:t>).</w:t>
      </w:r>
      <w:r w:rsidRPr="00B849DC" w:rsidR="00E17695">
        <w:rPr>
          <w:lang w:val="en-US" w:eastAsia="en-US"/>
        </w:rPr>
        <w:t xml:space="preserve"> </w:t>
      </w:r>
      <w:r w:rsidRPr="00B849DC" w:rsidR="00E17695">
        <w:rPr>
          <w:lang w:val="en-US"/>
        </w:rPr>
        <w:t xml:space="preserve">Given that no complaints in connection with </w:t>
      </w:r>
      <w:r w:rsidRPr="00B849DC" w:rsidR="008B165C">
        <w:rPr>
          <w:lang w:val="en-US"/>
        </w:rPr>
        <w:t>that judgment</w:t>
      </w:r>
      <w:r w:rsidRPr="00B849DC" w:rsidR="00E17695">
        <w:rPr>
          <w:lang w:val="en-US"/>
        </w:rPr>
        <w:t xml:space="preserve"> were raised before the communication of the </w:t>
      </w:r>
      <w:r w:rsidRPr="00B849DC" w:rsidR="0067521F">
        <w:rPr>
          <w:lang w:val="en-US"/>
        </w:rPr>
        <w:t>application</w:t>
      </w:r>
      <w:r w:rsidRPr="00B849DC" w:rsidR="00E17695">
        <w:rPr>
          <w:lang w:val="en-US"/>
        </w:rPr>
        <w:t xml:space="preserve"> and the decision to examine its merits at the same time as its admissibility, the scope of the present case is limited to the facts as they stood a</w:t>
      </w:r>
      <w:r w:rsidRPr="00B849DC" w:rsidR="008B165C">
        <w:rPr>
          <w:lang w:val="en-US"/>
        </w:rPr>
        <w:t>t the time of the communication</w:t>
      </w:r>
      <w:r w:rsidRPr="00B849DC" w:rsidR="00E17695">
        <w:rPr>
          <w:lang w:val="en-US"/>
        </w:rPr>
        <w:t xml:space="preserve">. However, </w:t>
      </w:r>
      <w:r w:rsidRPr="00B849DC" w:rsidR="0033179F">
        <w:rPr>
          <w:lang w:val="en-US"/>
        </w:rPr>
        <w:t>Ms </w:t>
      </w:r>
      <w:r w:rsidRPr="00B849DC" w:rsidR="0067066D">
        <w:rPr>
          <w:lang w:val="en-US"/>
        </w:rPr>
        <w:t>Liseytseva</w:t>
      </w:r>
      <w:r w:rsidRPr="00B849DC" w:rsidR="00E17695">
        <w:rPr>
          <w:lang w:val="en-US"/>
        </w:rPr>
        <w:t xml:space="preserve"> has the opportunity to lodge new applications in respect of any other complaints relating to the subsequent events (see </w:t>
      </w:r>
      <w:r w:rsidRPr="00B849DC" w:rsidR="00E17695">
        <w:rPr>
          <w:i/>
          <w:lang w:val="en-GB"/>
        </w:rPr>
        <w:t>Rafig Aliyev v. Azerbaijan</w:t>
      </w:r>
      <w:r w:rsidRPr="00B849DC" w:rsidR="00E17695">
        <w:rPr>
          <w:lang w:val="en-GB"/>
        </w:rPr>
        <w:t>, no. 45875/06</w:t>
      </w:r>
      <w:r w:rsidRPr="00B849DC" w:rsidR="00E17695">
        <w:rPr>
          <w:szCs w:val="24"/>
          <w:lang w:val="en-GB"/>
        </w:rPr>
        <w:t>, § 70, 6 December 2011</w:t>
      </w:r>
      <w:r w:rsidRPr="00B849DC" w:rsidR="00E17695">
        <w:rPr>
          <w:lang w:val="en-US"/>
        </w:rPr>
        <w:t>).</w:t>
      </w:r>
    </w:p>
    <w:p w:rsidRPr="00B849DC" w:rsidR="00FD311A" w:rsidP="00B849DC" w:rsidRDefault="00FD311A">
      <w:pPr>
        <w:pStyle w:val="ECHRPara"/>
        <w:rPr>
          <w:lang w:val="en-US"/>
        </w:rPr>
      </w:pPr>
      <w:r w:rsidRPr="00B849DC">
        <w:rPr>
          <w:lang w:val="en-US"/>
        </w:rPr>
        <w:fldChar w:fldCharType="begin"/>
      </w:r>
      <w:r w:rsidRPr="00B849DC">
        <w:rPr>
          <w:lang w:val="en-US"/>
        </w:rPr>
        <w:instrText xml:space="preserve"> SEQ level0 \*arabic </w:instrText>
      </w:r>
      <w:r w:rsidRPr="00B849DC">
        <w:rPr>
          <w:lang w:val="en-US"/>
        </w:rPr>
        <w:fldChar w:fldCharType="separate"/>
      </w:r>
      <w:r w:rsidRPr="00B849DC" w:rsidR="00B849DC">
        <w:rPr>
          <w:noProof/>
          <w:lang w:val="en-US"/>
        </w:rPr>
        <w:t>226</w:t>
      </w:r>
      <w:r w:rsidRPr="00B849DC">
        <w:rPr>
          <w:lang w:val="en-US"/>
        </w:rPr>
        <w:fldChar w:fldCharType="end"/>
      </w:r>
      <w:r w:rsidRPr="00B849DC">
        <w:rPr>
          <w:lang w:val="en-US"/>
        </w:rPr>
        <w:t xml:space="preserve">.  Mr Maslov </w:t>
      </w:r>
      <w:r w:rsidRPr="00B849DC" w:rsidR="008D33BE">
        <w:rPr>
          <w:lang w:val="en-US"/>
        </w:rPr>
        <w:t xml:space="preserve">complained under Article 6 </w:t>
      </w:r>
      <w:r w:rsidRPr="00B849DC" w:rsidR="00770A93">
        <w:rPr>
          <w:lang w:val="en-US"/>
        </w:rPr>
        <w:t>that</w:t>
      </w:r>
      <w:r w:rsidRPr="00B849DC" w:rsidR="008D33BE">
        <w:rPr>
          <w:lang w:val="en-US"/>
        </w:rPr>
        <w:t xml:space="preserve"> the domestic law in the subsidiary liability proceedings</w:t>
      </w:r>
      <w:r w:rsidRPr="00B849DC" w:rsidR="00770A93">
        <w:rPr>
          <w:lang w:val="en-US"/>
        </w:rPr>
        <w:t xml:space="preserve"> was not applied correctly</w:t>
      </w:r>
      <w:r w:rsidRPr="00B849DC" w:rsidR="008D33BE">
        <w:rPr>
          <w:lang w:val="en-US"/>
        </w:rPr>
        <w:t xml:space="preserve">. </w:t>
      </w:r>
      <w:r w:rsidRPr="00B849DC">
        <w:rPr>
          <w:lang w:val="en-US"/>
        </w:rPr>
        <w:t xml:space="preserve">Having regard to all the material in its possession, and in so far as </w:t>
      </w:r>
      <w:r w:rsidRPr="00B849DC" w:rsidR="008D33BE">
        <w:rPr>
          <w:lang w:val="en-US"/>
        </w:rPr>
        <w:t>this complaint falls</w:t>
      </w:r>
      <w:r w:rsidRPr="00B849DC">
        <w:rPr>
          <w:lang w:val="en-US"/>
        </w:rPr>
        <w:t xml:space="preserve"> within its competence, the Court finds that </w:t>
      </w:r>
      <w:r w:rsidRPr="00B849DC" w:rsidR="008D33BE">
        <w:rPr>
          <w:lang w:val="en-US"/>
        </w:rPr>
        <w:t>it does</w:t>
      </w:r>
      <w:r w:rsidRPr="00B849DC">
        <w:rPr>
          <w:lang w:val="en-US"/>
        </w:rPr>
        <w:t xml:space="preserve"> not disclose any appearance of a violation of the rights and freedoms set out in the Convention or its Protocols. It follows that this part of the application must be rejected as manifestly ill-founded, pursuant to Article</w:t>
      </w:r>
      <w:r w:rsidRPr="00B849DC" w:rsidR="008D33BE">
        <w:rPr>
          <w:lang w:val="en-US"/>
        </w:rPr>
        <w:t> </w:t>
      </w:r>
      <w:r w:rsidRPr="00B849DC">
        <w:rPr>
          <w:lang w:val="en-US"/>
        </w:rPr>
        <w:t>35</w:t>
      </w:r>
      <w:r w:rsidRPr="00B849DC" w:rsidR="008D33BE">
        <w:rPr>
          <w:lang w:val="en-US"/>
        </w:rPr>
        <w:t> </w:t>
      </w:r>
      <w:r w:rsidRPr="00B849DC">
        <w:rPr>
          <w:lang w:val="en-US"/>
        </w:rPr>
        <w:t>§§</w:t>
      </w:r>
      <w:r w:rsidRPr="00B849DC" w:rsidR="008D33BE">
        <w:rPr>
          <w:lang w:val="en-US"/>
        </w:rPr>
        <w:t> </w:t>
      </w:r>
      <w:r w:rsidRPr="00B849DC">
        <w:rPr>
          <w:lang w:val="en-US"/>
        </w:rPr>
        <w:t>3 and 4 of the Convention</w:t>
      </w:r>
      <w:r w:rsidRPr="00B849DC" w:rsidR="0033179F">
        <w:rPr>
          <w:lang w:val="en-US"/>
        </w:rPr>
        <w:t>.</w:t>
      </w:r>
    </w:p>
    <w:p w:rsidRPr="00B849DC" w:rsidR="0016590C" w:rsidP="00B849DC" w:rsidRDefault="002A75D8">
      <w:pPr>
        <w:pStyle w:val="ECHRHeading1"/>
        <w:rPr>
          <w:lang w:val="en-US"/>
        </w:rPr>
      </w:pPr>
      <w:r w:rsidRPr="00B849DC">
        <w:rPr>
          <w:lang w:val="en-US"/>
        </w:rPr>
        <w:t>I</w:t>
      </w:r>
      <w:r w:rsidRPr="00B849DC" w:rsidR="00A13211">
        <w:rPr>
          <w:lang w:val="en-US"/>
        </w:rPr>
        <w:t>V.</w:t>
      </w:r>
      <w:proofErr w:type="gramStart"/>
      <w:r w:rsidRPr="00B849DC" w:rsidR="00A13211">
        <w:rPr>
          <w:lang w:val="en-US"/>
        </w:rPr>
        <w:t>  ARTICLE</w:t>
      </w:r>
      <w:proofErr w:type="gramEnd"/>
      <w:r w:rsidRPr="00B849DC" w:rsidR="00A13211">
        <w:rPr>
          <w:lang w:val="en-US"/>
        </w:rPr>
        <w:t xml:space="preserve"> </w:t>
      </w:r>
      <w:r w:rsidRPr="00B849DC" w:rsidR="0016590C">
        <w:rPr>
          <w:lang w:val="en-US"/>
        </w:rPr>
        <w:t>41 OF THE CONVENTION</w:t>
      </w:r>
    </w:p>
    <w:p w:rsidRPr="00B849DC" w:rsidR="0016590C" w:rsidP="00B849DC" w:rsidRDefault="0016590C">
      <w:pPr>
        <w:pStyle w:val="ECHRPara"/>
        <w:rPr>
          <w:lang w:val="en-US"/>
        </w:rPr>
      </w:pPr>
      <w:r w:rsidRPr="00B849DC">
        <w:rPr>
          <w:lang w:val="en-US"/>
        </w:rPr>
        <w:fldChar w:fldCharType="begin"/>
      </w:r>
      <w:r w:rsidRPr="00B849DC">
        <w:rPr>
          <w:lang w:val="en-US"/>
        </w:rPr>
        <w:instrText xml:space="preserve"> SEQ level0 \*arabic </w:instrText>
      </w:r>
      <w:r w:rsidRPr="00B849DC">
        <w:rPr>
          <w:lang w:val="en-US"/>
        </w:rPr>
        <w:fldChar w:fldCharType="separate"/>
      </w:r>
      <w:r w:rsidRPr="00B849DC" w:rsidR="00B849DC">
        <w:rPr>
          <w:noProof/>
          <w:lang w:val="en-US"/>
        </w:rPr>
        <w:t>227</w:t>
      </w:r>
      <w:r w:rsidRPr="00B849DC">
        <w:rPr>
          <w:lang w:val="en-US"/>
        </w:rPr>
        <w:fldChar w:fldCharType="end"/>
      </w:r>
      <w:r w:rsidRPr="00B849DC">
        <w:rPr>
          <w:lang w:val="en-US"/>
        </w:rPr>
        <w:t>.  Article</w:t>
      </w:r>
      <w:r w:rsidRPr="00B849DC" w:rsidR="00A13211">
        <w:rPr>
          <w:lang w:val="en-US"/>
        </w:rPr>
        <w:t xml:space="preserve"> </w:t>
      </w:r>
      <w:r w:rsidRPr="00B849DC">
        <w:rPr>
          <w:lang w:val="en-US"/>
        </w:rPr>
        <w:t>41 of the Convention provides:</w:t>
      </w:r>
    </w:p>
    <w:p w:rsidRPr="00B849DC" w:rsidR="0016590C" w:rsidP="00B849DC" w:rsidRDefault="0016590C">
      <w:pPr>
        <w:pStyle w:val="ECHRParaQuote"/>
        <w:rPr>
          <w:lang w:val="en-US"/>
        </w:rPr>
      </w:pPr>
      <w:r w:rsidRPr="00B849DC">
        <w:rPr>
          <w:lang w:val="en-US"/>
        </w:rPr>
        <w:t xml:space="preserve">“If the Court </w:t>
      </w:r>
      <w:r w:rsidRPr="00B849DC">
        <w:t>ﬁ</w:t>
      </w:r>
      <w:r w:rsidRPr="00B849DC">
        <w:rPr>
          <w:lang w:val="en-US"/>
        </w:rPr>
        <w:t>nds that there has been a violation of the Convention or the Protocols thereto, and if the internal law of the High Contracting Party concerned allows only partial reparation to be made, the Court shall, if necessary, afford just satisfaction to the injured party.”</w:t>
      </w:r>
    </w:p>
    <w:p w:rsidRPr="00B849DC" w:rsidR="0016590C" w:rsidP="00B849DC" w:rsidRDefault="00907A74">
      <w:pPr>
        <w:pStyle w:val="ECHRHeading2"/>
        <w:rPr>
          <w:lang w:val="en-US"/>
        </w:rPr>
      </w:pPr>
      <w:r w:rsidRPr="00B849DC">
        <w:rPr>
          <w:lang w:val="en-US"/>
        </w:rPr>
        <w:t>A.  </w:t>
      </w:r>
      <w:r w:rsidRPr="00B849DC" w:rsidR="0016590C">
        <w:rPr>
          <w:lang w:val="en-US"/>
        </w:rPr>
        <w:t>Damage</w:t>
      </w:r>
    </w:p>
    <w:p w:rsidRPr="00B849DC" w:rsidR="004A5323" w:rsidP="00B849DC" w:rsidRDefault="0016590C">
      <w:pPr>
        <w:pStyle w:val="ECHRPara"/>
        <w:rPr>
          <w:lang w:val="en-US"/>
        </w:rPr>
      </w:pPr>
      <w:r w:rsidRPr="00B849DC">
        <w:rPr>
          <w:lang w:val="en-US"/>
        </w:rPr>
        <w:fldChar w:fldCharType="begin"/>
      </w:r>
      <w:r w:rsidRPr="00B849DC">
        <w:rPr>
          <w:lang w:val="en-US"/>
        </w:rPr>
        <w:instrText xml:space="preserve"> SEQ level0 \*arabic </w:instrText>
      </w:r>
      <w:r w:rsidRPr="00B849DC">
        <w:rPr>
          <w:lang w:val="en-US"/>
        </w:rPr>
        <w:fldChar w:fldCharType="separate"/>
      </w:r>
      <w:r w:rsidRPr="00B849DC" w:rsidR="00B849DC">
        <w:rPr>
          <w:noProof/>
          <w:lang w:val="en-US"/>
        </w:rPr>
        <w:t>228</w:t>
      </w:r>
      <w:r w:rsidRPr="00B849DC">
        <w:rPr>
          <w:lang w:val="en-US"/>
        </w:rPr>
        <w:fldChar w:fldCharType="end"/>
      </w:r>
      <w:r w:rsidRPr="00B849DC">
        <w:rPr>
          <w:lang w:val="en-US"/>
        </w:rPr>
        <w:t>.  </w:t>
      </w:r>
      <w:r w:rsidRPr="00B849DC" w:rsidR="0032156F">
        <w:rPr>
          <w:lang w:val="en-US"/>
        </w:rPr>
        <w:t>Ms Liseytseva claimed</w:t>
      </w:r>
      <w:r w:rsidRPr="00B849DC" w:rsidR="0033179F">
        <w:rPr>
          <w:lang w:val="en-US"/>
        </w:rPr>
        <w:t xml:space="preserve"> </w:t>
      </w:r>
      <w:r w:rsidRPr="00B849DC" w:rsidR="0032156F">
        <w:rPr>
          <w:lang w:val="en-US"/>
        </w:rPr>
        <w:t>13,226.67</w:t>
      </w:r>
      <w:r w:rsidRPr="00B849DC" w:rsidR="0033179F">
        <w:rPr>
          <w:lang w:val="en-US"/>
        </w:rPr>
        <w:t xml:space="preserve"> Russian roubles (RUB)</w:t>
      </w:r>
      <w:r w:rsidRPr="00B849DC" w:rsidR="0032156F">
        <w:rPr>
          <w:lang w:val="en-US"/>
        </w:rPr>
        <w:t xml:space="preserve"> of the unpaid judgment debt under three judgments in her favour and RUB </w:t>
      </w:r>
      <w:r w:rsidRPr="00B849DC" w:rsidR="00702898">
        <w:rPr>
          <w:lang w:val="en-US"/>
        </w:rPr>
        <w:t>5,928 in respect of the unenforced court award of 28 March 2005.</w:t>
      </w:r>
      <w:r w:rsidRPr="00B849DC" w:rsidR="00FB66CB">
        <w:rPr>
          <w:lang w:val="en-US"/>
        </w:rPr>
        <w:t xml:space="preserve"> </w:t>
      </w:r>
      <w:r w:rsidRPr="00B849DC" w:rsidR="004A5323">
        <w:rPr>
          <w:lang w:val="en-US"/>
        </w:rPr>
        <w:t>She further claimed</w:t>
      </w:r>
      <w:r w:rsidRPr="00B849DC" w:rsidR="0033179F">
        <w:rPr>
          <w:lang w:val="en-US"/>
        </w:rPr>
        <w:t xml:space="preserve"> </w:t>
      </w:r>
      <w:r w:rsidRPr="00B849DC" w:rsidR="004A5323">
        <w:rPr>
          <w:lang w:val="en-US"/>
        </w:rPr>
        <w:t>3,000</w:t>
      </w:r>
      <w:r w:rsidRPr="00B849DC" w:rsidR="0033179F">
        <w:rPr>
          <w:lang w:val="en-US"/>
        </w:rPr>
        <w:t xml:space="preserve"> euros (EUR)</w:t>
      </w:r>
      <w:r w:rsidRPr="00B849DC" w:rsidR="004A5323">
        <w:rPr>
          <w:lang w:val="en-US"/>
        </w:rPr>
        <w:t xml:space="preserve"> in respect of non-pecuniary damage.</w:t>
      </w:r>
    </w:p>
    <w:p w:rsidRPr="00B849DC" w:rsidR="008749A0" w:rsidP="00B849DC" w:rsidRDefault="008749A0">
      <w:pPr>
        <w:pStyle w:val="ECHRPara"/>
        <w:rPr>
          <w:lang w:val="en-US"/>
        </w:rPr>
      </w:pPr>
      <w:r w:rsidRPr="00B849DC">
        <w:rPr>
          <w:lang w:val="en-US"/>
        </w:rPr>
        <w:fldChar w:fldCharType="begin"/>
      </w:r>
      <w:r w:rsidRPr="00B849DC">
        <w:rPr>
          <w:lang w:val="en-US"/>
        </w:rPr>
        <w:instrText xml:space="preserve"> SEQ level0 \*arabic </w:instrText>
      </w:r>
      <w:r w:rsidRPr="00B849DC">
        <w:rPr>
          <w:lang w:val="en-US"/>
        </w:rPr>
        <w:fldChar w:fldCharType="separate"/>
      </w:r>
      <w:r w:rsidRPr="00B849DC" w:rsidR="00B849DC">
        <w:rPr>
          <w:noProof/>
          <w:lang w:val="en-US"/>
        </w:rPr>
        <w:t>229</w:t>
      </w:r>
      <w:r w:rsidRPr="00B849DC">
        <w:rPr>
          <w:lang w:val="en-US"/>
        </w:rPr>
        <w:fldChar w:fldCharType="end"/>
      </w:r>
      <w:r w:rsidRPr="00B849DC">
        <w:rPr>
          <w:lang w:val="en-US"/>
        </w:rPr>
        <w:t xml:space="preserve">.  Mr Maslov claimed RUB 80,892.63 of the unpaid judgment debt and RUB 37,029.17 </w:t>
      </w:r>
      <w:r w:rsidRPr="00B849DC" w:rsidR="00FB66CB">
        <w:rPr>
          <w:lang w:val="en-US"/>
        </w:rPr>
        <w:t xml:space="preserve">in </w:t>
      </w:r>
      <w:r w:rsidRPr="00B849DC" w:rsidR="00B06C72">
        <w:rPr>
          <w:lang w:val="en-US"/>
        </w:rPr>
        <w:t>compensation</w:t>
      </w:r>
      <w:r w:rsidRPr="00B849DC">
        <w:rPr>
          <w:lang w:val="en-US"/>
        </w:rPr>
        <w:t xml:space="preserve"> for the failure to pay him </w:t>
      </w:r>
      <w:r w:rsidRPr="00B849DC" w:rsidR="00FB66CB">
        <w:rPr>
          <w:lang w:val="en-US"/>
        </w:rPr>
        <w:t xml:space="preserve">his </w:t>
      </w:r>
      <w:r w:rsidRPr="00B849DC">
        <w:rPr>
          <w:lang w:val="en-US"/>
        </w:rPr>
        <w:t xml:space="preserve">salary in due time. He </w:t>
      </w:r>
      <w:r w:rsidRPr="00B849DC" w:rsidR="00B06C72">
        <w:rPr>
          <w:lang w:val="en-US"/>
        </w:rPr>
        <w:t>also</w:t>
      </w:r>
      <w:r w:rsidRPr="00B849DC">
        <w:rPr>
          <w:lang w:val="en-US"/>
        </w:rPr>
        <w:t xml:space="preserve"> claimed EUR 50,000 in respect of non-pecuniary</w:t>
      </w:r>
      <w:r w:rsidRPr="00B849DC" w:rsidR="00086702">
        <w:rPr>
          <w:lang w:val="en-US"/>
        </w:rPr>
        <w:t xml:space="preserve"> </w:t>
      </w:r>
      <w:r w:rsidRPr="00B849DC">
        <w:rPr>
          <w:lang w:val="en-US"/>
        </w:rPr>
        <w:t>damage.</w:t>
      </w:r>
    </w:p>
    <w:p w:rsidRPr="00B849DC" w:rsidR="0016590C" w:rsidP="00B849DC" w:rsidRDefault="0016590C">
      <w:pPr>
        <w:pStyle w:val="ECHRPara"/>
        <w:rPr>
          <w:lang w:val="en-US"/>
        </w:rPr>
      </w:pPr>
      <w:r w:rsidRPr="00B849DC">
        <w:rPr>
          <w:lang w:val="en-US"/>
        </w:rPr>
        <w:fldChar w:fldCharType="begin"/>
      </w:r>
      <w:r w:rsidRPr="00B849DC">
        <w:rPr>
          <w:lang w:val="en-US"/>
        </w:rPr>
        <w:instrText xml:space="preserve"> SEQ level0 \*arabic </w:instrText>
      </w:r>
      <w:r w:rsidRPr="00B849DC">
        <w:rPr>
          <w:lang w:val="en-US"/>
        </w:rPr>
        <w:fldChar w:fldCharType="separate"/>
      </w:r>
      <w:r w:rsidRPr="00B849DC" w:rsidR="00B849DC">
        <w:rPr>
          <w:noProof/>
          <w:lang w:val="en-US"/>
        </w:rPr>
        <w:t>230</w:t>
      </w:r>
      <w:r w:rsidRPr="00B849DC">
        <w:rPr>
          <w:lang w:val="en-US"/>
        </w:rPr>
        <w:fldChar w:fldCharType="end"/>
      </w:r>
      <w:r w:rsidRPr="00B849DC">
        <w:rPr>
          <w:lang w:val="en-US"/>
        </w:rPr>
        <w:t xml:space="preserve">.  The Government argued that </w:t>
      </w:r>
      <w:r w:rsidRPr="00B849DC" w:rsidR="000C4CE1">
        <w:rPr>
          <w:lang w:val="en-US"/>
        </w:rPr>
        <w:t>the alleged violations were not attributable to the State and, in any event, the</w:t>
      </w:r>
      <w:r w:rsidRPr="00B849DC">
        <w:rPr>
          <w:lang w:val="en-US"/>
        </w:rPr>
        <w:t xml:space="preserve"> claim</w:t>
      </w:r>
      <w:r w:rsidRPr="00B849DC" w:rsidR="00A219AF">
        <w:rPr>
          <w:lang w:val="en-US"/>
        </w:rPr>
        <w:t>s were</w:t>
      </w:r>
      <w:r w:rsidRPr="00B849DC">
        <w:rPr>
          <w:lang w:val="en-US"/>
        </w:rPr>
        <w:t xml:space="preserve"> </w:t>
      </w:r>
      <w:r w:rsidRPr="00B849DC" w:rsidR="00DB09F3">
        <w:rPr>
          <w:lang w:val="en-US"/>
        </w:rPr>
        <w:t>unjustified</w:t>
      </w:r>
      <w:r w:rsidRPr="00B849DC">
        <w:rPr>
          <w:lang w:val="en-US"/>
        </w:rPr>
        <w:t xml:space="preserve"> and excessive.</w:t>
      </w:r>
    </w:p>
    <w:p w:rsidRPr="00B849DC" w:rsidR="0016590C" w:rsidP="00B849DC" w:rsidRDefault="0016590C">
      <w:pPr>
        <w:pStyle w:val="ECHRPara"/>
        <w:rPr>
          <w:lang w:val="en-US"/>
        </w:rPr>
      </w:pPr>
      <w:r w:rsidRPr="00B849DC">
        <w:rPr>
          <w:lang w:val="en-US"/>
        </w:rPr>
        <w:fldChar w:fldCharType="begin"/>
      </w:r>
      <w:r w:rsidRPr="00B849DC">
        <w:rPr>
          <w:lang w:val="en-US"/>
        </w:rPr>
        <w:instrText xml:space="preserve"> SEQ level0 \*arabic </w:instrText>
      </w:r>
      <w:r w:rsidRPr="00B849DC">
        <w:rPr>
          <w:lang w:val="en-US"/>
        </w:rPr>
        <w:fldChar w:fldCharType="separate"/>
      </w:r>
      <w:r w:rsidRPr="00B849DC" w:rsidR="00B849DC">
        <w:rPr>
          <w:noProof/>
          <w:lang w:val="en-US"/>
        </w:rPr>
        <w:t>231</w:t>
      </w:r>
      <w:r w:rsidRPr="00B849DC">
        <w:rPr>
          <w:lang w:val="en-US"/>
        </w:rPr>
        <w:fldChar w:fldCharType="end"/>
      </w:r>
      <w:r w:rsidRPr="00B849DC">
        <w:rPr>
          <w:lang w:val="en-US"/>
        </w:rPr>
        <w:t>.  </w:t>
      </w:r>
      <w:r w:rsidRPr="00B849DC" w:rsidR="00DA3532">
        <w:rPr>
          <w:lang w:val="en-US"/>
        </w:rPr>
        <w:t>As regards Ms Liseytseva,</w:t>
      </w:r>
      <w:r w:rsidRPr="00B849DC" w:rsidR="00702898">
        <w:rPr>
          <w:lang w:val="en-US"/>
        </w:rPr>
        <w:t xml:space="preserve"> the Court notes that </w:t>
      </w:r>
      <w:r w:rsidRPr="00B849DC" w:rsidR="00FF576F">
        <w:rPr>
          <w:lang w:val="en-US"/>
        </w:rPr>
        <w:t xml:space="preserve">the </w:t>
      </w:r>
      <w:r w:rsidRPr="00B849DC" w:rsidR="00B06C72">
        <w:rPr>
          <w:lang w:val="en-US"/>
        </w:rPr>
        <w:t xml:space="preserve">complaint about </w:t>
      </w:r>
      <w:r w:rsidRPr="00B849DC" w:rsidR="00702898">
        <w:rPr>
          <w:lang w:val="en-US"/>
        </w:rPr>
        <w:t>the judgment of 28 March 2005</w:t>
      </w:r>
      <w:r w:rsidRPr="00B849DC" w:rsidR="00B06C72">
        <w:rPr>
          <w:lang w:val="en-US"/>
        </w:rPr>
        <w:t xml:space="preserve"> falls outside the scope of the present case </w:t>
      </w:r>
      <w:r w:rsidRPr="00B849DC" w:rsidR="00C80E65">
        <w:rPr>
          <w:lang w:val="en-US"/>
        </w:rPr>
        <w:t>(see paragraph </w:t>
      </w:r>
      <w:r w:rsidRPr="00B849DC" w:rsidR="006C4ABA">
        <w:rPr>
          <w:lang w:val="en-US"/>
        </w:rPr>
        <w:t>2</w:t>
      </w:r>
      <w:r w:rsidRPr="00B849DC" w:rsidR="00971369">
        <w:rPr>
          <w:lang w:val="en-US"/>
        </w:rPr>
        <w:t>2</w:t>
      </w:r>
      <w:r w:rsidRPr="00B849DC" w:rsidR="00DF43D8">
        <w:rPr>
          <w:lang w:val="en-US"/>
        </w:rPr>
        <w:t>5</w:t>
      </w:r>
      <w:r w:rsidRPr="00B849DC" w:rsidR="00C80E65">
        <w:rPr>
          <w:lang w:val="en-US"/>
        </w:rPr>
        <w:t xml:space="preserve"> above) </w:t>
      </w:r>
      <w:r w:rsidRPr="00B849DC" w:rsidR="00B06C72">
        <w:rPr>
          <w:lang w:val="en-US"/>
        </w:rPr>
        <w:t>and rejects her claim in this part. The Court grants the remainder of her claims and awards her EUR 338, plus any tax that may be chargeable, in respect of pecuniary damage.</w:t>
      </w:r>
    </w:p>
    <w:p w:rsidRPr="00B849DC" w:rsidR="00D139A5" w:rsidP="00B849DC" w:rsidRDefault="00D139A5">
      <w:pPr>
        <w:pStyle w:val="ECHRPara"/>
        <w:rPr>
          <w:lang w:val="en-US"/>
        </w:rPr>
      </w:pPr>
      <w:r w:rsidRPr="00B849DC">
        <w:rPr>
          <w:lang w:val="en-US"/>
        </w:rPr>
        <w:fldChar w:fldCharType="begin"/>
      </w:r>
      <w:r w:rsidRPr="00B849DC">
        <w:rPr>
          <w:lang w:val="en-US"/>
        </w:rPr>
        <w:instrText xml:space="preserve"> SEQ level0 \*arabic </w:instrText>
      </w:r>
      <w:r w:rsidRPr="00B849DC">
        <w:rPr>
          <w:lang w:val="en-US"/>
        </w:rPr>
        <w:fldChar w:fldCharType="separate"/>
      </w:r>
      <w:r w:rsidRPr="00B849DC" w:rsidR="00B849DC">
        <w:rPr>
          <w:noProof/>
          <w:lang w:val="en-US"/>
        </w:rPr>
        <w:t>232</w:t>
      </w:r>
      <w:r w:rsidRPr="00B849DC">
        <w:rPr>
          <w:lang w:val="en-US"/>
        </w:rPr>
        <w:fldChar w:fldCharType="end"/>
      </w:r>
      <w:r w:rsidRPr="00B849DC">
        <w:rPr>
          <w:lang w:val="en-US"/>
        </w:rPr>
        <w:t>.  </w:t>
      </w:r>
      <w:r w:rsidRPr="00B849DC" w:rsidR="00DA3532">
        <w:rPr>
          <w:lang w:val="en-US"/>
        </w:rPr>
        <w:t>As regards the claims by Mr Maslov,</w:t>
      </w:r>
      <w:r w:rsidRPr="00B849DC" w:rsidR="00B06C72">
        <w:rPr>
          <w:lang w:val="en-US"/>
        </w:rPr>
        <w:t xml:space="preserve"> the Court notes that the judgment in his favour has remained unenforced. It accordingly awards </w:t>
      </w:r>
      <w:r w:rsidRPr="00B849DC" w:rsidR="001C2350">
        <w:rPr>
          <w:lang w:val="en-US"/>
        </w:rPr>
        <w:t>him</w:t>
      </w:r>
      <w:r w:rsidRPr="00B849DC" w:rsidR="00B06C72">
        <w:rPr>
          <w:lang w:val="en-US"/>
        </w:rPr>
        <w:t xml:space="preserve"> EUR 2,020, plus any tax that may be chargeable, in respect of the unpaid judgment debt. As regards the remainder of the claims, the applicant has not </w:t>
      </w:r>
      <w:r w:rsidRPr="00B849DC" w:rsidR="000C4CE1">
        <w:rPr>
          <w:lang w:val="en-US"/>
        </w:rPr>
        <w:t xml:space="preserve">substantiated </w:t>
      </w:r>
      <w:r w:rsidRPr="00B849DC" w:rsidR="00FF576F">
        <w:rPr>
          <w:lang w:val="en-US"/>
        </w:rPr>
        <w:t>them</w:t>
      </w:r>
      <w:r w:rsidRPr="00B849DC" w:rsidR="000C4CE1">
        <w:rPr>
          <w:lang w:val="en-US"/>
        </w:rPr>
        <w:t xml:space="preserve">. He did not provide a calculation of the compensation claimed, nor did he explain </w:t>
      </w:r>
      <w:r w:rsidRPr="00B849DC" w:rsidR="00FF576F">
        <w:rPr>
          <w:lang w:val="en-US"/>
        </w:rPr>
        <w:t xml:space="preserve">his </w:t>
      </w:r>
      <w:r w:rsidRPr="00B849DC" w:rsidR="000C4CE1">
        <w:rPr>
          <w:lang w:val="en-US"/>
        </w:rPr>
        <w:t xml:space="preserve">method of calculation. Accordingly, this part </w:t>
      </w:r>
      <w:r w:rsidRPr="00B849DC" w:rsidR="001C2350">
        <w:rPr>
          <w:lang w:val="en-US"/>
        </w:rPr>
        <w:t xml:space="preserve">of the claim </w:t>
      </w:r>
      <w:r w:rsidRPr="00B849DC" w:rsidR="000C4CE1">
        <w:rPr>
          <w:lang w:val="en-US"/>
        </w:rPr>
        <w:t>should be rejected.</w:t>
      </w:r>
    </w:p>
    <w:p w:rsidRPr="00B849DC" w:rsidR="00D139A5" w:rsidP="00B849DC" w:rsidRDefault="00D139A5">
      <w:pPr>
        <w:pStyle w:val="ECHRPara"/>
        <w:rPr>
          <w:lang w:val="en-US"/>
        </w:rPr>
      </w:pPr>
      <w:r w:rsidRPr="00B849DC">
        <w:rPr>
          <w:lang w:val="en-US"/>
        </w:rPr>
        <w:fldChar w:fldCharType="begin"/>
      </w:r>
      <w:r w:rsidRPr="00B849DC">
        <w:rPr>
          <w:lang w:val="en-US"/>
        </w:rPr>
        <w:instrText xml:space="preserve"> SEQ level0 \*arabic </w:instrText>
      </w:r>
      <w:r w:rsidRPr="00B849DC">
        <w:rPr>
          <w:lang w:val="en-US"/>
        </w:rPr>
        <w:fldChar w:fldCharType="separate"/>
      </w:r>
      <w:r w:rsidRPr="00B849DC" w:rsidR="00B849DC">
        <w:rPr>
          <w:noProof/>
          <w:lang w:val="en-US"/>
        </w:rPr>
        <w:t>233</w:t>
      </w:r>
      <w:r w:rsidRPr="00B849DC">
        <w:rPr>
          <w:lang w:val="en-US"/>
        </w:rPr>
        <w:fldChar w:fldCharType="end"/>
      </w:r>
      <w:r w:rsidRPr="00B849DC">
        <w:rPr>
          <w:lang w:val="en-US"/>
        </w:rPr>
        <w:t>.  As regards non-pecuniary damage, the Court c</w:t>
      </w:r>
      <w:r w:rsidRPr="00B849DC" w:rsidR="00E9344C">
        <w:rPr>
          <w:lang w:val="en-US"/>
        </w:rPr>
        <w:t>onsiders it reasonable to award</w:t>
      </w:r>
      <w:r w:rsidRPr="00B849DC">
        <w:rPr>
          <w:lang w:val="en-US"/>
        </w:rPr>
        <w:t xml:space="preserve"> EUR 3,000</w:t>
      </w:r>
      <w:r w:rsidRPr="00B849DC" w:rsidR="00E9344C">
        <w:rPr>
          <w:lang w:val="en-US"/>
        </w:rPr>
        <w:t xml:space="preserve"> to Ms Liseytseva and EUR 1,500 to Mr</w:t>
      </w:r>
      <w:r w:rsidRPr="00B849DC" w:rsidR="0033179F">
        <w:rPr>
          <w:lang w:val="en-US"/>
        </w:rPr>
        <w:t> </w:t>
      </w:r>
      <w:r w:rsidRPr="00B849DC" w:rsidR="00E9344C">
        <w:rPr>
          <w:lang w:val="en-US"/>
        </w:rPr>
        <w:t>Maslov</w:t>
      </w:r>
      <w:r w:rsidRPr="00B849DC" w:rsidR="00FF576F">
        <w:rPr>
          <w:lang w:val="en-US"/>
        </w:rPr>
        <w:t>,</w:t>
      </w:r>
      <w:r w:rsidRPr="00B849DC">
        <w:rPr>
          <w:lang w:val="en-US"/>
        </w:rPr>
        <w:t xml:space="preserve"> plus any tax that may be chargeable</w:t>
      </w:r>
      <w:r w:rsidRPr="00B849DC" w:rsidR="00FF576F">
        <w:rPr>
          <w:lang w:val="en-US"/>
        </w:rPr>
        <w:t>,</w:t>
      </w:r>
      <w:r w:rsidRPr="00B849DC">
        <w:rPr>
          <w:lang w:val="en-US"/>
        </w:rPr>
        <w:t xml:space="preserve"> </w:t>
      </w:r>
      <w:r w:rsidRPr="00B849DC" w:rsidR="00221B86">
        <w:rPr>
          <w:lang w:val="en-US"/>
        </w:rPr>
        <w:t>under that head, and rejects the remainder of their claims</w:t>
      </w:r>
      <w:r w:rsidRPr="00B849DC">
        <w:rPr>
          <w:lang w:val="en-US"/>
        </w:rPr>
        <w:t>.</w:t>
      </w:r>
    </w:p>
    <w:p w:rsidRPr="00B849DC" w:rsidR="0016590C" w:rsidP="00B849DC" w:rsidRDefault="00907A74">
      <w:pPr>
        <w:pStyle w:val="ECHRHeading2"/>
        <w:rPr>
          <w:lang w:val="en-US"/>
        </w:rPr>
      </w:pPr>
      <w:r w:rsidRPr="00B849DC">
        <w:rPr>
          <w:lang w:val="en-US"/>
        </w:rPr>
        <w:t>B.  </w:t>
      </w:r>
      <w:r w:rsidRPr="00B849DC" w:rsidR="0016590C">
        <w:rPr>
          <w:lang w:val="en-US"/>
        </w:rPr>
        <w:t>Costs and expenses</w:t>
      </w:r>
    </w:p>
    <w:p w:rsidRPr="00B849DC" w:rsidR="008749A0" w:rsidP="00B849DC" w:rsidRDefault="0016590C">
      <w:pPr>
        <w:pStyle w:val="ECHRPara"/>
        <w:rPr>
          <w:lang w:val="en-US"/>
        </w:rPr>
      </w:pPr>
      <w:r w:rsidRPr="00B849DC">
        <w:rPr>
          <w:lang w:val="en-US"/>
        </w:rPr>
        <w:fldChar w:fldCharType="begin"/>
      </w:r>
      <w:r w:rsidRPr="00B849DC">
        <w:rPr>
          <w:lang w:val="en-US"/>
        </w:rPr>
        <w:instrText xml:space="preserve"> SEQ level0 \*arabic </w:instrText>
      </w:r>
      <w:r w:rsidRPr="00B849DC">
        <w:rPr>
          <w:lang w:val="en-US"/>
        </w:rPr>
        <w:fldChar w:fldCharType="separate"/>
      </w:r>
      <w:r w:rsidRPr="00B849DC" w:rsidR="00B849DC">
        <w:rPr>
          <w:noProof/>
          <w:lang w:val="en-US"/>
        </w:rPr>
        <w:t>234</w:t>
      </w:r>
      <w:r w:rsidRPr="00B849DC">
        <w:rPr>
          <w:lang w:val="en-US"/>
        </w:rPr>
        <w:fldChar w:fldCharType="end"/>
      </w:r>
      <w:r w:rsidRPr="00B849DC">
        <w:rPr>
          <w:lang w:val="en-US"/>
        </w:rPr>
        <w:t>.  </w:t>
      </w:r>
      <w:r w:rsidRPr="00B849DC" w:rsidR="004A5323">
        <w:rPr>
          <w:lang w:val="en-US"/>
        </w:rPr>
        <w:t>Ms Liseytseva claimed RUB 365</w:t>
      </w:r>
      <w:r w:rsidRPr="00B849DC" w:rsidR="00FF576F">
        <w:rPr>
          <w:lang w:val="en-US"/>
        </w:rPr>
        <w:t>.</w:t>
      </w:r>
      <w:r w:rsidRPr="00B849DC" w:rsidR="004A5323">
        <w:rPr>
          <w:lang w:val="en-US"/>
        </w:rPr>
        <w:t>80 in respect of postal expenses. She submitted postal receipts in support of her claims.</w:t>
      </w:r>
      <w:r w:rsidRPr="00B849DC" w:rsidR="00907A74">
        <w:rPr>
          <w:lang w:val="en-US"/>
        </w:rPr>
        <w:t xml:space="preserve"> </w:t>
      </w:r>
      <w:r w:rsidRPr="00B849DC" w:rsidR="008749A0">
        <w:rPr>
          <w:lang w:val="en-US"/>
        </w:rPr>
        <w:t xml:space="preserve">Mr Maslov claimed RUB 20,000 in respect of </w:t>
      </w:r>
      <w:r w:rsidRPr="00B849DC" w:rsidR="00FF576F">
        <w:rPr>
          <w:lang w:val="en-US"/>
        </w:rPr>
        <w:t xml:space="preserve">his </w:t>
      </w:r>
      <w:r w:rsidRPr="00B849DC" w:rsidR="00086702">
        <w:rPr>
          <w:lang w:val="en-US"/>
        </w:rPr>
        <w:t>lawyer</w:t>
      </w:r>
      <w:r w:rsidRPr="00B849DC" w:rsidR="00B849DC">
        <w:rPr>
          <w:lang w:val="en-US"/>
        </w:rPr>
        <w:t>’</w:t>
      </w:r>
      <w:r w:rsidRPr="00B849DC" w:rsidR="00086702">
        <w:rPr>
          <w:lang w:val="en-US"/>
        </w:rPr>
        <w:t>s</w:t>
      </w:r>
      <w:r w:rsidRPr="00B849DC" w:rsidR="008749A0">
        <w:rPr>
          <w:lang w:val="en-US"/>
        </w:rPr>
        <w:t xml:space="preserve"> fee. He submitted copies of the </w:t>
      </w:r>
      <w:r w:rsidRPr="00B849DC" w:rsidR="00FF576F">
        <w:rPr>
          <w:lang w:val="en-US"/>
        </w:rPr>
        <w:t xml:space="preserve">relevant </w:t>
      </w:r>
      <w:r w:rsidRPr="00B849DC" w:rsidR="008749A0">
        <w:rPr>
          <w:lang w:val="en-US"/>
        </w:rPr>
        <w:t>agreements with the lawyer, as well as two receipts evidencing payment of the above</w:t>
      </w:r>
      <w:r w:rsidRPr="00B849DC" w:rsidR="00FF576F">
        <w:rPr>
          <w:lang w:val="en-US"/>
        </w:rPr>
        <w:t>-mentioned</w:t>
      </w:r>
      <w:r w:rsidRPr="00B849DC" w:rsidR="008749A0">
        <w:rPr>
          <w:lang w:val="en-US"/>
        </w:rPr>
        <w:t xml:space="preserve"> sum in two installments.</w:t>
      </w:r>
    </w:p>
    <w:p w:rsidRPr="00B849DC" w:rsidR="0016590C" w:rsidP="00B849DC" w:rsidRDefault="00907A74">
      <w:pPr>
        <w:pStyle w:val="ECHRPara"/>
        <w:rPr>
          <w:lang w:val="en-US"/>
        </w:rPr>
      </w:pPr>
      <w:r w:rsidRPr="00B849DC">
        <w:rPr>
          <w:lang w:val="en-US"/>
        </w:rPr>
        <w:fldChar w:fldCharType="begin"/>
      </w:r>
      <w:r w:rsidRPr="00B849DC">
        <w:rPr>
          <w:lang w:val="en-US"/>
        </w:rPr>
        <w:instrText xml:space="preserve"> SEQ level0 \*arabic </w:instrText>
      </w:r>
      <w:r w:rsidRPr="00B849DC">
        <w:rPr>
          <w:lang w:val="en-US"/>
        </w:rPr>
        <w:fldChar w:fldCharType="separate"/>
      </w:r>
      <w:r w:rsidRPr="00B849DC" w:rsidR="00B849DC">
        <w:rPr>
          <w:noProof/>
          <w:lang w:val="en-US"/>
        </w:rPr>
        <w:t>235</w:t>
      </w:r>
      <w:r w:rsidRPr="00B849DC">
        <w:rPr>
          <w:lang w:val="en-US"/>
        </w:rPr>
        <w:fldChar w:fldCharType="end"/>
      </w:r>
      <w:r w:rsidRPr="00B849DC">
        <w:rPr>
          <w:lang w:val="en-US"/>
        </w:rPr>
        <w:t>.  </w:t>
      </w:r>
      <w:r w:rsidRPr="00B849DC" w:rsidR="0016590C">
        <w:rPr>
          <w:lang w:val="en-US"/>
        </w:rPr>
        <w:t>The Government contested their claims</w:t>
      </w:r>
      <w:r w:rsidRPr="00B849DC" w:rsidR="004932D9">
        <w:rPr>
          <w:lang w:val="en-US"/>
        </w:rPr>
        <w:t>,</w:t>
      </w:r>
      <w:r w:rsidRPr="00B849DC" w:rsidR="0016590C">
        <w:rPr>
          <w:lang w:val="en-US"/>
        </w:rPr>
        <w:t xml:space="preserve"> </w:t>
      </w:r>
      <w:r w:rsidRPr="00B849DC" w:rsidR="004932D9">
        <w:rPr>
          <w:lang w:val="en-US"/>
        </w:rPr>
        <w:t>arguing that the expenses were</w:t>
      </w:r>
      <w:r w:rsidRPr="00B849DC" w:rsidR="0016590C">
        <w:rPr>
          <w:lang w:val="en-US"/>
        </w:rPr>
        <w:t xml:space="preserve"> </w:t>
      </w:r>
      <w:r w:rsidRPr="00B849DC" w:rsidR="000C4CE1">
        <w:rPr>
          <w:lang w:val="en-US"/>
        </w:rPr>
        <w:t>not attributable to the State.</w:t>
      </w:r>
    </w:p>
    <w:p w:rsidRPr="00B849DC" w:rsidR="00A8254E" w:rsidP="00B849DC" w:rsidRDefault="00907A74">
      <w:pPr>
        <w:pStyle w:val="ECHRPara"/>
        <w:rPr>
          <w:lang w:val="en-US"/>
        </w:rPr>
      </w:pPr>
      <w:r w:rsidRPr="00B849DC">
        <w:rPr>
          <w:lang w:val="en-US"/>
        </w:rPr>
        <w:fldChar w:fldCharType="begin"/>
      </w:r>
      <w:r w:rsidRPr="00B849DC">
        <w:rPr>
          <w:lang w:val="en-US"/>
        </w:rPr>
        <w:instrText xml:space="preserve"> SEQ level0 \*arabic </w:instrText>
      </w:r>
      <w:r w:rsidRPr="00B849DC">
        <w:rPr>
          <w:lang w:val="en-US"/>
        </w:rPr>
        <w:fldChar w:fldCharType="separate"/>
      </w:r>
      <w:r w:rsidRPr="00B849DC" w:rsidR="00B849DC">
        <w:rPr>
          <w:noProof/>
          <w:lang w:val="en-US"/>
        </w:rPr>
        <w:t>236</w:t>
      </w:r>
      <w:r w:rsidRPr="00B849DC">
        <w:rPr>
          <w:lang w:val="en-US"/>
        </w:rPr>
        <w:fldChar w:fldCharType="end"/>
      </w:r>
      <w:r w:rsidRPr="00B849DC">
        <w:rPr>
          <w:lang w:val="en-US"/>
        </w:rPr>
        <w:t>.  </w:t>
      </w:r>
      <w:r w:rsidRPr="00B849DC" w:rsidR="001C2350">
        <w:rPr>
          <w:lang w:val="en-US"/>
        </w:rPr>
        <w:t>T</w:t>
      </w:r>
      <w:r w:rsidRPr="00B849DC" w:rsidR="00221B86">
        <w:rPr>
          <w:lang w:val="en-US"/>
        </w:rPr>
        <w:t xml:space="preserve">he Court </w:t>
      </w:r>
      <w:r w:rsidRPr="00B849DC" w:rsidR="001C2350">
        <w:rPr>
          <w:lang w:val="en-US"/>
        </w:rPr>
        <w:t>reiterates that</w:t>
      </w:r>
      <w:r w:rsidRPr="00B849DC" w:rsidR="00221B86">
        <w:rPr>
          <w:lang w:val="en-US"/>
        </w:rPr>
        <w:t xml:space="preserve"> an applicant is entitled to the reimbursement of costs and expenses only in so far as it has been shown that these have been actually and necessarily incurred and are reasonable as to quantum.</w:t>
      </w:r>
      <w:r w:rsidRPr="00B849DC">
        <w:rPr>
          <w:lang w:val="en-US"/>
        </w:rPr>
        <w:t xml:space="preserve"> </w:t>
      </w:r>
      <w:r w:rsidRPr="00B849DC" w:rsidR="004A5323">
        <w:rPr>
          <w:lang w:val="en-US"/>
        </w:rPr>
        <w:t>The Court</w:t>
      </w:r>
      <w:r w:rsidRPr="00B849DC" w:rsidR="00221B86">
        <w:rPr>
          <w:lang w:val="en-US"/>
        </w:rPr>
        <w:t xml:space="preserve"> observes that </w:t>
      </w:r>
      <w:r w:rsidRPr="00B849DC" w:rsidR="004A5323">
        <w:rPr>
          <w:lang w:val="en-US"/>
        </w:rPr>
        <w:t>both applicants</w:t>
      </w:r>
      <w:r w:rsidRPr="00B849DC" w:rsidR="00221B86">
        <w:rPr>
          <w:lang w:val="en-US"/>
        </w:rPr>
        <w:t xml:space="preserve"> substantiated </w:t>
      </w:r>
      <w:r w:rsidRPr="00B849DC" w:rsidR="004A5323">
        <w:rPr>
          <w:lang w:val="en-US"/>
        </w:rPr>
        <w:t xml:space="preserve">their </w:t>
      </w:r>
      <w:r w:rsidRPr="00B849DC" w:rsidR="00221B86">
        <w:rPr>
          <w:lang w:val="en-US"/>
        </w:rPr>
        <w:t xml:space="preserve">claims with relevant documents. The Court therefore grants </w:t>
      </w:r>
      <w:r w:rsidRPr="00B849DC" w:rsidR="004A5323">
        <w:rPr>
          <w:lang w:val="en-US"/>
        </w:rPr>
        <w:t>their</w:t>
      </w:r>
      <w:r w:rsidRPr="00B849DC" w:rsidR="00221B86">
        <w:rPr>
          <w:lang w:val="en-US"/>
        </w:rPr>
        <w:t xml:space="preserve"> claims in full and awards </w:t>
      </w:r>
      <w:r w:rsidRPr="00B849DC" w:rsidR="004A5323">
        <w:rPr>
          <w:lang w:val="en-US"/>
        </w:rPr>
        <w:t>Ms Liseytseva EUR 11 and Mr Maslov</w:t>
      </w:r>
      <w:r w:rsidRPr="00B849DC" w:rsidR="00221B86">
        <w:rPr>
          <w:lang w:val="en-US"/>
        </w:rPr>
        <w:t xml:space="preserve"> EUR 477</w:t>
      </w:r>
      <w:r w:rsidRPr="00B849DC" w:rsidR="00734398">
        <w:rPr>
          <w:lang w:val="en-US"/>
        </w:rPr>
        <w:t>, plus any tax that may</w:t>
      </w:r>
      <w:r w:rsidRPr="00B849DC" w:rsidR="00221B86">
        <w:rPr>
          <w:lang w:val="en-US"/>
        </w:rPr>
        <w:t xml:space="preserve"> </w:t>
      </w:r>
      <w:r w:rsidRPr="00B849DC" w:rsidR="0033179F">
        <w:rPr>
          <w:lang w:val="en-US"/>
        </w:rPr>
        <w:t>be chargeable</w:t>
      </w:r>
      <w:r w:rsidRPr="00B849DC" w:rsidR="000F60C0">
        <w:rPr>
          <w:lang w:val="en-US"/>
        </w:rPr>
        <w:t xml:space="preserve"> to the applicants</w:t>
      </w:r>
      <w:r w:rsidRPr="00B849DC" w:rsidR="0033179F">
        <w:rPr>
          <w:lang w:val="en-US"/>
        </w:rPr>
        <w:t>, under that head.</w:t>
      </w:r>
    </w:p>
    <w:p w:rsidRPr="00B849DC" w:rsidR="00E21F04" w:rsidP="00B849DC" w:rsidRDefault="00E21F04">
      <w:pPr>
        <w:pStyle w:val="ECHRHeading2"/>
        <w:rPr>
          <w:lang w:val="en-GB"/>
        </w:rPr>
      </w:pPr>
      <w:r w:rsidRPr="00B849DC">
        <w:rPr>
          <w:lang w:val="en-GB"/>
        </w:rPr>
        <w:t>C.  </w:t>
      </w:r>
      <w:r w:rsidRPr="00B849DC">
        <w:rPr>
          <w:lang w:val="en-US"/>
        </w:rPr>
        <w:t>Default</w:t>
      </w:r>
      <w:r w:rsidRPr="00B849DC">
        <w:rPr>
          <w:lang w:val="en-GB"/>
        </w:rPr>
        <w:t xml:space="preserve"> interest</w:t>
      </w:r>
    </w:p>
    <w:p w:rsidRPr="00B849DC" w:rsidR="00E21F04" w:rsidP="00B849DC" w:rsidRDefault="00063484">
      <w:pPr>
        <w:pStyle w:val="ECHRPara"/>
        <w:rPr>
          <w:lang w:val="en-GB"/>
        </w:rPr>
      </w:pPr>
      <w:r w:rsidRPr="00B849DC">
        <w:rPr>
          <w:lang w:val="en-GB"/>
        </w:rPr>
        <w:fldChar w:fldCharType="begin"/>
      </w:r>
      <w:r w:rsidRPr="00B849DC">
        <w:rPr>
          <w:lang w:val="en-GB"/>
        </w:rPr>
        <w:instrText xml:space="preserve"> SEQ level0 \*arabic </w:instrText>
      </w:r>
      <w:r w:rsidRPr="00B849DC">
        <w:rPr>
          <w:lang w:val="en-GB"/>
        </w:rPr>
        <w:fldChar w:fldCharType="separate"/>
      </w:r>
      <w:r w:rsidRPr="00B849DC" w:rsidR="00B849DC">
        <w:rPr>
          <w:noProof/>
          <w:lang w:val="en-GB"/>
        </w:rPr>
        <w:t>237</w:t>
      </w:r>
      <w:r w:rsidRPr="00B849DC">
        <w:rPr>
          <w:lang w:val="en-GB"/>
        </w:rPr>
        <w:fldChar w:fldCharType="end"/>
      </w:r>
      <w:r w:rsidRPr="00B849DC">
        <w:rPr>
          <w:lang w:val="en-GB"/>
        </w:rPr>
        <w:t>.  </w:t>
      </w:r>
      <w:r w:rsidRPr="00B849DC" w:rsidR="00E21F04">
        <w:rPr>
          <w:lang w:val="en-GB"/>
        </w:rPr>
        <w:t>The Court considers it appropriate that the default interest rate should be based on the marginal lending rate of the European Central Bank, to which should be added three percentage points.</w:t>
      </w:r>
    </w:p>
    <w:p w:rsidRPr="00B849DC" w:rsidR="00E21F04" w:rsidP="00B849DC" w:rsidRDefault="00EB771C">
      <w:pPr>
        <w:pStyle w:val="ECHRTitle1"/>
        <w:rPr>
          <w:lang w:val="en-GB"/>
        </w:rPr>
      </w:pPr>
      <w:r w:rsidRPr="00B849DC">
        <w:rPr>
          <w:lang w:val="en-GB"/>
        </w:rPr>
        <w:t>FOR THESE REASONS, THE COURT</w:t>
      </w:r>
      <w:r w:rsidRPr="00B849DC" w:rsidR="00E21F04">
        <w:rPr>
          <w:noProof/>
          <w:lang w:val="en-GB"/>
        </w:rPr>
        <w:t>,</w:t>
      </w:r>
      <w:r w:rsidRPr="00B849DC">
        <w:rPr>
          <w:noProof/>
          <w:lang w:val="en-GB"/>
        </w:rPr>
        <w:t xml:space="preserve"> UNANIMOUSLY,</w:t>
      </w:r>
    </w:p>
    <w:p w:rsidRPr="00B849DC" w:rsidR="00E21F04" w:rsidP="00B849DC" w:rsidRDefault="00E21F04">
      <w:pPr>
        <w:pStyle w:val="JuList"/>
        <w:rPr>
          <w:noProof/>
          <w:lang w:val="en-GB"/>
        </w:rPr>
      </w:pPr>
      <w:r w:rsidRPr="00B849DC">
        <w:rPr>
          <w:lang w:val="en-GB"/>
        </w:rPr>
        <w:t>1.  </w:t>
      </w:r>
      <w:r w:rsidRPr="00B849DC" w:rsidR="00A40813">
        <w:rPr>
          <w:i/>
          <w:lang w:val="en-GB"/>
        </w:rPr>
        <w:t>Decides</w:t>
      </w:r>
      <w:r w:rsidRPr="00B849DC" w:rsidR="00A40813">
        <w:rPr>
          <w:noProof/>
          <w:lang w:val="en-GB"/>
        </w:rPr>
        <w:t xml:space="preserve"> </w:t>
      </w:r>
      <w:r w:rsidRPr="00B849DC">
        <w:rPr>
          <w:noProof/>
          <w:lang w:val="en-GB"/>
        </w:rPr>
        <w:t>to join the applications;</w:t>
      </w:r>
    </w:p>
    <w:p w:rsidRPr="00B849DC" w:rsidR="004B5064" w:rsidP="00B849DC" w:rsidRDefault="004B5064">
      <w:pPr>
        <w:pStyle w:val="JuList"/>
        <w:rPr>
          <w:noProof/>
          <w:lang w:val="en-GB"/>
        </w:rPr>
      </w:pPr>
    </w:p>
    <w:p w:rsidRPr="00B849DC" w:rsidR="002A75D8" w:rsidP="00B849DC" w:rsidRDefault="004B5064">
      <w:pPr>
        <w:pStyle w:val="JuList"/>
        <w:rPr>
          <w:noProof/>
          <w:lang w:val="en-US"/>
        </w:rPr>
      </w:pPr>
      <w:r w:rsidRPr="00B849DC">
        <w:rPr>
          <w:noProof/>
          <w:lang w:val="en-GB"/>
        </w:rPr>
        <w:t>2.  </w:t>
      </w:r>
      <w:r w:rsidRPr="00B849DC">
        <w:rPr>
          <w:i/>
          <w:noProof/>
          <w:lang w:val="en-US"/>
        </w:rPr>
        <w:t>Decides</w:t>
      </w:r>
      <w:r w:rsidRPr="00B849DC">
        <w:rPr>
          <w:noProof/>
          <w:lang w:val="en-US"/>
        </w:rPr>
        <w:t xml:space="preserve"> to join to the merits the Government</w:t>
      </w:r>
      <w:r w:rsidRPr="00B849DC" w:rsidR="00B849DC">
        <w:rPr>
          <w:noProof/>
          <w:lang w:val="en-US"/>
        </w:rPr>
        <w:t>’</w:t>
      </w:r>
      <w:r w:rsidRPr="00B849DC">
        <w:rPr>
          <w:noProof/>
          <w:lang w:val="en-US"/>
        </w:rPr>
        <w:t xml:space="preserve">s </w:t>
      </w:r>
      <w:r w:rsidRPr="00B849DC" w:rsidR="002A75D8">
        <w:rPr>
          <w:noProof/>
          <w:lang w:val="en-US"/>
        </w:rPr>
        <w:t>objection as to the alleged non-exhaustion of domestic remedies in respect of the applicants</w:t>
      </w:r>
      <w:r w:rsidRPr="00B849DC" w:rsidR="00B849DC">
        <w:rPr>
          <w:noProof/>
          <w:lang w:val="en-US"/>
        </w:rPr>
        <w:t>’</w:t>
      </w:r>
      <w:r w:rsidRPr="00B849DC" w:rsidR="002A75D8">
        <w:rPr>
          <w:noProof/>
          <w:lang w:val="en-US"/>
        </w:rPr>
        <w:t xml:space="preserve"> non-enforcement complaint to the merits of their complaint under Article 13 </w:t>
      </w:r>
      <w:r w:rsidRPr="00B849DC" w:rsidR="00E17291">
        <w:rPr>
          <w:noProof/>
          <w:lang w:val="en-US"/>
        </w:rPr>
        <w:t xml:space="preserve">of the Convention </w:t>
      </w:r>
      <w:r w:rsidRPr="00B849DC" w:rsidR="002A75D8">
        <w:rPr>
          <w:noProof/>
          <w:lang w:val="en-US"/>
        </w:rPr>
        <w:t xml:space="preserve">and </w:t>
      </w:r>
      <w:r w:rsidRPr="00B849DC" w:rsidR="002A75D8">
        <w:rPr>
          <w:i/>
          <w:noProof/>
          <w:lang w:val="en-US"/>
        </w:rPr>
        <w:t>rejects</w:t>
      </w:r>
      <w:r w:rsidRPr="00B849DC" w:rsidR="002A75D8">
        <w:rPr>
          <w:noProof/>
          <w:lang w:val="en-US"/>
        </w:rPr>
        <w:t xml:space="preserve"> it;</w:t>
      </w:r>
    </w:p>
    <w:p w:rsidRPr="00B849DC" w:rsidR="002A75D8" w:rsidP="00B849DC" w:rsidRDefault="002A75D8">
      <w:pPr>
        <w:pStyle w:val="JuList"/>
        <w:rPr>
          <w:noProof/>
          <w:lang w:val="en-US"/>
        </w:rPr>
      </w:pPr>
    </w:p>
    <w:p w:rsidRPr="00B849DC" w:rsidR="002A75D8" w:rsidP="00B849DC" w:rsidRDefault="002A75D8">
      <w:pPr>
        <w:pStyle w:val="JuList"/>
        <w:rPr>
          <w:lang w:val="en-GB"/>
        </w:rPr>
      </w:pPr>
      <w:r w:rsidRPr="00B849DC">
        <w:rPr>
          <w:noProof/>
          <w:lang w:val="en-US"/>
        </w:rPr>
        <w:t>3.  </w:t>
      </w:r>
      <w:r w:rsidRPr="00B849DC">
        <w:rPr>
          <w:i/>
          <w:noProof/>
          <w:lang w:val="en-US"/>
        </w:rPr>
        <w:t>Decides</w:t>
      </w:r>
      <w:r w:rsidRPr="00B849DC">
        <w:rPr>
          <w:noProof/>
          <w:lang w:val="en-US"/>
        </w:rPr>
        <w:t xml:space="preserve"> to join the Government</w:t>
      </w:r>
      <w:r w:rsidRPr="00B849DC" w:rsidR="00B849DC">
        <w:rPr>
          <w:noProof/>
          <w:lang w:val="en-US"/>
        </w:rPr>
        <w:t>’</w:t>
      </w:r>
      <w:r w:rsidRPr="00B849DC">
        <w:rPr>
          <w:noProof/>
          <w:lang w:val="en-US"/>
        </w:rPr>
        <w:t xml:space="preserve">s </w:t>
      </w:r>
      <w:r w:rsidRPr="00B849DC">
        <w:rPr>
          <w:i/>
          <w:noProof/>
          <w:lang w:val="en-US"/>
        </w:rPr>
        <w:t>ratione personae</w:t>
      </w:r>
      <w:r w:rsidRPr="00B849DC">
        <w:rPr>
          <w:noProof/>
          <w:lang w:val="en-US"/>
        </w:rPr>
        <w:t xml:space="preserve"> objection concerning the attributability of municipal unitary enterprises</w:t>
      </w:r>
      <w:r w:rsidRPr="00B849DC" w:rsidR="00B849DC">
        <w:rPr>
          <w:noProof/>
          <w:lang w:val="en-US"/>
        </w:rPr>
        <w:t>’</w:t>
      </w:r>
      <w:r w:rsidRPr="00B849DC">
        <w:rPr>
          <w:noProof/>
          <w:lang w:val="en-US"/>
        </w:rPr>
        <w:t xml:space="preserve"> debts to the State to the merits</w:t>
      </w:r>
      <w:r w:rsidRPr="00B849DC" w:rsidR="00CA087B">
        <w:rPr>
          <w:noProof/>
          <w:lang w:val="en-US"/>
        </w:rPr>
        <w:t xml:space="preserve"> </w:t>
      </w:r>
      <w:r w:rsidRPr="00B849DC">
        <w:rPr>
          <w:noProof/>
          <w:lang w:val="en-US"/>
        </w:rPr>
        <w:t>of the applicants</w:t>
      </w:r>
      <w:r w:rsidRPr="00B849DC" w:rsidR="00B849DC">
        <w:rPr>
          <w:noProof/>
          <w:lang w:val="en-US"/>
        </w:rPr>
        <w:t>’</w:t>
      </w:r>
      <w:r w:rsidRPr="00B849DC">
        <w:rPr>
          <w:noProof/>
          <w:lang w:val="en-US"/>
        </w:rPr>
        <w:t xml:space="preserve"> non-enforcement complaint under Article 6 of the Conventi</w:t>
      </w:r>
      <w:r w:rsidRPr="00B849DC" w:rsidR="00AA5B80">
        <w:rPr>
          <w:noProof/>
          <w:lang w:val="en-US"/>
        </w:rPr>
        <w:t xml:space="preserve">on of Article 1 of Protocol No. </w:t>
      </w:r>
      <w:r w:rsidRPr="00B849DC">
        <w:rPr>
          <w:noProof/>
          <w:lang w:val="en-US"/>
        </w:rPr>
        <w:t xml:space="preserve">1 and </w:t>
      </w:r>
      <w:r w:rsidRPr="00B849DC">
        <w:rPr>
          <w:i/>
          <w:noProof/>
          <w:lang w:val="en-US"/>
        </w:rPr>
        <w:t>rejects</w:t>
      </w:r>
      <w:r w:rsidRPr="00B849DC">
        <w:rPr>
          <w:noProof/>
          <w:lang w:val="en-US"/>
        </w:rPr>
        <w:t xml:space="preserve"> it;</w:t>
      </w:r>
    </w:p>
    <w:p w:rsidRPr="00B849DC" w:rsidR="00E21F04" w:rsidP="00B849DC" w:rsidRDefault="00E21F04">
      <w:pPr>
        <w:pStyle w:val="JuList"/>
        <w:rPr>
          <w:lang w:val="en-GB"/>
        </w:rPr>
      </w:pPr>
    </w:p>
    <w:p w:rsidRPr="00B849DC" w:rsidR="00E21F04" w:rsidP="00B849DC" w:rsidRDefault="00BA3944">
      <w:pPr>
        <w:pStyle w:val="JuList"/>
        <w:rPr>
          <w:lang w:val="en-GB"/>
        </w:rPr>
      </w:pPr>
      <w:r w:rsidRPr="00B849DC">
        <w:rPr>
          <w:lang w:val="en-GB"/>
        </w:rPr>
        <w:t>4</w:t>
      </w:r>
      <w:r w:rsidRPr="00B849DC" w:rsidR="00E21F04">
        <w:rPr>
          <w:lang w:val="en-GB"/>
        </w:rPr>
        <w:t>.  </w:t>
      </w:r>
      <w:proofErr w:type="gramStart"/>
      <w:r w:rsidRPr="00B849DC" w:rsidR="00E21F04">
        <w:rPr>
          <w:i/>
          <w:lang w:val="en-GB"/>
        </w:rPr>
        <w:t>Declares</w:t>
      </w:r>
      <w:proofErr w:type="gramEnd"/>
      <w:r w:rsidRPr="00B849DC" w:rsidR="00E21F04">
        <w:rPr>
          <w:noProof/>
          <w:lang w:val="en-GB"/>
        </w:rPr>
        <w:t xml:space="preserve"> </w:t>
      </w:r>
      <w:r w:rsidRPr="00B849DC" w:rsidR="00E21F04">
        <w:rPr>
          <w:lang w:val="en-GB"/>
        </w:rPr>
        <w:t xml:space="preserve">the </w:t>
      </w:r>
      <w:r w:rsidRPr="00B849DC" w:rsidR="0033179F">
        <w:rPr>
          <w:noProof/>
          <w:lang w:val="en-GB"/>
        </w:rPr>
        <w:t>non</w:t>
      </w:r>
      <w:r w:rsidRPr="00B849DC" w:rsidR="0033179F">
        <w:rPr>
          <w:noProof/>
          <w:lang w:val="en-GB"/>
        </w:rPr>
        <w:noBreakHyphen/>
      </w:r>
      <w:r w:rsidRPr="00B849DC" w:rsidR="00FD311A">
        <w:rPr>
          <w:noProof/>
          <w:lang w:val="en-GB"/>
        </w:rPr>
        <w:t>enforcement compl</w:t>
      </w:r>
      <w:r w:rsidRPr="00B849DC" w:rsidR="00A40813">
        <w:rPr>
          <w:noProof/>
          <w:lang w:val="en-GB"/>
        </w:rPr>
        <w:t>a</w:t>
      </w:r>
      <w:r w:rsidRPr="00B849DC" w:rsidR="00FD311A">
        <w:rPr>
          <w:noProof/>
          <w:lang w:val="en-GB"/>
        </w:rPr>
        <w:t>ints under Article 6 of the Conventio</w:t>
      </w:r>
      <w:r w:rsidRPr="00B849DC" w:rsidR="00AA5B80">
        <w:rPr>
          <w:noProof/>
          <w:lang w:val="en-GB"/>
        </w:rPr>
        <w:t xml:space="preserve">n and Article 1 of Protocol No. </w:t>
      </w:r>
      <w:r w:rsidRPr="00B849DC" w:rsidR="00FD311A">
        <w:rPr>
          <w:noProof/>
          <w:lang w:val="en-GB"/>
        </w:rPr>
        <w:t>1 and the complaint under Article 13</w:t>
      </w:r>
      <w:r w:rsidRPr="00B849DC" w:rsidR="00E21F04">
        <w:rPr>
          <w:lang w:val="en-GB"/>
        </w:rPr>
        <w:t xml:space="preserve"> </w:t>
      </w:r>
      <w:r w:rsidRPr="00B849DC" w:rsidR="00E17291">
        <w:rPr>
          <w:noProof/>
          <w:lang w:val="en-US"/>
        </w:rPr>
        <w:t xml:space="preserve">of the Convention </w:t>
      </w:r>
      <w:r w:rsidRPr="00B849DC" w:rsidR="00E21F04">
        <w:rPr>
          <w:lang w:val="en-GB"/>
        </w:rPr>
        <w:t>admissible</w:t>
      </w:r>
      <w:r w:rsidRPr="00B849DC" w:rsidR="00FD311A">
        <w:rPr>
          <w:lang w:val="en-GB"/>
        </w:rPr>
        <w:t xml:space="preserve"> and the remainder of the application inadmissible</w:t>
      </w:r>
      <w:r w:rsidRPr="00B849DC" w:rsidR="00E21F04">
        <w:rPr>
          <w:lang w:val="en-GB"/>
        </w:rPr>
        <w:t>;</w:t>
      </w:r>
    </w:p>
    <w:p w:rsidRPr="00B849DC" w:rsidR="00E21F04" w:rsidP="00B849DC" w:rsidRDefault="00E21F04">
      <w:pPr>
        <w:pStyle w:val="JuList"/>
        <w:rPr>
          <w:lang w:val="en-GB"/>
        </w:rPr>
      </w:pPr>
    </w:p>
    <w:p w:rsidRPr="00B849DC" w:rsidR="002A75D8" w:rsidP="00B849DC" w:rsidRDefault="00BA3944">
      <w:pPr>
        <w:pStyle w:val="JuList"/>
        <w:rPr>
          <w:lang w:val="en-GB"/>
        </w:rPr>
      </w:pPr>
      <w:r w:rsidRPr="00B849DC">
        <w:rPr>
          <w:lang w:val="en-GB"/>
        </w:rPr>
        <w:t>5</w:t>
      </w:r>
      <w:r w:rsidRPr="00B849DC" w:rsidR="00E21F04">
        <w:rPr>
          <w:lang w:val="en-GB"/>
        </w:rPr>
        <w:t>.  </w:t>
      </w:r>
      <w:r w:rsidRPr="00B849DC" w:rsidR="002A75D8">
        <w:rPr>
          <w:i/>
          <w:lang w:val="en-GB"/>
        </w:rPr>
        <w:t>Holds</w:t>
      </w:r>
      <w:r w:rsidRPr="00B849DC" w:rsidR="002A75D8">
        <w:rPr>
          <w:noProof/>
          <w:lang w:val="en-GB"/>
        </w:rPr>
        <w:t xml:space="preserve"> </w:t>
      </w:r>
      <w:r w:rsidRPr="00B849DC" w:rsidR="002A75D8">
        <w:rPr>
          <w:lang w:val="en-GB"/>
        </w:rPr>
        <w:t xml:space="preserve">that that there </w:t>
      </w:r>
      <w:r w:rsidRPr="00B849DC" w:rsidR="00AA5B80">
        <w:rPr>
          <w:lang w:val="en-GB"/>
        </w:rPr>
        <w:t xml:space="preserve">has been a violation of Article </w:t>
      </w:r>
      <w:r w:rsidRPr="00B849DC" w:rsidR="002A75D8">
        <w:rPr>
          <w:lang w:val="en-GB"/>
        </w:rPr>
        <w:t>13 of the Convention in the present two cases on account of the lack of an effective remedy in respect of the non</w:t>
      </w:r>
      <w:r w:rsidRPr="00B849DC" w:rsidR="002A75D8">
        <w:rPr>
          <w:lang w:val="en-GB"/>
        </w:rPr>
        <w:noBreakHyphen/>
        <w:t>enforcement of the final domestic judgments in their favour;</w:t>
      </w:r>
    </w:p>
    <w:p w:rsidRPr="00B849DC" w:rsidR="002A75D8" w:rsidP="00B849DC" w:rsidRDefault="002A75D8">
      <w:pPr>
        <w:pStyle w:val="JuList"/>
        <w:rPr>
          <w:lang w:val="en-GB"/>
        </w:rPr>
      </w:pPr>
    </w:p>
    <w:p w:rsidRPr="00B849DC" w:rsidR="00CA087B" w:rsidP="00B849DC" w:rsidRDefault="00BA3944">
      <w:pPr>
        <w:pStyle w:val="JuList"/>
        <w:rPr>
          <w:lang w:val="en-GB"/>
        </w:rPr>
      </w:pPr>
      <w:r w:rsidRPr="00B849DC">
        <w:rPr>
          <w:lang w:val="en-GB"/>
        </w:rPr>
        <w:t>6</w:t>
      </w:r>
      <w:r w:rsidRPr="00B849DC" w:rsidR="002A75D8">
        <w:rPr>
          <w:lang w:val="en-GB"/>
        </w:rPr>
        <w:t>.  </w:t>
      </w:r>
      <w:proofErr w:type="gramStart"/>
      <w:r w:rsidRPr="00B849DC" w:rsidR="00E21F04">
        <w:rPr>
          <w:i/>
          <w:lang w:val="en-GB"/>
        </w:rPr>
        <w:t>Holds</w:t>
      </w:r>
      <w:proofErr w:type="gramEnd"/>
      <w:r w:rsidRPr="00B849DC" w:rsidR="00E21F04">
        <w:rPr>
          <w:noProof/>
          <w:lang w:val="en-GB"/>
        </w:rPr>
        <w:t xml:space="preserve"> </w:t>
      </w:r>
      <w:r w:rsidRPr="00B849DC" w:rsidR="00E21F04">
        <w:rPr>
          <w:lang w:val="en-GB"/>
        </w:rPr>
        <w:t>that there has been a violation of Article </w:t>
      </w:r>
      <w:r w:rsidRPr="00B849DC" w:rsidR="00EB771C">
        <w:rPr>
          <w:lang w:val="en-GB"/>
        </w:rPr>
        <w:t>6 of the Convention and Article </w:t>
      </w:r>
      <w:r w:rsidRPr="00B849DC" w:rsidR="00AA5B80">
        <w:rPr>
          <w:lang w:val="en-GB"/>
        </w:rPr>
        <w:t xml:space="preserve">1 of Protocol </w:t>
      </w:r>
      <w:r w:rsidRPr="00B849DC" w:rsidR="00E21F04">
        <w:rPr>
          <w:lang w:val="en-GB"/>
        </w:rPr>
        <w:t xml:space="preserve">No. 1 on account of </w:t>
      </w:r>
      <w:r w:rsidRPr="00B849DC" w:rsidR="00A40813">
        <w:rPr>
          <w:lang w:val="en-GB"/>
        </w:rPr>
        <w:t xml:space="preserve">the </w:t>
      </w:r>
      <w:r w:rsidRPr="00B849DC" w:rsidR="006E33FF">
        <w:rPr>
          <w:lang w:val="en-GB"/>
        </w:rPr>
        <w:t>non-</w:t>
      </w:r>
      <w:r w:rsidRPr="00B849DC" w:rsidR="00E21F04">
        <w:rPr>
          <w:lang w:val="en-GB"/>
        </w:rPr>
        <w:t>enforcement of the judgments in the applicants</w:t>
      </w:r>
      <w:r w:rsidRPr="00B849DC" w:rsidR="00B849DC">
        <w:rPr>
          <w:lang w:val="en-GB"/>
        </w:rPr>
        <w:t>’</w:t>
      </w:r>
      <w:r w:rsidRPr="00B849DC" w:rsidR="00E21F04">
        <w:rPr>
          <w:lang w:val="en-GB"/>
        </w:rPr>
        <w:t xml:space="preserve"> favour;</w:t>
      </w:r>
    </w:p>
    <w:p w:rsidRPr="00B849DC" w:rsidR="00E21F04" w:rsidP="00B849DC" w:rsidRDefault="00E21F04">
      <w:pPr>
        <w:pStyle w:val="JuList"/>
        <w:rPr>
          <w:lang w:val="en-GB"/>
        </w:rPr>
      </w:pPr>
    </w:p>
    <w:p w:rsidRPr="00B849DC" w:rsidR="00CA087B" w:rsidP="00B849DC" w:rsidRDefault="00BA3944">
      <w:pPr>
        <w:pStyle w:val="JuList"/>
        <w:rPr>
          <w:lang w:val="en-GB"/>
        </w:rPr>
      </w:pPr>
      <w:r w:rsidRPr="00B849DC">
        <w:rPr>
          <w:lang w:val="en-GB"/>
        </w:rPr>
        <w:t>7</w:t>
      </w:r>
      <w:r w:rsidRPr="00B849DC" w:rsidR="00E21F04">
        <w:rPr>
          <w:lang w:val="en-GB"/>
        </w:rPr>
        <w:t>.  </w:t>
      </w:r>
      <w:r w:rsidRPr="00B849DC" w:rsidR="00E21F04">
        <w:rPr>
          <w:i/>
          <w:lang w:val="en-GB"/>
        </w:rPr>
        <w:t>Holds</w:t>
      </w:r>
    </w:p>
    <w:p w:rsidRPr="00B849DC" w:rsidR="00E21F04" w:rsidP="00B849DC" w:rsidRDefault="00E21F04">
      <w:pPr>
        <w:pStyle w:val="JuLista"/>
        <w:rPr>
          <w:lang w:val="en-GB"/>
        </w:rPr>
      </w:pPr>
      <w:r w:rsidRPr="00B849DC">
        <w:rPr>
          <w:lang w:val="en-GB"/>
        </w:rPr>
        <w:t>(a)  that the respondent State is to pay the applicant</w:t>
      </w:r>
      <w:r w:rsidRPr="00B849DC" w:rsidR="00442991">
        <w:rPr>
          <w:lang w:val="en-GB"/>
        </w:rPr>
        <w:t>s</w:t>
      </w:r>
      <w:r w:rsidRPr="00B849DC">
        <w:rPr>
          <w:lang w:val="en-GB"/>
        </w:rPr>
        <w:t xml:space="preserve">, within three months </w:t>
      </w:r>
      <w:r w:rsidRPr="00B849DC">
        <w:rPr>
          <w:noProof/>
          <w:lang w:val="en-GB"/>
        </w:rPr>
        <w:t>from the date on which the judgment becomes final in accordance with A</w:t>
      </w:r>
      <w:r w:rsidRPr="00B849DC" w:rsidR="00F640F9">
        <w:rPr>
          <w:noProof/>
          <w:lang w:val="en-GB"/>
        </w:rPr>
        <w:t>rticle 44 § 2 of the Convention</w:t>
      </w:r>
      <w:r w:rsidRPr="00B849DC">
        <w:rPr>
          <w:lang w:val="en-GB"/>
        </w:rPr>
        <w:t xml:space="preserve">, the following amounts, </w:t>
      </w:r>
      <w:r w:rsidRPr="00B849DC" w:rsidR="0059111D">
        <w:rPr>
          <w:lang w:val="en-GB"/>
        </w:rPr>
        <w:t xml:space="preserve">plus any tax that may be chargeable, </w:t>
      </w:r>
      <w:r w:rsidRPr="00B849DC">
        <w:rPr>
          <w:lang w:val="en-GB"/>
        </w:rPr>
        <w:t xml:space="preserve">to be converted into </w:t>
      </w:r>
      <w:r w:rsidRPr="00B849DC" w:rsidR="0040332B">
        <w:rPr>
          <w:color w:val="000000"/>
          <w:lang w:val="en-GB"/>
        </w:rPr>
        <w:t>Russian r</w:t>
      </w:r>
      <w:r w:rsidRPr="00B849DC">
        <w:rPr>
          <w:color w:val="000000"/>
          <w:lang w:val="en-GB"/>
        </w:rPr>
        <w:t>oubles</w:t>
      </w:r>
      <w:r w:rsidRPr="00B849DC">
        <w:rPr>
          <w:lang w:val="en-GB"/>
        </w:rPr>
        <w:t xml:space="preserve"> at the rate applicable at the date of settlement:</w:t>
      </w:r>
    </w:p>
    <w:p w:rsidRPr="00B849DC" w:rsidR="0059111D" w:rsidP="00B849DC" w:rsidRDefault="00E21F04">
      <w:pPr>
        <w:pStyle w:val="JuListi"/>
        <w:rPr>
          <w:lang w:val="en-US"/>
        </w:rPr>
      </w:pPr>
      <w:r w:rsidRPr="00B849DC">
        <w:rPr>
          <w:lang w:val="en-GB"/>
        </w:rPr>
        <w:t>(i)  </w:t>
      </w:r>
      <w:proofErr w:type="gramStart"/>
      <w:r w:rsidRPr="00B849DC" w:rsidR="0059111D">
        <w:rPr>
          <w:lang w:val="en-US"/>
        </w:rPr>
        <w:t>in</w:t>
      </w:r>
      <w:proofErr w:type="gramEnd"/>
      <w:r w:rsidRPr="00B849DC" w:rsidR="0059111D">
        <w:rPr>
          <w:lang w:val="en-US"/>
        </w:rPr>
        <w:t xml:space="preserve"> respect of pecuniary damage:</w:t>
      </w:r>
    </w:p>
    <w:p w:rsidRPr="00B849DC" w:rsidR="0059111D" w:rsidP="00B849DC" w:rsidRDefault="00256105">
      <w:pPr>
        <w:pStyle w:val="JuListi"/>
        <w:rPr>
          <w:lang w:val="en-GB"/>
        </w:rPr>
      </w:pPr>
      <w:r w:rsidRPr="00B849DC">
        <w:rPr>
          <w:lang w:val="en-GB"/>
        </w:rPr>
        <w:t>EUR </w:t>
      </w:r>
      <w:r w:rsidRPr="00B849DC" w:rsidR="00AD070C">
        <w:rPr>
          <w:lang w:val="en-GB"/>
        </w:rPr>
        <w:t>338</w:t>
      </w:r>
      <w:r w:rsidRPr="00B849DC" w:rsidR="00E21F04">
        <w:rPr>
          <w:lang w:val="en-GB"/>
        </w:rPr>
        <w:t xml:space="preserve"> (</w:t>
      </w:r>
      <w:r w:rsidRPr="00B849DC" w:rsidR="00AD070C">
        <w:rPr>
          <w:lang w:val="en-GB"/>
        </w:rPr>
        <w:t xml:space="preserve">three hundred </w:t>
      </w:r>
      <w:r w:rsidRPr="00B849DC" w:rsidR="00A40813">
        <w:rPr>
          <w:lang w:val="en-GB"/>
        </w:rPr>
        <w:t xml:space="preserve">and </w:t>
      </w:r>
      <w:r w:rsidRPr="00B849DC" w:rsidR="00AD070C">
        <w:rPr>
          <w:lang w:val="en-GB"/>
        </w:rPr>
        <w:t>thirty-eight</w:t>
      </w:r>
      <w:r w:rsidRPr="00B849DC" w:rsidR="00E21F04">
        <w:rPr>
          <w:lang w:val="en-GB"/>
        </w:rPr>
        <w:t xml:space="preserve"> euros)</w:t>
      </w:r>
      <w:r w:rsidRPr="00B849DC" w:rsidR="0059111D">
        <w:rPr>
          <w:lang w:val="en-GB"/>
        </w:rPr>
        <w:t xml:space="preserve"> to Ms Liseytseva</w:t>
      </w:r>
      <w:r w:rsidRPr="00B849DC" w:rsidR="00AD070C">
        <w:rPr>
          <w:lang w:val="en-GB"/>
        </w:rPr>
        <w:t>,</w:t>
      </w:r>
    </w:p>
    <w:p w:rsidRPr="00B849DC" w:rsidR="0059111D" w:rsidP="00B849DC" w:rsidRDefault="00256105">
      <w:pPr>
        <w:pStyle w:val="JuListi"/>
        <w:rPr>
          <w:lang w:val="en-GB"/>
        </w:rPr>
      </w:pPr>
      <w:r w:rsidRPr="00B849DC">
        <w:rPr>
          <w:lang w:val="en-GB"/>
        </w:rPr>
        <w:t>EUR </w:t>
      </w:r>
      <w:r w:rsidRPr="00B849DC" w:rsidR="00AD070C">
        <w:rPr>
          <w:lang w:val="en-GB"/>
        </w:rPr>
        <w:t>2,020</w:t>
      </w:r>
      <w:r w:rsidRPr="00B849DC" w:rsidR="0059111D">
        <w:rPr>
          <w:lang w:val="en-GB"/>
        </w:rPr>
        <w:t xml:space="preserve"> (</w:t>
      </w:r>
      <w:r w:rsidRPr="00B849DC" w:rsidR="00AD070C">
        <w:rPr>
          <w:lang w:val="en-GB"/>
        </w:rPr>
        <w:t xml:space="preserve">two thousand </w:t>
      </w:r>
      <w:r w:rsidRPr="00B849DC" w:rsidR="00A40813">
        <w:rPr>
          <w:lang w:val="en-GB"/>
        </w:rPr>
        <w:t xml:space="preserve">and </w:t>
      </w:r>
      <w:r w:rsidRPr="00B849DC" w:rsidR="00AD070C">
        <w:rPr>
          <w:lang w:val="en-GB"/>
        </w:rPr>
        <w:t xml:space="preserve">twenty </w:t>
      </w:r>
      <w:r w:rsidRPr="00B849DC" w:rsidR="0059111D">
        <w:rPr>
          <w:lang w:val="en-GB"/>
        </w:rPr>
        <w:t>euros) to Mr Maslov</w:t>
      </w:r>
      <w:r w:rsidRPr="00B849DC" w:rsidR="00AD070C">
        <w:rPr>
          <w:lang w:val="en-GB"/>
        </w:rPr>
        <w:t>;</w:t>
      </w:r>
    </w:p>
    <w:p w:rsidRPr="00B849DC" w:rsidR="0059111D" w:rsidP="00B849DC" w:rsidRDefault="00E21F04">
      <w:pPr>
        <w:pStyle w:val="JuListi"/>
        <w:rPr>
          <w:lang w:val="en-GB"/>
        </w:rPr>
      </w:pPr>
      <w:r w:rsidRPr="00B849DC">
        <w:rPr>
          <w:lang w:val="en-GB"/>
        </w:rPr>
        <w:t>(ii)  </w:t>
      </w:r>
      <w:proofErr w:type="gramStart"/>
      <w:r w:rsidRPr="00B849DC" w:rsidR="0059111D">
        <w:rPr>
          <w:lang w:val="en-GB"/>
        </w:rPr>
        <w:t>in</w:t>
      </w:r>
      <w:proofErr w:type="gramEnd"/>
      <w:r w:rsidRPr="00B849DC" w:rsidR="0059111D">
        <w:rPr>
          <w:lang w:val="en-GB"/>
        </w:rPr>
        <w:t xml:space="preserve"> respect of non-pecuniary damage:</w:t>
      </w:r>
    </w:p>
    <w:p w:rsidRPr="00B849DC" w:rsidR="0059111D" w:rsidP="00B849DC" w:rsidRDefault="00A8254E">
      <w:pPr>
        <w:pStyle w:val="JuListi"/>
        <w:rPr>
          <w:lang w:val="en-GB"/>
        </w:rPr>
      </w:pPr>
      <w:r w:rsidRPr="00B849DC">
        <w:rPr>
          <w:lang w:val="en-GB"/>
        </w:rPr>
        <w:t>EUR 3,000</w:t>
      </w:r>
      <w:r w:rsidRPr="00B849DC" w:rsidR="0059111D">
        <w:rPr>
          <w:lang w:val="en-GB"/>
        </w:rPr>
        <w:t xml:space="preserve"> (</w:t>
      </w:r>
      <w:r w:rsidRPr="00B849DC">
        <w:rPr>
          <w:lang w:val="en-GB"/>
        </w:rPr>
        <w:t>three thousand</w:t>
      </w:r>
      <w:r w:rsidRPr="00B849DC" w:rsidR="0059111D">
        <w:rPr>
          <w:lang w:val="en-GB"/>
        </w:rPr>
        <w:t xml:space="preserve"> euros) to Ms Liseytseva</w:t>
      </w:r>
      <w:r w:rsidRPr="00B849DC" w:rsidR="00AD070C">
        <w:rPr>
          <w:lang w:val="en-GB"/>
        </w:rPr>
        <w:t>,</w:t>
      </w:r>
    </w:p>
    <w:p w:rsidRPr="00B849DC" w:rsidR="0059111D" w:rsidP="00B849DC" w:rsidRDefault="0059111D">
      <w:pPr>
        <w:pStyle w:val="JuListi"/>
        <w:rPr>
          <w:lang w:val="en-GB"/>
        </w:rPr>
      </w:pPr>
      <w:r w:rsidRPr="00B849DC">
        <w:rPr>
          <w:lang w:val="en-GB"/>
        </w:rPr>
        <w:t>EUR</w:t>
      </w:r>
      <w:r w:rsidRPr="00B849DC" w:rsidR="009B09FC">
        <w:rPr>
          <w:lang w:val="en-GB"/>
        </w:rPr>
        <w:t> </w:t>
      </w:r>
      <w:r w:rsidRPr="00B849DC" w:rsidR="00E9344C">
        <w:rPr>
          <w:lang w:val="en-GB"/>
        </w:rPr>
        <w:t>1,500</w:t>
      </w:r>
      <w:r w:rsidRPr="00B849DC">
        <w:rPr>
          <w:lang w:val="en-GB"/>
        </w:rPr>
        <w:t xml:space="preserve"> (</w:t>
      </w:r>
      <w:r w:rsidRPr="00B849DC" w:rsidR="00E9344C">
        <w:rPr>
          <w:lang w:val="en-GB"/>
        </w:rPr>
        <w:t xml:space="preserve">one thousand five hundred </w:t>
      </w:r>
      <w:r w:rsidRPr="00B849DC">
        <w:rPr>
          <w:lang w:val="en-GB"/>
        </w:rPr>
        <w:t>euros) to Mr Maslov</w:t>
      </w:r>
      <w:r w:rsidRPr="00B849DC" w:rsidR="00AD070C">
        <w:rPr>
          <w:lang w:val="en-GB"/>
        </w:rPr>
        <w:t>;</w:t>
      </w:r>
    </w:p>
    <w:p w:rsidRPr="00B849DC" w:rsidR="0059111D" w:rsidP="00B849DC" w:rsidRDefault="00E21F04">
      <w:pPr>
        <w:pStyle w:val="JuListi"/>
        <w:rPr>
          <w:lang w:val="en-GB"/>
        </w:rPr>
      </w:pPr>
      <w:r w:rsidRPr="00B849DC">
        <w:rPr>
          <w:lang w:val="en-GB"/>
        </w:rPr>
        <w:t>(iii)  </w:t>
      </w:r>
      <w:proofErr w:type="gramStart"/>
      <w:r w:rsidRPr="00B849DC" w:rsidR="0059111D">
        <w:rPr>
          <w:lang w:val="en-GB"/>
        </w:rPr>
        <w:t>in</w:t>
      </w:r>
      <w:proofErr w:type="gramEnd"/>
      <w:r w:rsidRPr="00B849DC" w:rsidR="0059111D">
        <w:rPr>
          <w:lang w:val="en-GB"/>
        </w:rPr>
        <w:t xml:space="preserve"> respect of costs and expenses:</w:t>
      </w:r>
    </w:p>
    <w:p w:rsidRPr="00B849DC" w:rsidR="0059111D" w:rsidP="00B849DC" w:rsidRDefault="004A5323">
      <w:pPr>
        <w:pStyle w:val="JuListi"/>
        <w:rPr>
          <w:lang w:val="en-GB"/>
        </w:rPr>
      </w:pPr>
      <w:r w:rsidRPr="00B849DC">
        <w:rPr>
          <w:lang w:val="en-GB"/>
        </w:rPr>
        <w:t>EUR 11</w:t>
      </w:r>
      <w:r w:rsidRPr="00B849DC" w:rsidR="0059111D">
        <w:rPr>
          <w:lang w:val="en-GB"/>
        </w:rPr>
        <w:t xml:space="preserve"> (</w:t>
      </w:r>
      <w:r w:rsidRPr="00B849DC">
        <w:rPr>
          <w:lang w:val="en-GB"/>
        </w:rPr>
        <w:t>eleven euros</w:t>
      </w:r>
      <w:r w:rsidRPr="00B849DC" w:rsidR="0059111D">
        <w:rPr>
          <w:lang w:val="en-GB"/>
        </w:rPr>
        <w:t>) to Ms Liseytseva</w:t>
      </w:r>
      <w:r w:rsidRPr="00B849DC" w:rsidR="00AD070C">
        <w:rPr>
          <w:lang w:val="en-GB"/>
        </w:rPr>
        <w:t>,</w:t>
      </w:r>
    </w:p>
    <w:p w:rsidRPr="00B849DC" w:rsidR="0059111D" w:rsidP="00B849DC" w:rsidRDefault="00DB09F3">
      <w:pPr>
        <w:pStyle w:val="JuListi"/>
        <w:rPr>
          <w:lang w:val="en-GB"/>
        </w:rPr>
      </w:pPr>
      <w:r w:rsidRPr="00B849DC">
        <w:rPr>
          <w:lang w:val="en-GB"/>
        </w:rPr>
        <w:t>EUR 477</w:t>
      </w:r>
      <w:r w:rsidRPr="00B849DC" w:rsidR="0059111D">
        <w:rPr>
          <w:lang w:val="en-GB"/>
        </w:rPr>
        <w:t xml:space="preserve"> (</w:t>
      </w:r>
      <w:r w:rsidRPr="00B849DC">
        <w:rPr>
          <w:lang w:val="en-GB"/>
        </w:rPr>
        <w:t xml:space="preserve">four hundred </w:t>
      </w:r>
      <w:r w:rsidRPr="00B849DC" w:rsidR="00A40813">
        <w:rPr>
          <w:lang w:val="en-GB"/>
        </w:rPr>
        <w:t xml:space="preserve">and </w:t>
      </w:r>
      <w:r w:rsidRPr="00B849DC">
        <w:rPr>
          <w:lang w:val="en-GB"/>
        </w:rPr>
        <w:t xml:space="preserve">seventy-seven </w:t>
      </w:r>
      <w:r w:rsidRPr="00B849DC" w:rsidR="0059111D">
        <w:rPr>
          <w:lang w:val="en-GB"/>
        </w:rPr>
        <w:t>euros) to Mr Maslov</w:t>
      </w:r>
      <w:r w:rsidRPr="00B849DC" w:rsidR="00AD070C">
        <w:rPr>
          <w:lang w:val="en-GB"/>
        </w:rPr>
        <w:t>;</w:t>
      </w:r>
    </w:p>
    <w:p w:rsidRPr="00B849DC" w:rsidR="00E21F04" w:rsidP="00B849DC" w:rsidRDefault="00E21F04">
      <w:pPr>
        <w:pStyle w:val="JuLista"/>
        <w:rPr>
          <w:lang w:val="en-GB"/>
        </w:rPr>
      </w:pPr>
      <w:r w:rsidRPr="00B849DC">
        <w:rPr>
          <w:lang w:val="en-GB"/>
        </w:rPr>
        <w:t>(b)  that from the expiry of the above-mentioned three months until settlement simple interest shall be payable on the above amounts at a rate equal to the marginal lending rate of the European Central Bank during the default period plus three percentage points;</w:t>
      </w:r>
    </w:p>
    <w:p w:rsidRPr="00B849DC" w:rsidR="00E21F04" w:rsidP="00B849DC" w:rsidRDefault="00E21F04">
      <w:pPr>
        <w:pStyle w:val="JuList"/>
        <w:rPr>
          <w:lang w:val="en-GB"/>
        </w:rPr>
      </w:pPr>
    </w:p>
    <w:p w:rsidRPr="00B849DC" w:rsidR="00E21F04" w:rsidP="00B849DC" w:rsidRDefault="00BA3944">
      <w:pPr>
        <w:pStyle w:val="JuList"/>
        <w:rPr>
          <w:lang w:val="en-GB"/>
        </w:rPr>
      </w:pPr>
      <w:r w:rsidRPr="00B849DC">
        <w:rPr>
          <w:lang w:val="en-GB"/>
        </w:rPr>
        <w:t>8</w:t>
      </w:r>
      <w:r w:rsidRPr="00B849DC" w:rsidR="00E21F04">
        <w:rPr>
          <w:lang w:val="en-GB"/>
        </w:rPr>
        <w:t>.  </w:t>
      </w:r>
      <w:r w:rsidRPr="00B849DC" w:rsidR="00E21F04">
        <w:rPr>
          <w:i/>
          <w:lang w:val="en-GB"/>
        </w:rPr>
        <w:t>Dismisses</w:t>
      </w:r>
      <w:r w:rsidRPr="00B849DC" w:rsidR="00E21F04">
        <w:rPr>
          <w:noProof/>
          <w:lang w:val="en-GB"/>
        </w:rPr>
        <w:t xml:space="preserve"> </w:t>
      </w:r>
      <w:r w:rsidRPr="00B849DC" w:rsidR="00E21F04">
        <w:rPr>
          <w:lang w:val="en-GB"/>
        </w:rPr>
        <w:t>the remainder of the applicant</w:t>
      </w:r>
      <w:r w:rsidRPr="00B849DC" w:rsidR="00E21F04">
        <w:rPr>
          <w:noProof/>
          <w:lang w:val="en-GB"/>
        </w:rPr>
        <w:t>s</w:t>
      </w:r>
      <w:r w:rsidRPr="00B849DC" w:rsidR="00B849DC">
        <w:rPr>
          <w:noProof/>
          <w:lang w:val="en-GB"/>
        </w:rPr>
        <w:t>’</w:t>
      </w:r>
      <w:r w:rsidRPr="00B849DC" w:rsidR="00734398">
        <w:rPr>
          <w:lang w:val="en-GB"/>
        </w:rPr>
        <w:t xml:space="preserve"> claim for just satisfaction.</w:t>
      </w:r>
    </w:p>
    <w:p w:rsidRPr="00B849DC" w:rsidR="00E21F04" w:rsidP="00B849DC" w:rsidRDefault="00E21F04">
      <w:pPr>
        <w:pStyle w:val="JuParaLast"/>
        <w:rPr>
          <w:lang w:val="en-GB"/>
        </w:rPr>
      </w:pPr>
      <w:r w:rsidRPr="00B849DC">
        <w:rPr>
          <w:lang w:val="en-GB"/>
        </w:rPr>
        <w:t xml:space="preserve">Done in English, and notified in writing on </w:t>
      </w:r>
      <w:r w:rsidRPr="00B849DC" w:rsidR="00EB771C">
        <w:rPr>
          <w:lang w:val="en-GB"/>
        </w:rPr>
        <w:t>9 October 2014</w:t>
      </w:r>
      <w:r w:rsidRPr="00B849DC">
        <w:rPr>
          <w:lang w:val="en-GB"/>
        </w:rPr>
        <w:t>, pursuant to Rule</w:t>
      </w:r>
      <w:r w:rsidRPr="00B849DC" w:rsidR="000A5923">
        <w:rPr>
          <w:lang w:val="en-GB"/>
        </w:rPr>
        <w:t> </w:t>
      </w:r>
      <w:r w:rsidRPr="00B849DC">
        <w:rPr>
          <w:lang w:val="en-GB"/>
        </w:rPr>
        <w:t>77</w:t>
      </w:r>
      <w:r w:rsidRPr="00B849DC" w:rsidR="000A5923">
        <w:rPr>
          <w:lang w:val="en-GB"/>
        </w:rPr>
        <w:t> </w:t>
      </w:r>
      <w:r w:rsidRPr="00B849DC">
        <w:rPr>
          <w:lang w:val="en-GB"/>
        </w:rPr>
        <w:t>§§</w:t>
      </w:r>
      <w:r w:rsidRPr="00B849DC" w:rsidR="000A5923">
        <w:rPr>
          <w:lang w:val="en-GB"/>
        </w:rPr>
        <w:t> </w:t>
      </w:r>
      <w:r w:rsidRPr="00B849DC">
        <w:rPr>
          <w:lang w:val="en-GB"/>
        </w:rPr>
        <w:t>2 and 3 of the Rules of Court.</w:t>
      </w:r>
    </w:p>
    <w:p w:rsidRPr="00B849DC" w:rsidR="00E21F04" w:rsidP="00B849DC" w:rsidRDefault="00E21F04">
      <w:pPr>
        <w:pStyle w:val="JuSigned"/>
        <w:keepNext/>
        <w:keepLines/>
        <w:rPr>
          <w:lang w:val="uk-UA"/>
        </w:rPr>
      </w:pPr>
      <w:r w:rsidRPr="00B849DC">
        <w:rPr>
          <w:lang w:val="en-GB"/>
        </w:rPr>
        <w:tab/>
      </w:r>
      <w:r w:rsidRPr="00B849DC">
        <w:rPr>
          <w:noProof/>
          <w:lang w:val="en-GB"/>
        </w:rPr>
        <w:t>Søren Nielsen</w:t>
      </w:r>
      <w:r w:rsidRPr="00B849DC">
        <w:rPr>
          <w:lang w:val="en-GB"/>
        </w:rPr>
        <w:tab/>
      </w:r>
      <w:r w:rsidRPr="00B849DC">
        <w:rPr>
          <w:noProof/>
          <w:szCs w:val="24"/>
          <w:lang w:val="en-GB"/>
        </w:rPr>
        <w:t>Isabelle Berro-Lefèvre</w:t>
      </w:r>
      <w:r w:rsidRPr="00B849DC" w:rsidR="00CA087B">
        <w:rPr>
          <w:noProof/>
          <w:szCs w:val="24"/>
          <w:lang w:val="uk-UA"/>
        </w:rPr>
        <w:br/>
      </w:r>
      <w:r w:rsidRPr="00B849DC">
        <w:rPr>
          <w:lang w:val="en-GB"/>
        </w:rPr>
        <w:tab/>
      </w:r>
      <w:r w:rsidRPr="00B849DC">
        <w:rPr>
          <w:iCs/>
          <w:noProof/>
          <w:lang w:val="en-GB"/>
        </w:rPr>
        <w:t>Registrar</w:t>
      </w:r>
      <w:r w:rsidRPr="00B849DC">
        <w:rPr>
          <w:lang w:val="en-GB"/>
        </w:rPr>
        <w:tab/>
        <w:t>President</w:t>
      </w:r>
    </w:p>
    <w:p w:rsidRPr="00B849DC" w:rsidR="00CA087B" w:rsidP="00B849DC" w:rsidRDefault="00CA087B">
      <w:pPr>
        <w:pStyle w:val="JuParaLast"/>
        <w:rPr>
          <w:lang w:val="uk-UA"/>
        </w:rPr>
      </w:pPr>
    </w:p>
    <w:sectPr w:rsidRPr="00B849DC" w:rsidR="00CA087B" w:rsidSect="004167CE">
      <w:headerReference w:type="even" r:id="rId14"/>
      <w:headerReference w:type="default" r:id="rId15"/>
      <w:footnotePr>
        <w:numRestart w:val="eachPage"/>
      </w:footnotePr>
      <w:pgSz w:w="11906" w:h="16838" w:code="9"/>
      <w:pgMar w:top="2274" w:right="2274" w:bottom="2274" w:left="2274" w:header="1701"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1F5B" w:rsidRDefault="00621F5B">
      <w:r>
        <w:separator/>
      </w:r>
    </w:p>
  </w:endnote>
  <w:endnote w:type="continuationSeparator" w:id="0">
    <w:p w:rsidR="00621F5B" w:rsidRDefault="00621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1F5B" w:rsidRDefault="00621F5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1F5B" w:rsidRDefault="00621F5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1F5B" w:rsidRPr="00150BFA" w:rsidRDefault="00621F5B" w:rsidP="004167CE">
    <w:pPr>
      <w:jc w:val="center"/>
    </w:pPr>
    <w:r>
      <w:rPr>
        <w:noProof/>
        <w:lang w:eastAsia="ja-JP"/>
      </w:rPr>
      <w:drawing>
        <wp:inline distT="0" distB="0" distL="0" distR="0" wp14:anchorId="26F4D369" wp14:editId="195F1F51">
          <wp:extent cx="771525" cy="619125"/>
          <wp:effectExtent l="0" t="0" r="9525" b="9525"/>
          <wp:docPr id="3" name="Picture 3" descr="R:\1_Graphics&amp;Web\Court_Graphic_Charter\2013\ECHR_Stationery\Documents_and_Letters\Cover_Pages_And_Docs\White_600_dpi\ECHR_CoverpageCS61_ECHR_Coverpage_Footer_COE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1_Graphics&amp;Web\Court_Graphic_Charter\2013\ECHR_Stationery\Documents_and_Letters\Cover_Pages_And_Docs\White_600_dpi\ECHR_CoverpageCS61_ECHR_Coverpage_Footer_COE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619125"/>
                  </a:xfrm>
                  <a:prstGeom prst="rect">
                    <a:avLst/>
                  </a:prstGeom>
                  <a:noFill/>
                  <a:ln>
                    <a:noFill/>
                  </a:ln>
                </pic:spPr>
              </pic:pic>
            </a:graphicData>
          </a:graphic>
        </wp:inline>
      </w:drawing>
    </w:r>
  </w:p>
  <w:p w:rsidR="00621F5B" w:rsidRDefault="00621F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1F5B" w:rsidRDefault="00621F5B">
      <w:r>
        <w:separator/>
      </w:r>
    </w:p>
  </w:footnote>
  <w:footnote w:type="continuationSeparator" w:id="0">
    <w:p w:rsidR="00621F5B" w:rsidRDefault="00621F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1F5B" w:rsidRDefault="00621F5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1F5B" w:rsidRPr="004167CE" w:rsidRDefault="00621F5B" w:rsidP="004167CE">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1F5B" w:rsidRPr="00A45145" w:rsidRDefault="00621F5B" w:rsidP="004167CE">
    <w:pPr>
      <w:jc w:val="center"/>
    </w:pPr>
    <w:r>
      <w:rPr>
        <w:noProof/>
        <w:lang w:eastAsia="ja-JP"/>
      </w:rPr>
      <w:drawing>
        <wp:inline distT="0" distB="0" distL="0" distR="0" wp14:anchorId="4C797672" wp14:editId="6AC1C6CF">
          <wp:extent cx="2962275" cy="1219200"/>
          <wp:effectExtent l="0" t="0" r="9525" b="0"/>
          <wp:docPr id="1" name="Picture 1" descr="R:\1_Graphics&amp;Web\Court_Graphic_Charter\2013\ECHR_Stationery\Documents_and_Letters\Cover_Pages_And_Docs\White_600_dpi\ECHR_CoverpageCS61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1_Graphics&amp;Web\Court_Graphic_Charter\2013\ECHR_Stationery\Documents_and_Letters\Cover_Pages_And_Docs\White_600_dpi\ECHR_CoverpageCS61_ECHR_Coverpage_Header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2275" cy="1219200"/>
                  </a:xfrm>
                  <a:prstGeom prst="rect">
                    <a:avLst/>
                  </a:prstGeom>
                  <a:noFill/>
                  <a:ln>
                    <a:noFill/>
                  </a:ln>
                </pic:spPr>
              </pic:pic>
            </a:graphicData>
          </a:graphic>
        </wp:inline>
      </w:drawing>
    </w:r>
  </w:p>
  <w:p w:rsidR="00621F5B" w:rsidRDefault="00621F5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1F5B" w:rsidRPr="00EF3FFD" w:rsidRDefault="00621F5B" w:rsidP="00044ABA">
    <w:pPr>
      <w:pStyle w:val="ECHRHeader"/>
      <w:rPr>
        <w:lang w:val="en-US"/>
      </w:rPr>
    </w:pPr>
    <w:r>
      <w:rPr>
        <w:rStyle w:val="PageNumber"/>
        <w:szCs w:val="18"/>
      </w:rPr>
      <w:fldChar w:fldCharType="begin"/>
    </w:r>
    <w:r w:rsidRPr="00EF3FFD">
      <w:rPr>
        <w:rStyle w:val="PageNumber"/>
        <w:szCs w:val="18"/>
        <w:lang w:val="en-US"/>
      </w:rPr>
      <w:instrText xml:space="preserve"> PAGE </w:instrText>
    </w:r>
    <w:r>
      <w:rPr>
        <w:rStyle w:val="PageNumber"/>
        <w:szCs w:val="18"/>
      </w:rPr>
      <w:fldChar w:fldCharType="separate"/>
    </w:r>
    <w:r w:rsidR="00B849DC">
      <w:rPr>
        <w:rStyle w:val="PageNumber"/>
        <w:noProof/>
        <w:szCs w:val="18"/>
        <w:lang w:val="en-US"/>
      </w:rPr>
      <w:t>62</w:t>
    </w:r>
    <w:r>
      <w:rPr>
        <w:rStyle w:val="PageNumber"/>
        <w:szCs w:val="18"/>
      </w:rPr>
      <w:fldChar w:fldCharType="end"/>
    </w:r>
    <w:r>
      <w:rPr>
        <w:lang w:val="en-US"/>
      </w:rPr>
      <w:tab/>
      <w:t>LISEYTSEVA AND</w:t>
    </w:r>
    <w:r w:rsidRPr="00EF3FFD">
      <w:rPr>
        <w:lang w:val="en-US"/>
      </w:rPr>
      <w:t xml:space="preserve"> MASLOV v. RUSSIA </w:t>
    </w:r>
    <w:r>
      <w:rPr>
        <w:lang w:val="en-US"/>
      </w:rPr>
      <w:t>JUDGMENT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1F5B" w:rsidRPr="00EF3FFD" w:rsidRDefault="00621F5B" w:rsidP="00044ABA">
    <w:pPr>
      <w:pStyle w:val="ECHRHeader"/>
      <w:rPr>
        <w:lang w:val="en-US"/>
      </w:rPr>
    </w:pPr>
    <w:r w:rsidRPr="0001136E">
      <w:tab/>
    </w:r>
    <w:r>
      <w:rPr>
        <w:lang w:val="en-US"/>
      </w:rPr>
      <w:t>LISEYTSEVA AND</w:t>
    </w:r>
    <w:r w:rsidRPr="00EF3FFD">
      <w:rPr>
        <w:lang w:val="en-US"/>
      </w:rPr>
      <w:t xml:space="preserve"> MASLOV v. RUSSIA </w:t>
    </w:r>
    <w:r>
      <w:rPr>
        <w:lang w:val="en-US"/>
      </w:rPr>
      <w:t>JUDGMENT</w:t>
    </w:r>
    <w:r w:rsidRPr="00EF3FFD">
      <w:rPr>
        <w:lang w:val="en-US"/>
      </w:rPr>
      <w:tab/>
    </w:r>
    <w:r>
      <w:rPr>
        <w:rStyle w:val="PageNumber"/>
        <w:szCs w:val="18"/>
      </w:rPr>
      <w:fldChar w:fldCharType="begin"/>
    </w:r>
    <w:r w:rsidRPr="00EF3FFD">
      <w:rPr>
        <w:rStyle w:val="PageNumber"/>
        <w:szCs w:val="18"/>
        <w:lang w:val="en-US"/>
      </w:rPr>
      <w:instrText xml:space="preserve"> PAGE </w:instrText>
    </w:r>
    <w:r>
      <w:rPr>
        <w:rStyle w:val="PageNumber"/>
        <w:szCs w:val="18"/>
      </w:rPr>
      <w:fldChar w:fldCharType="separate"/>
    </w:r>
    <w:r w:rsidR="00B849DC">
      <w:rPr>
        <w:rStyle w:val="PageNumber"/>
        <w:noProof/>
        <w:szCs w:val="18"/>
        <w:lang w:val="en-US"/>
      </w:rPr>
      <w:t>61</w:t>
    </w:r>
    <w:r>
      <w:rPr>
        <w:rStyle w:val="PageNumber"/>
        <w:szCs w:val="1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0180FE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B90ECFB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5B8BEFC"/>
    <w:lvl w:ilvl="0">
      <w:start w:val="1"/>
      <w:numFmt w:val="decimal"/>
      <w:pStyle w:val="ListNumber3"/>
      <w:lvlText w:val="%1."/>
      <w:lvlJc w:val="left"/>
      <w:pPr>
        <w:tabs>
          <w:tab w:val="num" w:pos="926"/>
        </w:tabs>
        <w:ind w:left="926" w:hanging="360"/>
      </w:pPr>
    </w:lvl>
  </w:abstractNum>
  <w:abstractNum w:abstractNumId="3">
    <w:nsid w:val="FFFFFF7F"/>
    <w:multiLevelType w:val="singleLevel"/>
    <w:tmpl w:val="6F1CF73A"/>
    <w:lvl w:ilvl="0">
      <w:start w:val="1"/>
      <w:numFmt w:val="decimal"/>
      <w:pStyle w:val="ListNumber2"/>
      <w:lvlText w:val="%1."/>
      <w:lvlJc w:val="left"/>
      <w:pPr>
        <w:tabs>
          <w:tab w:val="num" w:pos="643"/>
        </w:tabs>
        <w:ind w:left="643" w:hanging="360"/>
      </w:pPr>
    </w:lvl>
  </w:abstractNum>
  <w:abstractNum w:abstractNumId="4">
    <w:nsid w:val="FFFFFF80"/>
    <w:multiLevelType w:val="singleLevel"/>
    <w:tmpl w:val="2380266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A0C2C34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482EC3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7666B2C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B2760110"/>
    <w:lvl w:ilvl="0">
      <w:start w:val="1"/>
      <w:numFmt w:val="decimal"/>
      <w:pStyle w:val="ListNumber"/>
      <w:lvlText w:val="%1."/>
      <w:lvlJc w:val="left"/>
      <w:pPr>
        <w:tabs>
          <w:tab w:val="num" w:pos="360"/>
        </w:tabs>
        <w:ind w:left="360" w:hanging="360"/>
      </w:pPr>
    </w:lvl>
  </w:abstractNum>
  <w:abstractNum w:abstractNumId="9">
    <w:nsid w:val="0066004F"/>
    <w:multiLevelType w:val="multilevel"/>
    <w:tmpl w:val="040C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7A2777A"/>
    <w:multiLevelType w:val="hybridMultilevel"/>
    <w:tmpl w:val="E2A8DA54"/>
    <w:lvl w:ilvl="0" w:tplc="04090001">
      <w:start w:val="1"/>
      <w:numFmt w:val="bullet"/>
      <w:lvlText w:val=""/>
      <w:lvlJc w:val="left"/>
      <w:pPr>
        <w:ind w:left="1956" w:hanging="360"/>
      </w:pPr>
      <w:rPr>
        <w:rFonts w:ascii="Symbol" w:hAnsi="Symbol" w:hint="default"/>
      </w:rPr>
    </w:lvl>
    <w:lvl w:ilvl="1" w:tplc="04090003" w:tentative="1">
      <w:start w:val="1"/>
      <w:numFmt w:val="bullet"/>
      <w:lvlText w:val="o"/>
      <w:lvlJc w:val="left"/>
      <w:pPr>
        <w:ind w:left="2676" w:hanging="360"/>
      </w:pPr>
      <w:rPr>
        <w:rFonts w:ascii="Courier New" w:hAnsi="Courier New" w:cs="Courier New" w:hint="default"/>
      </w:rPr>
    </w:lvl>
    <w:lvl w:ilvl="2" w:tplc="04090005" w:tentative="1">
      <w:start w:val="1"/>
      <w:numFmt w:val="bullet"/>
      <w:lvlText w:val=""/>
      <w:lvlJc w:val="left"/>
      <w:pPr>
        <w:ind w:left="3396" w:hanging="360"/>
      </w:pPr>
      <w:rPr>
        <w:rFonts w:ascii="Wingdings" w:hAnsi="Wingdings" w:hint="default"/>
      </w:rPr>
    </w:lvl>
    <w:lvl w:ilvl="3" w:tplc="04090001" w:tentative="1">
      <w:start w:val="1"/>
      <w:numFmt w:val="bullet"/>
      <w:lvlText w:val=""/>
      <w:lvlJc w:val="left"/>
      <w:pPr>
        <w:ind w:left="4116" w:hanging="360"/>
      </w:pPr>
      <w:rPr>
        <w:rFonts w:ascii="Symbol" w:hAnsi="Symbol" w:hint="default"/>
      </w:rPr>
    </w:lvl>
    <w:lvl w:ilvl="4" w:tplc="04090003" w:tentative="1">
      <w:start w:val="1"/>
      <w:numFmt w:val="bullet"/>
      <w:lvlText w:val="o"/>
      <w:lvlJc w:val="left"/>
      <w:pPr>
        <w:ind w:left="4836" w:hanging="360"/>
      </w:pPr>
      <w:rPr>
        <w:rFonts w:ascii="Courier New" w:hAnsi="Courier New" w:cs="Courier New" w:hint="default"/>
      </w:rPr>
    </w:lvl>
    <w:lvl w:ilvl="5" w:tplc="04090005" w:tentative="1">
      <w:start w:val="1"/>
      <w:numFmt w:val="bullet"/>
      <w:lvlText w:val=""/>
      <w:lvlJc w:val="left"/>
      <w:pPr>
        <w:ind w:left="5556" w:hanging="360"/>
      </w:pPr>
      <w:rPr>
        <w:rFonts w:ascii="Wingdings" w:hAnsi="Wingdings" w:hint="default"/>
      </w:rPr>
    </w:lvl>
    <w:lvl w:ilvl="6" w:tplc="04090001" w:tentative="1">
      <w:start w:val="1"/>
      <w:numFmt w:val="bullet"/>
      <w:lvlText w:val=""/>
      <w:lvlJc w:val="left"/>
      <w:pPr>
        <w:ind w:left="6276" w:hanging="360"/>
      </w:pPr>
      <w:rPr>
        <w:rFonts w:ascii="Symbol" w:hAnsi="Symbol" w:hint="default"/>
      </w:rPr>
    </w:lvl>
    <w:lvl w:ilvl="7" w:tplc="04090003" w:tentative="1">
      <w:start w:val="1"/>
      <w:numFmt w:val="bullet"/>
      <w:lvlText w:val="o"/>
      <w:lvlJc w:val="left"/>
      <w:pPr>
        <w:ind w:left="6996" w:hanging="360"/>
      </w:pPr>
      <w:rPr>
        <w:rFonts w:ascii="Courier New" w:hAnsi="Courier New" w:cs="Courier New" w:hint="default"/>
      </w:rPr>
    </w:lvl>
    <w:lvl w:ilvl="8" w:tplc="04090005" w:tentative="1">
      <w:start w:val="1"/>
      <w:numFmt w:val="bullet"/>
      <w:lvlText w:val=""/>
      <w:lvlJc w:val="left"/>
      <w:pPr>
        <w:ind w:left="7716" w:hanging="360"/>
      </w:pPr>
      <w:rPr>
        <w:rFonts w:ascii="Wingdings" w:hAnsi="Wingdings" w:hint="default"/>
      </w:rPr>
    </w:lvl>
  </w:abstractNum>
  <w:abstractNum w:abstractNumId="11">
    <w:nsid w:val="163F153D"/>
    <w:multiLevelType w:val="multilevel"/>
    <w:tmpl w:val="040C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1EE2794C"/>
    <w:multiLevelType w:val="hybridMultilevel"/>
    <w:tmpl w:val="4F54978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nsid w:val="210E58C6"/>
    <w:multiLevelType w:val="hybridMultilevel"/>
    <w:tmpl w:val="C4BCF41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
    <w:nsid w:val="2ACB6CA0"/>
    <w:multiLevelType w:val="hybridMultilevel"/>
    <w:tmpl w:val="E904001C"/>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
    <w:nsid w:val="2C270BD3"/>
    <w:multiLevelType w:val="hybridMultilevel"/>
    <w:tmpl w:val="0CD81A5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6">
    <w:nsid w:val="368F4C07"/>
    <w:multiLevelType w:val="hybridMultilevel"/>
    <w:tmpl w:val="E28EF57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7">
    <w:nsid w:val="431D679A"/>
    <w:multiLevelType w:val="hybridMultilevel"/>
    <w:tmpl w:val="B57857A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8">
    <w:nsid w:val="474A336F"/>
    <w:multiLevelType w:val="hybridMultilevel"/>
    <w:tmpl w:val="D8BACF0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9">
    <w:nsid w:val="55986D93"/>
    <w:multiLevelType w:val="hybridMultilevel"/>
    <w:tmpl w:val="E2C2A82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0">
    <w:nsid w:val="66AE75A1"/>
    <w:multiLevelType w:val="hybridMultilevel"/>
    <w:tmpl w:val="F176E7C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1">
    <w:nsid w:val="67FD1241"/>
    <w:multiLevelType w:val="hybridMultilevel"/>
    <w:tmpl w:val="F6D86CC2"/>
    <w:lvl w:ilvl="0" w:tplc="E4205412">
      <w:start w:val="1"/>
      <w:numFmt w:val="bullet"/>
      <w:pStyle w:val="ListBullet"/>
      <w:lvlText w:val=""/>
      <w:lvlJc w:val="left"/>
      <w:pPr>
        <w:tabs>
          <w:tab w:val="num" w:pos="851"/>
        </w:tabs>
        <w:ind w:left="568" w:firstLine="0"/>
      </w:pPr>
      <w:rPr>
        <w:rFonts w:ascii="Wingdings" w:hAnsi="Wingdings" w:hint="default"/>
        <w:color w:val="808080"/>
        <w:sz w:val="16"/>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22">
    <w:nsid w:val="686C3EA1"/>
    <w:multiLevelType w:val="hybridMultilevel"/>
    <w:tmpl w:val="D03068BE"/>
    <w:lvl w:ilvl="0" w:tplc="4A922B34">
      <w:start w:val="1"/>
      <w:numFmt w:val="decimal"/>
      <w:lvlText w:val="(%1)"/>
      <w:lvlJc w:val="left"/>
      <w:pPr>
        <w:ind w:left="674" w:hanging="39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nsid w:val="76903243"/>
    <w:multiLevelType w:val="multilevel"/>
    <w:tmpl w:val="E884A926"/>
    <w:lvl w:ilvl="0">
      <w:start w:val="1"/>
      <w:numFmt w:val="decimal"/>
      <w:pStyle w:val="JuAppQuestion"/>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nsid w:val="7737461D"/>
    <w:multiLevelType w:val="multilevel"/>
    <w:tmpl w:val="040C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nsid w:val="77990CAE"/>
    <w:multiLevelType w:val="hybridMultilevel"/>
    <w:tmpl w:val="4E488C1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6">
    <w:nsid w:val="7A276F58"/>
    <w:multiLevelType w:val="multilevel"/>
    <w:tmpl w:val="84EA9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A402A14"/>
    <w:multiLevelType w:val="hybridMultilevel"/>
    <w:tmpl w:val="7714A486"/>
    <w:lvl w:ilvl="0" w:tplc="04090001">
      <w:start w:val="1"/>
      <w:numFmt w:val="bullet"/>
      <w:lvlText w:val=""/>
      <w:lvlJc w:val="left"/>
      <w:pPr>
        <w:ind w:left="1956" w:hanging="360"/>
      </w:pPr>
      <w:rPr>
        <w:rFonts w:ascii="Symbol" w:hAnsi="Symbol" w:hint="default"/>
      </w:rPr>
    </w:lvl>
    <w:lvl w:ilvl="1" w:tplc="04090003" w:tentative="1">
      <w:start w:val="1"/>
      <w:numFmt w:val="bullet"/>
      <w:lvlText w:val="o"/>
      <w:lvlJc w:val="left"/>
      <w:pPr>
        <w:ind w:left="2676" w:hanging="360"/>
      </w:pPr>
      <w:rPr>
        <w:rFonts w:ascii="Courier New" w:hAnsi="Courier New" w:cs="Courier New" w:hint="default"/>
      </w:rPr>
    </w:lvl>
    <w:lvl w:ilvl="2" w:tplc="04090005" w:tentative="1">
      <w:start w:val="1"/>
      <w:numFmt w:val="bullet"/>
      <w:lvlText w:val=""/>
      <w:lvlJc w:val="left"/>
      <w:pPr>
        <w:ind w:left="3396" w:hanging="360"/>
      </w:pPr>
      <w:rPr>
        <w:rFonts w:ascii="Wingdings" w:hAnsi="Wingdings" w:hint="default"/>
      </w:rPr>
    </w:lvl>
    <w:lvl w:ilvl="3" w:tplc="04090001" w:tentative="1">
      <w:start w:val="1"/>
      <w:numFmt w:val="bullet"/>
      <w:lvlText w:val=""/>
      <w:lvlJc w:val="left"/>
      <w:pPr>
        <w:ind w:left="4116" w:hanging="360"/>
      </w:pPr>
      <w:rPr>
        <w:rFonts w:ascii="Symbol" w:hAnsi="Symbol" w:hint="default"/>
      </w:rPr>
    </w:lvl>
    <w:lvl w:ilvl="4" w:tplc="04090003" w:tentative="1">
      <w:start w:val="1"/>
      <w:numFmt w:val="bullet"/>
      <w:lvlText w:val="o"/>
      <w:lvlJc w:val="left"/>
      <w:pPr>
        <w:ind w:left="4836" w:hanging="360"/>
      </w:pPr>
      <w:rPr>
        <w:rFonts w:ascii="Courier New" w:hAnsi="Courier New" w:cs="Courier New" w:hint="default"/>
      </w:rPr>
    </w:lvl>
    <w:lvl w:ilvl="5" w:tplc="04090005" w:tentative="1">
      <w:start w:val="1"/>
      <w:numFmt w:val="bullet"/>
      <w:lvlText w:val=""/>
      <w:lvlJc w:val="left"/>
      <w:pPr>
        <w:ind w:left="5556" w:hanging="360"/>
      </w:pPr>
      <w:rPr>
        <w:rFonts w:ascii="Wingdings" w:hAnsi="Wingdings" w:hint="default"/>
      </w:rPr>
    </w:lvl>
    <w:lvl w:ilvl="6" w:tplc="04090001" w:tentative="1">
      <w:start w:val="1"/>
      <w:numFmt w:val="bullet"/>
      <w:lvlText w:val=""/>
      <w:lvlJc w:val="left"/>
      <w:pPr>
        <w:ind w:left="6276" w:hanging="360"/>
      </w:pPr>
      <w:rPr>
        <w:rFonts w:ascii="Symbol" w:hAnsi="Symbol" w:hint="default"/>
      </w:rPr>
    </w:lvl>
    <w:lvl w:ilvl="7" w:tplc="04090003" w:tentative="1">
      <w:start w:val="1"/>
      <w:numFmt w:val="bullet"/>
      <w:lvlText w:val="o"/>
      <w:lvlJc w:val="left"/>
      <w:pPr>
        <w:ind w:left="6996" w:hanging="360"/>
      </w:pPr>
      <w:rPr>
        <w:rFonts w:ascii="Courier New" w:hAnsi="Courier New" w:cs="Courier New" w:hint="default"/>
      </w:rPr>
    </w:lvl>
    <w:lvl w:ilvl="8" w:tplc="04090005" w:tentative="1">
      <w:start w:val="1"/>
      <w:numFmt w:val="bullet"/>
      <w:lvlText w:val=""/>
      <w:lvlJc w:val="left"/>
      <w:pPr>
        <w:ind w:left="7716" w:hanging="360"/>
      </w:pPr>
      <w:rPr>
        <w:rFonts w:ascii="Wingdings" w:hAnsi="Wingdings" w:hint="default"/>
      </w:rPr>
    </w:lvl>
  </w:abstractNum>
  <w:abstractNum w:abstractNumId="28">
    <w:nsid w:val="7AA44A4E"/>
    <w:multiLevelType w:val="hybridMultilevel"/>
    <w:tmpl w:val="09149D4E"/>
    <w:lvl w:ilvl="0" w:tplc="04090001">
      <w:start w:val="1"/>
      <w:numFmt w:val="bullet"/>
      <w:lvlText w:val=""/>
      <w:lvlJc w:val="left"/>
      <w:pPr>
        <w:ind w:left="1956" w:hanging="360"/>
      </w:pPr>
      <w:rPr>
        <w:rFonts w:ascii="Symbol" w:hAnsi="Symbol" w:hint="default"/>
      </w:rPr>
    </w:lvl>
    <w:lvl w:ilvl="1" w:tplc="04090003" w:tentative="1">
      <w:start w:val="1"/>
      <w:numFmt w:val="bullet"/>
      <w:lvlText w:val="o"/>
      <w:lvlJc w:val="left"/>
      <w:pPr>
        <w:ind w:left="2676" w:hanging="360"/>
      </w:pPr>
      <w:rPr>
        <w:rFonts w:ascii="Courier New" w:hAnsi="Courier New" w:cs="Courier New" w:hint="default"/>
      </w:rPr>
    </w:lvl>
    <w:lvl w:ilvl="2" w:tplc="04090005" w:tentative="1">
      <w:start w:val="1"/>
      <w:numFmt w:val="bullet"/>
      <w:lvlText w:val=""/>
      <w:lvlJc w:val="left"/>
      <w:pPr>
        <w:ind w:left="3396" w:hanging="360"/>
      </w:pPr>
      <w:rPr>
        <w:rFonts w:ascii="Wingdings" w:hAnsi="Wingdings" w:hint="default"/>
      </w:rPr>
    </w:lvl>
    <w:lvl w:ilvl="3" w:tplc="04090001" w:tentative="1">
      <w:start w:val="1"/>
      <w:numFmt w:val="bullet"/>
      <w:lvlText w:val=""/>
      <w:lvlJc w:val="left"/>
      <w:pPr>
        <w:ind w:left="4116" w:hanging="360"/>
      </w:pPr>
      <w:rPr>
        <w:rFonts w:ascii="Symbol" w:hAnsi="Symbol" w:hint="default"/>
      </w:rPr>
    </w:lvl>
    <w:lvl w:ilvl="4" w:tplc="04090003" w:tentative="1">
      <w:start w:val="1"/>
      <w:numFmt w:val="bullet"/>
      <w:lvlText w:val="o"/>
      <w:lvlJc w:val="left"/>
      <w:pPr>
        <w:ind w:left="4836" w:hanging="360"/>
      </w:pPr>
      <w:rPr>
        <w:rFonts w:ascii="Courier New" w:hAnsi="Courier New" w:cs="Courier New" w:hint="default"/>
      </w:rPr>
    </w:lvl>
    <w:lvl w:ilvl="5" w:tplc="04090005" w:tentative="1">
      <w:start w:val="1"/>
      <w:numFmt w:val="bullet"/>
      <w:lvlText w:val=""/>
      <w:lvlJc w:val="left"/>
      <w:pPr>
        <w:ind w:left="5556" w:hanging="360"/>
      </w:pPr>
      <w:rPr>
        <w:rFonts w:ascii="Wingdings" w:hAnsi="Wingdings" w:hint="default"/>
      </w:rPr>
    </w:lvl>
    <w:lvl w:ilvl="6" w:tplc="04090001" w:tentative="1">
      <w:start w:val="1"/>
      <w:numFmt w:val="bullet"/>
      <w:lvlText w:val=""/>
      <w:lvlJc w:val="left"/>
      <w:pPr>
        <w:ind w:left="6276" w:hanging="360"/>
      </w:pPr>
      <w:rPr>
        <w:rFonts w:ascii="Symbol" w:hAnsi="Symbol" w:hint="default"/>
      </w:rPr>
    </w:lvl>
    <w:lvl w:ilvl="7" w:tplc="04090003" w:tentative="1">
      <w:start w:val="1"/>
      <w:numFmt w:val="bullet"/>
      <w:lvlText w:val="o"/>
      <w:lvlJc w:val="left"/>
      <w:pPr>
        <w:ind w:left="6996" w:hanging="360"/>
      </w:pPr>
      <w:rPr>
        <w:rFonts w:ascii="Courier New" w:hAnsi="Courier New" w:cs="Courier New" w:hint="default"/>
      </w:rPr>
    </w:lvl>
    <w:lvl w:ilvl="8" w:tplc="04090005" w:tentative="1">
      <w:start w:val="1"/>
      <w:numFmt w:val="bullet"/>
      <w:lvlText w:val=""/>
      <w:lvlJc w:val="left"/>
      <w:pPr>
        <w:ind w:left="7716" w:hanging="360"/>
      </w:pPr>
      <w:rPr>
        <w:rFonts w:ascii="Wingdings" w:hAnsi="Wingdings" w:hint="default"/>
      </w:rPr>
    </w:lvl>
  </w:abstractNum>
  <w:num w:numId="1">
    <w:abstractNumId w:val="21"/>
  </w:num>
  <w:num w:numId="2">
    <w:abstractNumId w:val="11"/>
  </w:num>
  <w:num w:numId="3">
    <w:abstractNumId w:val="9"/>
  </w:num>
  <w:num w:numId="4">
    <w:abstractNumId w:val="24"/>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3"/>
  </w:num>
  <w:num w:numId="15">
    <w:abstractNumId w:val="27"/>
  </w:num>
  <w:num w:numId="16">
    <w:abstractNumId w:val="16"/>
  </w:num>
  <w:num w:numId="17">
    <w:abstractNumId w:val="28"/>
  </w:num>
  <w:num w:numId="18">
    <w:abstractNumId w:val="25"/>
  </w:num>
  <w:num w:numId="19">
    <w:abstractNumId w:val="10"/>
  </w:num>
  <w:num w:numId="20">
    <w:abstractNumId w:val="13"/>
  </w:num>
  <w:num w:numId="21">
    <w:abstractNumId w:val="26"/>
  </w:num>
  <w:num w:numId="22">
    <w:abstractNumId w:val="15"/>
  </w:num>
  <w:num w:numId="23">
    <w:abstractNumId w:val="20"/>
  </w:num>
  <w:num w:numId="24">
    <w:abstractNumId w:val="22"/>
  </w:num>
  <w:num w:numId="25">
    <w:abstractNumId w:val="17"/>
  </w:num>
  <w:num w:numId="26">
    <w:abstractNumId w:val="18"/>
  </w:num>
  <w:num w:numId="27">
    <w:abstractNumId w:val="14"/>
  </w:num>
  <w:num w:numId="28">
    <w:abstractNumId w:val="19"/>
  </w:num>
  <w:num w:numId="29">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removePersonalInformation/>
  <w:embedSystemFonts/>
  <w:proofState w:spelling="clean" w:grammar="clean"/>
  <w:stylePaneFormatFilter w:val="9808" w:allStyles="0" w:customStyles="0" w:latentStyles="0" w:stylesInUse="1" w:headingStyles="0" w:numberingStyles="0" w:tableStyles="0" w:directFormattingOnRuns="0" w:directFormattingOnParagraphs="0" w:directFormattingOnNumbering="0" w:directFormattingOnTables="1" w:clearFormatting="1" w:top3HeadingStyles="0" w:visibleStyles="0" w:alternateStyleNames="1"/>
  <w:defaultTabStop w:val="709"/>
  <w:hyphenationZone w:val="425"/>
  <w:evenAndOddHeaders/>
  <w:displayHorizontalDrawingGridEvery w:val="0"/>
  <w:displayVerticalDrawingGridEvery w:val="0"/>
  <w:doNotUseMarginsForDrawingGridOrigin/>
  <w:noPunctuationKerning/>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ppNatAutre" w:val="0"/>
    <w:docVar w:name="DocVarPREMATURE" w:val="0"/>
    <w:docVar w:name="EMM" w:val="0"/>
    <w:docVar w:name="ETRANSMISSION" w:val="BY E-TRANSMISSION ONLY"/>
    <w:docVar w:name="L4_1Annex" w:val="0"/>
    <w:docVar w:name="L4_1Anonymity" w:val="0"/>
    <w:docVar w:name="NBEMMDOC" w:val="0"/>
    <w:docVar w:name="SignForeName" w:val="0"/>
  </w:docVars>
  <w:rsids>
    <w:rsidRoot w:val="00EC1FEF"/>
    <w:rsid w:val="000005C4"/>
    <w:rsid w:val="00001A73"/>
    <w:rsid w:val="00001CC5"/>
    <w:rsid w:val="00001D19"/>
    <w:rsid w:val="00002DD1"/>
    <w:rsid w:val="000042D1"/>
    <w:rsid w:val="0000459C"/>
    <w:rsid w:val="00005083"/>
    <w:rsid w:val="00005090"/>
    <w:rsid w:val="000051F2"/>
    <w:rsid w:val="000055F5"/>
    <w:rsid w:val="00005C63"/>
    <w:rsid w:val="000071B8"/>
    <w:rsid w:val="000076AF"/>
    <w:rsid w:val="00007713"/>
    <w:rsid w:val="00007B38"/>
    <w:rsid w:val="000111F0"/>
    <w:rsid w:val="0001136E"/>
    <w:rsid w:val="00013239"/>
    <w:rsid w:val="00013894"/>
    <w:rsid w:val="00013AAE"/>
    <w:rsid w:val="00013C59"/>
    <w:rsid w:val="000141D7"/>
    <w:rsid w:val="00015220"/>
    <w:rsid w:val="00017542"/>
    <w:rsid w:val="000207CE"/>
    <w:rsid w:val="0002140C"/>
    <w:rsid w:val="000215DC"/>
    <w:rsid w:val="000222DE"/>
    <w:rsid w:val="0002234C"/>
    <w:rsid w:val="0002238C"/>
    <w:rsid w:val="00023B49"/>
    <w:rsid w:val="000241A0"/>
    <w:rsid w:val="00025A2A"/>
    <w:rsid w:val="00025A32"/>
    <w:rsid w:val="00026172"/>
    <w:rsid w:val="0002697B"/>
    <w:rsid w:val="00027DA1"/>
    <w:rsid w:val="00030863"/>
    <w:rsid w:val="00031501"/>
    <w:rsid w:val="000316F5"/>
    <w:rsid w:val="0003176B"/>
    <w:rsid w:val="0003246B"/>
    <w:rsid w:val="00033160"/>
    <w:rsid w:val="00033570"/>
    <w:rsid w:val="00033729"/>
    <w:rsid w:val="00033FD2"/>
    <w:rsid w:val="000341C8"/>
    <w:rsid w:val="0003484B"/>
    <w:rsid w:val="0003679E"/>
    <w:rsid w:val="00036C2D"/>
    <w:rsid w:val="00036D51"/>
    <w:rsid w:val="00040FCB"/>
    <w:rsid w:val="00042867"/>
    <w:rsid w:val="00043096"/>
    <w:rsid w:val="00044ABA"/>
    <w:rsid w:val="000462A0"/>
    <w:rsid w:val="00047B45"/>
    <w:rsid w:val="00047E39"/>
    <w:rsid w:val="00047F46"/>
    <w:rsid w:val="00050B1D"/>
    <w:rsid w:val="0005170E"/>
    <w:rsid w:val="000517F7"/>
    <w:rsid w:val="00051A56"/>
    <w:rsid w:val="00052D4F"/>
    <w:rsid w:val="00053E0B"/>
    <w:rsid w:val="00054D12"/>
    <w:rsid w:val="0005522C"/>
    <w:rsid w:val="00055AC1"/>
    <w:rsid w:val="00055EBF"/>
    <w:rsid w:val="00056DE5"/>
    <w:rsid w:val="000606FA"/>
    <w:rsid w:val="00061464"/>
    <w:rsid w:val="00061EC3"/>
    <w:rsid w:val="00063484"/>
    <w:rsid w:val="00064630"/>
    <w:rsid w:val="00064A29"/>
    <w:rsid w:val="00064F88"/>
    <w:rsid w:val="00065880"/>
    <w:rsid w:val="000658BC"/>
    <w:rsid w:val="0006612C"/>
    <w:rsid w:val="000661E6"/>
    <w:rsid w:val="00066E18"/>
    <w:rsid w:val="00067396"/>
    <w:rsid w:val="00067AEF"/>
    <w:rsid w:val="00067C44"/>
    <w:rsid w:val="00067DBE"/>
    <w:rsid w:val="00067E2F"/>
    <w:rsid w:val="00067F44"/>
    <w:rsid w:val="000704E7"/>
    <w:rsid w:val="000709B2"/>
    <w:rsid w:val="00070B17"/>
    <w:rsid w:val="0007147B"/>
    <w:rsid w:val="00071A5F"/>
    <w:rsid w:val="000726F6"/>
    <w:rsid w:val="00073AFF"/>
    <w:rsid w:val="00074EC4"/>
    <w:rsid w:val="000766B9"/>
    <w:rsid w:val="00076A67"/>
    <w:rsid w:val="00077399"/>
    <w:rsid w:val="00080123"/>
    <w:rsid w:val="00080442"/>
    <w:rsid w:val="00081478"/>
    <w:rsid w:val="0008180D"/>
    <w:rsid w:val="000845E0"/>
    <w:rsid w:val="00084B57"/>
    <w:rsid w:val="00085837"/>
    <w:rsid w:val="00085B3A"/>
    <w:rsid w:val="00085E99"/>
    <w:rsid w:val="00086702"/>
    <w:rsid w:val="00086BB7"/>
    <w:rsid w:val="00087B0B"/>
    <w:rsid w:val="00090C82"/>
    <w:rsid w:val="00091087"/>
    <w:rsid w:val="0009170C"/>
    <w:rsid w:val="000928E8"/>
    <w:rsid w:val="00092AB0"/>
    <w:rsid w:val="0009409F"/>
    <w:rsid w:val="0009428B"/>
    <w:rsid w:val="00094561"/>
    <w:rsid w:val="000946A0"/>
    <w:rsid w:val="00094835"/>
    <w:rsid w:val="00094C78"/>
    <w:rsid w:val="000967C0"/>
    <w:rsid w:val="000A08A5"/>
    <w:rsid w:val="000A135B"/>
    <w:rsid w:val="000A1AA3"/>
    <w:rsid w:val="000A4811"/>
    <w:rsid w:val="000A5923"/>
    <w:rsid w:val="000B04B6"/>
    <w:rsid w:val="000B0CD4"/>
    <w:rsid w:val="000B0FB1"/>
    <w:rsid w:val="000B1DC7"/>
    <w:rsid w:val="000B1E96"/>
    <w:rsid w:val="000B32BB"/>
    <w:rsid w:val="000B353F"/>
    <w:rsid w:val="000B4FD6"/>
    <w:rsid w:val="000B7B7F"/>
    <w:rsid w:val="000C10DC"/>
    <w:rsid w:val="000C1222"/>
    <w:rsid w:val="000C1D53"/>
    <w:rsid w:val="000C1F21"/>
    <w:rsid w:val="000C20F5"/>
    <w:rsid w:val="000C216E"/>
    <w:rsid w:val="000C2E47"/>
    <w:rsid w:val="000C46FB"/>
    <w:rsid w:val="000C4CE1"/>
    <w:rsid w:val="000C54D5"/>
    <w:rsid w:val="000C5C5C"/>
    <w:rsid w:val="000C654C"/>
    <w:rsid w:val="000C6C98"/>
    <w:rsid w:val="000C7CCA"/>
    <w:rsid w:val="000D0196"/>
    <w:rsid w:val="000D0612"/>
    <w:rsid w:val="000D168D"/>
    <w:rsid w:val="000D204C"/>
    <w:rsid w:val="000D273A"/>
    <w:rsid w:val="000D3CB7"/>
    <w:rsid w:val="000D6108"/>
    <w:rsid w:val="000D65F2"/>
    <w:rsid w:val="000D6F52"/>
    <w:rsid w:val="000D76B5"/>
    <w:rsid w:val="000E011A"/>
    <w:rsid w:val="000E0388"/>
    <w:rsid w:val="000E1449"/>
    <w:rsid w:val="000E2963"/>
    <w:rsid w:val="000E2E84"/>
    <w:rsid w:val="000E7F5C"/>
    <w:rsid w:val="000F1993"/>
    <w:rsid w:val="000F322C"/>
    <w:rsid w:val="000F59A0"/>
    <w:rsid w:val="000F60C0"/>
    <w:rsid w:val="000F699D"/>
    <w:rsid w:val="000F7F5C"/>
    <w:rsid w:val="00100043"/>
    <w:rsid w:val="00101316"/>
    <w:rsid w:val="00101D4C"/>
    <w:rsid w:val="0010288D"/>
    <w:rsid w:val="00103450"/>
    <w:rsid w:val="00103601"/>
    <w:rsid w:val="001044BE"/>
    <w:rsid w:val="00104743"/>
    <w:rsid w:val="001047FD"/>
    <w:rsid w:val="00104982"/>
    <w:rsid w:val="00104AD1"/>
    <w:rsid w:val="00105108"/>
    <w:rsid w:val="00105275"/>
    <w:rsid w:val="0010634B"/>
    <w:rsid w:val="00106E6A"/>
    <w:rsid w:val="0010720D"/>
    <w:rsid w:val="00111D99"/>
    <w:rsid w:val="0011214E"/>
    <w:rsid w:val="001129A8"/>
    <w:rsid w:val="00112ADA"/>
    <w:rsid w:val="0011315E"/>
    <w:rsid w:val="0011422C"/>
    <w:rsid w:val="00114730"/>
    <w:rsid w:val="0011665B"/>
    <w:rsid w:val="001168DE"/>
    <w:rsid w:val="00117671"/>
    <w:rsid w:val="00120931"/>
    <w:rsid w:val="0012143E"/>
    <w:rsid w:val="001241E3"/>
    <w:rsid w:val="001243BE"/>
    <w:rsid w:val="0012551D"/>
    <w:rsid w:val="00125D3B"/>
    <w:rsid w:val="00126213"/>
    <w:rsid w:val="00130705"/>
    <w:rsid w:val="001311FF"/>
    <w:rsid w:val="00131A9F"/>
    <w:rsid w:val="001324D8"/>
    <w:rsid w:val="0013290F"/>
    <w:rsid w:val="00133DF8"/>
    <w:rsid w:val="0013412B"/>
    <w:rsid w:val="00134591"/>
    <w:rsid w:val="001345FA"/>
    <w:rsid w:val="00135043"/>
    <w:rsid w:val="00136B5C"/>
    <w:rsid w:val="00136C77"/>
    <w:rsid w:val="0013742B"/>
    <w:rsid w:val="00137444"/>
    <w:rsid w:val="00137F92"/>
    <w:rsid w:val="00140554"/>
    <w:rsid w:val="00142C74"/>
    <w:rsid w:val="00143250"/>
    <w:rsid w:val="00143E12"/>
    <w:rsid w:val="00145666"/>
    <w:rsid w:val="00145B03"/>
    <w:rsid w:val="00146138"/>
    <w:rsid w:val="001468EE"/>
    <w:rsid w:val="00146E9E"/>
    <w:rsid w:val="00147E1A"/>
    <w:rsid w:val="0015051E"/>
    <w:rsid w:val="0015058A"/>
    <w:rsid w:val="00150B52"/>
    <w:rsid w:val="00151CCA"/>
    <w:rsid w:val="00151E31"/>
    <w:rsid w:val="0015251A"/>
    <w:rsid w:val="00152CB7"/>
    <w:rsid w:val="001538E3"/>
    <w:rsid w:val="001540E0"/>
    <w:rsid w:val="00154F00"/>
    <w:rsid w:val="00156106"/>
    <w:rsid w:val="00156239"/>
    <w:rsid w:val="001562DF"/>
    <w:rsid w:val="001563C8"/>
    <w:rsid w:val="0015640C"/>
    <w:rsid w:val="00156940"/>
    <w:rsid w:val="00157842"/>
    <w:rsid w:val="00157BD8"/>
    <w:rsid w:val="001601FC"/>
    <w:rsid w:val="00160904"/>
    <w:rsid w:val="0016094D"/>
    <w:rsid w:val="0016419F"/>
    <w:rsid w:val="00164E62"/>
    <w:rsid w:val="0016590C"/>
    <w:rsid w:val="0016692A"/>
    <w:rsid w:val="001702A1"/>
    <w:rsid w:val="00170AED"/>
    <w:rsid w:val="00170B9E"/>
    <w:rsid w:val="00170C0C"/>
    <w:rsid w:val="00170F27"/>
    <w:rsid w:val="00171962"/>
    <w:rsid w:val="00171BFA"/>
    <w:rsid w:val="00171D30"/>
    <w:rsid w:val="00171E7D"/>
    <w:rsid w:val="0017433A"/>
    <w:rsid w:val="00174A6F"/>
    <w:rsid w:val="001767CE"/>
    <w:rsid w:val="001772F5"/>
    <w:rsid w:val="00177A7C"/>
    <w:rsid w:val="001812B2"/>
    <w:rsid w:val="00181789"/>
    <w:rsid w:val="00183079"/>
    <w:rsid w:val="0018610E"/>
    <w:rsid w:val="0018752F"/>
    <w:rsid w:val="00187E1E"/>
    <w:rsid w:val="001907DF"/>
    <w:rsid w:val="00192ABF"/>
    <w:rsid w:val="00193416"/>
    <w:rsid w:val="0019388B"/>
    <w:rsid w:val="0019395D"/>
    <w:rsid w:val="00193D44"/>
    <w:rsid w:val="001948ED"/>
    <w:rsid w:val="00195378"/>
    <w:rsid w:val="00196630"/>
    <w:rsid w:val="00197C29"/>
    <w:rsid w:val="001A0EBE"/>
    <w:rsid w:val="001A2CB2"/>
    <w:rsid w:val="001A3752"/>
    <w:rsid w:val="001A48F1"/>
    <w:rsid w:val="001A4D7B"/>
    <w:rsid w:val="001A4E1F"/>
    <w:rsid w:val="001A675B"/>
    <w:rsid w:val="001B1474"/>
    <w:rsid w:val="001B1795"/>
    <w:rsid w:val="001B1B34"/>
    <w:rsid w:val="001B2B99"/>
    <w:rsid w:val="001B2EFC"/>
    <w:rsid w:val="001B36A8"/>
    <w:rsid w:val="001B51BD"/>
    <w:rsid w:val="001B62B1"/>
    <w:rsid w:val="001B638B"/>
    <w:rsid w:val="001B74F7"/>
    <w:rsid w:val="001C06E1"/>
    <w:rsid w:val="001C0EE6"/>
    <w:rsid w:val="001C1DEE"/>
    <w:rsid w:val="001C2350"/>
    <w:rsid w:val="001C3426"/>
    <w:rsid w:val="001C5329"/>
    <w:rsid w:val="001C77A7"/>
    <w:rsid w:val="001D1D24"/>
    <w:rsid w:val="001D228D"/>
    <w:rsid w:val="001D2A75"/>
    <w:rsid w:val="001D34FC"/>
    <w:rsid w:val="001D4F42"/>
    <w:rsid w:val="001D5D44"/>
    <w:rsid w:val="001E00E9"/>
    <w:rsid w:val="001E04A4"/>
    <w:rsid w:val="001E1D3B"/>
    <w:rsid w:val="001E36ED"/>
    <w:rsid w:val="001E38F1"/>
    <w:rsid w:val="001E3A65"/>
    <w:rsid w:val="001E3FE5"/>
    <w:rsid w:val="001E714D"/>
    <w:rsid w:val="001F0708"/>
    <w:rsid w:val="001F131A"/>
    <w:rsid w:val="001F1912"/>
    <w:rsid w:val="001F1A88"/>
    <w:rsid w:val="001F2B5D"/>
    <w:rsid w:val="001F3949"/>
    <w:rsid w:val="001F3EFA"/>
    <w:rsid w:val="001F5427"/>
    <w:rsid w:val="001F5586"/>
    <w:rsid w:val="001F6B5D"/>
    <w:rsid w:val="001F7F6E"/>
    <w:rsid w:val="0020073E"/>
    <w:rsid w:val="00200922"/>
    <w:rsid w:val="002009E8"/>
    <w:rsid w:val="002017F1"/>
    <w:rsid w:val="00201822"/>
    <w:rsid w:val="00201C2F"/>
    <w:rsid w:val="00201C89"/>
    <w:rsid w:val="002026DF"/>
    <w:rsid w:val="00203CFE"/>
    <w:rsid w:val="002041E3"/>
    <w:rsid w:val="00204DF1"/>
    <w:rsid w:val="00205B56"/>
    <w:rsid w:val="00206C1C"/>
    <w:rsid w:val="002100B4"/>
    <w:rsid w:val="00210290"/>
    <w:rsid w:val="0021069B"/>
    <w:rsid w:val="00212434"/>
    <w:rsid w:val="0021283B"/>
    <w:rsid w:val="002145D1"/>
    <w:rsid w:val="0021683A"/>
    <w:rsid w:val="00217542"/>
    <w:rsid w:val="002210AF"/>
    <w:rsid w:val="00221B86"/>
    <w:rsid w:val="00224D6C"/>
    <w:rsid w:val="00225BE5"/>
    <w:rsid w:val="002266CD"/>
    <w:rsid w:val="002309B4"/>
    <w:rsid w:val="00230DCA"/>
    <w:rsid w:val="00231696"/>
    <w:rsid w:val="00232076"/>
    <w:rsid w:val="002320C6"/>
    <w:rsid w:val="00232C98"/>
    <w:rsid w:val="002331BD"/>
    <w:rsid w:val="0023328B"/>
    <w:rsid w:val="00233BF1"/>
    <w:rsid w:val="00233D4C"/>
    <w:rsid w:val="00234A36"/>
    <w:rsid w:val="002369BB"/>
    <w:rsid w:val="00237541"/>
    <w:rsid w:val="002410AC"/>
    <w:rsid w:val="00241304"/>
    <w:rsid w:val="00241971"/>
    <w:rsid w:val="00242711"/>
    <w:rsid w:val="00242A8C"/>
    <w:rsid w:val="00243354"/>
    <w:rsid w:val="00243703"/>
    <w:rsid w:val="002469AF"/>
    <w:rsid w:val="00252B31"/>
    <w:rsid w:val="00253B88"/>
    <w:rsid w:val="002544A5"/>
    <w:rsid w:val="0025564C"/>
    <w:rsid w:val="00255F93"/>
    <w:rsid w:val="00256105"/>
    <w:rsid w:val="002563F5"/>
    <w:rsid w:val="00256E59"/>
    <w:rsid w:val="00260268"/>
    <w:rsid w:val="0026027F"/>
    <w:rsid w:val="002604C8"/>
    <w:rsid w:val="00260595"/>
    <w:rsid w:val="00261369"/>
    <w:rsid w:val="00261377"/>
    <w:rsid w:val="00261A87"/>
    <w:rsid w:val="00261AEF"/>
    <w:rsid w:val="00261D54"/>
    <w:rsid w:val="00265471"/>
    <w:rsid w:val="002662B4"/>
    <w:rsid w:val="0026714B"/>
    <w:rsid w:val="00267721"/>
    <w:rsid w:val="0026789F"/>
    <w:rsid w:val="002678B2"/>
    <w:rsid w:val="00267E01"/>
    <w:rsid w:val="0027104F"/>
    <w:rsid w:val="0027133E"/>
    <w:rsid w:val="00271A81"/>
    <w:rsid w:val="00272ADD"/>
    <w:rsid w:val="00273C0F"/>
    <w:rsid w:val="002750F1"/>
    <w:rsid w:val="00277D0B"/>
    <w:rsid w:val="00277D5F"/>
    <w:rsid w:val="002802E3"/>
    <w:rsid w:val="00280A0A"/>
    <w:rsid w:val="0028175D"/>
    <w:rsid w:val="002837A6"/>
    <w:rsid w:val="002841E2"/>
    <w:rsid w:val="0028502E"/>
    <w:rsid w:val="002856F0"/>
    <w:rsid w:val="002860A5"/>
    <w:rsid w:val="002861FE"/>
    <w:rsid w:val="0028734B"/>
    <w:rsid w:val="002879FA"/>
    <w:rsid w:val="00287A79"/>
    <w:rsid w:val="00290157"/>
    <w:rsid w:val="00290E39"/>
    <w:rsid w:val="00292175"/>
    <w:rsid w:val="0029371F"/>
    <w:rsid w:val="00295244"/>
    <w:rsid w:val="002958EA"/>
    <w:rsid w:val="00296097"/>
    <w:rsid w:val="00296849"/>
    <w:rsid w:val="00296B76"/>
    <w:rsid w:val="00297942"/>
    <w:rsid w:val="002A0E3C"/>
    <w:rsid w:val="002A298B"/>
    <w:rsid w:val="002A2C9B"/>
    <w:rsid w:val="002A3077"/>
    <w:rsid w:val="002A35C5"/>
    <w:rsid w:val="002A3A18"/>
    <w:rsid w:val="002A3DC4"/>
    <w:rsid w:val="002A4296"/>
    <w:rsid w:val="002A5AE0"/>
    <w:rsid w:val="002A7300"/>
    <w:rsid w:val="002A75D8"/>
    <w:rsid w:val="002A75FA"/>
    <w:rsid w:val="002B08B9"/>
    <w:rsid w:val="002B14E6"/>
    <w:rsid w:val="002B170F"/>
    <w:rsid w:val="002B18B7"/>
    <w:rsid w:val="002B1C7C"/>
    <w:rsid w:val="002B4F96"/>
    <w:rsid w:val="002B6CE9"/>
    <w:rsid w:val="002B7457"/>
    <w:rsid w:val="002B7961"/>
    <w:rsid w:val="002C46AE"/>
    <w:rsid w:val="002C6BCC"/>
    <w:rsid w:val="002C7D3E"/>
    <w:rsid w:val="002D0A78"/>
    <w:rsid w:val="002D1359"/>
    <w:rsid w:val="002D1704"/>
    <w:rsid w:val="002D1935"/>
    <w:rsid w:val="002D2F07"/>
    <w:rsid w:val="002D4683"/>
    <w:rsid w:val="002D4E73"/>
    <w:rsid w:val="002D4F1F"/>
    <w:rsid w:val="002D4F95"/>
    <w:rsid w:val="002D568B"/>
    <w:rsid w:val="002D595D"/>
    <w:rsid w:val="002D5C94"/>
    <w:rsid w:val="002D66B8"/>
    <w:rsid w:val="002D66C0"/>
    <w:rsid w:val="002D6855"/>
    <w:rsid w:val="002D6B6A"/>
    <w:rsid w:val="002D7058"/>
    <w:rsid w:val="002E0235"/>
    <w:rsid w:val="002E0368"/>
    <w:rsid w:val="002E1D2C"/>
    <w:rsid w:val="002E1DDF"/>
    <w:rsid w:val="002E2EAF"/>
    <w:rsid w:val="002E361D"/>
    <w:rsid w:val="002E3A1D"/>
    <w:rsid w:val="002E3CE4"/>
    <w:rsid w:val="002E5482"/>
    <w:rsid w:val="002E6A74"/>
    <w:rsid w:val="002E7334"/>
    <w:rsid w:val="002F09FE"/>
    <w:rsid w:val="002F2C5B"/>
    <w:rsid w:val="002F32D4"/>
    <w:rsid w:val="002F38C0"/>
    <w:rsid w:val="002F4BCF"/>
    <w:rsid w:val="002F5C8C"/>
    <w:rsid w:val="002F6FE9"/>
    <w:rsid w:val="002F760E"/>
    <w:rsid w:val="002F79E5"/>
    <w:rsid w:val="002F7E89"/>
    <w:rsid w:val="002F7F75"/>
    <w:rsid w:val="00302008"/>
    <w:rsid w:val="003032D2"/>
    <w:rsid w:val="003037CB"/>
    <w:rsid w:val="00305A86"/>
    <w:rsid w:val="00306002"/>
    <w:rsid w:val="0030694E"/>
    <w:rsid w:val="00306C45"/>
    <w:rsid w:val="003104E9"/>
    <w:rsid w:val="0031085D"/>
    <w:rsid w:val="003108E8"/>
    <w:rsid w:val="003113C3"/>
    <w:rsid w:val="00313072"/>
    <w:rsid w:val="0031374F"/>
    <w:rsid w:val="003146F2"/>
    <w:rsid w:val="0031491D"/>
    <w:rsid w:val="00314AFE"/>
    <w:rsid w:val="003152A0"/>
    <w:rsid w:val="0031573C"/>
    <w:rsid w:val="0031695B"/>
    <w:rsid w:val="00320416"/>
    <w:rsid w:val="0032093A"/>
    <w:rsid w:val="0032122D"/>
    <w:rsid w:val="0032156F"/>
    <w:rsid w:val="00323548"/>
    <w:rsid w:val="003240FE"/>
    <w:rsid w:val="0032437A"/>
    <w:rsid w:val="00324C64"/>
    <w:rsid w:val="00324D12"/>
    <w:rsid w:val="00324D64"/>
    <w:rsid w:val="00325C2B"/>
    <w:rsid w:val="003260A4"/>
    <w:rsid w:val="0032690E"/>
    <w:rsid w:val="00327BED"/>
    <w:rsid w:val="00331179"/>
    <w:rsid w:val="0033179F"/>
    <w:rsid w:val="00331CAD"/>
    <w:rsid w:val="00332547"/>
    <w:rsid w:val="00332809"/>
    <w:rsid w:val="003339AC"/>
    <w:rsid w:val="003348EB"/>
    <w:rsid w:val="003350B7"/>
    <w:rsid w:val="003354A5"/>
    <w:rsid w:val="003355AD"/>
    <w:rsid w:val="00336887"/>
    <w:rsid w:val="0033732F"/>
    <w:rsid w:val="00337600"/>
    <w:rsid w:val="0033795F"/>
    <w:rsid w:val="003403BB"/>
    <w:rsid w:val="00340749"/>
    <w:rsid w:val="0034201B"/>
    <w:rsid w:val="00342670"/>
    <w:rsid w:val="00342750"/>
    <w:rsid w:val="00343205"/>
    <w:rsid w:val="0034374C"/>
    <w:rsid w:val="003456AE"/>
    <w:rsid w:val="003456FD"/>
    <w:rsid w:val="0034580F"/>
    <w:rsid w:val="003477CF"/>
    <w:rsid w:val="003503FF"/>
    <w:rsid w:val="003506C9"/>
    <w:rsid w:val="00350BA3"/>
    <w:rsid w:val="0035105F"/>
    <w:rsid w:val="0035289C"/>
    <w:rsid w:val="003528F1"/>
    <w:rsid w:val="003534E7"/>
    <w:rsid w:val="00354850"/>
    <w:rsid w:val="00354E2B"/>
    <w:rsid w:val="00355197"/>
    <w:rsid w:val="0035568D"/>
    <w:rsid w:val="00355F8F"/>
    <w:rsid w:val="00357F3E"/>
    <w:rsid w:val="00360BD5"/>
    <w:rsid w:val="00361574"/>
    <w:rsid w:val="00361634"/>
    <w:rsid w:val="00361AF1"/>
    <w:rsid w:val="003623B4"/>
    <w:rsid w:val="003637D7"/>
    <w:rsid w:val="0036526B"/>
    <w:rsid w:val="003656C9"/>
    <w:rsid w:val="0036726B"/>
    <w:rsid w:val="00370581"/>
    <w:rsid w:val="003708D5"/>
    <w:rsid w:val="00371277"/>
    <w:rsid w:val="00371591"/>
    <w:rsid w:val="0037228D"/>
    <w:rsid w:val="003723C6"/>
    <w:rsid w:val="00375539"/>
    <w:rsid w:val="00375FE7"/>
    <w:rsid w:val="0037740D"/>
    <w:rsid w:val="0038020D"/>
    <w:rsid w:val="00380E65"/>
    <w:rsid w:val="003810BF"/>
    <w:rsid w:val="0038204B"/>
    <w:rsid w:val="003855B0"/>
    <w:rsid w:val="0038692A"/>
    <w:rsid w:val="0038705E"/>
    <w:rsid w:val="003878F5"/>
    <w:rsid w:val="00390C04"/>
    <w:rsid w:val="0039154E"/>
    <w:rsid w:val="003920F5"/>
    <w:rsid w:val="00393221"/>
    <w:rsid w:val="00394486"/>
    <w:rsid w:val="003961DC"/>
    <w:rsid w:val="003964D4"/>
    <w:rsid w:val="00396732"/>
    <w:rsid w:val="00397F1F"/>
    <w:rsid w:val="003A0A82"/>
    <w:rsid w:val="003A1FBF"/>
    <w:rsid w:val="003A2130"/>
    <w:rsid w:val="003A3994"/>
    <w:rsid w:val="003A45CE"/>
    <w:rsid w:val="003A49AF"/>
    <w:rsid w:val="003A58B8"/>
    <w:rsid w:val="003A64D3"/>
    <w:rsid w:val="003A662E"/>
    <w:rsid w:val="003B02BD"/>
    <w:rsid w:val="003B1722"/>
    <w:rsid w:val="003B1E33"/>
    <w:rsid w:val="003B2D65"/>
    <w:rsid w:val="003B31AA"/>
    <w:rsid w:val="003B41C7"/>
    <w:rsid w:val="003B50D7"/>
    <w:rsid w:val="003B56E3"/>
    <w:rsid w:val="003B69D7"/>
    <w:rsid w:val="003B6C2F"/>
    <w:rsid w:val="003C155D"/>
    <w:rsid w:val="003C158B"/>
    <w:rsid w:val="003C46CA"/>
    <w:rsid w:val="003C52E7"/>
    <w:rsid w:val="003C75C6"/>
    <w:rsid w:val="003C78C8"/>
    <w:rsid w:val="003C7961"/>
    <w:rsid w:val="003D3C17"/>
    <w:rsid w:val="003D527B"/>
    <w:rsid w:val="003D75EF"/>
    <w:rsid w:val="003D7D1A"/>
    <w:rsid w:val="003E01AC"/>
    <w:rsid w:val="003E086E"/>
    <w:rsid w:val="003E2006"/>
    <w:rsid w:val="003E2AF0"/>
    <w:rsid w:val="003E2EC9"/>
    <w:rsid w:val="003E319C"/>
    <w:rsid w:val="003E417A"/>
    <w:rsid w:val="003E4922"/>
    <w:rsid w:val="003E52F6"/>
    <w:rsid w:val="003E695A"/>
    <w:rsid w:val="003E71C0"/>
    <w:rsid w:val="003E73EF"/>
    <w:rsid w:val="003E74E7"/>
    <w:rsid w:val="003F005F"/>
    <w:rsid w:val="003F0079"/>
    <w:rsid w:val="003F0CD2"/>
    <w:rsid w:val="003F237F"/>
    <w:rsid w:val="003F2914"/>
    <w:rsid w:val="003F2C8D"/>
    <w:rsid w:val="003F3017"/>
    <w:rsid w:val="003F3B0F"/>
    <w:rsid w:val="003F3BFD"/>
    <w:rsid w:val="003F47C9"/>
    <w:rsid w:val="003F6457"/>
    <w:rsid w:val="003F7284"/>
    <w:rsid w:val="004001DB"/>
    <w:rsid w:val="004003D1"/>
    <w:rsid w:val="00400719"/>
    <w:rsid w:val="004018B2"/>
    <w:rsid w:val="0040192C"/>
    <w:rsid w:val="00401C5B"/>
    <w:rsid w:val="004022A6"/>
    <w:rsid w:val="00402A35"/>
    <w:rsid w:val="0040332B"/>
    <w:rsid w:val="00404CDF"/>
    <w:rsid w:val="00405256"/>
    <w:rsid w:val="00410128"/>
    <w:rsid w:val="0041041D"/>
    <w:rsid w:val="004111F3"/>
    <w:rsid w:val="0041142F"/>
    <w:rsid w:val="0041168B"/>
    <w:rsid w:val="00411DF6"/>
    <w:rsid w:val="00412A0F"/>
    <w:rsid w:val="00412F5F"/>
    <w:rsid w:val="00413051"/>
    <w:rsid w:val="00413EFC"/>
    <w:rsid w:val="004141C0"/>
    <w:rsid w:val="004144FC"/>
    <w:rsid w:val="00414610"/>
    <w:rsid w:val="0041487C"/>
    <w:rsid w:val="004148EA"/>
    <w:rsid w:val="00414AB2"/>
    <w:rsid w:val="00416320"/>
    <w:rsid w:val="004167CE"/>
    <w:rsid w:val="0041691B"/>
    <w:rsid w:val="00416D89"/>
    <w:rsid w:val="0041744D"/>
    <w:rsid w:val="004178D5"/>
    <w:rsid w:val="00420888"/>
    <w:rsid w:val="0042129F"/>
    <w:rsid w:val="004214B5"/>
    <w:rsid w:val="00421607"/>
    <w:rsid w:val="004218BE"/>
    <w:rsid w:val="0042250F"/>
    <w:rsid w:val="00422C20"/>
    <w:rsid w:val="00422CBF"/>
    <w:rsid w:val="00423A93"/>
    <w:rsid w:val="00423D9E"/>
    <w:rsid w:val="00424A32"/>
    <w:rsid w:val="00424D2C"/>
    <w:rsid w:val="004265A2"/>
    <w:rsid w:val="004267F6"/>
    <w:rsid w:val="00426DAD"/>
    <w:rsid w:val="00430758"/>
    <w:rsid w:val="00433414"/>
    <w:rsid w:val="004344A8"/>
    <w:rsid w:val="00434872"/>
    <w:rsid w:val="00434886"/>
    <w:rsid w:val="0043489C"/>
    <w:rsid w:val="00435EC1"/>
    <w:rsid w:val="00437ED0"/>
    <w:rsid w:val="004406AA"/>
    <w:rsid w:val="00440EED"/>
    <w:rsid w:val="00441A95"/>
    <w:rsid w:val="00441AAD"/>
    <w:rsid w:val="00442991"/>
    <w:rsid w:val="00442AFA"/>
    <w:rsid w:val="00442C45"/>
    <w:rsid w:val="00443E8A"/>
    <w:rsid w:val="00443FBB"/>
    <w:rsid w:val="00444DD4"/>
    <w:rsid w:val="00445760"/>
    <w:rsid w:val="004458BC"/>
    <w:rsid w:val="00445C8C"/>
    <w:rsid w:val="0044733C"/>
    <w:rsid w:val="00447AD7"/>
    <w:rsid w:val="0045014C"/>
    <w:rsid w:val="00451789"/>
    <w:rsid w:val="004529C5"/>
    <w:rsid w:val="00452CF1"/>
    <w:rsid w:val="004531F8"/>
    <w:rsid w:val="004537EF"/>
    <w:rsid w:val="004537F6"/>
    <w:rsid w:val="004545A4"/>
    <w:rsid w:val="00454B53"/>
    <w:rsid w:val="00454BD7"/>
    <w:rsid w:val="0045553F"/>
    <w:rsid w:val="00457A18"/>
    <w:rsid w:val="00457BBF"/>
    <w:rsid w:val="00457BD4"/>
    <w:rsid w:val="00457C44"/>
    <w:rsid w:val="004604D5"/>
    <w:rsid w:val="0046092D"/>
    <w:rsid w:val="00460A82"/>
    <w:rsid w:val="00460AF2"/>
    <w:rsid w:val="00460FAD"/>
    <w:rsid w:val="00461203"/>
    <w:rsid w:val="00462B46"/>
    <w:rsid w:val="00463341"/>
    <w:rsid w:val="00464449"/>
    <w:rsid w:val="00465AD7"/>
    <w:rsid w:val="00466987"/>
    <w:rsid w:val="00467EB4"/>
    <w:rsid w:val="004700B6"/>
    <w:rsid w:val="00470F34"/>
    <w:rsid w:val="0047119F"/>
    <w:rsid w:val="00471505"/>
    <w:rsid w:val="004716AF"/>
    <w:rsid w:val="00471B72"/>
    <w:rsid w:val="00473F2D"/>
    <w:rsid w:val="004766A9"/>
    <w:rsid w:val="00476846"/>
    <w:rsid w:val="00476B75"/>
    <w:rsid w:val="004775E3"/>
    <w:rsid w:val="004775F4"/>
    <w:rsid w:val="00477DCC"/>
    <w:rsid w:val="0048151A"/>
    <w:rsid w:val="00481BBB"/>
    <w:rsid w:val="00482334"/>
    <w:rsid w:val="004835C1"/>
    <w:rsid w:val="004841BA"/>
    <w:rsid w:val="00484F23"/>
    <w:rsid w:val="00485A6F"/>
    <w:rsid w:val="00485F1E"/>
    <w:rsid w:val="004863E8"/>
    <w:rsid w:val="00487D87"/>
    <w:rsid w:val="00490A9B"/>
    <w:rsid w:val="004920B1"/>
    <w:rsid w:val="004932D9"/>
    <w:rsid w:val="00493C8F"/>
    <w:rsid w:val="00494FD5"/>
    <w:rsid w:val="00495670"/>
    <w:rsid w:val="004966A3"/>
    <w:rsid w:val="00496874"/>
    <w:rsid w:val="00497698"/>
    <w:rsid w:val="004A13BA"/>
    <w:rsid w:val="004A1E55"/>
    <w:rsid w:val="004A1FAD"/>
    <w:rsid w:val="004A42C5"/>
    <w:rsid w:val="004A4CFE"/>
    <w:rsid w:val="004A5323"/>
    <w:rsid w:val="004A73CD"/>
    <w:rsid w:val="004A7B04"/>
    <w:rsid w:val="004B27BE"/>
    <w:rsid w:val="004B2DEE"/>
    <w:rsid w:val="004B302F"/>
    <w:rsid w:val="004B3694"/>
    <w:rsid w:val="004B3DA9"/>
    <w:rsid w:val="004B41DD"/>
    <w:rsid w:val="004B5064"/>
    <w:rsid w:val="004B647E"/>
    <w:rsid w:val="004C15EB"/>
    <w:rsid w:val="004C2B62"/>
    <w:rsid w:val="004C360C"/>
    <w:rsid w:val="004C3FE4"/>
    <w:rsid w:val="004C4079"/>
    <w:rsid w:val="004C49F2"/>
    <w:rsid w:val="004C5049"/>
    <w:rsid w:val="004C5D70"/>
    <w:rsid w:val="004C63B8"/>
    <w:rsid w:val="004C6C48"/>
    <w:rsid w:val="004C7918"/>
    <w:rsid w:val="004C7FF2"/>
    <w:rsid w:val="004D0A29"/>
    <w:rsid w:val="004D14D5"/>
    <w:rsid w:val="004D1C2A"/>
    <w:rsid w:val="004D2204"/>
    <w:rsid w:val="004D35B1"/>
    <w:rsid w:val="004D45F0"/>
    <w:rsid w:val="004D4894"/>
    <w:rsid w:val="004D4E40"/>
    <w:rsid w:val="004D6DCA"/>
    <w:rsid w:val="004D7D24"/>
    <w:rsid w:val="004E0112"/>
    <w:rsid w:val="004E02DB"/>
    <w:rsid w:val="004E0F53"/>
    <w:rsid w:val="004E26FE"/>
    <w:rsid w:val="004E42B0"/>
    <w:rsid w:val="004E42E0"/>
    <w:rsid w:val="004E4422"/>
    <w:rsid w:val="004E46BF"/>
    <w:rsid w:val="004E5608"/>
    <w:rsid w:val="004E5DFC"/>
    <w:rsid w:val="004F1883"/>
    <w:rsid w:val="004F2146"/>
    <w:rsid w:val="004F52FD"/>
    <w:rsid w:val="004F63F6"/>
    <w:rsid w:val="004F756F"/>
    <w:rsid w:val="004F7B87"/>
    <w:rsid w:val="0050096C"/>
    <w:rsid w:val="00501E49"/>
    <w:rsid w:val="005027A7"/>
    <w:rsid w:val="00503745"/>
    <w:rsid w:val="00503F60"/>
    <w:rsid w:val="00505776"/>
    <w:rsid w:val="00505795"/>
    <w:rsid w:val="005061F9"/>
    <w:rsid w:val="00506E17"/>
    <w:rsid w:val="00511F82"/>
    <w:rsid w:val="0051205E"/>
    <w:rsid w:val="00513341"/>
    <w:rsid w:val="00513446"/>
    <w:rsid w:val="00513916"/>
    <w:rsid w:val="00516C36"/>
    <w:rsid w:val="00516EA1"/>
    <w:rsid w:val="00516EBF"/>
    <w:rsid w:val="00517C58"/>
    <w:rsid w:val="00520CE4"/>
    <w:rsid w:val="00522362"/>
    <w:rsid w:val="00522D77"/>
    <w:rsid w:val="00523824"/>
    <w:rsid w:val="00524FFC"/>
    <w:rsid w:val="00527137"/>
    <w:rsid w:val="00527704"/>
    <w:rsid w:val="00527AED"/>
    <w:rsid w:val="00530137"/>
    <w:rsid w:val="00530608"/>
    <w:rsid w:val="00531A36"/>
    <w:rsid w:val="00531BF4"/>
    <w:rsid w:val="005324DD"/>
    <w:rsid w:val="00532D87"/>
    <w:rsid w:val="00534796"/>
    <w:rsid w:val="0053491A"/>
    <w:rsid w:val="00534B3A"/>
    <w:rsid w:val="005359A5"/>
    <w:rsid w:val="00535ABA"/>
    <w:rsid w:val="00536F6A"/>
    <w:rsid w:val="005419B6"/>
    <w:rsid w:val="00541C92"/>
    <w:rsid w:val="00541EA9"/>
    <w:rsid w:val="005446F7"/>
    <w:rsid w:val="00545148"/>
    <w:rsid w:val="00546DA4"/>
    <w:rsid w:val="00546F49"/>
    <w:rsid w:val="0054701E"/>
    <w:rsid w:val="005470AF"/>
    <w:rsid w:val="00547444"/>
    <w:rsid w:val="005477AC"/>
    <w:rsid w:val="0055095D"/>
    <w:rsid w:val="0055153C"/>
    <w:rsid w:val="00551609"/>
    <w:rsid w:val="00552105"/>
    <w:rsid w:val="005521A1"/>
    <w:rsid w:val="00552437"/>
    <w:rsid w:val="00553FB9"/>
    <w:rsid w:val="00555174"/>
    <w:rsid w:val="00555412"/>
    <w:rsid w:val="00555619"/>
    <w:rsid w:val="005571C4"/>
    <w:rsid w:val="00557470"/>
    <w:rsid w:val="00560D95"/>
    <w:rsid w:val="005617AD"/>
    <w:rsid w:val="00561D9C"/>
    <w:rsid w:val="00562793"/>
    <w:rsid w:val="005629BB"/>
    <w:rsid w:val="00563227"/>
    <w:rsid w:val="00564496"/>
    <w:rsid w:val="005649D2"/>
    <w:rsid w:val="0056771C"/>
    <w:rsid w:val="00567FE5"/>
    <w:rsid w:val="00571D80"/>
    <w:rsid w:val="0057223F"/>
    <w:rsid w:val="00573685"/>
    <w:rsid w:val="00573826"/>
    <w:rsid w:val="00575089"/>
    <w:rsid w:val="00575519"/>
    <w:rsid w:val="0057565A"/>
    <w:rsid w:val="005758D0"/>
    <w:rsid w:val="0057651B"/>
    <w:rsid w:val="005765D5"/>
    <w:rsid w:val="005777BA"/>
    <w:rsid w:val="00577B6C"/>
    <w:rsid w:val="00577E6A"/>
    <w:rsid w:val="0058072C"/>
    <w:rsid w:val="00580B8C"/>
    <w:rsid w:val="005810B7"/>
    <w:rsid w:val="005814B6"/>
    <w:rsid w:val="00581F52"/>
    <w:rsid w:val="00582276"/>
    <w:rsid w:val="00582579"/>
    <w:rsid w:val="00582933"/>
    <w:rsid w:val="00582CC5"/>
    <w:rsid w:val="00582D1B"/>
    <w:rsid w:val="00584565"/>
    <w:rsid w:val="00584A11"/>
    <w:rsid w:val="005874FF"/>
    <w:rsid w:val="00587A46"/>
    <w:rsid w:val="00587F92"/>
    <w:rsid w:val="0059096C"/>
    <w:rsid w:val="0059111D"/>
    <w:rsid w:val="005914BB"/>
    <w:rsid w:val="0059370F"/>
    <w:rsid w:val="005944D6"/>
    <w:rsid w:val="00594ACF"/>
    <w:rsid w:val="00594EF5"/>
    <w:rsid w:val="00595114"/>
    <w:rsid w:val="0059542E"/>
    <w:rsid w:val="00595C5D"/>
    <w:rsid w:val="005966A0"/>
    <w:rsid w:val="0059672B"/>
    <w:rsid w:val="00596798"/>
    <w:rsid w:val="0059769E"/>
    <w:rsid w:val="00597FCA"/>
    <w:rsid w:val="005A020A"/>
    <w:rsid w:val="005A0276"/>
    <w:rsid w:val="005A063E"/>
    <w:rsid w:val="005A0DC0"/>
    <w:rsid w:val="005A3197"/>
    <w:rsid w:val="005A3882"/>
    <w:rsid w:val="005A3922"/>
    <w:rsid w:val="005A3D27"/>
    <w:rsid w:val="005A44E1"/>
    <w:rsid w:val="005A4F8F"/>
    <w:rsid w:val="005A64BE"/>
    <w:rsid w:val="005A6F1C"/>
    <w:rsid w:val="005A7418"/>
    <w:rsid w:val="005B16A8"/>
    <w:rsid w:val="005B18D4"/>
    <w:rsid w:val="005B2A57"/>
    <w:rsid w:val="005B316A"/>
    <w:rsid w:val="005B3806"/>
    <w:rsid w:val="005B3D0F"/>
    <w:rsid w:val="005B4233"/>
    <w:rsid w:val="005B4434"/>
    <w:rsid w:val="005B5005"/>
    <w:rsid w:val="005B5E58"/>
    <w:rsid w:val="005B5F16"/>
    <w:rsid w:val="005B7985"/>
    <w:rsid w:val="005B7D3E"/>
    <w:rsid w:val="005C1658"/>
    <w:rsid w:val="005C1929"/>
    <w:rsid w:val="005C1956"/>
    <w:rsid w:val="005C1DE1"/>
    <w:rsid w:val="005C27EB"/>
    <w:rsid w:val="005C2C80"/>
    <w:rsid w:val="005C2C88"/>
    <w:rsid w:val="005C41CB"/>
    <w:rsid w:val="005C5EA0"/>
    <w:rsid w:val="005C6A54"/>
    <w:rsid w:val="005C6D93"/>
    <w:rsid w:val="005D13E0"/>
    <w:rsid w:val="005D1861"/>
    <w:rsid w:val="005D19C6"/>
    <w:rsid w:val="005D1B72"/>
    <w:rsid w:val="005D1CC5"/>
    <w:rsid w:val="005D20FA"/>
    <w:rsid w:val="005D2145"/>
    <w:rsid w:val="005D2A1A"/>
    <w:rsid w:val="005D392A"/>
    <w:rsid w:val="005D45F5"/>
    <w:rsid w:val="005D498D"/>
    <w:rsid w:val="005D6AF6"/>
    <w:rsid w:val="005D76B7"/>
    <w:rsid w:val="005D79DE"/>
    <w:rsid w:val="005E0B9E"/>
    <w:rsid w:val="005E1045"/>
    <w:rsid w:val="005E13C9"/>
    <w:rsid w:val="005E1CDF"/>
    <w:rsid w:val="005E384F"/>
    <w:rsid w:val="005E4C88"/>
    <w:rsid w:val="005E5568"/>
    <w:rsid w:val="005E57ED"/>
    <w:rsid w:val="005E5C68"/>
    <w:rsid w:val="005E6AF8"/>
    <w:rsid w:val="005E755F"/>
    <w:rsid w:val="005F2A1A"/>
    <w:rsid w:val="005F3220"/>
    <w:rsid w:val="005F4753"/>
    <w:rsid w:val="005F53E8"/>
    <w:rsid w:val="005F5AB1"/>
    <w:rsid w:val="005F653E"/>
    <w:rsid w:val="005F7A10"/>
    <w:rsid w:val="006012E1"/>
    <w:rsid w:val="006018F0"/>
    <w:rsid w:val="00603274"/>
    <w:rsid w:val="00604108"/>
    <w:rsid w:val="00604643"/>
    <w:rsid w:val="006053AC"/>
    <w:rsid w:val="006059F3"/>
    <w:rsid w:val="00605AAD"/>
    <w:rsid w:val="0060653E"/>
    <w:rsid w:val="00606B98"/>
    <w:rsid w:val="00606EFB"/>
    <w:rsid w:val="0060725A"/>
    <w:rsid w:val="00607B06"/>
    <w:rsid w:val="00607F30"/>
    <w:rsid w:val="006111FF"/>
    <w:rsid w:val="00611B45"/>
    <w:rsid w:val="00611BD0"/>
    <w:rsid w:val="006122D6"/>
    <w:rsid w:val="00612A30"/>
    <w:rsid w:val="006138EA"/>
    <w:rsid w:val="0061447C"/>
    <w:rsid w:val="0061575A"/>
    <w:rsid w:val="00615DD0"/>
    <w:rsid w:val="00617D24"/>
    <w:rsid w:val="00621F5B"/>
    <w:rsid w:val="00624872"/>
    <w:rsid w:val="00625699"/>
    <w:rsid w:val="00627633"/>
    <w:rsid w:val="0062787C"/>
    <w:rsid w:val="00630D32"/>
    <w:rsid w:val="00630FEB"/>
    <w:rsid w:val="00633478"/>
    <w:rsid w:val="00633484"/>
    <w:rsid w:val="006339A6"/>
    <w:rsid w:val="00634ADB"/>
    <w:rsid w:val="00634B2A"/>
    <w:rsid w:val="00636022"/>
    <w:rsid w:val="006361FB"/>
    <w:rsid w:val="006363D6"/>
    <w:rsid w:val="0063647D"/>
    <w:rsid w:val="00637EE5"/>
    <w:rsid w:val="0064037A"/>
    <w:rsid w:val="00640B82"/>
    <w:rsid w:val="0064174B"/>
    <w:rsid w:val="00641DA8"/>
    <w:rsid w:val="006428E6"/>
    <w:rsid w:val="0064309D"/>
    <w:rsid w:val="00643853"/>
    <w:rsid w:val="006454E8"/>
    <w:rsid w:val="00646F24"/>
    <w:rsid w:val="00650241"/>
    <w:rsid w:val="0065109E"/>
    <w:rsid w:val="00651E89"/>
    <w:rsid w:val="00652E29"/>
    <w:rsid w:val="00654621"/>
    <w:rsid w:val="00655126"/>
    <w:rsid w:val="006565B4"/>
    <w:rsid w:val="00656869"/>
    <w:rsid w:val="00656C8C"/>
    <w:rsid w:val="00657072"/>
    <w:rsid w:val="00660C78"/>
    <w:rsid w:val="00660CAD"/>
    <w:rsid w:val="006639B6"/>
    <w:rsid w:val="00664C1D"/>
    <w:rsid w:val="00665E22"/>
    <w:rsid w:val="00666B37"/>
    <w:rsid w:val="00667E28"/>
    <w:rsid w:val="0067040B"/>
    <w:rsid w:val="0067066D"/>
    <w:rsid w:val="00670E1B"/>
    <w:rsid w:val="0067196C"/>
    <w:rsid w:val="00671FE0"/>
    <w:rsid w:val="006722EB"/>
    <w:rsid w:val="00672CCF"/>
    <w:rsid w:val="00673012"/>
    <w:rsid w:val="006738E3"/>
    <w:rsid w:val="0067460E"/>
    <w:rsid w:val="0067471C"/>
    <w:rsid w:val="00674EB2"/>
    <w:rsid w:val="0067521F"/>
    <w:rsid w:val="006801C4"/>
    <w:rsid w:val="006805D9"/>
    <w:rsid w:val="00680A7B"/>
    <w:rsid w:val="00680CFA"/>
    <w:rsid w:val="00681265"/>
    <w:rsid w:val="0068129D"/>
    <w:rsid w:val="00681F15"/>
    <w:rsid w:val="00682DCA"/>
    <w:rsid w:val="00682E20"/>
    <w:rsid w:val="00683826"/>
    <w:rsid w:val="0068385E"/>
    <w:rsid w:val="00684EF9"/>
    <w:rsid w:val="00685937"/>
    <w:rsid w:val="00686944"/>
    <w:rsid w:val="00687705"/>
    <w:rsid w:val="00690790"/>
    <w:rsid w:val="00690FC7"/>
    <w:rsid w:val="006916A0"/>
    <w:rsid w:val="00691DC6"/>
    <w:rsid w:val="00691E50"/>
    <w:rsid w:val="00692128"/>
    <w:rsid w:val="006928B5"/>
    <w:rsid w:val="00693A1E"/>
    <w:rsid w:val="00694538"/>
    <w:rsid w:val="00694580"/>
    <w:rsid w:val="00695E3F"/>
    <w:rsid w:val="00696899"/>
    <w:rsid w:val="00696BB0"/>
    <w:rsid w:val="00697F14"/>
    <w:rsid w:val="006A0500"/>
    <w:rsid w:val="006A0985"/>
    <w:rsid w:val="006A09DB"/>
    <w:rsid w:val="006A0B6E"/>
    <w:rsid w:val="006A0BE7"/>
    <w:rsid w:val="006A1E51"/>
    <w:rsid w:val="006A20A0"/>
    <w:rsid w:val="006A39D0"/>
    <w:rsid w:val="006A3B14"/>
    <w:rsid w:val="006A3D9D"/>
    <w:rsid w:val="006A4B29"/>
    <w:rsid w:val="006A50E8"/>
    <w:rsid w:val="006A63F6"/>
    <w:rsid w:val="006A66B5"/>
    <w:rsid w:val="006A775A"/>
    <w:rsid w:val="006A7789"/>
    <w:rsid w:val="006A7C48"/>
    <w:rsid w:val="006B1718"/>
    <w:rsid w:val="006B3270"/>
    <w:rsid w:val="006B3343"/>
    <w:rsid w:val="006B43CD"/>
    <w:rsid w:val="006B478F"/>
    <w:rsid w:val="006B4A1B"/>
    <w:rsid w:val="006B4A96"/>
    <w:rsid w:val="006B5091"/>
    <w:rsid w:val="006B593C"/>
    <w:rsid w:val="006B625F"/>
    <w:rsid w:val="006B6943"/>
    <w:rsid w:val="006B6948"/>
    <w:rsid w:val="006C15DB"/>
    <w:rsid w:val="006C16C3"/>
    <w:rsid w:val="006C2080"/>
    <w:rsid w:val="006C2293"/>
    <w:rsid w:val="006C2B52"/>
    <w:rsid w:val="006C314D"/>
    <w:rsid w:val="006C35C5"/>
    <w:rsid w:val="006C3614"/>
    <w:rsid w:val="006C4965"/>
    <w:rsid w:val="006C4ABA"/>
    <w:rsid w:val="006C555C"/>
    <w:rsid w:val="006C6075"/>
    <w:rsid w:val="006C6E0D"/>
    <w:rsid w:val="006C7B13"/>
    <w:rsid w:val="006D2E63"/>
    <w:rsid w:val="006D399B"/>
    <w:rsid w:val="006D43C8"/>
    <w:rsid w:val="006D46B5"/>
    <w:rsid w:val="006D47BC"/>
    <w:rsid w:val="006D4EB7"/>
    <w:rsid w:val="006D57E6"/>
    <w:rsid w:val="006D71BC"/>
    <w:rsid w:val="006D7E56"/>
    <w:rsid w:val="006E03CE"/>
    <w:rsid w:val="006E0692"/>
    <w:rsid w:val="006E2737"/>
    <w:rsid w:val="006E33FF"/>
    <w:rsid w:val="006E37C0"/>
    <w:rsid w:val="006E5E19"/>
    <w:rsid w:val="006E6406"/>
    <w:rsid w:val="006E6C90"/>
    <w:rsid w:val="006E6D33"/>
    <w:rsid w:val="006E7101"/>
    <w:rsid w:val="006E7513"/>
    <w:rsid w:val="006E7C2A"/>
    <w:rsid w:val="006F0A52"/>
    <w:rsid w:val="006F0E2E"/>
    <w:rsid w:val="006F15F2"/>
    <w:rsid w:val="006F2768"/>
    <w:rsid w:val="006F2D1E"/>
    <w:rsid w:val="006F3177"/>
    <w:rsid w:val="006F3A20"/>
    <w:rsid w:val="006F4751"/>
    <w:rsid w:val="006F5A4C"/>
    <w:rsid w:val="006F5D29"/>
    <w:rsid w:val="006F6EC3"/>
    <w:rsid w:val="00701BCC"/>
    <w:rsid w:val="00702898"/>
    <w:rsid w:val="00703F31"/>
    <w:rsid w:val="00704107"/>
    <w:rsid w:val="007051EC"/>
    <w:rsid w:val="0070770D"/>
    <w:rsid w:val="00710386"/>
    <w:rsid w:val="007112ED"/>
    <w:rsid w:val="00711490"/>
    <w:rsid w:val="00712220"/>
    <w:rsid w:val="0071235B"/>
    <w:rsid w:val="00713267"/>
    <w:rsid w:val="007133A2"/>
    <w:rsid w:val="00714133"/>
    <w:rsid w:val="00714D5C"/>
    <w:rsid w:val="00714F87"/>
    <w:rsid w:val="007156E0"/>
    <w:rsid w:val="0071597B"/>
    <w:rsid w:val="00720D41"/>
    <w:rsid w:val="007224FD"/>
    <w:rsid w:val="00722E86"/>
    <w:rsid w:val="00723536"/>
    <w:rsid w:val="00723627"/>
    <w:rsid w:val="0072383A"/>
    <w:rsid w:val="007266EB"/>
    <w:rsid w:val="00730053"/>
    <w:rsid w:val="007303F6"/>
    <w:rsid w:val="00730433"/>
    <w:rsid w:val="00730FC4"/>
    <w:rsid w:val="00731C8D"/>
    <w:rsid w:val="007323C7"/>
    <w:rsid w:val="00733037"/>
    <w:rsid w:val="00733EC5"/>
    <w:rsid w:val="00734398"/>
    <w:rsid w:val="007352DD"/>
    <w:rsid w:val="007359BE"/>
    <w:rsid w:val="007362C7"/>
    <w:rsid w:val="00747460"/>
    <w:rsid w:val="0075050D"/>
    <w:rsid w:val="007505CF"/>
    <w:rsid w:val="00750ACD"/>
    <w:rsid w:val="00750E5E"/>
    <w:rsid w:val="00751279"/>
    <w:rsid w:val="007517BE"/>
    <w:rsid w:val="00751C24"/>
    <w:rsid w:val="0075394C"/>
    <w:rsid w:val="007542BD"/>
    <w:rsid w:val="00754A68"/>
    <w:rsid w:val="00754ABE"/>
    <w:rsid w:val="00756CC4"/>
    <w:rsid w:val="00756D5B"/>
    <w:rsid w:val="00756DA0"/>
    <w:rsid w:val="00756E2F"/>
    <w:rsid w:val="007573DC"/>
    <w:rsid w:val="00757C28"/>
    <w:rsid w:val="007603BB"/>
    <w:rsid w:val="0076136A"/>
    <w:rsid w:val="0076377E"/>
    <w:rsid w:val="00765CBD"/>
    <w:rsid w:val="00770A93"/>
    <w:rsid w:val="00770AD1"/>
    <w:rsid w:val="00770BB7"/>
    <w:rsid w:val="007711D6"/>
    <w:rsid w:val="00771218"/>
    <w:rsid w:val="007729D6"/>
    <w:rsid w:val="007730BB"/>
    <w:rsid w:val="00773880"/>
    <w:rsid w:val="0077573D"/>
    <w:rsid w:val="00775EB8"/>
    <w:rsid w:val="0077605C"/>
    <w:rsid w:val="007763E3"/>
    <w:rsid w:val="00776807"/>
    <w:rsid w:val="0077789B"/>
    <w:rsid w:val="00780220"/>
    <w:rsid w:val="0078062F"/>
    <w:rsid w:val="00780CA4"/>
    <w:rsid w:val="00780CBC"/>
    <w:rsid w:val="00780EBF"/>
    <w:rsid w:val="00781545"/>
    <w:rsid w:val="007825A3"/>
    <w:rsid w:val="007827E7"/>
    <w:rsid w:val="00782E70"/>
    <w:rsid w:val="00784D94"/>
    <w:rsid w:val="00784E69"/>
    <w:rsid w:val="007858AE"/>
    <w:rsid w:val="00786434"/>
    <w:rsid w:val="00787057"/>
    <w:rsid w:val="00787834"/>
    <w:rsid w:val="007902E8"/>
    <w:rsid w:val="007910A8"/>
    <w:rsid w:val="0079163D"/>
    <w:rsid w:val="0079187F"/>
    <w:rsid w:val="007921C6"/>
    <w:rsid w:val="00792CD2"/>
    <w:rsid w:val="00793221"/>
    <w:rsid w:val="0079398A"/>
    <w:rsid w:val="00794E85"/>
    <w:rsid w:val="00796889"/>
    <w:rsid w:val="00796DF5"/>
    <w:rsid w:val="007972D7"/>
    <w:rsid w:val="00797EFB"/>
    <w:rsid w:val="007A0628"/>
    <w:rsid w:val="007A1FFE"/>
    <w:rsid w:val="007A2642"/>
    <w:rsid w:val="007A357A"/>
    <w:rsid w:val="007A3D55"/>
    <w:rsid w:val="007A655E"/>
    <w:rsid w:val="007A65F4"/>
    <w:rsid w:val="007A6DBA"/>
    <w:rsid w:val="007A701D"/>
    <w:rsid w:val="007B03C9"/>
    <w:rsid w:val="007B055A"/>
    <w:rsid w:val="007B0D03"/>
    <w:rsid w:val="007B1626"/>
    <w:rsid w:val="007B1948"/>
    <w:rsid w:val="007B1BCF"/>
    <w:rsid w:val="007B2958"/>
    <w:rsid w:val="007B2B2E"/>
    <w:rsid w:val="007B31F3"/>
    <w:rsid w:val="007B3D32"/>
    <w:rsid w:val="007B445F"/>
    <w:rsid w:val="007B4AF5"/>
    <w:rsid w:val="007B60D9"/>
    <w:rsid w:val="007C090B"/>
    <w:rsid w:val="007C1B8C"/>
    <w:rsid w:val="007C1CE3"/>
    <w:rsid w:val="007C1CE5"/>
    <w:rsid w:val="007C41B6"/>
    <w:rsid w:val="007C43FF"/>
    <w:rsid w:val="007C597A"/>
    <w:rsid w:val="007C599C"/>
    <w:rsid w:val="007C76BB"/>
    <w:rsid w:val="007C773E"/>
    <w:rsid w:val="007D0D75"/>
    <w:rsid w:val="007D0DDF"/>
    <w:rsid w:val="007D1440"/>
    <w:rsid w:val="007D201C"/>
    <w:rsid w:val="007D255C"/>
    <w:rsid w:val="007D257C"/>
    <w:rsid w:val="007D2B16"/>
    <w:rsid w:val="007D2D93"/>
    <w:rsid w:val="007D679F"/>
    <w:rsid w:val="007E069A"/>
    <w:rsid w:val="007E1B04"/>
    <w:rsid w:val="007E1FDE"/>
    <w:rsid w:val="007E40F7"/>
    <w:rsid w:val="007E5D5F"/>
    <w:rsid w:val="007E603C"/>
    <w:rsid w:val="007E6526"/>
    <w:rsid w:val="007E7B80"/>
    <w:rsid w:val="007F010F"/>
    <w:rsid w:val="007F02B9"/>
    <w:rsid w:val="007F183C"/>
    <w:rsid w:val="007F20D7"/>
    <w:rsid w:val="007F3A2F"/>
    <w:rsid w:val="007F735A"/>
    <w:rsid w:val="007F7AAA"/>
    <w:rsid w:val="007F7FDF"/>
    <w:rsid w:val="0080044B"/>
    <w:rsid w:val="00800CB7"/>
    <w:rsid w:val="00800CD6"/>
    <w:rsid w:val="008020B6"/>
    <w:rsid w:val="008020F6"/>
    <w:rsid w:val="00803E5F"/>
    <w:rsid w:val="008044A3"/>
    <w:rsid w:val="00804E1B"/>
    <w:rsid w:val="00805776"/>
    <w:rsid w:val="00805FD8"/>
    <w:rsid w:val="00806E5F"/>
    <w:rsid w:val="00807969"/>
    <w:rsid w:val="0081080C"/>
    <w:rsid w:val="00811532"/>
    <w:rsid w:val="00812719"/>
    <w:rsid w:val="00812EF9"/>
    <w:rsid w:val="00812F32"/>
    <w:rsid w:val="00814CCC"/>
    <w:rsid w:val="00815438"/>
    <w:rsid w:val="00817B35"/>
    <w:rsid w:val="00822D69"/>
    <w:rsid w:val="00823311"/>
    <w:rsid w:val="00823F37"/>
    <w:rsid w:val="008241CA"/>
    <w:rsid w:val="008244C5"/>
    <w:rsid w:val="0082479F"/>
    <w:rsid w:val="00824FA0"/>
    <w:rsid w:val="008258DD"/>
    <w:rsid w:val="008265A6"/>
    <w:rsid w:val="00826CEC"/>
    <w:rsid w:val="008279E4"/>
    <w:rsid w:val="008303B7"/>
    <w:rsid w:val="00830685"/>
    <w:rsid w:val="008313B7"/>
    <w:rsid w:val="008317C4"/>
    <w:rsid w:val="00831A53"/>
    <w:rsid w:val="00831D6B"/>
    <w:rsid w:val="00832E13"/>
    <w:rsid w:val="00832F7D"/>
    <w:rsid w:val="008356D0"/>
    <w:rsid w:val="00836486"/>
    <w:rsid w:val="00837B16"/>
    <w:rsid w:val="008415FC"/>
    <w:rsid w:val="00841BB5"/>
    <w:rsid w:val="0084325F"/>
    <w:rsid w:val="00843C2B"/>
    <w:rsid w:val="008441C7"/>
    <w:rsid w:val="0084464E"/>
    <w:rsid w:val="00844FE6"/>
    <w:rsid w:val="00845054"/>
    <w:rsid w:val="00846770"/>
    <w:rsid w:val="00846856"/>
    <w:rsid w:val="008477C4"/>
    <w:rsid w:val="00850881"/>
    <w:rsid w:val="0085214B"/>
    <w:rsid w:val="00852437"/>
    <w:rsid w:val="008527F4"/>
    <w:rsid w:val="00852C5F"/>
    <w:rsid w:val="00853345"/>
    <w:rsid w:val="00853B03"/>
    <w:rsid w:val="00853E2E"/>
    <w:rsid w:val="00853EB6"/>
    <w:rsid w:val="00856CA9"/>
    <w:rsid w:val="00856CAE"/>
    <w:rsid w:val="008601F7"/>
    <w:rsid w:val="0086053D"/>
    <w:rsid w:val="00861CCD"/>
    <w:rsid w:val="008624FC"/>
    <w:rsid w:val="0086260E"/>
    <w:rsid w:val="0086278D"/>
    <w:rsid w:val="00864209"/>
    <w:rsid w:val="00864CD1"/>
    <w:rsid w:val="00865450"/>
    <w:rsid w:val="00867991"/>
    <w:rsid w:val="0087244D"/>
    <w:rsid w:val="008735EF"/>
    <w:rsid w:val="008738C0"/>
    <w:rsid w:val="00873B34"/>
    <w:rsid w:val="00874609"/>
    <w:rsid w:val="008749A0"/>
    <w:rsid w:val="00874A57"/>
    <w:rsid w:val="00874B11"/>
    <w:rsid w:val="008807B7"/>
    <w:rsid w:val="00880802"/>
    <w:rsid w:val="008808C2"/>
    <w:rsid w:val="008819D5"/>
    <w:rsid w:val="00882158"/>
    <w:rsid w:val="008824A6"/>
    <w:rsid w:val="008824B9"/>
    <w:rsid w:val="0088315D"/>
    <w:rsid w:val="008834F2"/>
    <w:rsid w:val="00884205"/>
    <w:rsid w:val="0088428F"/>
    <w:rsid w:val="0088574B"/>
    <w:rsid w:val="0088684D"/>
    <w:rsid w:val="00886BB5"/>
    <w:rsid w:val="008870DB"/>
    <w:rsid w:val="00887104"/>
    <w:rsid w:val="0088739A"/>
    <w:rsid w:val="00893782"/>
    <w:rsid w:val="00893F16"/>
    <w:rsid w:val="00894A26"/>
    <w:rsid w:val="00897ACE"/>
    <w:rsid w:val="008A095B"/>
    <w:rsid w:val="008A2BD9"/>
    <w:rsid w:val="008A2C78"/>
    <w:rsid w:val="008A3CCD"/>
    <w:rsid w:val="008A4115"/>
    <w:rsid w:val="008A59BF"/>
    <w:rsid w:val="008A5AC7"/>
    <w:rsid w:val="008A65A3"/>
    <w:rsid w:val="008A6BBB"/>
    <w:rsid w:val="008A6BFD"/>
    <w:rsid w:val="008A7E24"/>
    <w:rsid w:val="008B151B"/>
    <w:rsid w:val="008B165C"/>
    <w:rsid w:val="008B2504"/>
    <w:rsid w:val="008B326B"/>
    <w:rsid w:val="008B3435"/>
    <w:rsid w:val="008B350A"/>
    <w:rsid w:val="008B3701"/>
    <w:rsid w:val="008B44A7"/>
    <w:rsid w:val="008B48D6"/>
    <w:rsid w:val="008B4AD0"/>
    <w:rsid w:val="008B5600"/>
    <w:rsid w:val="008B5861"/>
    <w:rsid w:val="008B5904"/>
    <w:rsid w:val="008B5996"/>
    <w:rsid w:val="008B5BFB"/>
    <w:rsid w:val="008B6B40"/>
    <w:rsid w:val="008B6FC1"/>
    <w:rsid w:val="008B711C"/>
    <w:rsid w:val="008B7DDD"/>
    <w:rsid w:val="008C1796"/>
    <w:rsid w:val="008C1A7D"/>
    <w:rsid w:val="008C296B"/>
    <w:rsid w:val="008C3638"/>
    <w:rsid w:val="008C39B5"/>
    <w:rsid w:val="008C3AA2"/>
    <w:rsid w:val="008C48C8"/>
    <w:rsid w:val="008C4DBA"/>
    <w:rsid w:val="008C60EE"/>
    <w:rsid w:val="008C67EA"/>
    <w:rsid w:val="008C6F68"/>
    <w:rsid w:val="008C7733"/>
    <w:rsid w:val="008D2997"/>
    <w:rsid w:val="008D2A84"/>
    <w:rsid w:val="008D32E2"/>
    <w:rsid w:val="008D33BE"/>
    <w:rsid w:val="008D489F"/>
    <w:rsid w:val="008D57B3"/>
    <w:rsid w:val="008D6F0A"/>
    <w:rsid w:val="008D6F8B"/>
    <w:rsid w:val="008D7BF2"/>
    <w:rsid w:val="008D7E80"/>
    <w:rsid w:val="008E028A"/>
    <w:rsid w:val="008E04B3"/>
    <w:rsid w:val="008E05A3"/>
    <w:rsid w:val="008E05A6"/>
    <w:rsid w:val="008E38F7"/>
    <w:rsid w:val="008E4000"/>
    <w:rsid w:val="008E50B5"/>
    <w:rsid w:val="008E6A37"/>
    <w:rsid w:val="008E6B20"/>
    <w:rsid w:val="008E711E"/>
    <w:rsid w:val="008E7D69"/>
    <w:rsid w:val="008F2590"/>
    <w:rsid w:val="008F3CD1"/>
    <w:rsid w:val="008F7E28"/>
    <w:rsid w:val="00900CBE"/>
    <w:rsid w:val="00900F2B"/>
    <w:rsid w:val="00901313"/>
    <w:rsid w:val="00901475"/>
    <w:rsid w:val="009021A9"/>
    <w:rsid w:val="00902B4F"/>
    <w:rsid w:val="00903261"/>
    <w:rsid w:val="00904DD4"/>
    <w:rsid w:val="0090564B"/>
    <w:rsid w:val="0090565C"/>
    <w:rsid w:val="00907380"/>
    <w:rsid w:val="00907A74"/>
    <w:rsid w:val="00912B26"/>
    <w:rsid w:val="00913372"/>
    <w:rsid w:val="00915121"/>
    <w:rsid w:val="009151F3"/>
    <w:rsid w:val="00915A0B"/>
    <w:rsid w:val="00915B7E"/>
    <w:rsid w:val="00916033"/>
    <w:rsid w:val="0091608C"/>
    <w:rsid w:val="00916136"/>
    <w:rsid w:val="009169BC"/>
    <w:rsid w:val="0091730A"/>
    <w:rsid w:val="00920440"/>
    <w:rsid w:val="009218A9"/>
    <w:rsid w:val="00922391"/>
    <w:rsid w:val="00923991"/>
    <w:rsid w:val="00924931"/>
    <w:rsid w:val="00924B94"/>
    <w:rsid w:val="009251A4"/>
    <w:rsid w:val="00927277"/>
    <w:rsid w:val="00930318"/>
    <w:rsid w:val="0093043C"/>
    <w:rsid w:val="00930988"/>
    <w:rsid w:val="00930CD7"/>
    <w:rsid w:val="0093274E"/>
    <w:rsid w:val="00932C7B"/>
    <w:rsid w:val="00932F5B"/>
    <w:rsid w:val="009331AD"/>
    <w:rsid w:val="009331FD"/>
    <w:rsid w:val="00933A0F"/>
    <w:rsid w:val="009349AA"/>
    <w:rsid w:val="00935F32"/>
    <w:rsid w:val="00936BC8"/>
    <w:rsid w:val="0094082E"/>
    <w:rsid w:val="009421C1"/>
    <w:rsid w:val="0094228B"/>
    <w:rsid w:val="0094239F"/>
    <w:rsid w:val="009424F2"/>
    <w:rsid w:val="009450C7"/>
    <w:rsid w:val="00945F3A"/>
    <w:rsid w:val="00946656"/>
    <w:rsid w:val="009501F3"/>
    <w:rsid w:val="00950D55"/>
    <w:rsid w:val="00951C40"/>
    <w:rsid w:val="009531A3"/>
    <w:rsid w:val="00953208"/>
    <w:rsid w:val="0095545B"/>
    <w:rsid w:val="00956251"/>
    <w:rsid w:val="00956501"/>
    <w:rsid w:val="0095728B"/>
    <w:rsid w:val="00957599"/>
    <w:rsid w:val="00957645"/>
    <w:rsid w:val="00957BF7"/>
    <w:rsid w:val="0096117B"/>
    <w:rsid w:val="009621FB"/>
    <w:rsid w:val="00962A34"/>
    <w:rsid w:val="0096405E"/>
    <w:rsid w:val="00964321"/>
    <w:rsid w:val="00964521"/>
    <w:rsid w:val="00964940"/>
    <w:rsid w:val="00965B93"/>
    <w:rsid w:val="00965BD4"/>
    <w:rsid w:val="00965E62"/>
    <w:rsid w:val="00966FFD"/>
    <w:rsid w:val="00971369"/>
    <w:rsid w:val="009714F8"/>
    <w:rsid w:val="009719CE"/>
    <w:rsid w:val="00972314"/>
    <w:rsid w:val="009735F1"/>
    <w:rsid w:val="009739C8"/>
    <w:rsid w:val="00975851"/>
    <w:rsid w:val="00976827"/>
    <w:rsid w:val="00977B1E"/>
    <w:rsid w:val="0098535B"/>
    <w:rsid w:val="00985A3D"/>
    <w:rsid w:val="00985F7E"/>
    <w:rsid w:val="00986A9B"/>
    <w:rsid w:val="0098724B"/>
    <w:rsid w:val="0099142B"/>
    <w:rsid w:val="00991687"/>
    <w:rsid w:val="009932EF"/>
    <w:rsid w:val="00993BDA"/>
    <w:rsid w:val="009941EB"/>
    <w:rsid w:val="009944B0"/>
    <w:rsid w:val="0099495A"/>
    <w:rsid w:val="0099561C"/>
    <w:rsid w:val="00995F44"/>
    <w:rsid w:val="00996417"/>
    <w:rsid w:val="009A0A85"/>
    <w:rsid w:val="009A1631"/>
    <w:rsid w:val="009A187E"/>
    <w:rsid w:val="009A2277"/>
    <w:rsid w:val="009A22DF"/>
    <w:rsid w:val="009A2766"/>
    <w:rsid w:val="009A290D"/>
    <w:rsid w:val="009A2956"/>
    <w:rsid w:val="009A2F47"/>
    <w:rsid w:val="009A49DD"/>
    <w:rsid w:val="009A57CB"/>
    <w:rsid w:val="009A6925"/>
    <w:rsid w:val="009A7A8D"/>
    <w:rsid w:val="009B039E"/>
    <w:rsid w:val="009B08F9"/>
    <w:rsid w:val="009B09FC"/>
    <w:rsid w:val="009B0FAA"/>
    <w:rsid w:val="009B1031"/>
    <w:rsid w:val="009B15A1"/>
    <w:rsid w:val="009B3722"/>
    <w:rsid w:val="009B3855"/>
    <w:rsid w:val="009B3A69"/>
    <w:rsid w:val="009B3B9C"/>
    <w:rsid w:val="009B4BBF"/>
    <w:rsid w:val="009B5ABE"/>
    <w:rsid w:val="009B662E"/>
    <w:rsid w:val="009B6D20"/>
    <w:rsid w:val="009C00FC"/>
    <w:rsid w:val="009C1C34"/>
    <w:rsid w:val="009C1EB4"/>
    <w:rsid w:val="009C2CDC"/>
    <w:rsid w:val="009C335E"/>
    <w:rsid w:val="009C3793"/>
    <w:rsid w:val="009C5183"/>
    <w:rsid w:val="009C63D2"/>
    <w:rsid w:val="009C6547"/>
    <w:rsid w:val="009C6DE9"/>
    <w:rsid w:val="009C7A40"/>
    <w:rsid w:val="009C7CBC"/>
    <w:rsid w:val="009D2259"/>
    <w:rsid w:val="009D2C52"/>
    <w:rsid w:val="009D385D"/>
    <w:rsid w:val="009D399B"/>
    <w:rsid w:val="009D4552"/>
    <w:rsid w:val="009D46D7"/>
    <w:rsid w:val="009D4B87"/>
    <w:rsid w:val="009D50A2"/>
    <w:rsid w:val="009D62BE"/>
    <w:rsid w:val="009D70D4"/>
    <w:rsid w:val="009E0233"/>
    <w:rsid w:val="009E0926"/>
    <w:rsid w:val="009E14F6"/>
    <w:rsid w:val="009E1BD4"/>
    <w:rsid w:val="009E1F90"/>
    <w:rsid w:val="009E2813"/>
    <w:rsid w:val="009E3B62"/>
    <w:rsid w:val="009E3F29"/>
    <w:rsid w:val="009E46A3"/>
    <w:rsid w:val="009E53C0"/>
    <w:rsid w:val="009E5521"/>
    <w:rsid w:val="009E5D38"/>
    <w:rsid w:val="009E7A0E"/>
    <w:rsid w:val="009F0055"/>
    <w:rsid w:val="009F07CC"/>
    <w:rsid w:val="009F0C92"/>
    <w:rsid w:val="009F144F"/>
    <w:rsid w:val="009F18CE"/>
    <w:rsid w:val="009F1D27"/>
    <w:rsid w:val="009F327D"/>
    <w:rsid w:val="009F346D"/>
    <w:rsid w:val="009F5625"/>
    <w:rsid w:val="009F5DFA"/>
    <w:rsid w:val="009F61D8"/>
    <w:rsid w:val="009F69C4"/>
    <w:rsid w:val="009F7127"/>
    <w:rsid w:val="009F781C"/>
    <w:rsid w:val="00A000A9"/>
    <w:rsid w:val="00A00A05"/>
    <w:rsid w:val="00A00A44"/>
    <w:rsid w:val="00A00D18"/>
    <w:rsid w:val="00A012A5"/>
    <w:rsid w:val="00A0272A"/>
    <w:rsid w:val="00A03491"/>
    <w:rsid w:val="00A03A30"/>
    <w:rsid w:val="00A049E9"/>
    <w:rsid w:val="00A04E02"/>
    <w:rsid w:val="00A05D0C"/>
    <w:rsid w:val="00A06A89"/>
    <w:rsid w:val="00A12285"/>
    <w:rsid w:val="00A123BB"/>
    <w:rsid w:val="00A12584"/>
    <w:rsid w:val="00A12B3F"/>
    <w:rsid w:val="00A12FFF"/>
    <w:rsid w:val="00A13026"/>
    <w:rsid w:val="00A13211"/>
    <w:rsid w:val="00A135BE"/>
    <w:rsid w:val="00A14283"/>
    <w:rsid w:val="00A149DC"/>
    <w:rsid w:val="00A14A92"/>
    <w:rsid w:val="00A14C66"/>
    <w:rsid w:val="00A1600C"/>
    <w:rsid w:val="00A16620"/>
    <w:rsid w:val="00A20646"/>
    <w:rsid w:val="00A20EA3"/>
    <w:rsid w:val="00A20EF6"/>
    <w:rsid w:val="00A217E7"/>
    <w:rsid w:val="00A219AF"/>
    <w:rsid w:val="00A22E64"/>
    <w:rsid w:val="00A23ACF"/>
    <w:rsid w:val="00A24AE3"/>
    <w:rsid w:val="00A24C3F"/>
    <w:rsid w:val="00A251E3"/>
    <w:rsid w:val="00A25CC6"/>
    <w:rsid w:val="00A26701"/>
    <w:rsid w:val="00A268BC"/>
    <w:rsid w:val="00A307E8"/>
    <w:rsid w:val="00A312D8"/>
    <w:rsid w:val="00A31BA5"/>
    <w:rsid w:val="00A32093"/>
    <w:rsid w:val="00A32B81"/>
    <w:rsid w:val="00A34204"/>
    <w:rsid w:val="00A34944"/>
    <w:rsid w:val="00A35933"/>
    <w:rsid w:val="00A35C98"/>
    <w:rsid w:val="00A36290"/>
    <w:rsid w:val="00A406F1"/>
    <w:rsid w:val="00A40813"/>
    <w:rsid w:val="00A4172F"/>
    <w:rsid w:val="00A42372"/>
    <w:rsid w:val="00A432EA"/>
    <w:rsid w:val="00A434D5"/>
    <w:rsid w:val="00A4376C"/>
    <w:rsid w:val="00A45D68"/>
    <w:rsid w:val="00A45EE3"/>
    <w:rsid w:val="00A46052"/>
    <w:rsid w:val="00A46F33"/>
    <w:rsid w:val="00A475B4"/>
    <w:rsid w:val="00A47F29"/>
    <w:rsid w:val="00A50A6F"/>
    <w:rsid w:val="00A51D3B"/>
    <w:rsid w:val="00A5276E"/>
    <w:rsid w:val="00A52B94"/>
    <w:rsid w:val="00A52FA5"/>
    <w:rsid w:val="00A5331A"/>
    <w:rsid w:val="00A535F4"/>
    <w:rsid w:val="00A54582"/>
    <w:rsid w:val="00A55541"/>
    <w:rsid w:val="00A56307"/>
    <w:rsid w:val="00A56821"/>
    <w:rsid w:val="00A57AEC"/>
    <w:rsid w:val="00A60DB5"/>
    <w:rsid w:val="00A615B8"/>
    <w:rsid w:val="00A636AC"/>
    <w:rsid w:val="00A64C0C"/>
    <w:rsid w:val="00A64CEF"/>
    <w:rsid w:val="00A65873"/>
    <w:rsid w:val="00A66653"/>
    <w:rsid w:val="00A66658"/>
    <w:rsid w:val="00A6699A"/>
    <w:rsid w:val="00A66B7A"/>
    <w:rsid w:val="00A7049C"/>
    <w:rsid w:val="00A7292B"/>
    <w:rsid w:val="00A73625"/>
    <w:rsid w:val="00A740C8"/>
    <w:rsid w:val="00A7437A"/>
    <w:rsid w:val="00A74DA3"/>
    <w:rsid w:val="00A74F05"/>
    <w:rsid w:val="00A7567A"/>
    <w:rsid w:val="00A76B0F"/>
    <w:rsid w:val="00A76DB5"/>
    <w:rsid w:val="00A77088"/>
    <w:rsid w:val="00A771B1"/>
    <w:rsid w:val="00A779F4"/>
    <w:rsid w:val="00A80135"/>
    <w:rsid w:val="00A80288"/>
    <w:rsid w:val="00A808FE"/>
    <w:rsid w:val="00A80D69"/>
    <w:rsid w:val="00A80F99"/>
    <w:rsid w:val="00A81AF6"/>
    <w:rsid w:val="00A82427"/>
    <w:rsid w:val="00A8254E"/>
    <w:rsid w:val="00A8381C"/>
    <w:rsid w:val="00A83A74"/>
    <w:rsid w:val="00A84130"/>
    <w:rsid w:val="00A84761"/>
    <w:rsid w:val="00A8559B"/>
    <w:rsid w:val="00A85921"/>
    <w:rsid w:val="00A85A11"/>
    <w:rsid w:val="00A85AD2"/>
    <w:rsid w:val="00A87390"/>
    <w:rsid w:val="00A8741B"/>
    <w:rsid w:val="00A87A48"/>
    <w:rsid w:val="00A9156F"/>
    <w:rsid w:val="00A9199C"/>
    <w:rsid w:val="00A92315"/>
    <w:rsid w:val="00A92C73"/>
    <w:rsid w:val="00A9344F"/>
    <w:rsid w:val="00A93CFA"/>
    <w:rsid w:val="00A93DCE"/>
    <w:rsid w:val="00A95383"/>
    <w:rsid w:val="00A95534"/>
    <w:rsid w:val="00A95A7B"/>
    <w:rsid w:val="00A96EC8"/>
    <w:rsid w:val="00A9751D"/>
    <w:rsid w:val="00AA02D2"/>
    <w:rsid w:val="00AA0A20"/>
    <w:rsid w:val="00AA1441"/>
    <w:rsid w:val="00AA29F4"/>
    <w:rsid w:val="00AA2B6A"/>
    <w:rsid w:val="00AA373E"/>
    <w:rsid w:val="00AA3EDD"/>
    <w:rsid w:val="00AA489A"/>
    <w:rsid w:val="00AA5753"/>
    <w:rsid w:val="00AA59EB"/>
    <w:rsid w:val="00AA5B80"/>
    <w:rsid w:val="00AA5BD6"/>
    <w:rsid w:val="00AA68AE"/>
    <w:rsid w:val="00AA6CAF"/>
    <w:rsid w:val="00AA7CA2"/>
    <w:rsid w:val="00AB0594"/>
    <w:rsid w:val="00AB160A"/>
    <w:rsid w:val="00AB17F9"/>
    <w:rsid w:val="00AB204C"/>
    <w:rsid w:val="00AB2166"/>
    <w:rsid w:val="00AB296D"/>
    <w:rsid w:val="00AB3A48"/>
    <w:rsid w:val="00AB41AE"/>
    <w:rsid w:val="00AB4286"/>
    <w:rsid w:val="00AB43D9"/>
    <w:rsid w:val="00AB4C05"/>
    <w:rsid w:val="00AB52FF"/>
    <w:rsid w:val="00AB5367"/>
    <w:rsid w:val="00AB5D09"/>
    <w:rsid w:val="00AC0A7E"/>
    <w:rsid w:val="00AC0EFB"/>
    <w:rsid w:val="00AC134B"/>
    <w:rsid w:val="00AC366E"/>
    <w:rsid w:val="00AC3DE9"/>
    <w:rsid w:val="00AC4995"/>
    <w:rsid w:val="00AC4A13"/>
    <w:rsid w:val="00AC4B9B"/>
    <w:rsid w:val="00AC690A"/>
    <w:rsid w:val="00AC69C1"/>
    <w:rsid w:val="00AC7525"/>
    <w:rsid w:val="00AC7C0D"/>
    <w:rsid w:val="00AC7EEE"/>
    <w:rsid w:val="00AD070C"/>
    <w:rsid w:val="00AD0DC7"/>
    <w:rsid w:val="00AD3E83"/>
    <w:rsid w:val="00AD3FDF"/>
    <w:rsid w:val="00AD559E"/>
    <w:rsid w:val="00AD57B2"/>
    <w:rsid w:val="00AD665B"/>
    <w:rsid w:val="00AD6C4D"/>
    <w:rsid w:val="00AD6F55"/>
    <w:rsid w:val="00AE2663"/>
    <w:rsid w:val="00AE2CD4"/>
    <w:rsid w:val="00AE2F4F"/>
    <w:rsid w:val="00AE59FA"/>
    <w:rsid w:val="00AE61A6"/>
    <w:rsid w:val="00AE6BA9"/>
    <w:rsid w:val="00AE7B9E"/>
    <w:rsid w:val="00AF0262"/>
    <w:rsid w:val="00AF0341"/>
    <w:rsid w:val="00AF0E59"/>
    <w:rsid w:val="00AF20D9"/>
    <w:rsid w:val="00AF2540"/>
    <w:rsid w:val="00AF2F85"/>
    <w:rsid w:val="00AF5507"/>
    <w:rsid w:val="00AF70CB"/>
    <w:rsid w:val="00AF7C99"/>
    <w:rsid w:val="00B0105F"/>
    <w:rsid w:val="00B01C52"/>
    <w:rsid w:val="00B030BE"/>
    <w:rsid w:val="00B040D5"/>
    <w:rsid w:val="00B04BF5"/>
    <w:rsid w:val="00B051FF"/>
    <w:rsid w:val="00B053EF"/>
    <w:rsid w:val="00B0594B"/>
    <w:rsid w:val="00B06558"/>
    <w:rsid w:val="00B066FA"/>
    <w:rsid w:val="00B06C72"/>
    <w:rsid w:val="00B06D78"/>
    <w:rsid w:val="00B075F4"/>
    <w:rsid w:val="00B108C5"/>
    <w:rsid w:val="00B1130F"/>
    <w:rsid w:val="00B122EA"/>
    <w:rsid w:val="00B14552"/>
    <w:rsid w:val="00B173EF"/>
    <w:rsid w:val="00B174CF"/>
    <w:rsid w:val="00B20432"/>
    <w:rsid w:val="00B2046E"/>
    <w:rsid w:val="00B204BC"/>
    <w:rsid w:val="00B2053C"/>
    <w:rsid w:val="00B2099C"/>
    <w:rsid w:val="00B2107A"/>
    <w:rsid w:val="00B2146B"/>
    <w:rsid w:val="00B22F44"/>
    <w:rsid w:val="00B239E5"/>
    <w:rsid w:val="00B23A46"/>
    <w:rsid w:val="00B24DBA"/>
    <w:rsid w:val="00B259E7"/>
    <w:rsid w:val="00B2669F"/>
    <w:rsid w:val="00B276CF"/>
    <w:rsid w:val="00B279BC"/>
    <w:rsid w:val="00B3073B"/>
    <w:rsid w:val="00B31316"/>
    <w:rsid w:val="00B32015"/>
    <w:rsid w:val="00B3224D"/>
    <w:rsid w:val="00B323E8"/>
    <w:rsid w:val="00B324A5"/>
    <w:rsid w:val="00B33663"/>
    <w:rsid w:val="00B34938"/>
    <w:rsid w:val="00B34B5D"/>
    <w:rsid w:val="00B34E8E"/>
    <w:rsid w:val="00B3608A"/>
    <w:rsid w:val="00B36FD2"/>
    <w:rsid w:val="00B37405"/>
    <w:rsid w:val="00B37780"/>
    <w:rsid w:val="00B4154B"/>
    <w:rsid w:val="00B427CD"/>
    <w:rsid w:val="00B42F3D"/>
    <w:rsid w:val="00B43367"/>
    <w:rsid w:val="00B435C7"/>
    <w:rsid w:val="00B4551C"/>
    <w:rsid w:val="00B460AF"/>
    <w:rsid w:val="00B46173"/>
    <w:rsid w:val="00B463DB"/>
    <w:rsid w:val="00B4738E"/>
    <w:rsid w:val="00B50677"/>
    <w:rsid w:val="00B5096B"/>
    <w:rsid w:val="00B50C5F"/>
    <w:rsid w:val="00B50CB8"/>
    <w:rsid w:val="00B51150"/>
    <w:rsid w:val="00B51632"/>
    <w:rsid w:val="00B51E1C"/>
    <w:rsid w:val="00B52010"/>
    <w:rsid w:val="00B52F8C"/>
    <w:rsid w:val="00B532C5"/>
    <w:rsid w:val="00B5339D"/>
    <w:rsid w:val="00B54AFB"/>
    <w:rsid w:val="00B55368"/>
    <w:rsid w:val="00B55D32"/>
    <w:rsid w:val="00B55FF3"/>
    <w:rsid w:val="00B562BE"/>
    <w:rsid w:val="00B574E7"/>
    <w:rsid w:val="00B605F2"/>
    <w:rsid w:val="00B6108B"/>
    <w:rsid w:val="00B618B3"/>
    <w:rsid w:val="00B61EE3"/>
    <w:rsid w:val="00B628F0"/>
    <w:rsid w:val="00B62B1F"/>
    <w:rsid w:val="00B63137"/>
    <w:rsid w:val="00B631EB"/>
    <w:rsid w:val="00B64488"/>
    <w:rsid w:val="00B647A4"/>
    <w:rsid w:val="00B6534F"/>
    <w:rsid w:val="00B65916"/>
    <w:rsid w:val="00B65A77"/>
    <w:rsid w:val="00B66022"/>
    <w:rsid w:val="00B662B2"/>
    <w:rsid w:val="00B662C7"/>
    <w:rsid w:val="00B66B61"/>
    <w:rsid w:val="00B66FE2"/>
    <w:rsid w:val="00B6763B"/>
    <w:rsid w:val="00B67CBD"/>
    <w:rsid w:val="00B70303"/>
    <w:rsid w:val="00B703A8"/>
    <w:rsid w:val="00B70C4C"/>
    <w:rsid w:val="00B7121B"/>
    <w:rsid w:val="00B71B72"/>
    <w:rsid w:val="00B72552"/>
    <w:rsid w:val="00B73ACA"/>
    <w:rsid w:val="00B743BC"/>
    <w:rsid w:val="00B745C1"/>
    <w:rsid w:val="00B75AE3"/>
    <w:rsid w:val="00B75C0A"/>
    <w:rsid w:val="00B76F2E"/>
    <w:rsid w:val="00B80429"/>
    <w:rsid w:val="00B80E91"/>
    <w:rsid w:val="00B81192"/>
    <w:rsid w:val="00B81F21"/>
    <w:rsid w:val="00B820AE"/>
    <w:rsid w:val="00B82414"/>
    <w:rsid w:val="00B849DC"/>
    <w:rsid w:val="00B85B6B"/>
    <w:rsid w:val="00B873B3"/>
    <w:rsid w:val="00B90175"/>
    <w:rsid w:val="00B91445"/>
    <w:rsid w:val="00B921A8"/>
    <w:rsid w:val="00B92579"/>
    <w:rsid w:val="00B92923"/>
    <w:rsid w:val="00B9299F"/>
    <w:rsid w:val="00B932D3"/>
    <w:rsid w:val="00B938FF"/>
    <w:rsid w:val="00B95212"/>
    <w:rsid w:val="00B9693A"/>
    <w:rsid w:val="00B97B3F"/>
    <w:rsid w:val="00BA1B38"/>
    <w:rsid w:val="00BA2425"/>
    <w:rsid w:val="00BA2A3C"/>
    <w:rsid w:val="00BA3944"/>
    <w:rsid w:val="00BA4F3C"/>
    <w:rsid w:val="00BA5458"/>
    <w:rsid w:val="00BA586E"/>
    <w:rsid w:val="00BA6D9B"/>
    <w:rsid w:val="00BA739D"/>
    <w:rsid w:val="00BA7B5B"/>
    <w:rsid w:val="00BA7E16"/>
    <w:rsid w:val="00BB077F"/>
    <w:rsid w:val="00BB1225"/>
    <w:rsid w:val="00BB13E6"/>
    <w:rsid w:val="00BB18C2"/>
    <w:rsid w:val="00BB23E8"/>
    <w:rsid w:val="00BB2E26"/>
    <w:rsid w:val="00BB2E4F"/>
    <w:rsid w:val="00BB344C"/>
    <w:rsid w:val="00BB467A"/>
    <w:rsid w:val="00BB5DBD"/>
    <w:rsid w:val="00BB7C07"/>
    <w:rsid w:val="00BC21E5"/>
    <w:rsid w:val="00BC3D6E"/>
    <w:rsid w:val="00BC40E7"/>
    <w:rsid w:val="00BC4A2E"/>
    <w:rsid w:val="00BC57E3"/>
    <w:rsid w:val="00BC59E4"/>
    <w:rsid w:val="00BC615B"/>
    <w:rsid w:val="00BC7077"/>
    <w:rsid w:val="00BC7D87"/>
    <w:rsid w:val="00BC7DCC"/>
    <w:rsid w:val="00BC7EEE"/>
    <w:rsid w:val="00BD09D1"/>
    <w:rsid w:val="00BD19AE"/>
    <w:rsid w:val="00BD200E"/>
    <w:rsid w:val="00BD2715"/>
    <w:rsid w:val="00BD2D79"/>
    <w:rsid w:val="00BD2DFC"/>
    <w:rsid w:val="00BD4FB8"/>
    <w:rsid w:val="00BD516E"/>
    <w:rsid w:val="00BD51D7"/>
    <w:rsid w:val="00BD58AB"/>
    <w:rsid w:val="00BD5C6F"/>
    <w:rsid w:val="00BD5E85"/>
    <w:rsid w:val="00BD6414"/>
    <w:rsid w:val="00BD6874"/>
    <w:rsid w:val="00BD6EFE"/>
    <w:rsid w:val="00BD7C63"/>
    <w:rsid w:val="00BE029E"/>
    <w:rsid w:val="00BE093C"/>
    <w:rsid w:val="00BE18C8"/>
    <w:rsid w:val="00BE339F"/>
    <w:rsid w:val="00BE3D0B"/>
    <w:rsid w:val="00BE43EE"/>
    <w:rsid w:val="00BE50FE"/>
    <w:rsid w:val="00BE5958"/>
    <w:rsid w:val="00BE5A1F"/>
    <w:rsid w:val="00BE70CA"/>
    <w:rsid w:val="00BE74A9"/>
    <w:rsid w:val="00BE74DC"/>
    <w:rsid w:val="00BF0161"/>
    <w:rsid w:val="00BF071D"/>
    <w:rsid w:val="00BF10B1"/>
    <w:rsid w:val="00BF2CC2"/>
    <w:rsid w:val="00BF32E0"/>
    <w:rsid w:val="00BF4B48"/>
    <w:rsid w:val="00C00B3F"/>
    <w:rsid w:val="00C01BE1"/>
    <w:rsid w:val="00C01E1C"/>
    <w:rsid w:val="00C027C9"/>
    <w:rsid w:val="00C02A30"/>
    <w:rsid w:val="00C02E48"/>
    <w:rsid w:val="00C05048"/>
    <w:rsid w:val="00C06AA9"/>
    <w:rsid w:val="00C07023"/>
    <w:rsid w:val="00C07DE0"/>
    <w:rsid w:val="00C12776"/>
    <w:rsid w:val="00C136C3"/>
    <w:rsid w:val="00C15158"/>
    <w:rsid w:val="00C1534C"/>
    <w:rsid w:val="00C162F4"/>
    <w:rsid w:val="00C163FD"/>
    <w:rsid w:val="00C17E3B"/>
    <w:rsid w:val="00C21A45"/>
    <w:rsid w:val="00C230C6"/>
    <w:rsid w:val="00C231AC"/>
    <w:rsid w:val="00C242F1"/>
    <w:rsid w:val="00C2449A"/>
    <w:rsid w:val="00C26466"/>
    <w:rsid w:val="00C26F5A"/>
    <w:rsid w:val="00C27476"/>
    <w:rsid w:val="00C27866"/>
    <w:rsid w:val="00C27E86"/>
    <w:rsid w:val="00C27EF9"/>
    <w:rsid w:val="00C3018F"/>
    <w:rsid w:val="00C30671"/>
    <w:rsid w:val="00C3206F"/>
    <w:rsid w:val="00C3221D"/>
    <w:rsid w:val="00C32A05"/>
    <w:rsid w:val="00C32B5A"/>
    <w:rsid w:val="00C32EA0"/>
    <w:rsid w:val="00C334CE"/>
    <w:rsid w:val="00C338C9"/>
    <w:rsid w:val="00C366D3"/>
    <w:rsid w:val="00C37039"/>
    <w:rsid w:val="00C3774F"/>
    <w:rsid w:val="00C43D4E"/>
    <w:rsid w:val="00C4527F"/>
    <w:rsid w:val="00C4566E"/>
    <w:rsid w:val="00C45C63"/>
    <w:rsid w:val="00C46F08"/>
    <w:rsid w:val="00C47095"/>
    <w:rsid w:val="00C471B2"/>
    <w:rsid w:val="00C4724E"/>
    <w:rsid w:val="00C47696"/>
    <w:rsid w:val="00C477DB"/>
    <w:rsid w:val="00C47F11"/>
    <w:rsid w:val="00C47FB4"/>
    <w:rsid w:val="00C510E8"/>
    <w:rsid w:val="00C51626"/>
    <w:rsid w:val="00C52867"/>
    <w:rsid w:val="00C52D86"/>
    <w:rsid w:val="00C53BED"/>
    <w:rsid w:val="00C55859"/>
    <w:rsid w:val="00C574BF"/>
    <w:rsid w:val="00C577C8"/>
    <w:rsid w:val="00C57866"/>
    <w:rsid w:val="00C606FB"/>
    <w:rsid w:val="00C60BF8"/>
    <w:rsid w:val="00C61967"/>
    <w:rsid w:val="00C62E62"/>
    <w:rsid w:val="00C63E30"/>
    <w:rsid w:val="00C63F57"/>
    <w:rsid w:val="00C660DD"/>
    <w:rsid w:val="00C66F08"/>
    <w:rsid w:val="00C6724F"/>
    <w:rsid w:val="00C67447"/>
    <w:rsid w:val="00C67A32"/>
    <w:rsid w:val="00C7236B"/>
    <w:rsid w:val="00C727B8"/>
    <w:rsid w:val="00C73967"/>
    <w:rsid w:val="00C73F04"/>
    <w:rsid w:val="00C74512"/>
    <w:rsid w:val="00C7523C"/>
    <w:rsid w:val="00C774D4"/>
    <w:rsid w:val="00C77801"/>
    <w:rsid w:val="00C77A0D"/>
    <w:rsid w:val="00C80981"/>
    <w:rsid w:val="00C80E65"/>
    <w:rsid w:val="00C81CD3"/>
    <w:rsid w:val="00C8224A"/>
    <w:rsid w:val="00C82E0E"/>
    <w:rsid w:val="00C82E98"/>
    <w:rsid w:val="00C84877"/>
    <w:rsid w:val="00C85077"/>
    <w:rsid w:val="00C85903"/>
    <w:rsid w:val="00C86C4E"/>
    <w:rsid w:val="00C903ED"/>
    <w:rsid w:val="00C92C2A"/>
    <w:rsid w:val="00C93120"/>
    <w:rsid w:val="00C94023"/>
    <w:rsid w:val="00C95FFB"/>
    <w:rsid w:val="00C96EBF"/>
    <w:rsid w:val="00C975A2"/>
    <w:rsid w:val="00C976B8"/>
    <w:rsid w:val="00C97A31"/>
    <w:rsid w:val="00C97F87"/>
    <w:rsid w:val="00CA087B"/>
    <w:rsid w:val="00CA161C"/>
    <w:rsid w:val="00CA1BE6"/>
    <w:rsid w:val="00CA293F"/>
    <w:rsid w:val="00CA2F5F"/>
    <w:rsid w:val="00CA514D"/>
    <w:rsid w:val="00CA69B2"/>
    <w:rsid w:val="00CA7035"/>
    <w:rsid w:val="00CA71DA"/>
    <w:rsid w:val="00CA762F"/>
    <w:rsid w:val="00CA7B5F"/>
    <w:rsid w:val="00CB01EF"/>
    <w:rsid w:val="00CB0EF2"/>
    <w:rsid w:val="00CB219C"/>
    <w:rsid w:val="00CB35BD"/>
    <w:rsid w:val="00CB4A27"/>
    <w:rsid w:val="00CB74CB"/>
    <w:rsid w:val="00CC0CAB"/>
    <w:rsid w:val="00CC2CFE"/>
    <w:rsid w:val="00CC2D4B"/>
    <w:rsid w:val="00CC343B"/>
    <w:rsid w:val="00CC3916"/>
    <w:rsid w:val="00CC4624"/>
    <w:rsid w:val="00CC5392"/>
    <w:rsid w:val="00CC539D"/>
    <w:rsid w:val="00CC6623"/>
    <w:rsid w:val="00CC7707"/>
    <w:rsid w:val="00CD0691"/>
    <w:rsid w:val="00CD081F"/>
    <w:rsid w:val="00CD0E46"/>
    <w:rsid w:val="00CD1831"/>
    <w:rsid w:val="00CD2479"/>
    <w:rsid w:val="00CD2DF5"/>
    <w:rsid w:val="00CD3001"/>
    <w:rsid w:val="00CD31A0"/>
    <w:rsid w:val="00CD43D8"/>
    <w:rsid w:val="00CD5D90"/>
    <w:rsid w:val="00CD6FC7"/>
    <w:rsid w:val="00CD711D"/>
    <w:rsid w:val="00CE09B1"/>
    <w:rsid w:val="00CE1192"/>
    <w:rsid w:val="00CE1C9D"/>
    <w:rsid w:val="00CE2CFD"/>
    <w:rsid w:val="00CE3C1F"/>
    <w:rsid w:val="00CE487D"/>
    <w:rsid w:val="00CE5750"/>
    <w:rsid w:val="00CE6100"/>
    <w:rsid w:val="00CE7D5D"/>
    <w:rsid w:val="00CF120F"/>
    <w:rsid w:val="00CF166A"/>
    <w:rsid w:val="00CF2316"/>
    <w:rsid w:val="00CF2DE5"/>
    <w:rsid w:val="00CF37B8"/>
    <w:rsid w:val="00CF396C"/>
    <w:rsid w:val="00CF3AA6"/>
    <w:rsid w:val="00CF3BFB"/>
    <w:rsid w:val="00CF42E9"/>
    <w:rsid w:val="00CF46FF"/>
    <w:rsid w:val="00CF6148"/>
    <w:rsid w:val="00D00569"/>
    <w:rsid w:val="00D011BF"/>
    <w:rsid w:val="00D02372"/>
    <w:rsid w:val="00D02804"/>
    <w:rsid w:val="00D028EF"/>
    <w:rsid w:val="00D0370F"/>
    <w:rsid w:val="00D03E31"/>
    <w:rsid w:val="00D040C1"/>
    <w:rsid w:val="00D050E0"/>
    <w:rsid w:val="00D06563"/>
    <w:rsid w:val="00D07257"/>
    <w:rsid w:val="00D07884"/>
    <w:rsid w:val="00D102A7"/>
    <w:rsid w:val="00D11B5F"/>
    <w:rsid w:val="00D11D12"/>
    <w:rsid w:val="00D11EE4"/>
    <w:rsid w:val="00D123B5"/>
    <w:rsid w:val="00D1288A"/>
    <w:rsid w:val="00D139A5"/>
    <w:rsid w:val="00D15473"/>
    <w:rsid w:val="00D1773D"/>
    <w:rsid w:val="00D20FF1"/>
    <w:rsid w:val="00D211A0"/>
    <w:rsid w:val="00D21B0F"/>
    <w:rsid w:val="00D2229D"/>
    <w:rsid w:val="00D23D33"/>
    <w:rsid w:val="00D24106"/>
    <w:rsid w:val="00D24C51"/>
    <w:rsid w:val="00D26B00"/>
    <w:rsid w:val="00D26D2B"/>
    <w:rsid w:val="00D27A22"/>
    <w:rsid w:val="00D27F10"/>
    <w:rsid w:val="00D3005B"/>
    <w:rsid w:val="00D302B7"/>
    <w:rsid w:val="00D30F97"/>
    <w:rsid w:val="00D314FB"/>
    <w:rsid w:val="00D32807"/>
    <w:rsid w:val="00D33169"/>
    <w:rsid w:val="00D333B8"/>
    <w:rsid w:val="00D3440B"/>
    <w:rsid w:val="00D347BF"/>
    <w:rsid w:val="00D35133"/>
    <w:rsid w:val="00D353F4"/>
    <w:rsid w:val="00D357B5"/>
    <w:rsid w:val="00D405A6"/>
    <w:rsid w:val="00D409B8"/>
    <w:rsid w:val="00D40A31"/>
    <w:rsid w:val="00D40A74"/>
    <w:rsid w:val="00D4273D"/>
    <w:rsid w:val="00D42AD3"/>
    <w:rsid w:val="00D44770"/>
    <w:rsid w:val="00D449DB"/>
    <w:rsid w:val="00D44EA3"/>
    <w:rsid w:val="00D4597E"/>
    <w:rsid w:val="00D46258"/>
    <w:rsid w:val="00D470F6"/>
    <w:rsid w:val="00D5091D"/>
    <w:rsid w:val="00D50AA9"/>
    <w:rsid w:val="00D50AED"/>
    <w:rsid w:val="00D5434A"/>
    <w:rsid w:val="00D549A5"/>
    <w:rsid w:val="00D5525F"/>
    <w:rsid w:val="00D55CAD"/>
    <w:rsid w:val="00D56B5D"/>
    <w:rsid w:val="00D5758F"/>
    <w:rsid w:val="00D60844"/>
    <w:rsid w:val="00D6129E"/>
    <w:rsid w:val="00D61FCA"/>
    <w:rsid w:val="00D62319"/>
    <w:rsid w:val="00D62FD7"/>
    <w:rsid w:val="00D6331F"/>
    <w:rsid w:val="00D63793"/>
    <w:rsid w:val="00D64418"/>
    <w:rsid w:val="00D67996"/>
    <w:rsid w:val="00D67EFE"/>
    <w:rsid w:val="00D70D0C"/>
    <w:rsid w:val="00D72FAE"/>
    <w:rsid w:val="00D73611"/>
    <w:rsid w:val="00D7445C"/>
    <w:rsid w:val="00D74776"/>
    <w:rsid w:val="00D75972"/>
    <w:rsid w:val="00D76B5D"/>
    <w:rsid w:val="00D77E44"/>
    <w:rsid w:val="00D81D21"/>
    <w:rsid w:val="00D825DA"/>
    <w:rsid w:val="00D8272D"/>
    <w:rsid w:val="00D82D98"/>
    <w:rsid w:val="00D83AC7"/>
    <w:rsid w:val="00D86220"/>
    <w:rsid w:val="00D87562"/>
    <w:rsid w:val="00D90810"/>
    <w:rsid w:val="00D91AB6"/>
    <w:rsid w:val="00D9299E"/>
    <w:rsid w:val="00D93342"/>
    <w:rsid w:val="00D93853"/>
    <w:rsid w:val="00D941E1"/>
    <w:rsid w:val="00D96A7E"/>
    <w:rsid w:val="00D97334"/>
    <w:rsid w:val="00D97505"/>
    <w:rsid w:val="00D97586"/>
    <w:rsid w:val="00D97D2D"/>
    <w:rsid w:val="00DA0132"/>
    <w:rsid w:val="00DA02CE"/>
    <w:rsid w:val="00DA0EE4"/>
    <w:rsid w:val="00DA167F"/>
    <w:rsid w:val="00DA1F50"/>
    <w:rsid w:val="00DA2EFA"/>
    <w:rsid w:val="00DA3532"/>
    <w:rsid w:val="00DA356C"/>
    <w:rsid w:val="00DA4385"/>
    <w:rsid w:val="00DA4638"/>
    <w:rsid w:val="00DA5E51"/>
    <w:rsid w:val="00DA6479"/>
    <w:rsid w:val="00DA6A1F"/>
    <w:rsid w:val="00DB013F"/>
    <w:rsid w:val="00DB09F3"/>
    <w:rsid w:val="00DB2A6D"/>
    <w:rsid w:val="00DB36DB"/>
    <w:rsid w:val="00DB3ACD"/>
    <w:rsid w:val="00DB3C65"/>
    <w:rsid w:val="00DB5B90"/>
    <w:rsid w:val="00DB610B"/>
    <w:rsid w:val="00DB6597"/>
    <w:rsid w:val="00DB6AB2"/>
    <w:rsid w:val="00DB6D67"/>
    <w:rsid w:val="00DB7DD3"/>
    <w:rsid w:val="00DC2093"/>
    <w:rsid w:val="00DC46C7"/>
    <w:rsid w:val="00DC4FA6"/>
    <w:rsid w:val="00DC5C22"/>
    <w:rsid w:val="00DC6F66"/>
    <w:rsid w:val="00DC707A"/>
    <w:rsid w:val="00DC73D2"/>
    <w:rsid w:val="00DC74E2"/>
    <w:rsid w:val="00DC7C34"/>
    <w:rsid w:val="00DD0701"/>
    <w:rsid w:val="00DD2C3D"/>
    <w:rsid w:val="00DD2FE6"/>
    <w:rsid w:val="00DD3C54"/>
    <w:rsid w:val="00DD60F8"/>
    <w:rsid w:val="00DD6F74"/>
    <w:rsid w:val="00DD7B58"/>
    <w:rsid w:val="00DD7C33"/>
    <w:rsid w:val="00DE01C0"/>
    <w:rsid w:val="00DE02BF"/>
    <w:rsid w:val="00DE0F59"/>
    <w:rsid w:val="00DE1852"/>
    <w:rsid w:val="00DE1B1B"/>
    <w:rsid w:val="00DE2739"/>
    <w:rsid w:val="00DE3EF5"/>
    <w:rsid w:val="00DE5303"/>
    <w:rsid w:val="00DE5E8F"/>
    <w:rsid w:val="00DE62E7"/>
    <w:rsid w:val="00DE6368"/>
    <w:rsid w:val="00DE70EA"/>
    <w:rsid w:val="00DF06A0"/>
    <w:rsid w:val="00DF0BEA"/>
    <w:rsid w:val="00DF347A"/>
    <w:rsid w:val="00DF3841"/>
    <w:rsid w:val="00DF3976"/>
    <w:rsid w:val="00DF43D8"/>
    <w:rsid w:val="00DF4608"/>
    <w:rsid w:val="00DF46A4"/>
    <w:rsid w:val="00DF6CB1"/>
    <w:rsid w:val="00E006BE"/>
    <w:rsid w:val="00E00C6F"/>
    <w:rsid w:val="00E013FF"/>
    <w:rsid w:val="00E01825"/>
    <w:rsid w:val="00E01898"/>
    <w:rsid w:val="00E02C02"/>
    <w:rsid w:val="00E0392E"/>
    <w:rsid w:val="00E03BB9"/>
    <w:rsid w:val="00E07888"/>
    <w:rsid w:val="00E10865"/>
    <w:rsid w:val="00E132DE"/>
    <w:rsid w:val="00E14D14"/>
    <w:rsid w:val="00E16891"/>
    <w:rsid w:val="00E16B1A"/>
    <w:rsid w:val="00E16C06"/>
    <w:rsid w:val="00E17291"/>
    <w:rsid w:val="00E17695"/>
    <w:rsid w:val="00E17795"/>
    <w:rsid w:val="00E177F0"/>
    <w:rsid w:val="00E21D73"/>
    <w:rsid w:val="00E21F04"/>
    <w:rsid w:val="00E22955"/>
    <w:rsid w:val="00E23202"/>
    <w:rsid w:val="00E233BD"/>
    <w:rsid w:val="00E23858"/>
    <w:rsid w:val="00E23AEE"/>
    <w:rsid w:val="00E26CB9"/>
    <w:rsid w:val="00E26F58"/>
    <w:rsid w:val="00E276E3"/>
    <w:rsid w:val="00E276E8"/>
    <w:rsid w:val="00E30D78"/>
    <w:rsid w:val="00E3133B"/>
    <w:rsid w:val="00E31E6B"/>
    <w:rsid w:val="00E32625"/>
    <w:rsid w:val="00E32971"/>
    <w:rsid w:val="00E33CC2"/>
    <w:rsid w:val="00E33E22"/>
    <w:rsid w:val="00E34207"/>
    <w:rsid w:val="00E3449D"/>
    <w:rsid w:val="00E349BC"/>
    <w:rsid w:val="00E35448"/>
    <w:rsid w:val="00E35810"/>
    <w:rsid w:val="00E40E2A"/>
    <w:rsid w:val="00E41072"/>
    <w:rsid w:val="00E41D9C"/>
    <w:rsid w:val="00E422AF"/>
    <w:rsid w:val="00E422D1"/>
    <w:rsid w:val="00E448D5"/>
    <w:rsid w:val="00E453E7"/>
    <w:rsid w:val="00E46089"/>
    <w:rsid w:val="00E460CC"/>
    <w:rsid w:val="00E46B55"/>
    <w:rsid w:val="00E47085"/>
    <w:rsid w:val="00E47364"/>
    <w:rsid w:val="00E473B9"/>
    <w:rsid w:val="00E475A7"/>
    <w:rsid w:val="00E506CE"/>
    <w:rsid w:val="00E50968"/>
    <w:rsid w:val="00E5106A"/>
    <w:rsid w:val="00E526A4"/>
    <w:rsid w:val="00E53253"/>
    <w:rsid w:val="00E535D6"/>
    <w:rsid w:val="00E53A9A"/>
    <w:rsid w:val="00E5729C"/>
    <w:rsid w:val="00E613BA"/>
    <w:rsid w:val="00E61492"/>
    <w:rsid w:val="00E617B9"/>
    <w:rsid w:val="00E62775"/>
    <w:rsid w:val="00E62D5A"/>
    <w:rsid w:val="00E636F0"/>
    <w:rsid w:val="00E6396A"/>
    <w:rsid w:val="00E641B1"/>
    <w:rsid w:val="00E65980"/>
    <w:rsid w:val="00E65AEB"/>
    <w:rsid w:val="00E67590"/>
    <w:rsid w:val="00E7034B"/>
    <w:rsid w:val="00E71477"/>
    <w:rsid w:val="00E72A19"/>
    <w:rsid w:val="00E73064"/>
    <w:rsid w:val="00E738D2"/>
    <w:rsid w:val="00E73CDC"/>
    <w:rsid w:val="00E772C7"/>
    <w:rsid w:val="00E77579"/>
    <w:rsid w:val="00E7758E"/>
    <w:rsid w:val="00E77BEE"/>
    <w:rsid w:val="00E8058A"/>
    <w:rsid w:val="00E80DE5"/>
    <w:rsid w:val="00E81663"/>
    <w:rsid w:val="00E81C2C"/>
    <w:rsid w:val="00E82182"/>
    <w:rsid w:val="00E82D16"/>
    <w:rsid w:val="00E82F1C"/>
    <w:rsid w:val="00E8419F"/>
    <w:rsid w:val="00E84A47"/>
    <w:rsid w:val="00E851DB"/>
    <w:rsid w:val="00E86E63"/>
    <w:rsid w:val="00E86F7E"/>
    <w:rsid w:val="00E904B2"/>
    <w:rsid w:val="00E908F9"/>
    <w:rsid w:val="00E9144E"/>
    <w:rsid w:val="00E9155E"/>
    <w:rsid w:val="00E92D33"/>
    <w:rsid w:val="00E9344C"/>
    <w:rsid w:val="00E9357A"/>
    <w:rsid w:val="00E93CF2"/>
    <w:rsid w:val="00E95711"/>
    <w:rsid w:val="00E95C18"/>
    <w:rsid w:val="00E95E5F"/>
    <w:rsid w:val="00E96FFE"/>
    <w:rsid w:val="00E9729B"/>
    <w:rsid w:val="00E973F5"/>
    <w:rsid w:val="00E97B93"/>
    <w:rsid w:val="00EA0307"/>
    <w:rsid w:val="00EA086E"/>
    <w:rsid w:val="00EA0C0E"/>
    <w:rsid w:val="00EA264D"/>
    <w:rsid w:val="00EA2B67"/>
    <w:rsid w:val="00EA3443"/>
    <w:rsid w:val="00EA4C31"/>
    <w:rsid w:val="00EA6D4D"/>
    <w:rsid w:val="00EA78FC"/>
    <w:rsid w:val="00EA7F7B"/>
    <w:rsid w:val="00EB016E"/>
    <w:rsid w:val="00EB0CCC"/>
    <w:rsid w:val="00EB12AE"/>
    <w:rsid w:val="00EB2A33"/>
    <w:rsid w:val="00EB3BE6"/>
    <w:rsid w:val="00EB41E9"/>
    <w:rsid w:val="00EB49CB"/>
    <w:rsid w:val="00EB572F"/>
    <w:rsid w:val="00EB5D10"/>
    <w:rsid w:val="00EB5DE5"/>
    <w:rsid w:val="00EB5EBC"/>
    <w:rsid w:val="00EB71BC"/>
    <w:rsid w:val="00EB771C"/>
    <w:rsid w:val="00EB7BB8"/>
    <w:rsid w:val="00EC0AA8"/>
    <w:rsid w:val="00EC0F98"/>
    <w:rsid w:val="00EC0FB8"/>
    <w:rsid w:val="00EC1211"/>
    <w:rsid w:val="00EC1FEF"/>
    <w:rsid w:val="00EC3042"/>
    <w:rsid w:val="00EC365E"/>
    <w:rsid w:val="00EC377E"/>
    <w:rsid w:val="00EC4ADE"/>
    <w:rsid w:val="00EC4CD3"/>
    <w:rsid w:val="00EC5A67"/>
    <w:rsid w:val="00EC5F88"/>
    <w:rsid w:val="00EC65DA"/>
    <w:rsid w:val="00EC6E99"/>
    <w:rsid w:val="00EC7C74"/>
    <w:rsid w:val="00EC7C9B"/>
    <w:rsid w:val="00EC7CBA"/>
    <w:rsid w:val="00ED051C"/>
    <w:rsid w:val="00ED059B"/>
    <w:rsid w:val="00ED0D43"/>
    <w:rsid w:val="00ED0E56"/>
    <w:rsid w:val="00ED12C3"/>
    <w:rsid w:val="00ED1B39"/>
    <w:rsid w:val="00ED1D67"/>
    <w:rsid w:val="00ED1FB5"/>
    <w:rsid w:val="00ED3A9C"/>
    <w:rsid w:val="00ED3AC7"/>
    <w:rsid w:val="00ED4452"/>
    <w:rsid w:val="00ED5857"/>
    <w:rsid w:val="00ED5ED0"/>
    <w:rsid w:val="00EE0192"/>
    <w:rsid w:val="00EE1252"/>
    <w:rsid w:val="00EE1DA0"/>
    <w:rsid w:val="00EE1F28"/>
    <w:rsid w:val="00EE2F26"/>
    <w:rsid w:val="00EE3917"/>
    <w:rsid w:val="00EE4529"/>
    <w:rsid w:val="00EE473E"/>
    <w:rsid w:val="00EE47FF"/>
    <w:rsid w:val="00EE6D97"/>
    <w:rsid w:val="00EE6EE9"/>
    <w:rsid w:val="00EE7911"/>
    <w:rsid w:val="00EF0125"/>
    <w:rsid w:val="00EF1360"/>
    <w:rsid w:val="00EF1900"/>
    <w:rsid w:val="00EF1B8D"/>
    <w:rsid w:val="00EF2384"/>
    <w:rsid w:val="00EF245A"/>
    <w:rsid w:val="00EF3000"/>
    <w:rsid w:val="00EF3B47"/>
    <w:rsid w:val="00EF3FFD"/>
    <w:rsid w:val="00EF57B7"/>
    <w:rsid w:val="00EF6517"/>
    <w:rsid w:val="00EF7A13"/>
    <w:rsid w:val="00F00416"/>
    <w:rsid w:val="00F00ED0"/>
    <w:rsid w:val="00F011EF"/>
    <w:rsid w:val="00F019C2"/>
    <w:rsid w:val="00F05A29"/>
    <w:rsid w:val="00F06DE8"/>
    <w:rsid w:val="00F1271E"/>
    <w:rsid w:val="00F14D85"/>
    <w:rsid w:val="00F15B3F"/>
    <w:rsid w:val="00F17A55"/>
    <w:rsid w:val="00F17FF1"/>
    <w:rsid w:val="00F21AED"/>
    <w:rsid w:val="00F225A6"/>
    <w:rsid w:val="00F22CD6"/>
    <w:rsid w:val="00F22E8B"/>
    <w:rsid w:val="00F236A2"/>
    <w:rsid w:val="00F25BBF"/>
    <w:rsid w:val="00F27549"/>
    <w:rsid w:val="00F2774D"/>
    <w:rsid w:val="00F30CA8"/>
    <w:rsid w:val="00F321D2"/>
    <w:rsid w:val="00F324E0"/>
    <w:rsid w:val="00F32EE7"/>
    <w:rsid w:val="00F335E6"/>
    <w:rsid w:val="00F34B9B"/>
    <w:rsid w:val="00F37503"/>
    <w:rsid w:val="00F37A89"/>
    <w:rsid w:val="00F37F0C"/>
    <w:rsid w:val="00F40B4C"/>
    <w:rsid w:val="00F41549"/>
    <w:rsid w:val="00F42D96"/>
    <w:rsid w:val="00F431DF"/>
    <w:rsid w:val="00F43FF3"/>
    <w:rsid w:val="00F45128"/>
    <w:rsid w:val="00F459ED"/>
    <w:rsid w:val="00F4677D"/>
    <w:rsid w:val="00F477CB"/>
    <w:rsid w:val="00F5124B"/>
    <w:rsid w:val="00F52100"/>
    <w:rsid w:val="00F521A3"/>
    <w:rsid w:val="00F53B2F"/>
    <w:rsid w:val="00F55184"/>
    <w:rsid w:val="00F56E76"/>
    <w:rsid w:val="00F60CB0"/>
    <w:rsid w:val="00F61126"/>
    <w:rsid w:val="00F61249"/>
    <w:rsid w:val="00F619C4"/>
    <w:rsid w:val="00F62FA4"/>
    <w:rsid w:val="00F631EE"/>
    <w:rsid w:val="00F640F9"/>
    <w:rsid w:val="00F6460B"/>
    <w:rsid w:val="00F648EB"/>
    <w:rsid w:val="00F64A35"/>
    <w:rsid w:val="00F65A63"/>
    <w:rsid w:val="00F65CA1"/>
    <w:rsid w:val="00F67213"/>
    <w:rsid w:val="00F71040"/>
    <w:rsid w:val="00F71A6A"/>
    <w:rsid w:val="00F732B2"/>
    <w:rsid w:val="00F736F8"/>
    <w:rsid w:val="00F73D18"/>
    <w:rsid w:val="00F73E69"/>
    <w:rsid w:val="00F74BBD"/>
    <w:rsid w:val="00F80A42"/>
    <w:rsid w:val="00F80C7C"/>
    <w:rsid w:val="00F80D75"/>
    <w:rsid w:val="00F80E0A"/>
    <w:rsid w:val="00F838FC"/>
    <w:rsid w:val="00F84062"/>
    <w:rsid w:val="00F85418"/>
    <w:rsid w:val="00F85490"/>
    <w:rsid w:val="00F858B1"/>
    <w:rsid w:val="00F866FB"/>
    <w:rsid w:val="00F867C1"/>
    <w:rsid w:val="00F8730D"/>
    <w:rsid w:val="00F87593"/>
    <w:rsid w:val="00F8786F"/>
    <w:rsid w:val="00F90024"/>
    <w:rsid w:val="00F905CE"/>
    <w:rsid w:val="00F90623"/>
    <w:rsid w:val="00F90A4C"/>
    <w:rsid w:val="00F91582"/>
    <w:rsid w:val="00F9162B"/>
    <w:rsid w:val="00F91CAE"/>
    <w:rsid w:val="00F925E7"/>
    <w:rsid w:val="00F927E8"/>
    <w:rsid w:val="00F9375B"/>
    <w:rsid w:val="00F93AD9"/>
    <w:rsid w:val="00F93BCD"/>
    <w:rsid w:val="00F9417E"/>
    <w:rsid w:val="00F9430A"/>
    <w:rsid w:val="00F94742"/>
    <w:rsid w:val="00F95AAA"/>
    <w:rsid w:val="00F961CE"/>
    <w:rsid w:val="00FA0592"/>
    <w:rsid w:val="00FA2521"/>
    <w:rsid w:val="00FA29F5"/>
    <w:rsid w:val="00FA58DB"/>
    <w:rsid w:val="00FA60BE"/>
    <w:rsid w:val="00FA66D1"/>
    <w:rsid w:val="00FA6F18"/>
    <w:rsid w:val="00FA7ABE"/>
    <w:rsid w:val="00FB07B8"/>
    <w:rsid w:val="00FB08D8"/>
    <w:rsid w:val="00FB1696"/>
    <w:rsid w:val="00FB1B48"/>
    <w:rsid w:val="00FB3B00"/>
    <w:rsid w:val="00FB417A"/>
    <w:rsid w:val="00FB5725"/>
    <w:rsid w:val="00FB6368"/>
    <w:rsid w:val="00FB66CB"/>
    <w:rsid w:val="00FB66F7"/>
    <w:rsid w:val="00FB6BAF"/>
    <w:rsid w:val="00FB7BBC"/>
    <w:rsid w:val="00FC0AD1"/>
    <w:rsid w:val="00FC1C47"/>
    <w:rsid w:val="00FC2229"/>
    <w:rsid w:val="00FC5341"/>
    <w:rsid w:val="00FC663E"/>
    <w:rsid w:val="00FC6F77"/>
    <w:rsid w:val="00FC7CD4"/>
    <w:rsid w:val="00FD05B9"/>
    <w:rsid w:val="00FD1328"/>
    <w:rsid w:val="00FD2E5B"/>
    <w:rsid w:val="00FD311A"/>
    <w:rsid w:val="00FD3AF9"/>
    <w:rsid w:val="00FD3E2F"/>
    <w:rsid w:val="00FD4A1F"/>
    <w:rsid w:val="00FD5413"/>
    <w:rsid w:val="00FD60FF"/>
    <w:rsid w:val="00FD69B4"/>
    <w:rsid w:val="00FD7577"/>
    <w:rsid w:val="00FE43D5"/>
    <w:rsid w:val="00FE4C4A"/>
    <w:rsid w:val="00FE527B"/>
    <w:rsid w:val="00FE5A58"/>
    <w:rsid w:val="00FE6BE6"/>
    <w:rsid w:val="00FE6E31"/>
    <w:rsid w:val="00FE7A53"/>
    <w:rsid w:val="00FF1E67"/>
    <w:rsid w:val="00FF2511"/>
    <w:rsid w:val="00FF2753"/>
    <w:rsid w:val="00FF390C"/>
    <w:rsid w:val="00FF3E6A"/>
    <w:rsid w:val="00FF42CB"/>
    <w:rsid w:val="00FF4E64"/>
    <w:rsid w:val="00FF576F"/>
    <w:rsid w:val="00FF6720"/>
    <w:rsid w:val="00FF6D0B"/>
    <w:rsid w:val="00FF6EFF"/>
    <w:rsid w:val="00FF728F"/>
    <w:rsid w:val="00FF7A30"/>
    <w:rsid w:val="00FF7AA1"/>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fr-FR" w:bidi="ar-SA"/>
      </w:rPr>
    </w:rPrDefault>
    <w:pPrDefault/>
  </w:docDefaults>
  <w:latentStyles w:defLockedState="0" w:defUIPriority="99" w:defSemiHidden="0" w:defUnhideWhenUsed="0" w:defQFormat="0" w:count="371">
    <w:lsdException w:name="heading 5"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semiHidden/>
    <w:rsid w:val="00D44770"/>
    <w:pPr>
      <w:jc w:val="both"/>
    </w:pPr>
    <w:rPr>
      <w:rFonts w:eastAsiaTheme="minorEastAsia"/>
      <w:sz w:val="24"/>
      <w:lang w:val="en-US" w:eastAsia="en-US"/>
    </w:rPr>
  </w:style>
  <w:style w:type="paragraph" w:styleId="Heading1">
    <w:name w:val="heading 1"/>
    <w:basedOn w:val="Normal"/>
    <w:next w:val="Normal"/>
    <w:link w:val="Heading1Char"/>
    <w:uiPriority w:val="99"/>
    <w:semiHidden/>
    <w:rsid w:val="004214B5"/>
    <w:pPr>
      <w:spacing w:before="480"/>
      <w:contextualSpacing/>
      <w:outlineLvl w:val="0"/>
    </w:pPr>
    <w:rPr>
      <w:rFonts w:asciiTheme="majorHAnsi" w:eastAsiaTheme="majorEastAsia" w:hAnsiTheme="majorHAnsi" w:cstheme="majorBidi"/>
      <w:b/>
      <w:bCs/>
      <w:color w:val="333333"/>
      <w:sz w:val="28"/>
      <w:szCs w:val="28"/>
    </w:rPr>
  </w:style>
  <w:style w:type="paragraph" w:styleId="Heading2">
    <w:name w:val="heading 2"/>
    <w:basedOn w:val="Normal"/>
    <w:next w:val="Normal"/>
    <w:link w:val="Heading2Char"/>
    <w:uiPriority w:val="99"/>
    <w:semiHidden/>
    <w:rsid w:val="004214B5"/>
    <w:pPr>
      <w:spacing w:before="200"/>
      <w:outlineLvl w:val="1"/>
    </w:pPr>
    <w:rPr>
      <w:rFonts w:asciiTheme="majorHAnsi" w:eastAsiaTheme="majorEastAsia" w:hAnsiTheme="majorHAnsi" w:cstheme="majorBidi"/>
      <w:b/>
      <w:bCs/>
      <w:color w:val="4D4D4D"/>
      <w:sz w:val="26"/>
      <w:szCs w:val="26"/>
    </w:rPr>
  </w:style>
  <w:style w:type="paragraph" w:styleId="Heading3">
    <w:name w:val="heading 3"/>
    <w:basedOn w:val="Normal"/>
    <w:next w:val="Normal"/>
    <w:link w:val="Heading3Char"/>
    <w:uiPriority w:val="99"/>
    <w:semiHidden/>
    <w:rsid w:val="004214B5"/>
    <w:pPr>
      <w:spacing w:before="200" w:line="271" w:lineRule="auto"/>
      <w:outlineLvl w:val="2"/>
    </w:pPr>
    <w:rPr>
      <w:rFonts w:asciiTheme="majorHAnsi" w:eastAsiaTheme="majorEastAsia" w:hAnsiTheme="majorHAnsi" w:cstheme="majorBidi"/>
      <w:b/>
      <w:bCs/>
      <w:color w:val="5F5F5F"/>
    </w:rPr>
  </w:style>
  <w:style w:type="paragraph" w:styleId="Heading4">
    <w:name w:val="heading 4"/>
    <w:basedOn w:val="Normal"/>
    <w:next w:val="Normal"/>
    <w:link w:val="Heading4Char"/>
    <w:uiPriority w:val="99"/>
    <w:semiHidden/>
    <w:rsid w:val="004214B5"/>
    <w:pPr>
      <w:spacing w:before="200"/>
      <w:outlineLvl w:val="3"/>
    </w:pPr>
    <w:rPr>
      <w:rFonts w:asciiTheme="majorHAnsi" w:eastAsiaTheme="majorEastAsia" w:hAnsiTheme="majorHAnsi" w:cstheme="majorBidi"/>
      <w:b/>
      <w:bCs/>
      <w:i/>
      <w:iCs/>
      <w:color w:val="777777"/>
    </w:rPr>
  </w:style>
  <w:style w:type="paragraph" w:styleId="Heading5">
    <w:name w:val="heading 5"/>
    <w:basedOn w:val="Normal"/>
    <w:next w:val="Normal"/>
    <w:link w:val="Heading5Char"/>
    <w:uiPriority w:val="99"/>
    <w:semiHidden/>
    <w:qFormat/>
    <w:rsid w:val="004214B5"/>
    <w:pPr>
      <w:spacing w:before="200"/>
      <w:outlineLvl w:val="4"/>
    </w:pPr>
    <w:rPr>
      <w:rFonts w:asciiTheme="majorHAnsi" w:eastAsiaTheme="majorEastAsia" w:hAnsiTheme="majorHAnsi" w:cstheme="majorBidi"/>
      <w:b/>
      <w:bCs/>
      <w:color w:val="808080"/>
      <w:sz w:val="22"/>
      <w:lang w:val="fr-FR" w:eastAsia="fr-FR"/>
    </w:rPr>
  </w:style>
  <w:style w:type="paragraph" w:styleId="Heading6">
    <w:name w:val="heading 6"/>
    <w:basedOn w:val="Normal"/>
    <w:next w:val="Normal"/>
    <w:link w:val="Heading6Char"/>
    <w:uiPriority w:val="99"/>
    <w:semiHidden/>
    <w:rsid w:val="004214B5"/>
    <w:pPr>
      <w:spacing w:line="271" w:lineRule="auto"/>
      <w:outlineLvl w:val="5"/>
    </w:pPr>
    <w:rPr>
      <w:rFonts w:asciiTheme="majorHAnsi" w:eastAsiaTheme="majorEastAsia" w:hAnsiTheme="majorHAnsi" w:cstheme="majorBidi"/>
      <w:b/>
      <w:bCs/>
      <w:i/>
      <w:iCs/>
      <w:color w:val="7F7F7F" w:themeColor="text1" w:themeTint="80"/>
      <w:lang w:bidi="en-US"/>
    </w:rPr>
  </w:style>
  <w:style w:type="paragraph" w:styleId="Heading7">
    <w:name w:val="heading 7"/>
    <w:basedOn w:val="Normal"/>
    <w:next w:val="Normal"/>
    <w:link w:val="Heading7Char"/>
    <w:uiPriority w:val="99"/>
    <w:semiHidden/>
    <w:qFormat/>
    <w:rsid w:val="004214B5"/>
    <w:pPr>
      <w:outlineLvl w:val="6"/>
    </w:pPr>
    <w:rPr>
      <w:rFonts w:asciiTheme="majorHAnsi" w:eastAsiaTheme="majorEastAsia" w:hAnsiTheme="majorHAnsi" w:cstheme="majorBidi"/>
      <w:i/>
      <w:iCs/>
      <w:sz w:val="22"/>
      <w:lang w:val="fr-FR" w:eastAsia="fr-FR" w:bidi="en-US"/>
    </w:rPr>
  </w:style>
  <w:style w:type="paragraph" w:styleId="Heading8">
    <w:name w:val="heading 8"/>
    <w:basedOn w:val="Normal"/>
    <w:next w:val="Normal"/>
    <w:link w:val="Heading8Char"/>
    <w:uiPriority w:val="99"/>
    <w:semiHidden/>
    <w:qFormat/>
    <w:rsid w:val="004214B5"/>
    <w:pPr>
      <w:outlineLvl w:val="7"/>
    </w:pPr>
    <w:rPr>
      <w:rFonts w:asciiTheme="majorHAnsi" w:eastAsiaTheme="majorEastAsia" w:hAnsiTheme="majorHAnsi" w:cstheme="majorBidi"/>
      <w:sz w:val="20"/>
      <w:szCs w:val="20"/>
      <w:lang w:val="fr-FR" w:eastAsia="fr-FR" w:bidi="en-US"/>
    </w:rPr>
  </w:style>
  <w:style w:type="paragraph" w:styleId="Heading9">
    <w:name w:val="heading 9"/>
    <w:basedOn w:val="Normal"/>
    <w:next w:val="Normal"/>
    <w:link w:val="Heading9Char"/>
    <w:uiPriority w:val="99"/>
    <w:semiHidden/>
    <w:qFormat/>
    <w:rsid w:val="004214B5"/>
    <w:pPr>
      <w:outlineLvl w:val="8"/>
    </w:pPr>
    <w:rPr>
      <w:rFonts w:asciiTheme="majorHAnsi" w:eastAsiaTheme="majorEastAsia" w:hAnsiTheme="majorHAnsi" w:cstheme="majorBidi"/>
      <w:i/>
      <w:iCs/>
      <w:spacing w:val="5"/>
      <w:sz w:val="20"/>
      <w:szCs w:val="20"/>
      <w:lang w:val="fr-FR" w:eastAsia="fr-FR"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HRHeading1">
    <w:name w:val="ECHR_Heading_1"/>
    <w:aliases w:val="Ju_H_I_Roman"/>
    <w:basedOn w:val="Heading1"/>
    <w:next w:val="ECHRPara"/>
    <w:uiPriority w:val="19"/>
    <w:qFormat/>
    <w:rsid w:val="004214B5"/>
    <w:pPr>
      <w:keepNext/>
      <w:keepLines/>
      <w:tabs>
        <w:tab w:val="left" w:pos="357"/>
      </w:tabs>
      <w:spacing w:before="360" w:after="240"/>
      <w:ind w:left="357" w:hanging="357"/>
      <w:contextualSpacing w:val="0"/>
    </w:pPr>
    <w:rPr>
      <w:b w:val="0"/>
      <w:color w:val="auto"/>
      <w:sz w:val="24"/>
      <w:lang w:val="fr-FR" w:eastAsia="fr-FR"/>
    </w:rPr>
  </w:style>
  <w:style w:type="paragraph" w:customStyle="1" w:styleId="ECHRTitle1">
    <w:name w:val="ECHR_Title_1"/>
    <w:aliases w:val="Ju_H_Head"/>
    <w:basedOn w:val="Normal"/>
    <w:next w:val="ECHRPara"/>
    <w:uiPriority w:val="18"/>
    <w:qFormat/>
    <w:rsid w:val="004214B5"/>
    <w:pPr>
      <w:keepNext/>
      <w:keepLines/>
      <w:spacing w:before="720" w:after="240"/>
      <w:outlineLvl w:val="0"/>
    </w:pPr>
    <w:rPr>
      <w:rFonts w:asciiTheme="majorHAnsi" w:hAnsiTheme="majorHAnsi"/>
      <w:sz w:val="28"/>
      <w:lang w:val="fr-FR" w:eastAsia="fr-FR"/>
    </w:rPr>
  </w:style>
  <w:style w:type="paragraph" w:customStyle="1" w:styleId="ECHRPara">
    <w:name w:val="ECHR_Para"/>
    <w:aliases w:val="Ju_Para,Left,First line:  0 cm,Para"/>
    <w:basedOn w:val="Normal"/>
    <w:link w:val="JuParaChar"/>
    <w:uiPriority w:val="12"/>
    <w:qFormat/>
    <w:rsid w:val="004214B5"/>
    <w:pPr>
      <w:ind w:firstLine="284"/>
    </w:pPr>
    <w:rPr>
      <w:lang w:val="fr-FR" w:eastAsia="fr-FR"/>
    </w:rPr>
  </w:style>
  <w:style w:type="character" w:customStyle="1" w:styleId="JuParaChar">
    <w:name w:val="Ju_Para Char"/>
    <w:link w:val="ECHRPara"/>
    <w:rsid w:val="00B921A8"/>
    <w:rPr>
      <w:rFonts w:eastAsiaTheme="minorEastAsia"/>
      <w:sz w:val="24"/>
    </w:rPr>
  </w:style>
  <w:style w:type="paragraph" w:styleId="Footer">
    <w:name w:val="footer"/>
    <w:basedOn w:val="Normal"/>
    <w:link w:val="FooterChar"/>
    <w:uiPriority w:val="99"/>
    <w:semiHidden/>
    <w:rsid w:val="004214B5"/>
    <w:pPr>
      <w:tabs>
        <w:tab w:val="center" w:pos="4536"/>
        <w:tab w:val="right" w:pos="9696"/>
      </w:tabs>
      <w:ind w:left="-680" w:right="-680"/>
    </w:pPr>
    <w:rPr>
      <w:rFonts w:eastAsiaTheme="minorHAnsi"/>
    </w:rPr>
  </w:style>
  <w:style w:type="paragraph" w:customStyle="1" w:styleId="ECHRDecisionBody">
    <w:name w:val="ECHR_Decision_Body"/>
    <w:aliases w:val="Ju_Judges"/>
    <w:basedOn w:val="Normal"/>
    <w:link w:val="JuJudgesChar"/>
    <w:uiPriority w:val="11"/>
    <w:qFormat/>
    <w:rsid w:val="004214B5"/>
    <w:pPr>
      <w:tabs>
        <w:tab w:val="left" w:pos="567"/>
        <w:tab w:val="left" w:pos="1134"/>
      </w:tabs>
      <w:jc w:val="left"/>
    </w:pPr>
    <w:rPr>
      <w:lang w:val="fr-FR" w:eastAsia="fr-FR"/>
    </w:rPr>
  </w:style>
  <w:style w:type="character" w:customStyle="1" w:styleId="JuJudgesChar">
    <w:name w:val="Ju_Judges Char"/>
    <w:link w:val="ECHRDecisionBody"/>
    <w:uiPriority w:val="11"/>
    <w:locked/>
    <w:rsid w:val="00D15473"/>
    <w:rPr>
      <w:rFonts w:eastAsiaTheme="minorEastAsia"/>
      <w:sz w:val="24"/>
    </w:rPr>
  </w:style>
  <w:style w:type="paragraph" w:customStyle="1" w:styleId="ECHRHeading2">
    <w:name w:val="ECHR_Heading_2"/>
    <w:aliases w:val="Ju_H_A"/>
    <w:basedOn w:val="Heading2"/>
    <w:next w:val="ECHRPara"/>
    <w:uiPriority w:val="20"/>
    <w:qFormat/>
    <w:rsid w:val="004214B5"/>
    <w:pPr>
      <w:keepNext/>
      <w:keepLines/>
      <w:tabs>
        <w:tab w:val="left" w:pos="584"/>
      </w:tabs>
      <w:spacing w:before="360" w:after="240"/>
      <w:ind w:left="584" w:hanging="352"/>
    </w:pPr>
    <w:rPr>
      <w:color w:val="auto"/>
      <w:sz w:val="24"/>
      <w:lang w:val="fr-FR" w:eastAsia="fr-FR"/>
    </w:rPr>
  </w:style>
  <w:style w:type="paragraph" w:customStyle="1" w:styleId="ECHRParaQuote">
    <w:name w:val="ECHR_Para_Quote"/>
    <w:aliases w:val="Ju_Quot"/>
    <w:basedOn w:val="Normal"/>
    <w:uiPriority w:val="14"/>
    <w:qFormat/>
    <w:rsid w:val="004214B5"/>
    <w:pPr>
      <w:spacing w:before="120" w:after="120"/>
      <w:ind w:left="425" w:firstLine="142"/>
    </w:pPr>
    <w:rPr>
      <w:sz w:val="20"/>
      <w:lang w:val="fr-FR" w:eastAsia="fr-FR"/>
    </w:rPr>
  </w:style>
  <w:style w:type="paragraph" w:customStyle="1" w:styleId="JuSigned">
    <w:name w:val="Ju_Signed"/>
    <w:basedOn w:val="Normal"/>
    <w:next w:val="JuParaLast"/>
    <w:link w:val="JuSignedChar"/>
    <w:uiPriority w:val="32"/>
    <w:qFormat/>
    <w:rsid w:val="004214B5"/>
    <w:pPr>
      <w:tabs>
        <w:tab w:val="center" w:pos="851"/>
        <w:tab w:val="center" w:pos="6407"/>
      </w:tabs>
      <w:spacing w:before="720"/>
      <w:jc w:val="left"/>
    </w:pPr>
    <w:rPr>
      <w:lang w:val="fr-FR" w:eastAsia="fr-FR"/>
    </w:rPr>
  </w:style>
  <w:style w:type="paragraph" w:customStyle="1" w:styleId="JuParaLast">
    <w:name w:val="Ju_Para_Last"/>
    <w:basedOn w:val="Normal"/>
    <w:next w:val="ECHRPara"/>
    <w:uiPriority w:val="30"/>
    <w:qFormat/>
    <w:rsid w:val="004214B5"/>
    <w:pPr>
      <w:keepNext/>
      <w:keepLines/>
      <w:spacing w:before="240"/>
      <w:ind w:firstLine="284"/>
    </w:pPr>
    <w:rPr>
      <w:lang w:val="fr-FR" w:eastAsia="fr-FR"/>
    </w:rPr>
  </w:style>
  <w:style w:type="character" w:customStyle="1" w:styleId="JuSignedChar">
    <w:name w:val="Ju_Signed Char"/>
    <w:link w:val="JuSigned"/>
    <w:uiPriority w:val="32"/>
    <w:rsid w:val="000726F6"/>
    <w:rPr>
      <w:rFonts w:eastAsiaTheme="minorEastAsia"/>
      <w:sz w:val="24"/>
    </w:rPr>
  </w:style>
  <w:style w:type="paragraph" w:customStyle="1" w:styleId="JuCase">
    <w:name w:val="Ju_Case"/>
    <w:basedOn w:val="Normal"/>
    <w:next w:val="ECHRPara"/>
    <w:link w:val="JuCaseChar"/>
    <w:uiPriority w:val="10"/>
    <w:rsid w:val="004214B5"/>
    <w:pPr>
      <w:ind w:firstLine="284"/>
    </w:pPr>
    <w:rPr>
      <w:b/>
    </w:rPr>
  </w:style>
  <w:style w:type="character" w:customStyle="1" w:styleId="JuCaseChar">
    <w:name w:val="Ju_Case Char"/>
    <w:link w:val="JuCase"/>
    <w:uiPriority w:val="10"/>
    <w:rsid w:val="00B921A8"/>
    <w:rPr>
      <w:rFonts w:eastAsiaTheme="minorEastAsia"/>
      <w:b/>
      <w:sz w:val="24"/>
      <w:lang w:val="en-US" w:eastAsia="en-US"/>
    </w:rPr>
  </w:style>
  <w:style w:type="paragraph" w:customStyle="1" w:styleId="JuList">
    <w:name w:val="Ju_List"/>
    <w:basedOn w:val="Normal"/>
    <w:link w:val="JuListChar"/>
    <w:uiPriority w:val="28"/>
    <w:qFormat/>
    <w:rsid w:val="004214B5"/>
    <w:pPr>
      <w:ind w:left="340" w:hanging="340"/>
    </w:pPr>
    <w:rPr>
      <w:lang w:val="fr-FR" w:eastAsia="fr-FR"/>
    </w:rPr>
  </w:style>
  <w:style w:type="character" w:customStyle="1" w:styleId="JuListChar">
    <w:name w:val="Ju_List Char"/>
    <w:link w:val="JuList"/>
    <w:uiPriority w:val="28"/>
    <w:rsid w:val="00930CD7"/>
    <w:rPr>
      <w:rFonts w:eastAsiaTheme="minorEastAsia"/>
      <w:sz w:val="24"/>
    </w:rPr>
  </w:style>
  <w:style w:type="paragraph" w:customStyle="1" w:styleId="JuCourt">
    <w:name w:val="Ju_Court"/>
    <w:basedOn w:val="Normal"/>
    <w:next w:val="Normal"/>
    <w:uiPriority w:val="16"/>
    <w:qFormat/>
    <w:rsid w:val="004214B5"/>
    <w:pPr>
      <w:tabs>
        <w:tab w:val="left" w:pos="907"/>
        <w:tab w:val="left" w:pos="1701"/>
        <w:tab w:val="right" w:pos="7371"/>
      </w:tabs>
      <w:spacing w:before="240"/>
      <w:ind w:left="397" w:hanging="397"/>
      <w:jc w:val="left"/>
    </w:pPr>
    <w:rPr>
      <w:lang w:val="fr-FR" w:eastAsia="fr-FR" w:bidi="en-US"/>
    </w:rPr>
  </w:style>
  <w:style w:type="paragraph" w:styleId="FootnoteText">
    <w:name w:val="footnote text"/>
    <w:basedOn w:val="Normal"/>
    <w:link w:val="FootnoteTextChar"/>
    <w:uiPriority w:val="99"/>
    <w:semiHidden/>
    <w:rsid w:val="004214B5"/>
    <w:rPr>
      <w:sz w:val="20"/>
      <w:szCs w:val="20"/>
    </w:rPr>
  </w:style>
  <w:style w:type="character" w:styleId="FootnoteReference">
    <w:name w:val="footnote reference"/>
    <w:basedOn w:val="DefaultParagraphFont"/>
    <w:uiPriority w:val="99"/>
    <w:semiHidden/>
    <w:rsid w:val="004214B5"/>
    <w:rPr>
      <w:vertAlign w:val="superscript"/>
    </w:rPr>
  </w:style>
  <w:style w:type="paragraph" w:styleId="Header">
    <w:name w:val="header"/>
    <w:basedOn w:val="Normal"/>
    <w:link w:val="HeaderChar"/>
    <w:uiPriority w:val="99"/>
    <w:semiHidden/>
    <w:rsid w:val="004214B5"/>
    <w:pPr>
      <w:tabs>
        <w:tab w:val="center" w:pos="4536"/>
        <w:tab w:val="right" w:pos="9072"/>
      </w:tabs>
    </w:pPr>
    <w:rPr>
      <w:rFonts w:eastAsiaTheme="minorHAnsi"/>
    </w:rPr>
  </w:style>
  <w:style w:type="character" w:styleId="PageNumber">
    <w:name w:val="page number"/>
    <w:uiPriority w:val="99"/>
    <w:semiHidden/>
    <w:rsid w:val="00D1288A"/>
    <w:rPr>
      <w:sz w:val="18"/>
    </w:rPr>
  </w:style>
  <w:style w:type="paragraph" w:customStyle="1" w:styleId="JuLista">
    <w:name w:val="Ju_List_a"/>
    <w:basedOn w:val="JuList"/>
    <w:uiPriority w:val="28"/>
    <w:qFormat/>
    <w:rsid w:val="004214B5"/>
    <w:pPr>
      <w:ind w:left="346" w:firstLine="0"/>
    </w:pPr>
  </w:style>
  <w:style w:type="paragraph" w:customStyle="1" w:styleId="JuListi">
    <w:name w:val="Ju_List_i"/>
    <w:basedOn w:val="Normal"/>
    <w:next w:val="JuLista"/>
    <w:uiPriority w:val="28"/>
    <w:qFormat/>
    <w:rsid w:val="004214B5"/>
    <w:pPr>
      <w:ind w:left="794"/>
    </w:pPr>
    <w:rPr>
      <w:lang w:val="fr-FR" w:eastAsia="fr-FR"/>
    </w:rPr>
  </w:style>
  <w:style w:type="character" w:styleId="CommentReference">
    <w:name w:val="annotation reference"/>
    <w:uiPriority w:val="99"/>
    <w:semiHidden/>
    <w:rPr>
      <w:sz w:val="16"/>
    </w:rPr>
  </w:style>
  <w:style w:type="paragraph" w:styleId="CommentText">
    <w:name w:val="annotation text"/>
    <w:basedOn w:val="Normal"/>
    <w:uiPriority w:val="99"/>
    <w:semiHidden/>
    <w:rPr>
      <w:sz w:val="20"/>
    </w:rPr>
  </w:style>
  <w:style w:type="paragraph" w:styleId="BalloonText">
    <w:name w:val="Balloon Text"/>
    <w:basedOn w:val="Normal"/>
    <w:link w:val="BalloonTextChar"/>
    <w:uiPriority w:val="99"/>
    <w:semiHidden/>
    <w:rsid w:val="004214B5"/>
    <w:rPr>
      <w:rFonts w:ascii="Tahoma" w:hAnsi="Tahoma" w:cs="Tahoma"/>
      <w:sz w:val="16"/>
      <w:szCs w:val="16"/>
    </w:rPr>
  </w:style>
  <w:style w:type="paragraph" w:styleId="CommentSubject">
    <w:name w:val="annotation subject"/>
    <w:basedOn w:val="CommentText"/>
    <w:next w:val="CommentText"/>
    <w:uiPriority w:val="99"/>
    <w:semiHidden/>
    <w:rsid w:val="00D353F4"/>
    <w:rPr>
      <w:b/>
      <w:bCs/>
    </w:rPr>
  </w:style>
  <w:style w:type="character" w:styleId="EndnoteReference">
    <w:name w:val="endnote reference"/>
    <w:uiPriority w:val="99"/>
    <w:semiHidden/>
    <w:rsid w:val="00D1288A"/>
    <w:rPr>
      <w:vertAlign w:val="superscript"/>
    </w:rPr>
  </w:style>
  <w:style w:type="paragraph" w:styleId="EndnoteText">
    <w:name w:val="endnote text"/>
    <w:basedOn w:val="Normal"/>
    <w:uiPriority w:val="99"/>
    <w:semiHidden/>
    <w:rsid w:val="00D1288A"/>
    <w:rPr>
      <w:sz w:val="20"/>
    </w:rPr>
  </w:style>
  <w:style w:type="character" w:styleId="FollowedHyperlink">
    <w:name w:val="FollowedHyperlink"/>
    <w:uiPriority w:val="99"/>
    <w:semiHidden/>
    <w:rsid w:val="00D1288A"/>
    <w:rPr>
      <w:color w:val="800080"/>
      <w:u w:val="single"/>
    </w:rPr>
  </w:style>
  <w:style w:type="character" w:styleId="Hyperlink">
    <w:name w:val="Hyperlink"/>
    <w:basedOn w:val="DefaultParagraphFont"/>
    <w:uiPriority w:val="99"/>
    <w:semiHidden/>
    <w:rsid w:val="004214B5"/>
    <w:rPr>
      <w:color w:val="0072BC" w:themeColor="hyperlink"/>
      <w:u w:val="single"/>
    </w:rPr>
  </w:style>
  <w:style w:type="character" w:styleId="Strong">
    <w:name w:val="Strong"/>
    <w:uiPriority w:val="99"/>
    <w:semiHidden/>
    <w:qFormat/>
    <w:rsid w:val="004214B5"/>
    <w:rPr>
      <w:b/>
      <w:bCs/>
    </w:rPr>
  </w:style>
  <w:style w:type="paragraph" w:styleId="DocumentMap">
    <w:name w:val="Document Map"/>
    <w:basedOn w:val="Normal"/>
    <w:uiPriority w:val="99"/>
    <w:semiHidden/>
    <w:rsid w:val="008824B9"/>
    <w:pPr>
      <w:shd w:val="clear" w:color="auto" w:fill="000080"/>
    </w:pPr>
    <w:rPr>
      <w:rFonts w:ascii="Tahoma" w:hAnsi="Tahoma" w:cs="Tahoma"/>
      <w:sz w:val="20"/>
    </w:rPr>
  </w:style>
  <w:style w:type="character" w:customStyle="1" w:styleId="JuNames">
    <w:name w:val="Ju_Names"/>
    <w:rsid w:val="00D1288A"/>
    <w:rPr>
      <w:smallCaps/>
    </w:rPr>
  </w:style>
  <w:style w:type="paragraph" w:styleId="ListBullet">
    <w:name w:val="List Bullet"/>
    <w:basedOn w:val="Normal"/>
    <w:uiPriority w:val="99"/>
    <w:semiHidden/>
    <w:rsid w:val="008824B9"/>
    <w:pPr>
      <w:numPr>
        <w:numId w:val="1"/>
      </w:numPr>
    </w:pPr>
  </w:style>
  <w:style w:type="character" w:customStyle="1" w:styleId="JuITMark">
    <w:name w:val="Ju_ITMark"/>
    <w:basedOn w:val="DefaultParagraphFont"/>
    <w:uiPriority w:val="38"/>
    <w:qFormat/>
    <w:rsid w:val="004214B5"/>
    <w:rPr>
      <w:vanish/>
      <w:color w:val="339966"/>
      <w:sz w:val="14"/>
    </w:rPr>
  </w:style>
  <w:style w:type="character" w:customStyle="1" w:styleId="Heading1Char">
    <w:name w:val="Heading 1 Char"/>
    <w:basedOn w:val="DefaultParagraphFont"/>
    <w:link w:val="Heading1"/>
    <w:uiPriority w:val="99"/>
    <w:semiHidden/>
    <w:rsid w:val="004214B5"/>
    <w:rPr>
      <w:rFonts w:asciiTheme="majorHAnsi" w:eastAsiaTheme="majorEastAsia" w:hAnsiTheme="majorHAnsi" w:cstheme="majorBidi"/>
      <w:b/>
      <w:bCs/>
      <w:color w:val="333333"/>
      <w:sz w:val="28"/>
      <w:szCs w:val="28"/>
      <w:lang w:val="en-US" w:eastAsia="en-US"/>
    </w:rPr>
  </w:style>
  <w:style w:type="character" w:customStyle="1" w:styleId="Heading2Char">
    <w:name w:val="Heading 2 Char"/>
    <w:basedOn w:val="DefaultParagraphFont"/>
    <w:link w:val="Heading2"/>
    <w:uiPriority w:val="99"/>
    <w:semiHidden/>
    <w:rsid w:val="004214B5"/>
    <w:rPr>
      <w:rFonts w:asciiTheme="majorHAnsi" w:eastAsiaTheme="majorEastAsia" w:hAnsiTheme="majorHAnsi" w:cstheme="majorBidi"/>
      <w:b/>
      <w:bCs/>
      <w:color w:val="4D4D4D"/>
      <w:sz w:val="26"/>
      <w:szCs w:val="26"/>
      <w:lang w:val="en-US" w:eastAsia="en-US"/>
    </w:rPr>
  </w:style>
  <w:style w:type="character" w:customStyle="1" w:styleId="Heading3Char">
    <w:name w:val="Heading 3 Char"/>
    <w:basedOn w:val="DefaultParagraphFont"/>
    <w:link w:val="Heading3"/>
    <w:uiPriority w:val="99"/>
    <w:semiHidden/>
    <w:rsid w:val="004214B5"/>
    <w:rPr>
      <w:rFonts w:asciiTheme="majorHAnsi" w:eastAsiaTheme="majorEastAsia" w:hAnsiTheme="majorHAnsi" w:cstheme="majorBidi"/>
      <w:b/>
      <w:bCs/>
      <w:color w:val="5F5F5F"/>
      <w:sz w:val="24"/>
      <w:lang w:val="en-US" w:eastAsia="en-US"/>
    </w:rPr>
  </w:style>
  <w:style w:type="character" w:customStyle="1" w:styleId="Heading4Char">
    <w:name w:val="Heading 4 Char"/>
    <w:basedOn w:val="DefaultParagraphFont"/>
    <w:link w:val="Heading4"/>
    <w:uiPriority w:val="99"/>
    <w:semiHidden/>
    <w:rsid w:val="004214B5"/>
    <w:rPr>
      <w:rFonts w:asciiTheme="majorHAnsi" w:eastAsiaTheme="majorEastAsia" w:hAnsiTheme="majorHAnsi" w:cstheme="majorBidi"/>
      <w:b/>
      <w:bCs/>
      <w:i/>
      <w:iCs/>
      <w:color w:val="777777"/>
      <w:sz w:val="24"/>
      <w:lang w:val="en-US" w:eastAsia="en-US"/>
    </w:rPr>
  </w:style>
  <w:style w:type="character" w:customStyle="1" w:styleId="Heading6Char">
    <w:name w:val="Heading 6 Char"/>
    <w:basedOn w:val="DefaultParagraphFont"/>
    <w:link w:val="Heading6"/>
    <w:uiPriority w:val="99"/>
    <w:semiHidden/>
    <w:rsid w:val="004214B5"/>
    <w:rPr>
      <w:rFonts w:asciiTheme="majorHAnsi" w:eastAsiaTheme="majorEastAsia" w:hAnsiTheme="majorHAnsi" w:cstheme="majorBidi"/>
      <w:b/>
      <w:bCs/>
      <w:i/>
      <w:iCs/>
      <w:color w:val="7F7F7F" w:themeColor="text1" w:themeTint="80"/>
      <w:sz w:val="24"/>
      <w:lang w:val="en-US" w:eastAsia="en-US" w:bidi="en-US"/>
    </w:rPr>
  </w:style>
  <w:style w:type="character" w:customStyle="1" w:styleId="BalloonTextChar">
    <w:name w:val="Balloon Text Char"/>
    <w:basedOn w:val="DefaultParagraphFont"/>
    <w:link w:val="BalloonText"/>
    <w:uiPriority w:val="99"/>
    <w:semiHidden/>
    <w:rsid w:val="004214B5"/>
    <w:rPr>
      <w:rFonts w:ascii="Tahoma" w:eastAsiaTheme="minorEastAsia" w:hAnsi="Tahoma" w:cs="Tahoma"/>
      <w:sz w:val="16"/>
      <w:szCs w:val="16"/>
      <w:lang w:val="en-US" w:eastAsia="en-US"/>
    </w:rPr>
  </w:style>
  <w:style w:type="paragraph" w:customStyle="1" w:styleId="ECHRFooter">
    <w:name w:val="ECHR_Footer"/>
    <w:aliases w:val="Footer_ECHR"/>
    <w:basedOn w:val="Footer"/>
    <w:uiPriority w:val="57"/>
    <w:semiHidden/>
    <w:rsid w:val="004214B5"/>
    <w:pPr>
      <w:jc w:val="left"/>
    </w:pPr>
    <w:rPr>
      <w:sz w:val="8"/>
    </w:rPr>
  </w:style>
  <w:style w:type="paragraph" w:customStyle="1" w:styleId="ECHRFooterLine">
    <w:name w:val="ECHR_Footer_Line"/>
    <w:aliases w:val="Footer_Line"/>
    <w:basedOn w:val="Normal"/>
    <w:next w:val="ECHRFooter"/>
    <w:uiPriority w:val="57"/>
    <w:semiHidden/>
    <w:rsid w:val="004214B5"/>
    <w:pPr>
      <w:pBdr>
        <w:top w:val="single" w:sz="6" w:space="1" w:color="5F5F5F"/>
      </w:pBdr>
      <w:tabs>
        <w:tab w:val="center" w:pos="4536"/>
        <w:tab w:val="right" w:pos="9696"/>
      </w:tabs>
      <w:ind w:left="-680" w:right="-680"/>
      <w:jc w:val="left"/>
    </w:pPr>
    <w:rPr>
      <w:color w:val="5F5F5F"/>
    </w:rPr>
  </w:style>
  <w:style w:type="character" w:customStyle="1" w:styleId="HeaderChar">
    <w:name w:val="Header Char"/>
    <w:basedOn w:val="DefaultParagraphFont"/>
    <w:link w:val="Header"/>
    <w:uiPriority w:val="57"/>
    <w:semiHidden/>
    <w:rsid w:val="004214B5"/>
    <w:rPr>
      <w:sz w:val="24"/>
      <w:lang w:val="en-US" w:eastAsia="en-US"/>
    </w:rPr>
  </w:style>
  <w:style w:type="paragraph" w:customStyle="1" w:styleId="ECHRHeader">
    <w:name w:val="ECHR_Header"/>
    <w:aliases w:val="Ju_Header"/>
    <w:basedOn w:val="Header"/>
    <w:uiPriority w:val="4"/>
    <w:qFormat/>
    <w:rsid w:val="004214B5"/>
    <w:pPr>
      <w:tabs>
        <w:tab w:val="clear" w:pos="4536"/>
        <w:tab w:val="clear" w:pos="9072"/>
        <w:tab w:val="center" w:pos="3686"/>
        <w:tab w:val="right" w:pos="7371"/>
      </w:tabs>
      <w:jc w:val="left"/>
    </w:pPr>
    <w:rPr>
      <w:sz w:val="18"/>
      <w:lang w:val="fr-FR" w:eastAsia="fr-FR"/>
    </w:rPr>
  </w:style>
  <w:style w:type="character" w:customStyle="1" w:styleId="FooterChar">
    <w:name w:val="Footer Char"/>
    <w:basedOn w:val="DefaultParagraphFont"/>
    <w:link w:val="Footer"/>
    <w:uiPriority w:val="57"/>
    <w:semiHidden/>
    <w:rsid w:val="004214B5"/>
    <w:rPr>
      <w:sz w:val="24"/>
      <w:lang w:val="en-US" w:eastAsia="en-US"/>
    </w:rPr>
  </w:style>
  <w:style w:type="character" w:customStyle="1" w:styleId="FootnoteTextChar">
    <w:name w:val="Footnote Text Char"/>
    <w:basedOn w:val="DefaultParagraphFont"/>
    <w:link w:val="FootnoteText"/>
    <w:uiPriority w:val="99"/>
    <w:semiHidden/>
    <w:rsid w:val="004214B5"/>
    <w:rPr>
      <w:rFonts w:eastAsiaTheme="minorEastAsia"/>
      <w:sz w:val="20"/>
      <w:szCs w:val="20"/>
      <w:lang w:val="en-US" w:eastAsia="en-US"/>
    </w:rPr>
  </w:style>
  <w:style w:type="paragraph" w:customStyle="1" w:styleId="JuAppQuestion">
    <w:name w:val="Ju_App_Question"/>
    <w:basedOn w:val="Normal"/>
    <w:uiPriority w:val="5"/>
    <w:semiHidden/>
    <w:rsid w:val="004214B5"/>
    <w:pPr>
      <w:numPr>
        <w:numId w:val="14"/>
      </w:numPr>
      <w:jc w:val="left"/>
    </w:pPr>
    <w:rPr>
      <w:b/>
    </w:rPr>
  </w:style>
  <w:style w:type="paragraph" w:customStyle="1" w:styleId="OpiPara">
    <w:name w:val="Opi_Para"/>
    <w:basedOn w:val="ECHRPara"/>
    <w:uiPriority w:val="46"/>
    <w:qFormat/>
    <w:rsid w:val="004214B5"/>
  </w:style>
  <w:style w:type="paragraph" w:customStyle="1" w:styleId="JuParaSub">
    <w:name w:val="Ju_Para_Sub"/>
    <w:basedOn w:val="ECHRPara"/>
    <w:uiPriority w:val="13"/>
    <w:qFormat/>
    <w:rsid w:val="004214B5"/>
    <w:pPr>
      <w:ind w:left="284"/>
    </w:pPr>
  </w:style>
  <w:style w:type="paragraph" w:customStyle="1" w:styleId="OpiParaSub">
    <w:name w:val="Opi_Para_Sub"/>
    <w:basedOn w:val="JuParaSub"/>
    <w:uiPriority w:val="47"/>
    <w:qFormat/>
    <w:rsid w:val="004214B5"/>
  </w:style>
  <w:style w:type="paragraph" w:customStyle="1" w:styleId="OpiQuot">
    <w:name w:val="Opi_Quot"/>
    <w:basedOn w:val="ECHRParaQuote"/>
    <w:uiPriority w:val="48"/>
    <w:qFormat/>
    <w:rsid w:val="004214B5"/>
  </w:style>
  <w:style w:type="paragraph" w:customStyle="1" w:styleId="OpiQuotSub">
    <w:name w:val="Opi_Quot_Sub"/>
    <w:basedOn w:val="JuQuotSub"/>
    <w:uiPriority w:val="49"/>
    <w:qFormat/>
    <w:rsid w:val="004214B5"/>
  </w:style>
  <w:style w:type="paragraph" w:customStyle="1" w:styleId="ECHRTitleCentre3">
    <w:name w:val="ECHR_Title_Centre_3"/>
    <w:aliases w:val="Ju_H_Article"/>
    <w:basedOn w:val="Normal"/>
    <w:next w:val="ECHRParaQuote"/>
    <w:uiPriority w:val="27"/>
    <w:qFormat/>
    <w:rsid w:val="004214B5"/>
    <w:pPr>
      <w:keepNext/>
      <w:keepLines/>
      <w:spacing w:before="240" w:after="120"/>
      <w:jc w:val="center"/>
      <w:outlineLvl w:val="3"/>
    </w:pPr>
    <w:rPr>
      <w:rFonts w:asciiTheme="majorHAnsi" w:hAnsiTheme="majorHAnsi"/>
      <w:b/>
      <w:sz w:val="20"/>
      <w:lang w:val="fr-FR" w:eastAsia="fr-FR" w:bidi="en-US"/>
    </w:rPr>
  </w:style>
  <w:style w:type="paragraph" w:customStyle="1" w:styleId="ECHRTitleCentre2">
    <w:name w:val="ECHR_Title_Centre_2"/>
    <w:aliases w:val="Dec_H_Case"/>
    <w:basedOn w:val="Normal"/>
    <w:next w:val="ECHRPara"/>
    <w:uiPriority w:val="8"/>
    <w:semiHidden/>
    <w:rsid w:val="004214B5"/>
    <w:pPr>
      <w:spacing w:after="240"/>
      <w:jc w:val="center"/>
      <w:outlineLvl w:val="0"/>
    </w:pPr>
    <w:rPr>
      <w:rFonts w:asciiTheme="majorHAnsi" w:hAnsiTheme="majorHAnsi"/>
      <w:i/>
    </w:rPr>
  </w:style>
  <w:style w:type="paragraph" w:customStyle="1" w:styleId="JuTitle">
    <w:name w:val="Ju_Title"/>
    <w:basedOn w:val="Normal"/>
    <w:next w:val="ECHRPara"/>
    <w:uiPriority w:val="3"/>
    <w:semiHidden/>
    <w:rsid w:val="004214B5"/>
    <w:pPr>
      <w:spacing w:before="720" w:after="240"/>
      <w:jc w:val="center"/>
      <w:outlineLvl w:val="0"/>
    </w:pPr>
    <w:rPr>
      <w:rFonts w:asciiTheme="majorHAnsi" w:hAnsiTheme="majorHAnsi"/>
      <w:b/>
      <w:caps/>
    </w:rPr>
  </w:style>
  <w:style w:type="character" w:customStyle="1" w:styleId="Heading5Char">
    <w:name w:val="Heading 5 Char"/>
    <w:basedOn w:val="DefaultParagraphFont"/>
    <w:link w:val="Heading5"/>
    <w:uiPriority w:val="99"/>
    <w:semiHidden/>
    <w:rsid w:val="004214B5"/>
    <w:rPr>
      <w:rFonts w:asciiTheme="majorHAnsi" w:eastAsiaTheme="majorEastAsia" w:hAnsiTheme="majorHAnsi" w:cstheme="majorBidi"/>
      <w:b/>
      <w:bCs/>
      <w:color w:val="808080"/>
    </w:rPr>
  </w:style>
  <w:style w:type="character" w:customStyle="1" w:styleId="Heading7Char">
    <w:name w:val="Heading 7 Char"/>
    <w:basedOn w:val="DefaultParagraphFont"/>
    <w:link w:val="Heading7"/>
    <w:uiPriority w:val="99"/>
    <w:semiHidden/>
    <w:rsid w:val="004214B5"/>
    <w:rPr>
      <w:rFonts w:asciiTheme="majorHAnsi" w:eastAsiaTheme="majorEastAsia" w:hAnsiTheme="majorHAnsi" w:cstheme="majorBidi"/>
      <w:i/>
      <w:iCs/>
      <w:lang w:bidi="en-US"/>
    </w:rPr>
  </w:style>
  <w:style w:type="character" w:customStyle="1" w:styleId="Heading8Char">
    <w:name w:val="Heading 8 Char"/>
    <w:basedOn w:val="DefaultParagraphFont"/>
    <w:link w:val="Heading8"/>
    <w:uiPriority w:val="99"/>
    <w:semiHidden/>
    <w:rsid w:val="004214B5"/>
    <w:rPr>
      <w:rFonts w:asciiTheme="majorHAnsi" w:eastAsiaTheme="majorEastAsia" w:hAnsiTheme="majorHAnsi" w:cstheme="majorBidi"/>
      <w:sz w:val="20"/>
      <w:szCs w:val="20"/>
      <w:lang w:bidi="en-US"/>
    </w:rPr>
  </w:style>
  <w:style w:type="character" w:customStyle="1" w:styleId="Heading9Char">
    <w:name w:val="Heading 9 Char"/>
    <w:basedOn w:val="DefaultParagraphFont"/>
    <w:link w:val="Heading9"/>
    <w:uiPriority w:val="99"/>
    <w:semiHidden/>
    <w:rsid w:val="004214B5"/>
    <w:rPr>
      <w:rFonts w:asciiTheme="majorHAnsi" w:eastAsiaTheme="majorEastAsia" w:hAnsiTheme="majorHAnsi" w:cstheme="majorBidi"/>
      <w:i/>
      <w:iCs/>
      <w:spacing w:val="5"/>
      <w:sz w:val="20"/>
      <w:szCs w:val="20"/>
      <w:lang w:bidi="en-US"/>
    </w:rPr>
  </w:style>
  <w:style w:type="paragraph" w:styleId="Title">
    <w:name w:val="Title"/>
    <w:basedOn w:val="Normal"/>
    <w:next w:val="Normal"/>
    <w:link w:val="TitleChar"/>
    <w:uiPriority w:val="99"/>
    <w:semiHidden/>
    <w:qFormat/>
    <w:rsid w:val="004214B5"/>
    <w:pPr>
      <w:pBdr>
        <w:bottom w:val="single" w:sz="4" w:space="1" w:color="auto"/>
      </w:pBdr>
      <w:contextualSpacing/>
    </w:pPr>
    <w:rPr>
      <w:rFonts w:asciiTheme="majorHAnsi" w:eastAsiaTheme="majorEastAsia" w:hAnsiTheme="majorHAnsi" w:cstheme="majorBidi"/>
      <w:spacing w:val="5"/>
      <w:sz w:val="52"/>
      <w:szCs w:val="52"/>
      <w:lang w:val="fr-FR" w:eastAsia="fr-FR" w:bidi="en-US"/>
    </w:rPr>
  </w:style>
  <w:style w:type="character" w:customStyle="1" w:styleId="TitleChar">
    <w:name w:val="Title Char"/>
    <w:basedOn w:val="DefaultParagraphFont"/>
    <w:link w:val="Title"/>
    <w:uiPriority w:val="99"/>
    <w:semiHidden/>
    <w:rsid w:val="004214B5"/>
    <w:rPr>
      <w:rFonts w:asciiTheme="majorHAnsi" w:eastAsiaTheme="majorEastAsia" w:hAnsiTheme="majorHAnsi" w:cstheme="majorBidi"/>
      <w:spacing w:val="5"/>
      <w:sz w:val="52"/>
      <w:szCs w:val="52"/>
      <w:lang w:bidi="en-US"/>
    </w:rPr>
  </w:style>
  <w:style w:type="paragraph" w:styleId="Subtitle">
    <w:name w:val="Subtitle"/>
    <w:basedOn w:val="Normal"/>
    <w:next w:val="Normal"/>
    <w:link w:val="SubtitleChar"/>
    <w:uiPriority w:val="99"/>
    <w:semiHidden/>
    <w:qFormat/>
    <w:rsid w:val="004214B5"/>
    <w:pPr>
      <w:spacing w:after="600"/>
    </w:pPr>
    <w:rPr>
      <w:rFonts w:asciiTheme="majorHAnsi" w:eastAsiaTheme="majorEastAsia" w:hAnsiTheme="majorHAnsi" w:cstheme="majorBidi"/>
      <w:i/>
      <w:iCs/>
      <w:spacing w:val="13"/>
      <w:szCs w:val="24"/>
      <w:lang w:val="fr-FR" w:eastAsia="fr-FR" w:bidi="en-US"/>
    </w:rPr>
  </w:style>
  <w:style w:type="character" w:customStyle="1" w:styleId="SubtitleChar">
    <w:name w:val="Subtitle Char"/>
    <w:basedOn w:val="DefaultParagraphFont"/>
    <w:link w:val="Subtitle"/>
    <w:uiPriority w:val="99"/>
    <w:semiHidden/>
    <w:rsid w:val="004214B5"/>
    <w:rPr>
      <w:rFonts w:asciiTheme="majorHAnsi" w:eastAsiaTheme="majorEastAsia" w:hAnsiTheme="majorHAnsi" w:cstheme="majorBidi"/>
      <w:i/>
      <w:iCs/>
      <w:spacing w:val="13"/>
      <w:sz w:val="24"/>
      <w:szCs w:val="24"/>
      <w:lang w:bidi="en-US"/>
    </w:rPr>
  </w:style>
  <w:style w:type="character" w:styleId="Emphasis">
    <w:name w:val="Emphasis"/>
    <w:uiPriority w:val="99"/>
    <w:semiHidden/>
    <w:qFormat/>
    <w:rsid w:val="004214B5"/>
    <w:rPr>
      <w:b/>
      <w:bCs/>
      <w:i/>
      <w:iCs/>
      <w:spacing w:val="10"/>
      <w:bdr w:val="none" w:sz="0" w:space="0" w:color="auto"/>
      <w:shd w:val="clear" w:color="auto" w:fill="auto"/>
    </w:rPr>
  </w:style>
  <w:style w:type="paragraph" w:styleId="NoSpacing">
    <w:name w:val="No Spacing"/>
    <w:basedOn w:val="Normal"/>
    <w:link w:val="NoSpacingChar"/>
    <w:uiPriority w:val="99"/>
    <w:semiHidden/>
    <w:qFormat/>
    <w:rsid w:val="004214B5"/>
    <w:rPr>
      <w:sz w:val="22"/>
      <w:lang w:val="fr-FR" w:eastAsia="fr-FR"/>
    </w:rPr>
  </w:style>
  <w:style w:type="character" w:customStyle="1" w:styleId="NoSpacingChar">
    <w:name w:val="No Spacing Char"/>
    <w:basedOn w:val="DefaultParagraphFont"/>
    <w:link w:val="NoSpacing"/>
    <w:semiHidden/>
    <w:rsid w:val="004214B5"/>
    <w:rPr>
      <w:rFonts w:eastAsiaTheme="minorEastAsia"/>
    </w:rPr>
  </w:style>
  <w:style w:type="paragraph" w:styleId="ListParagraph">
    <w:name w:val="List Paragraph"/>
    <w:basedOn w:val="Normal"/>
    <w:uiPriority w:val="99"/>
    <w:semiHidden/>
    <w:qFormat/>
    <w:rsid w:val="004214B5"/>
    <w:pPr>
      <w:ind w:left="720"/>
      <w:contextualSpacing/>
    </w:pPr>
    <w:rPr>
      <w:lang w:val="fr-FR" w:eastAsia="fr-FR"/>
    </w:rPr>
  </w:style>
  <w:style w:type="paragraph" w:styleId="Quote">
    <w:name w:val="Quote"/>
    <w:basedOn w:val="Normal"/>
    <w:next w:val="Normal"/>
    <w:link w:val="QuoteChar"/>
    <w:uiPriority w:val="99"/>
    <w:semiHidden/>
    <w:qFormat/>
    <w:rsid w:val="004214B5"/>
    <w:pPr>
      <w:spacing w:before="200"/>
      <w:ind w:left="360" w:right="360"/>
    </w:pPr>
    <w:rPr>
      <w:i/>
      <w:iCs/>
      <w:sz w:val="22"/>
      <w:lang w:val="fr-FR" w:eastAsia="fr-FR" w:bidi="en-US"/>
    </w:rPr>
  </w:style>
  <w:style w:type="character" w:customStyle="1" w:styleId="QuoteChar">
    <w:name w:val="Quote Char"/>
    <w:basedOn w:val="DefaultParagraphFont"/>
    <w:link w:val="Quote"/>
    <w:uiPriority w:val="99"/>
    <w:semiHidden/>
    <w:rsid w:val="004214B5"/>
    <w:rPr>
      <w:rFonts w:eastAsiaTheme="minorEastAsia"/>
      <w:i/>
      <w:iCs/>
      <w:lang w:bidi="en-US"/>
    </w:rPr>
  </w:style>
  <w:style w:type="paragraph" w:styleId="IntenseQuote">
    <w:name w:val="Intense Quote"/>
    <w:basedOn w:val="Normal"/>
    <w:next w:val="Normal"/>
    <w:link w:val="IntenseQuoteChar"/>
    <w:uiPriority w:val="99"/>
    <w:semiHidden/>
    <w:qFormat/>
    <w:rsid w:val="004214B5"/>
    <w:pPr>
      <w:pBdr>
        <w:bottom w:val="single" w:sz="4" w:space="1" w:color="auto"/>
      </w:pBdr>
      <w:spacing w:before="200" w:after="280"/>
      <w:ind w:left="1008" w:right="1152"/>
    </w:pPr>
    <w:rPr>
      <w:b/>
      <w:bCs/>
      <w:i/>
      <w:iCs/>
      <w:sz w:val="22"/>
      <w:lang w:val="fr-FR" w:eastAsia="fr-FR" w:bidi="en-US"/>
    </w:rPr>
  </w:style>
  <w:style w:type="character" w:customStyle="1" w:styleId="IntenseQuoteChar">
    <w:name w:val="Intense Quote Char"/>
    <w:basedOn w:val="DefaultParagraphFont"/>
    <w:link w:val="IntenseQuote"/>
    <w:uiPriority w:val="99"/>
    <w:semiHidden/>
    <w:rsid w:val="004214B5"/>
    <w:rPr>
      <w:rFonts w:eastAsiaTheme="minorEastAsia"/>
      <w:b/>
      <w:bCs/>
      <w:i/>
      <w:iCs/>
      <w:lang w:bidi="en-US"/>
    </w:rPr>
  </w:style>
  <w:style w:type="character" w:styleId="SubtleEmphasis">
    <w:name w:val="Subtle Emphasis"/>
    <w:uiPriority w:val="99"/>
    <w:semiHidden/>
    <w:qFormat/>
    <w:rsid w:val="004214B5"/>
    <w:rPr>
      <w:i/>
      <w:iCs/>
    </w:rPr>
  </w:style>
  <w:style w:type="character" w:styleId="IntenseEmphasis">
    <w:name w:val="Intense Emphasis"/>
    <w:uiPriority w:val="99"/>
    <w:semiHidden/>
    <w:qFormat/>
    <w:rsid w:val="004214B5"/>
    <w:rPr>
      <w:b/>
      <w:bCs/>
    </w:rPr>
  </w:style>
  <w:style w:type="character" w:styleId="SubtleReference">
    <w:name w:val="Subtle Reference"/>
    <w:uiPriority w:val="99"/>
    <w:semiHidden/>
    <w:qFormat/>
    <w:rsid w:val="004214B5"/>
    <w:rPr>
      <w:smallCaps/>
    </w:rPr>
  </w:style>
  <w:style w:type="character" w:styleId="IntenseReference">
    <w:name w:val="Intense Reference"/>
    <w:uiPriority w:val="99"/>
    <w:semiHidden/>
    <w:qFormat/>
    <w:rsid w:val="004214B5"/>
    <w:rPr>
      <w:smallCaps/>
      <w:spacing w:val="5"/>
      <w:u w:val="single"/>
    </w:rPr>
  </w:style>
  <w:style w:type="character" w:styleId="BookTitle">
    <w:name w:val="Book Title"/>
    <w:uiPriority w:val="99"/>
    <w:semiHidden/>
    <w:qFormat/>
    <w:rsid w:val="004214B5"/>
    <w:rPr>
      <w:i/>
      <w:iCs/>
      <w:smallCaps/>
      <w:spacing w:val="5"/>
    </w:rPr>
  </w:style>
  <w:style w:type="paragraph" w:styleId="TOCHeading">
    <w:name w:val="TOC Heading"/>
    <w:basedOn w:val="Heading1"/>
    <w:next w:val="Normal"/>
    <w:uiPriority w:val="99"/>
    <w:semiHidden/>
    <w:qFormat/>
    <w:rsid w:val="004214B5"/>
    <w:pPr>
      <w:outlineLvl w:val="9"/>
    </w:pPr>
    <w:rPr>
      <w:color w:val="474747" w:themeColor="accent3" w:themeShade="BF"/>
      <w:lang w:val="fr-FR" w:eastAsia="fr-FR"/>
    </w:rPr>
  </w:style>
  <w:style w:type="numbering" w:styleId="111111">
    <w:name w:val="Outline List 2"/>
    <w:basedOn w:val="NoList"/>
    <w:uiPriority w:val="99"/>
    <w:semiHidden/>
    <w:rsid w:val="00171962"/>
    <w:pPr>
      <w:numPr>
        <w:numId w:val="2"/>
      </w:numPr>
    </w:pPr>
  </w:style>
  <w:style w:type="numbering" w:styleId="1ai">
    <w:name w:val="Outline List 1"/>
    <w:basedOn w:val="NoList"/>
    <w:uiPriority w:val="99"/>
    <w:semiHidden/>
    <w:rsid w:val="00171962"/>
    <w:pPr>
      <w:numPr>
        <w:numId w:val="3"/>
      </w:numPr>
    </w:pPr>
  </w:style>
  <w:style w:type="numbering" w:styleId="ArticleSection">
    <w:name w:val="Outline List 3"/>
    <w:basedOn w:val="NoList"/>
    <w:uiPriority w:val="99"/>
    <w:semiHidden/>
    <w:rsid w:val="00171962"/>
    <w:pPr>
      <w:numPr>
        <w:numId w:val="4"/>
      </w:numPr>
    </w:pPr>
  </w:style>
  <w:style w:type="paragraph" w:styleId="Bibliography">
    <w:name w:val="Bibliography"/>
    <w:basedOn w:val="Normal"/>
    <w:next w:val="Normal"/>
    <w:uiPriority w:val="99"/>
    <w:semiHidden/>
    <w:unhideWhenUsed/>
    <w:rsid w:val="00171962"/>
  </w:style>
  <w:style w:type="paragraph" w:styleId="BlockText">
    <w:name w:val="Block Text"/>
    <w:basedOn w:val="Normal"/>
    <w:uiPriority w:val="99"/>
    <w:semiHidden/>
    <w:rsid w:val="00171962"/>
    <w:pPr>
      <w:pBdr>
        <w:top w:val="single" w:sz="2" w:space="10" w:color="0072BC" w:themeColor="accent1" w:shadow="1" w:frame="1"/>
        <w:left w:val="single" w:sz="2" w:space="10" w:color="0072BC" w:themeColor="accent1" w:shadow="1" w:frame="1"/>
        <w:bottom w:val="single" w:sz="2" w:space="10" w:color="0072BC" w:themeColor="accent1" w:shadow="1" w:frame="1"/>
        <w:right w:val="single" w:sz="2" w:space="10" w:color="0072BC" w:themeColor="accent1" w:shadow="1" w:frame="1"/>
      </w:pBdr>
      <w:ind w:left="1152" w:right="1152"/>
    </w:pPr>
    <w:rPr>
      <w:i/>
      <w:iCs/>
      <w:color w:val="0072BC" w:themeColor="accent1"/>
    </w:rPr>
  </w:style>
  <w:style w:type="paragraph" w:styleId="BodyText">
    <w:name w:val="Body Text"/>
    <w:basedOn w:val="Normal"/>
    <w:link w:val="BodyTextChar"/>
    <w:uiPriority w:val="99"/>
    <w:semiHidden/>
    <w:rsid w:val="00171962"/>
    <w:pPr>
      <w:spacing w:after="120"/>
    </w:pPr>
  </w:style>
  <w:style w:type="character" w:customStyle="1" w:styleId="BodyTextChar">
    <w:name w:val="Body Text Char"/>
    <w:basedOn w:val="DefaultParagraphFont"/>
    <w:link w:val="BodyText"/>
    <w:rsid w:val="00171962"/>
    <w:rPr>
      <w:sz w:val="24"/>
      <w:lang w:val="en-GB"/>
    </w:rPr>
  </w:style>
  <w:style w:type="paragraph" w:styleId="BodyText2">
    <w:name w:val="Body Text 2"/>
    <w:basedOn w:val="Normal"/>
    <w:link w:val="BodyText2Char"/>
    <w:uiPriority w:val="99"/>
    <w:semiHidden/>
    <w:rsid w:val="00171962"/>
    <w:pPr>
      <w:spacing w:after="120" w:line="480" w:lineRule="auto"/>
    </w:pPr>
  </w:style>
  <w:style w:type="character" w:customStyle="1" w:styleId="BodyText2Char">
    <w:name w:val="Body Text 2 Char"/>
    <w:basedOn w:val="DefaultParagraphFont"/>
    <w:link w:val="BodyText2"/>
    <w:rsid w:val="00171962"/>
    <w:rPr>
      <w:sz w:val="24"/>
      <w:lang w:val="en-GB"/>
    </w:rPr>
  </w:style>
  <w:style w:type="paragraph" w:styleId="BodyText3">
    <w:name w:val="Body Text 3"/>
    <w:basedOn w:val="Normal"/>
    <w:link w:val="BodyText3Char"/>
    <w:uiPriority w:val="99"/>
    <w:semiHidden/>
    <w:rsid w:val="00171962"/>
    <w:pPr>
      <w:spacing w:after="120"/>
    </w:pPr>
    <w:rPr>
      <w:sz w:val="16"/>
      <w:szCs w:val="16"/>
    </w:rPr>
  </w:style>
  <w:style w:type="character" w:customStyle="1" w:styleId="BodyText3Char">
    <w:name w:val="Body Text 3 Char"/>
    <w:basedOn w:val="DefaultParagraphFont"/>
    <w:link w:val="BodyText3"/>
    <w:rsid w:val="00171962"/>
    <w:rPr>
      <w:sz w:val="16"/>
      <w:szCs w:val="16"/>
      <w:lang w:val="en-GB"/>
    </w:rPr>
  </w:style>
  <w:style w:type="paragraph" w:styleId="BodyTextFirstIndent">
    <w:name w:val="Body Text First Indent"/>
    <w:basedOn w:val="BodyText"/>
    <w:link w:val="BodyTextFirstIndentChar"/>
    <w:uiPriority w:val="99"/>
    <w:semiHidden/>
    <w:rsid w:val="00171962"/>
    <w:pPr>
      <w:spacing w:after="0"/>
      <w:ind w:firstLine="360"/>
    </w:pPr>
  </w:style>
  <w:style w:type="character" w:customStyle="1" w:styleId="BodyTextFirstIndentChar">
    <w:name w:val="Body Text First Indent Char"/>
    <w:basedOn w:val="BodyTextChar"/>
    <w:link w:val="BodyTextFirstIndent"/>
    <w:rsid w:val="00171962"/>
    <w:rPr>
      <w:sz w:val="24"/>
      <w:lang w:val="en-GB"/>
    </w:rPr>
  </w:style>
  <w:style w:type="paragraph" w:styleId="BodyTextIndent">
    <w:name w:val="Body Text Indent"/>
    <w:basedOn w:val="Normal"/>
    <w:link w:val="BodyTextIndentChar"/>
    <w:uiPriority w:val="99"/>
    <w:semiHidden/>
    <w:rsid w:val="00171962"/>
    <w:pPr>
      <w:spacing w:after="120"/>
      <w:ind w:left="283"/>
    </w:pPr>
  </w:style>
  <w:style w:type="character" w:customStyle="1" w:styleId="BodyTextIndentChar">
    <w:name w:val="Body Text Indent Char"/>
    <w:basedOn w:val="DefaultParagraphFont"/>
    <w:link w:val="BodyTextIndent"/>
    <w:rsid w:val="00171962"/>
    <w:rPr>
      <w:sz w:val="24"/>
      <w:lang w:val="en-GB"/>
    </w:rPr>
  </w:style>
  <w:style w:type="paragraph" w:styleId="BodyTextFirstIndent2">
    <w:name w:val="Body Text First Indent 2"/>
    <w:basedOn w:val="BodyTextIndent"/>
    <w:link w:val="BodyTextFirstIndent2Char"/>
    <w:uiPriority w:val="99"/>
    <w:semiHidden/>
    <w:rsid w:val="00171962"/>
    <w:pPr>
      <w:spacing w:after="0"/>
      <w:ind w:left="360" w:firstLine="360"/>
    </w:pPr>
  </w:style>
  <w:style w:type="character" w:customStyle="1" w:styleId="BodyTextFirstIndent2Char">
    <w:name w:val="Body Text First Indent 2 Char"/>
    <w:basedOn w:val="BodyTextIndentChar"/>
    <w:link w:val="BodyTextFirstIndent2"/>
    <w:rsid w:val="00171962"/>
    <w:rPr>
      <w:sz w:val="24"/>
      <w:lang w:val="en-GB"/>
    </w:rPr>
  </w:style>
  <w:style w:type="paragraph" w:styleId="BodyTextIndent2">
    <w:name w:val="Body Text Indent 2"/>
    <w:basedOn w:val="Normal"/>
    <w:link w:val="BodyTextIndent2Char"/>
    <w:uiPriority w:val="99"/>
    <w:semiHidden/>
    <w:rsid w:val="00171962"/>
    <w:pPr>
      <w:spacing w:after="120" w:line="480" w:lineRule="auto"/>
      <w:ind w:left="283"/>
    </w:pPr>
  </w:style>
  <w:style w:type="character" w:customStyle="1" w:styleId="BodyTextIndent2Char">
    <w:name w:val="Body Text Indent 2 Char"/>
    <w:basedOn w:val="DefaultParagraphFont"/>
    <w:link w:val="BodyTextIndent2"/>
    <w:rsid w:val="00171962"/>
    <w:rPr>
      <w:sz w:val="24"/>
      <w:lang w:val="en-GB"/>
    </w:rPr>
  </w:style>
  <w:style w:type="paragraph" w:styleId="BodyTextIndent3">
    <w:name w:val="Body Text Indent 3"/>
    <w:basedOn w:val="Normal"/>
    <w:link w:val="BodyTextIndent3Char"/>
    <w:uiPriority w:val="99"/>
    <w:semiHidden/>
    <w:rsid w:val="00171962"/>
    <w:pPr>
      <w:spacing w:after="120"/>
      <w:ind w:left="283"/>
    </w:pPr>
    <w:rPr>
      <w:sz w:val="16"/>
      <w:szCs w:val="16"/>
    </w:rPr>
  </w:style>
  <w:style w:type="character" w:customStyle="1" w:styleId="BodyTextIndent3Char">
    <w:name w:val="Body Text Indent 3 Char"/>
    <w:basedOn w:val="DefaultParagraphFont"/>
    <w:link w:val="BodyTextIndent3"/>
    <w:rsid w:val="00171962"/>
    <w:rPr>
      <w:sz w:val="16"/>
      <w:szCs w:val="16"/>
      <w:lang w:val="en-GB"/>
    </w:rPr>
  </w:style>
  <w:style w:type="paragraph" w:styleId="Caption">
    <w:name w:val="caption"/>
    <w:basedOn w:val="Normal"/>
    <w:next w:val="Normal"/>
    <w:uiPriority w:val="99"/>
    <w:semiHidden/>
    <w:qFormat/>
    <w:rsid w:val="00171962"/>
    <w:pPr>
      <w:spacing w:after="200"/>
    </w:pPr>
    <w:rPr>
      <w:b/>
      <w:bCs/>
      <w:color w:val="0072BC" w:themeColor="accent1"/>
      <w:sz w:val="18"/>
      <w:szCs w:val="18"/>
      <w:lang w:val="fr-FR" w:eastAsia="fr-FR"/>
    </w:rPr>
  </w:style>
  <w:style w:type="paragraph" w:styleId="Closing">
    <w:name w:val="Closing"/>
    <w:basedOn w:val="Normal"/>
    <w:link w:val="ClosingChar"/>
    <w:uiPriority w:val="99"/>
    <w:semiHidden/>
    <w:rsid w:val="00171962"/>
    <w:pPr>
      <w:ind w:left="4252"/>
    </w:pPr>
  </w:style>
  <w:style w:type="character" w:customStyle="1" w:styleId="ClosingChar">
    <w:name w:val="Closing Char"/>
    <w:basedOn w:val="DefaultParagraphFont"/>
    <w:link w:val="Closing"/>
    <w:rsid w:val="00171962"/>
    <w:rPr>
      <w:sz w:val="24"/>
      <w:lang w:val="en-GB"/>
    </w:rPr>
  </w:style>
  <w:style w:type="table" w:styleId="ColorfulGrid">
    <w:name w:val="Colorful Grid"/>
    <w:basedOn w:val="TableNormal"/>
    <w:uiPriority w:val="99"/>
    <w:semiHidden/>
    <w:rsid w:val="00171962"/>
    <w:rPr>
      <w:color w:val="000000" w:themeColor="text1"/>
    </w:rPr>
    <w:tblPr>
      <w:tblStyleRowBandSize w:val="1"/>
      <w:tblStyleColBandSize w:val="1"/>
      <w:tblBorders>
        <w:insideH w:val="single" w:sz="4" w:space="0" w:color="0072BC"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0072BC" w:themeColor="background1"/>
      </w:rPr>
      <w:tblPr/>
      <w:tcPr>
        <w:shd w:val="clear" w:color="auto" w:fill="000000" w:themeFill="text1" w:themeFillShade="BF"/>
      </w:tcPr>
    </w:tblStylePr>
    <w:tblStylePr w:type="lastCol">
      <w:rPr>
        <w:color w:val="0072BC"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9"/>
    <w:semiHidden/>
    <w:rsid w:val="00171962"/>
    <w:rPr>
      <w:color w:val="000000" w:themeColor="text1"/>
    </w:rPr>
    <w:tblPr>
      <w:tblStyleRowBandSize w:val="1"/>
      <w:tblStyleColBandSize w:val="1"/>
      <w:tblBorders>
        <w:insideH w:val="single" w:sz="4" w:space="0" w:color="0072BC" w:themeColor="background1"/>
      </w:tblBorders>
    </w:tblPr>
    <w:tcPr>
      <w:shd w:val="clear" w:color="auto" w:fill="BEE5FF" w:themeFill="accent1" w:themeFillTint="33"/>
    </w:tcPr>
    <w:tblStylePr w:type="firstRow">
      <w:rPr>
        <w:b/>
        <w:bCs/>
      </w:rPr>
      <w:tblPr/>
      <w:tcPr>
        <w:shd w:val="clear" w:color="auto" w:fill="7ECBFF" w:themeFill="accent1" w:themeFillTint="66"/>
      </w:tcPr>
    </w:tblStylePr>
    <w:tblStylePr w:type="lastRow">
      <w:rPr>
        <w:b/>
        <w:bCs/>
        <w:color w:val="000000" w:themeColor="text1"/>
      </w:rPr>
      <w:tblPr/>
      <w:tcPr>
        <w:shd w:val="clear" w:color="auto" w:fill="7ECBFF" w:themeFill="accent1" w:themeFillTint="66"/>
      </w:tcPr>
    </w:tblStylePr>
    <w:tblStylePr w:type="firstCol">
      <w:rPr>
        <w:color w:val="0072BC" w:themeColor="background1"/>
      </w:rPr>
      <w:tblPr/>
      <w:tcPr>
        <w:shd w:val="clear" w:color="auto" w:fill="00548C" w:themeFill="accent1" w:themeFillShade="BF"/>
      </w:tcPr>
    </w:tblStylePr>
    <w:tblStylePr w:type="lastCol">
      <w:rPr>
        <w:color w:val="0072BC" w:themeColor="background1"/>
      </w:rPr>
      <w:tblPr/>
      <w:tcPr>
        <w:shd w:val="clear" w:color="auto" w:fill="00548C" w:themeFill="accent1" w:themeFillShade="BF"/>
      </w:tc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ColorfulGrid-Accent2">
    <w:name w:val="Colorful Grid Accent 2"/>
    <w:basedOn w:val="TableNormal"/>
    <w:uiPriority w:val="99"/>
    <w:semiHidden/>
    <w:rsid w:val="00171962"/>
    <w:rPr>
      <w:color w:val="000000" w:themeColor="text1"/>
    </w:rPr>
    <w:tblPr>
      <w:tblStyleRowBandSize w:val="1"/>
      <w:tblStyleColBandSize w:val="1"/>
      <w:tblBorders>
        <w:insideH w:val="single" w:sz="4" w:space="0" w:color="0072BC" w:themeColor="background1"/>
      </w:tblBorders>
    </w:tblPr>
    <w:tcPr>
      <w:shd w:val="clear" w:color="auto" w:fill="FFBFBF" w:themeFill="accent2" w:themeFillTint="33"/>
    </w:tcPr>
    <w:tblStylePr w:type="firstRow">
      <w:rPr>
        <w:b/>
        <w:bCs/>
      </w:rPr>
      <w:tblPr/>
      <w:tcPr>
        <w:shd w:val="clear" w:color="auto" w:fill="FF7F7F" w:themeFill="accent2" w:themeFillTint="66"/>
      </w:tcPr>
    </w:tblStylePr>
    <w:tblStylePr w:type="lastRow">
      <w:rPr>
        <w:b/>
        <w:bCs/>
        <w:color w:val="000000" w:themeColor="text1"/>
      </w:rPr>
      <w:tblPr/>
      <w:tcPr>
        <w:shd w:val="clear" w:color="auto" w:fill="FF7F7F" w:themeFill="accent2" w:themeFillTint="66"/>
      </w:tcPr>
    </w:tblStylePr>
    <w:tblStylePr w:type="firstCol">
      <w:rPr>
        <w:color w:val="0072BC" w:themeColor="background1"/>
      </w:rPr>
      <w:tblPr/>
      <w:tcPr>
        <w:shd w:val="clear" w:color="auto" w:fill="8F0000" w:themeFill="accent2" w:themeFillShade="BF"/>
      </w:tcPr>
    </w:tblStylePr>
    <w:tblStylePr w:type="lastCol">
      <w:rPr>
        <w:color w:val="0072BC" w:themeColor="background1"/>
      </w:rPr>
      <w:tblPr/>
      <w:tcPr>
        <w:shd w:val="clear" w:color="auto" w:fill="8F0000" w:themeFill="accent2" w:themeFillShade="BF"/>
      </w:tc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ColorfulGrid-Accent3">
    <w:name w:val="Colorful Grid Accent 3"/>
    <w:basedOn w:val="TableNormal"/>
    <w:uiPriority w:val="99"/>
    <w:semiHidden/>
    <w:rsid w:val="00171962"/>
    <w:rPr>
      <w:color w:val="000000" w:themeColor="text1"/>
    </w:rPr>
    <w:tblPr>
      <w:tblStyleRowBandSize w:val="1"/>
      <w:tblStyleColBandSize w:val="1"/>
      <w:tblBorders>
        <w:insideH w:val="single" w:sz="4" w:space="0" w:color="0072BC" w:themeColor="background1"/>
      </w:tblBorders>
    </w:tblPr>
    <w:tcPr>
      <w:shd w:val="clear" w:color="auto" w:fill="DFDFDF" w:themeFill="accent3" w:themeFillTint="33"/>
    </w:tcPr>
    <w:tblStylePr w:type="firstRow">
      <w:rPr>
        <w:b/>
        <w:bCs/>
      </w:rPr>
      <w:tblPr/>
      <w:tcPr>
        <w:shd w:val="clear" w:color="auto" w:fill="BFBFBF" w:themeFill="accent3" w:themeFillTint="66"/>
      </w:tcPr>
    </w:tblStylePr>
    <w:tblStylePr w:type="lastRow">
      <w:rPr>
        <w:b/>
        <w:bCs/>
        <w:color w:val="000000" w:themeColor="text1"/>
      </w:rPr>
      <w:tblPr/>
      <w:tcPr>
        <w:shd w:val="clear" w:color="auto" w:fill="BFBFBF" w:themeFill="accent3" w:themeFillTint="66"/>
      </w:tcPr>
    </w:tblStylePr>
    <w:tblStylePr w:type="firstCol">
      <w:rPr>
        <w:color w:val="0072BC" w:themeColor="background1"/>
      </w:rPr>
      <w:tblPr/>
      <w:tcPr>
        <w:shd w:val="clear" w:color="auto" w:fill="474747" w:themeFill="accent3" w:themeFillShade="BF"/>
      </w:tcPr>
    </w:tblStylePr>
    <w:tblStylePr w:type="lastCol">
      <w:rPr>
        <w:color w:val="0072BC" w:themeColor="background1"/>
      </w:rPr>
      <w:tblPr/>
      <w:tcPr>
        <w:shd w:val="clear" w:color="auto" w:fill="474747" w:themeFill="accent3" w:themeFillShade="BF"/>
      </w:tc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ColorfulGrid-Accent4">
    <w:name w:val="Colorful Grid Accent 4"/>
    <w:basedOn w:val="TableNormal"/>
    <w:uiPriority w:val="99"/>
    <w:semiHidden/>
    <w:rsid w:val="00171962"/>
    <w:rPr>
      <w:color w:val="000000" w:themeColor="text1"/>
    </w:rPr>
    <w:tblPr>
      <w:tblStyleRowBandSize w:val="1"/>
      <w:tblStyleColBandSize w:val="1"/>
      <w:tblBorders>
        <w:insideH w:val="single" w:sz="4" w:space="0" w:color="0072BC" w:themeColor="background1"/>
      </w:tblBorders>
    </w:tblPr>
    <w:tcPr>
      <w:shd w:val="clear" w:color="auto" w:fill="EAEAEA" w:themeFill="accent4" w:themeFillTint="33"/>
    </w:tcPr>
    <w:tblStylePr w:type="firstRow">
      <w:rPr>
        <w:b/>
        <w:bCs/>
      </w:rPr>
      <w:tblPr/>
      <w:tcPr>
        <w:shd w:val="clear" w:color="auto" w:fill="D5D5D5" w:themeFill="accent4" w:themeFillTint="66"/>
      </w:tcPr>
    </w:tblStylePr>
    <w:tblStylePr w:type="lastRow">
      <w:rPr>
        <w:b/>
        <w:bCs/>
        <w:color w:val="000000" w:themeColor="text1"/>
      </w:rPr>
      <w:tblPr/>
      <w:tcPr>
        <w:shd w:val="clear" w:color="auto" w:fill="D5D5D5" w:themeFill="accent4" w:themeFillTint="66"/>
      </w:tcPr>
    </w:tblStylePr>
    <w:tblStylePr w:type="firstCol">
      <w:rPr>
        <w:color w:val="0072BC" w:themeColor="background1"/>
      </w:rPr>
      <w:tblPr/>
      <w:tcPr>
        <w:shd w:val="clear" w:color="auto" w:fill="707070" w:themeFill="accent4" w:themeFillShade="BF"/>
      </w:tcPr>
    </w:tblStylePr>
    <w:tblStylePr w:type="lastCol">
      <w:rPr>
        <w:color w:val="0072BC" w:themeColor="background1"/>
      </w:rPr>
      <w:tblPr/>
      <w:tcPr>
        <w:shd w:val="clear" w:color="auto" w:fill="707070" w:themeFill="accent4" w:themeFillShade="BF"/>
      </w:tc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ColorfulGrid-Accent5">
    <w:name w:val="Colorful Grid Accent 5"/>
    <w:basedOn w:val="TableNormal"/>
    <w:uiPriority w:val="99"/>
    <w:semiHidden/>
    <w:rsid w:val="00171962"/>
    <w:rPr>
      <w:color w:val="000000" w:themeColor="text1"/>
    </w:rPr>
    <w:tblPr>
      <w:tblStyleRowBandSize w:val="1"/>
      <w:tblStyleColBandSize w:val="1"/>
      <w:tblBorders>
        <w:insideH w:val="single" w:sz="4" w:space="0" w:color="0072BC" w:themeColor="background1"/>
      </w:tblBorders>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0072BC" w:themeColor="background1"/>
      </w:rPr>
      <w:tblPr/>
      <w:tcPr>
        <w:shd w:val="clear" w:color="auto" w:fill="474747" w:themeFill="accent5" w:themeFillShade="BF"/>
      </w:tcPr>
    </w:tblStylePr>
    <w:tblStylePr w:type="lastCol">
      <w:rPr>
        <w:color w:val="0072BC"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rfulGrid-Accent6">
    <w:name w:val="Colorful Grid Accent 6"/>
    <w:basedOn w:val="TableNormal"/>
    <w:uiPriority w:val="99"/>
    <w:semiHidden/>
    <w:rsid w:val="00171962"/>
    <w:rPr>
      <w:color w:val="000000" w:themeColor="text1"/>
    </w:rPr>
    <w:tblPr>
      <w:tblStyleRowBandSize w:val="1"/>
      <w:tblStyleColBandSize w:val="1"/>
      <w:tblBorders>
        <w:insideH w:val="single" w:sz="4" w:space="0" w:color="0072BC" w:themeColor="background1"/>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0072BC" w:themeColor="background1"/>
      </w:rPr>
      <w:tblPr/>
      <w:tcPr>
        <w:shd w:val="clear" w:color="auto" w:fill="393939" w:themeFill="accent6" w:themeFillShade="BF"/>
      </w:tcPr>
    </w:tblStylePr>
    <w:tblStylePr w:type="lastCol">
      <w:rPr>
        <w:color w:val="0072BC"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rfulList">
    <w:name w:val="Colorful List"/>
    <w:basedOn w:val="TableNormal"/>
    <w:uiPriority w:val="99"/>
    <w:semiHidden/>
    <w:rsid w:val="00171962"/>
    <w:rPr>
      <w:color w:val="000000" w:themeColor="text1"/>
    </w:rPr>
    <w:tblPr>
      <w:tblStyleRowBandSize w:val="1"/>
      <w:tblStyleColBandSize w:val="1"/>
    </w:tblPr>
    <w:tcPr>
      <w:shd w:val="clear" w:color="auto" w:fill="E6E6E6" w:themeFill="tex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9"/>
    <w:semiHidden/>
    <w:rsid w:val="00171962"/>
    <w:rPr>
      <w:color w:val="000000" w:themeColor="text1"/>
    </w:rPr>
    <w:tblPr>
      <w:tblStyleRowBandSize w:val="1"/>
      <w:tblStyleColBandSize w:val="1"/>
    </w:tblPr>
    <w:tcPr>
      <w:shd w:val="clear" w:color="auto" w:fill="DFF2FF" w:themeFill="accen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hemeFill="accent1" w:themeFillTint="3F"/>
      </w:tcPr>
    </w:tblStylePr>
    <w:tblStylePr w:type="band1Horz">
      <w:tblPr/>
      <w:tcPr>
        <w:shd w:val="clear" w:color="auto" w:fill="BEE5FF" w:themeFill="accent1" w:themeFillTint="33"/>
      </w:tcPr>
    </w:tblStylePr>
  </w:style>
  <w:style w:type="table" w:styleId="ColorfulList-Accent2">
    <w:name w:val="Colorful List Accent 2"/>
    <w:basedOn w:val="TableNormal"/>
    <w:uiPriority w:val="99"/>
    <w:semiHidden/>
    <w:rsid w:val="00171962"/>
    <w:rPr>
      <w:color w:val="000000" w:themeColor="text1"/>
    </w:rPr>
    <w:tblPr>
      <w:tblStyleRowBandSize w:val="1"/>
      <w:tblStyleColBandSize w:val="1"/>
    </w:tblPr>
    <w:tcPr>
      <w:shd w:val="clear" w:color="auto" w:fill="FFDFDF" w:themeFill="accent2"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hemeFill="accent2" w:themeFillTint="3F"/>
      </w:tcPr>
    </w:tblStylePr>
    <w:tblStylePr w:type="band1Horz">
      <w:tblPr/>
      <w:tcPr>
        <w:shd w:val="clear" w:color="auto" w:fill="FFBFBF" w:themeFill="accent2" w:themeFillTint="33"/>
      </w:tcPr>
    </w:tblStylePr>
  </w:style>
  <w:style w:type="table" w:styleId="ColorfulList-Accent3">
    <w:name w:val="Colorful List Accent 3"/>
    <w:basedOn w:val="TableNormal"/>
    <w:uiPriority w:val="99"/>
    <w:semiHidden/>
    <w:rsid w:val="00171962"/>
    <w:rPr>
      <w:color w:val="000000" w:themeColor="text1"/>
    </w:rPr>
    <w:tblPr>
      <w:tblStyleRowBandSize w:val="1"/>
      <w:tblStyleColBandSize w:val="1"/>
    </w:tblPr>
    <w:tcPr>
      <w:shd w:val="clear" w:color="auto" w:fill="EFEFEF" w:themeFill="accent3" w:themeFillTint="19"/>
    </w:tcPr>
    <w:tblStylePr w:type="firstRow">
      <w:rPr>
        <w:b/>
        <w:bCs/>
        <w:color w:val="0072BC" w:themeColor="background1"/>
      </w:rPr>
      <w:tblPr/>
      <w:tcPr>
        <w:tcBorders>
          <w:bottom w:val="single" w:sz="12" w:space="0" w:color="0072BC" w:themeColor="background1"/>
        </w:tcBorders>
        <w:shd w:val="clear" w:color="auto" w:fill="787878" w:themeFill="accent4" w:themeFillShade="CC"/>
      </w:tcPr>
    </w:tblStylePr>
    <w:tblStylePr w:type="lastRow">
      <w:rPr>
        <w:b/>
        <w:bCs/>
        <w:color w:val="787878" w:themeColor="accent4"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3" w:themeFillTint="3F"/>
      </w:tcPr>
    </w:tblStylePr>
    <w:tblStylePr w:type="band1Horz">
      <w:tblPr/>
      <w:tcPr>
        <w:shd w:val="clear" w:color="auto" w:fill="DFDFDF" w:themeFill="accent3" w:themeFillTint="33"/>
      </w:tcPr>
    </w:tblStylePr>
  </w:style>
  <w:style w:type="table" w:styleId="ColorfulList-Accent4">
    <w:name w:val="Colorful List Accent 4"/>
    <w:basedOn w:val="TableNormal"/>
    <w:uiPriority w:val="99"/>
    <w:semiHidden/>
    <w:rsid w:val="00171962"/>
    <w:rPr>
      <w:color w:val="000000" w:themeColor="text1"/>
    </w:rPr>
    <w:tblPr>
      <w:tblStyleRowBandSize w:val="1"/>
      <w:tblStyleColBandSize w:val="1"/>
    </w:tblPr>
    <w:tcPr>
      <w:shd w:val="clear" w:color="auto" w:fill="F4F4F4" w:themeFill="accent4" w:themeFillTint="19"/>
    </w:tcPr>
    <w:tblStylePr w:type="firstRow">
      <w:rPr>
        <w:b/>
        <w:bCs/>
        <w:color w:val="0072BC" w:themeColor="background1"/>
      </w:rPr>
      <w:tblPr/>
      <w:tcPr>
        <w:tcBorders>
          <w:bottom w:val="single" w:sz="12" w:space="0" w:color="0072BC" w:themeColor="background1"/>
        </w:tcBorders>
        <w:shd w:val="clear" w:color="auto" w:fill="4C4C4C" w:themeFill="accent3" w:themeFillShade="CC"/>
      </w:tcPr>
    </w:tblStylePr>
    <w:tblStylePr w:type="lastRow">
      <w:rPr>
        <w:b/>
        <w:bCs/>
        <w:color w:val="4C4C4C" w:themeColor="accent3"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4" w:themeFillTint="3F"/>
      </w:tcPr>
    </w:tblStylePr>
    <w:tblStylePr w:type="band1Horz">
      <w:tblPr/>
      <w:tcPr>
        <w:shd w:val="clear" w:color="auto" w:fill="EAEAEA" w:themeFill="accent4" w:themeFillTint="33"/>
      </w:tcPr>
    </w:tblStylePr>
  </w:style>
  <w:style w:type="table" w:styleId="ColorfulList-Accent5">
    <w:name w:val="Colorful List Accent 5"/>
    <w:basedOn w:val="TableNormal"/>
    <w:uiPriority w:val="99"/>
    <w:semiHidden/>
    <w:rsid w:val="00171962"/>
    <w:rPr>
      <w:color w:val="000000" w:themeColor="text1"/>
    </w:rPr>
    <w:tblPr>
      <w:tblStyleRowBandSize w:val="1"/>
      <w:tblStyleColBandSize w:val="1"/>
    </w:tblPr>
    <w:tcPr>
      <w:shd w:val="clear" w:color="auto" w:fill="EFEFEF" w:themeFill="accent5" w:themeFillTint="19"/>
    </w:tcPr>
    <w:tblStylePr w:type="firstRow">
      <w:rPr>
        <w:b/>
        <w:bCs/>
        <w:color w:val="0072BC" w:themeColor="background1"/>
      </w:rPr>
      <w:tblPr/>
      <w:tcPr>
        <w:tcBorders>
          <w:bottom w:val="single" w:sz="12" w:space="0" w:color="0072BC"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rfulList-Accent6">
    <w:name w:val="Colorful List Accent 6"/>
    <w:basedOn w:val="TableNormal"/>
    <w:uiPriority w:val="99"/>
    <w:semiHidden/>
    <w:rsid w:val="00171962"/>
    <w:rPr>
      <w:color w:val="000000" w:themeColor="text1"/>
    </w:rPr>
    <w:tblPr>
      <w:tblStyleRowBandSize w:val="1"/>
      <w:tblStyleColBandSize w:val="1"/>
    </w:tblPr>
    <w:tcPr>
      <w:shd w:val="clear" w:color="auto" w:fill="EDEDED" w:themeFill="accent6" w:themeFillTint="19"/>
    </w:tcPr>
    <w:tblStylePr w:type="firstRow">
      <w:rPr>
        <w:b/>
        <w:bCs/>
        <w:color w:val="0072BC" w:themeColor="background1"/>
      </w:rPr>
      <w:tblPr/>
      <w:tcPr>
        <w:tcBorders>
          <w:bottom w:val="single" w:sz="12" w:space="0" w:color="0072BC"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rfulShading">
    <w:name w:val="Colorful Shading"/>
    <w:basedOn w:val="TableNormal"/>
    <w:uiPriority w:val="99"/>
    <w:semiHidden/>
    <w:rsid w:val="00171962"/>
    <w:rPr>
      <w:color w:val="000000" w:themeColor="text1"/>
    </w:rPr>
    <w:tblPr>
      <w:tblStyleRowBandSize w:val="1"/>
      <w:tblStyleColBandSize w:val="1"/>
      <w:tblBorders>
        <w:top w:val="single" w:sz="24" w:space="0" w:color="C00000" w:themeColor="accent2"/>
        <w:left w:val="single" w:sz="4" w:space="0" w:color="000000" w:themeColor="text1"/>
        <w:bottom w:val="single" w:sz="4" w:space="0" w:color="000000" w:themeColor="text1"/>
        <w:right w:val="single" w:sz="4" w:space="0" w:color="000000" w:themeColor="text1"/>
        <w:insideH w:val="single" w:sz="4" w:space="0" w:color="0072BC" w:themeColor="background1"/>
        <w:insideV w:val="single" w:sz="4" w:space="0" w:color="0072BC" w:themeColor="background1"/>
      </w:tblBorders>
    </w:tblPr>
    <w:tcPr>
      <w:shd w:val="clear" w:color="auto" w:fill="E6E6E6" w:themeFill="tex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0000" w:themeFill="text1" w:themeFillShade="99"/>
      </w:tcPr>
    </w:tblStylePr>
    <w:tblStylePr w:type="firstCol">
      <w:rPr>
        <w:color w:val="0072BC"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0072BC"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9"/>
    <w:semiHidden/>
    <w:rsid w:val="00171962"/>
    <w:rPr>
      <w:color w:val="000000" w:themeColor="text1"/>
    </w:rPr>
    <w:tblPr>
      <w:tblStyleRowBandSize w:val="1"/>
      <w:tblStyleColBandSize w:val="1"/>
      <w:tblBorders>
        <w:top w:val="single" w:sz="24" w:space="0" w:color="C00000" w:themeColor="accent2"/>
        <w:left w:val="single" w:sz="4" w:space="0" w:color="0072BC" w:themeColor="accent1"/>
        <w:bottom w:val="single" w:sz="4" w:space="0" w:color="0072BC" w:themeColor="accent1"/>
        <w:right w:val="single" w:sz="4" w:space="0" w:color="0072BC" w:themeColor="accent1"/>
        <w:insideH w:val="single" w:sz="4" w:space="0" w:color="0072BC" w:themeColor="background1"/>
        <w:insideV w:val="single" w:sz="4" w:space="0" w:color="0072BC" w:themeColor="background1"/>
      </w:tblBorders>
    </w:tblPr>
    <w:tcPr>
      <w:shd w:val="clear" w:color="auto" w:fill="DFF2FF" w:themeFill="accen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4470" w:themeFill="accent1" w:themeFillShade="99"/>
      </w:tcPr>
    </w:tblStylePr>
    <w:tblStylePr w:type="firstCol">
      <w:rPr>
        <w:color w:val="0072BC" w:themeColor="background1"/>
      </w:rPr>
      <w:tblPr/>
      <w:tcPr>
        <w:tcBorders>
          <w:top w:val="nil"/>
          <w:left w:val="nil"/>
          <w:bottom w:val="nil"/>
          <w:right w:val="nil"/>
          <w:insideH w:val="single" w:sz="4" w:space="0" w:color="004470" w:themeColor="accent1" w:themeShade="99"/>
          <w:insideV w:val="nil"/>
        </w:tcBorders>
        <w:shd w:val="clear" w:color="auto" w:fill="004470" w:themeFill="accent1" w:themeFillShade="99"/>
      </w:tcPr>
    </w:tblStylePr>
    <w:tblStylePr w:type="lastCol">
      <w:rPr>
        <w:color w:val="0072BC" w:themeColor="background1"/>
      </w:rPr>
      <w:tblPr/>
      <w:tcPr>
        <w:tcBorders>
          <w:top w:val="nil"/>
          <w:left w:val="nil"/>
          <w:bottom w:val="nil"/>
          <w:right w:val="nil"/>
          <w:insideH w:val="nil"/>
          <w:insideV w:val="nil"/>
        </w:tcBorders>
        <w:shd w:val="clear" w:color="auto" w:fill="004470" w:themeFill="accent1" w:themeFillShade="99"/>
      </w:tcPr>
    </w:tblStylePr>
    <w:tblStylePr w:type="band1Vert">
      <w:tblPr/>
      <w:tcPr>
        <w:shd w:val="clear" w:color="auto" w:fill="7ECBFF" w:themeFill="accent1" w:themeFillTint="66"/>
      </w:tcPr>
    </w:tblStylePr>
    <w:tblStylePr w:type="band1Horz">
      <w:tblPr/>
      <w:tcPr>
        <w:shd w:val="clear" w:color="auto" w:fill="5EBF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9"/>
    <w:semiHidden/>
    <w:rsid w:val="00171962"/>
    <w:rPr>
      <w:color w:val="000000" w:themeColor="text1"/>
    </w:rPr>
    <w:tblPr>
      <w:tblStyleRowBandSize w:val="1"/>
      <w:tblStyleColBandSize w:val="1"/>
      <w:tblBorders>
        <w:top w:val="single" w:sz="24" w:space="0" w:color="C00000" w:themeColor="accent2"/>
        <w:left w:val="single" w:sz="4" w:space="0" w:color="C00000" w:themeColor="accent2"/>
        <w:bottom w:val="single" w:sz="4" w:space="0" w:color="C00000" w:themeColor="accent2"/>
        <w:right w:val="single" w:sz="4" w:space="0" w:color="C00000" w:themeColor="accent2"/>
        <w:insideH w:val="single" w:sz="4" w:space="0" w:color="0072BC" w:themeColor="background1"/>
        <w:insideV w:val="single" w:sz="4" w:space="0" w:color="0072BC" w:themeColor="background1"/>
      </w:tblBorders>
    </w:tblPr>
    <w:tcPr>
      <w:shd w:val="clear" w:color="auto" w:fill="FFDFDF" w:themeFill="accent2"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730000" w:themeFill="accent2" w:themeFillShade="99"/>
      </w:tcPr>
    </w:tblStylePr>
    <w:tblStylePr w:type="firstCol">
      <w:rPr>
        <w:color w:val="0072BC" w:themeColor="background1"/>
      </w:rPr>
      <w:tblPr/>
      <w:tcPr>
        <w:tcBorders>
          <w:top w:val="nil"/>
          <w:left w:val="nil"/>
          <w:bottom w:val="nil"/>
          <w:right w:val="nil"/>
          <w:insideH w:val="single" w:sz="4" w:space="0" w:color="730000" w:themeColor="accent2" w:themeShade="99"/>
          <w:insideV w:val="nil"/>
        </w:tcBorders>
        <w:shd w:val="clear" w:color="auto" w:fill="730000" w:themeFill="accent2" w:themeFillShade="99"/>
      </w:tcPr>
    </w:tblStylePr>
    <w:tblStylePr w:type="lastCol">
      <w:rPr>
        <w:color w:val="0072BC" w:themeColor="background1"/>
      </w:rPr>
      <w:tblPr/>
      <w:tcPr>
        <w:tcBorders>
          <w:top w:val="nil"/>
          <w:left w:val="nil"/>
          <w:bottom w:val="nil"/>
          <w:right w:val="nil"/>
          <w:insideH w:val="nil"/>
          <w:insideV w:val="nil"/>
        </w:tcBorders>
        <w:shd w:val="clear" w:color="auto" w:fill="730000" w:themeFill="accent2" w:themeFillShade="99"/>
      </w:tcPr>
    </w:tblStylePr>
    <w:tblStylePr w:type="band1Vert">
      <w:tblPr/>
      <w:tcPr>
        <w:shd w:val="clear" w:color="auto" w:fill="FF7F7F" w:themeFill="accent2" w:themeFillTint="66"/>
      </w:tcPr>
    </w:tblStylePr>
    <w:tblStylePr w:type="band1Horz">
      <w:tblPr/>
      <w:tcPr>
        <w:shd w:val="clear" w:color="auto" w:fill="FF606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9"/>
    <w:semiHidden/>
    <w:rsid w:val="00171962"/>
    <w:rPr>
      <w:color w:val="000000" w:themeColor="text1"/>
    </w:rPr>
    <w:tblPr>
      <w:tblStyleRowBandSize w:val="1"/>
      <w:tblStyleColBandSize w:val="1"/>
      <w:tblBorders>
        <w:top w:val="single" w:sz="24" w:space="0" w:color="969696" w:themeColor="accent4"/>
        <w:left w:val="single" w:sz="4" w:space="0" w:color="5F5F5F" w:themeColor="accent3"/>
        <w:bottom w:val="single" w:sz="4" w:space="0" w:color="5F5F5F" w:themeColor="accent3"/>
        <w:right w:val="single" w:sz="4" w:space="0" w:color="5F5F5F" w:themeColor="accent3"/>
        <w:insideH w:val="single" w:sz="4" w:space="0" w:color="0072BC" w:themeColor="background1"/>
        <w:insideV w:val="single" w:sz="4" w:space="0" w:color="0072BC" w:themeColor="background1"/>
      </w:tblBorders>
    </w:tblPr>
    <w:tcPr>
      <w:shd w:val="clear" w:color="auto" w:fill="EFEFEF" w:themeFill="accent3" w:themeFillTint="19"/>
    </w:tcPr>
    <w:tblStylePr w:type="firstRow">
      <w:rPr>
        <w:b/>
        <w:bCs/>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3" w:themeFillShade="99"/>
      </w:tcPr>
    </w:tblStylePr>
    <w:tblStylePr w:type="firstCol">
      <w:rPr>
        <w:color w:val="0072BC" w:themeColor="background1"/>
      </w:rPr>
      <w:tblPr/>
      <w:tcPr>
        <w:tcBorders>
          <w:top w:val="nil"/>
          <w:left w:val="nil"/>
          <w:bottom w:val="nil"/>
          <w:right w:val="nil"/>
          <w:insideH w:val="single" w:sz="4" w:space="0" w:color="393939" w:themeColor="accent3" w:themeShade="99"/>
          <w:insideV w:val="nil"/>
        </w:tcBorders>
        <w:shd w:val="clear" w:color="auto" w:fill="393939" w:themeFill="accent3"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3" w:themeFillShade="99"/>
      </w:tcPr>
    </w:tblStylePr>
    <w:tblStylePr w:type="band1Vert">
      <w:tblPr/>
      <w:tcPr>
        <w:shd w:val="clear" w:color="auto" w:fill="BFBFBF" w:themeFill="accent3" w:themeFillTint="66"/>
      </w:tcPr>
    </w:tblStylePr>
    <w:tblStylePr w:type="band1Horz">
      <w:tblPr/>
      <w:tcPr>
        <w:shd w:val="clear" w:color="auto" w:fill="AFAFAF" w:themeFill="accent3" w:themeFillTint="7F"/>
      </w:tcPr>
    </w:tblStylePr>
  </w:style>
  <w:style w:type="table" w:styleId="ColorfulShading-Accent4">
    <w:name w:val="Colorful Shading Accent 4"/>
    <w:basedOn w:val="TableNormal"/>
    <w:uiPriority w:val="99"/>
    <w:semiHidden/>
    <w:rsid w:val="00171962"/>
    <w:rPr>
      <w:color w:val="000000" w:themeColor="text1"/>
    </w:rPr>
    <w:tblPr>
      <w:tblStyleRowBandSize w:val="1"/>
      <w:tblStyleColBandSize w:val="1"/>
      <w:tblBorders>
        <w:top w:val="single" w:sz="24" w:space="0" w:color="5F5F5F" w:themeColor="accent3"/>
        <w:left w:val="single" w:sz="4" w:space="0" w:color="969696" w:themeColor="accent4"/>
        <w:bottom w:val="single" w:sz="4" w:space="0" w:color="969696" w:themeColor="accent4"/>
        <w:right w:val="single" w:sz="4" w:space="0" w:color="969696" w:themeColor="accent4"/>
        <w:insideH w:val="single" w:sz="4" w:space="0" w:color="0072BC" w:themeColor="background1"/>
        <w:insideV w:val="single" w:sz="4" w:space="0" w:color="0072BC" w:themeColor="background1"/>
      </w:tblBorders>
    </w:tblPr>
    <w:tcPr>
      <w:shd w:val="clear" w:color="auto" w:fill="F4F4F4" w:themeFill="accent4" w:themeFillTint="19"/>
    </w:tcPr>
    <w:tblStylePr w:type="firstRow">
      <w:rPr>
        <w:b/>
        <w:bCs/>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5A5A5A" w:themeFill="accent4" w:themeFillShade="99"/>
      </w:tcPr>
    </w:tblStylePr>
    <w:tblStylePr w:type="firstCol">
      <w:rPr>
        <w:color w:val="0072BC" w:themeColor="background1"/>
      </w:rPr>
      <w:tblPr/>
      <w:tcPr>
        <w:tcBorders>
          <w:top w:val="nil"/>
          <w:left w:val="nil"/>
          <w:bottom w:val="nil"/>
          <w:right w:val="nil"/>
          <w:insideH w:val="single" w:sz="4" w:space="0" w:color="5A5A5A" w:themeColor="accent4" w:themeShade="99"/>
          <w:insideV w:val="nil"/>
        </w:tcBorders>
        <w:shd w:val="clear" w:color="auto" w:fill="5A5A5A" w:themeFill="accent4" w:themeFillShade="99"/>
      </w:tcPr>
    </w:tblStylePr>
    <w:tblStylePr w:type="lastCol">
      <w:rPr>
        <w:color w:val="0072BC" w:themeColor="background1"/>
      </w:rPr>
      <w:tblPr/>
      <w:tcPr>
        <w:tcBorders>
          <w:top w:val="nil"/>
          <w:left w:val="nil"/>
          <w:bottom w:val="nil"/>
          <w:right w:val="nil"/>
          <w:insideH w:val="nil"/>
          <w:insideV w:val="nil"/>
        </w:tcBorders>
        <w:shd w:val="clear" w:color="auto" w:fill="5A5A5A" w:themeFill="accent4" w:themeFillShade="99"/>
      </w:tcPr>
    </w:tblStylePr>
    <w:tblStylePr w:type="band1Vert">
      <w:tblPr/>
      <w:tcPr>
        <w:shd w:val="clear" w:color="auto" w:fill="D5D5D5" w:themeFill="accent4" w:themeFillTint="66"/>
      </w:tcPr>
    </w:tblStylePr>
    <w:tblStylePr w:type="band1Horz">
      <w:tblPr/>
      <w:tcPr>
        <w:shd w:val="clear" w:color="auto" w:fill="CACAC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9"/>
    <w:semiHidden/>
    <w:rsid w:val="00171962"/>
    <w:rPr>
      <w:color w:val="000000" w:themeColor="text1"/>
    </w:rPr>
    <w:tblPr>
      <w:tblStyleRowBandSize w:val="1"/>
      <w:tblStyleColBandSize w:val="1"/>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0072BC" w:themeColor="background1"/>
        <w:insideV w:val="single" w:sz="4" w:space="0" w:color="0072BC" w:themeColor="background1"/>
      </w:tblBorders>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5" w:themeFillShade="99"/>
      </w:tcPr>
    </w:tblStylePr>
    <w:tblStylePr w:type="firstCol">
      <w:rPr>
        <w:color w:val="0072BC"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9"/>
    <w:semiHidden/>
    <w:rsid w:val="00171962"/>
    <w:rPr>
      <w:color w:val="000000" w:themeColor="text1"/>
    </w:rPr>
    <w:tblPr>
      <w:tblStyleRowBandSize w:val="1"/>
      <w:tblStyleColBandSize w:val="1"/>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0072BC" w:themeColor="background1"/>
        <w:insideV w:val="single" w:sz="4" w:space="0" w:color="0072BC" w:themeColor="background1"/>
      </w:tblBorders>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2E2E2E" w:themeFill="accent6" w:themeFillShade="99"/>
      </w:tcPr>
    </w:tblStylePr>
    <w:tblStylePr w:type="firstCol">
      <w:rPr>
        <w:color w:val="0072BC"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0072BC"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99"/>
    <w:semiHidden/>
    <w:rsid w:val="00171962"/>
    <w:rPr>
      <w:color w:val="0072BC"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0072BC" w:themeColor="background1"/>
          <w:insideH w:val="nil"/>
          <w:insideV w:val="nil"/>
        </w:tcBorders>
        <w:shd w:val="clear" w:color="auto" w:fill="000000" w:themeFill="text1" w:themeFillShade="BF"/>
      </w:tcPr>
    </w:tblStylePr>
    <w:tblStylePr w:type="lastCol">
      <w:tblPr/>
      <w:tcPr>
        <w:tcBorders>
          <w:top w:val="nil"/>
          <w:left w:val="single" w:sz="18" w:space="0" w:color="0072BC"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9"/>
    <w:semiHidden/>
    <w:rsid w:val="00171962"/>
    <w:rPr>
      <w:color w:val="0072BC" w:themeColor="background1"/>
    </w:rPr>
    <w:tblPr>
      <w:tblStyleRowBandSize w:val="1"/>
      <w:tblStyleColBandSize w:val="1"/>
    </w:tblPr>
    <w:tcPr>
      <w:shd w:val="clear" w:color="auto" w:fill="0072BC" w:themeFill="accen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385D" w:themeFill="accent1" w:themeFillShade="7F"/>
      </w:tcPr>
    </w:tblStylePr>
    <w:tblStylePr w:type="firstCol">
      <w:tblPr/>
      <w:tcPr>
        <w:tcBorders>
          <w:top w:val="nil"/>
          <w:left w:val="nil"/>
          <w:bottom w:val="nil"/>
          <w:right w:val="single" w:sz="18" w:space="0" w:color="0072BC" w:themeColor="background1"/>
          <w:insideH w:val="nil"/>
          <w:insideV w:val="nil"/>
        </w:tcBorders>
        <w:shd w:val="clear" w:color="auto" w:fill="00548C" w:themeFill="accent1" w:themeFillShade="BF"/>
      </w:tcPr>
    </w:tblStylePr>
    <w:tblStylePr w:type="lastCol">
      <w:tblPr/>
      <w:tcPr>
        <w:tcBorders>
          <w:top w:val="nil"/>
          <w:left w:val="single" w:sz="18" w:space="0" w:color="0072BC" w:themeColor="background1"/>
          <w:bottom w:val="nil"/>
          <w:right w:val="nil"/>
          <w:insideH w:val="nil"/>
          <w:insideV w:val="nil"/>
        </w:tcBorders>
        <w:shd w:val="clear" w:color="auto" w:fill="00548C" w:themeFill="accent1" w:themeFillShade="BF"/>
      </w:tcPr>
    </w:tblStylePr>
    <w:tblStylePr w:type="band1Vert">
      <w:tblPr/>
      <w:tcPr>
        <w:tcBorders>
          <w:top w:val="nil"/>
          <w:left w:val="nil"/>
          <w:bottom w:val="nil"/>
          <w:right w:val="nil"/>
          <w:insideH w:val="nil"/>
          <w:insideV w:val="nil"/>
        </w:tcBorders>
        <w:shd w:val="clear" w:color="auto" w:fill="00548C" w:themeFill="accent1" w:themeFillShade="BF"/>
      </w:tcPr>
    </w:tblStylePr>
    <w:tblStylePr w:type="band1Horz">
      <w:tblPr/>
      <w:tcPr>
        <w:tcBorders>
          <w:top w:val="nil"/>
          <w:left w:val="nil"/>
          <w:bottom w:val="nil"/>
          <w:right w:val="nil"/>
          <w:insideH w:val="nil"/>
          <w:insideV w:val="nil"/>
        </w:tcBorders>
        <w:shd w:val="clear" w:color="auto" w:fill="00548C" w:themeFill="accent1" w:themeFillShade="BF"/>
      </w:tcPr>
    </w:tblStylePr>
  </w:style>
  <w:style w:type="table" w:styleId="DarkList-Accent2">
    <w:name w:val="Dark List Accent 2"/>
    <w:basedOn w:val="TableNormal"/>
    <w:uiPriority w:val="99"/>
    <w:semiHidden/>
    <w:rsid w:val="00171962"/>
    <w:rPr>
      <w:color w:val="0072BC" w:themeColor="background1"/>
    </w:rPr>
    <w:tblPr>
      <w:tblStyleRowBandSize w:val="1"/>
      <w:tblStyleColBandSize w:val="1"/>
    </w:tblPr>
    <w:tcPr>
      <w:shd w:val="clear" w:color="auto" w:fill="C00000" w:themeFill="accent2"/>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5F0000" w:themeFill="accent2" w:themeFillShade="7F"/>
      </w:tcPr>
    </w:tblStylePr>
    <w:tblStylePr w:type="firstCol">
      <w:tblPr/>
      <w:tcPr>
        <w:tcBorders>
          <w:top w:val="nil"/>
          <w:left w:val="nil"/>
          <w:bottom w:val="nil"/>
          <w:right w:val="single" w:sz="18" w:space="0" w:color="0072BC" w:themeColor="background1"/>
          <w:insideH w:val="nil"/>
          <w:insideV w:val="nil"/>
        </w:tcBorders>
        <w:shd w:val="clear" w:color="auto" w:fill="8F0000" w:themeFill="accent2" w:themeFillShade="BF"/>
      </w:tcPr>
    </w:tblStylePr>
    <w:tblStylePr w:type="lastCol">
      <w:tblPr/>
      <w:tcPr>
        <w:tcBorders>
          <w:top w:val="nil"/>
          <w:left w:val="single" w:sz="18" w:space="0" w:color="0072BC" w:themeColor="background1"/>
          <w:bottom w:val="nil"/>
          <w:right w:val="nil"/>
          <w:insideH w:val="nil"/>
          <w:insideV w:val="nil"/>
        </w:tcBorders>
        <w:shd w:val="clear" w:color="auto" w:fill="8F0000" w:themeFill="accent2" w:themeFillShade="BF"/>
      </w:tcPr>
    </w:tblStylePr>
    <w:tblStylePr w:type="band1Vert">
      <w:tblPr/>
      <w:tcPr>
        <w:tcBorders>
          <w:top w:val="nil"/>
          <w:left w:val="nil"/>
          <w:bottom w:val="nil"/>
          <w:right w:val="nil"/>
          <w:insideH w:val="nil"/>
          <w:insideV w:val="nil"/>
        </w:tcBorders>
        <w:shd w:val="clear" w:color="auto" w:fill="8F0000" w:themeFill="accent2" w:themeFillShade="BF"/>
      </w:tcPr>
    </w:tblStylePr>
    <w:tblStylePr w:type="band1Horz">
      <w:tblPr/>
      <w:tcPr>
        <w:tcBorders>
          <w:top w:val="nil"/>
          <w:left w:val="nil"/>
          <w:bottom w:val="nil"/>
          <w:right w:val="nil"/>
          <w:insideH w:val="nil"/>
          <w:insideV w:val="nil"/>
        </w:tcBorders>
        <w:shd w:val="clear" w:color="auto" w:fill="8F0000" w:themeFill="accent2" w:themeFillShade="BF"/>
      </w:tcPr>
    </w:tblStylePr>
  </w:style>
  <w:style w:type="table" w:styleId="DarkList-Accent3">
    <w:name w:val="Dark List Accent 3"/>
    <w:basedOn w:val="TableNormal"/>
    <w:uiPriority w:val="99"/>
    <w:semiHidden/>
    <w:rsid w:val="00171962"/>
    <w:rPr>
      <w:color w:val="0072BC" w:themeColor="background1"/>
    </w:rPr>
    <w:tblPr>
      <w:tblStyleRowBandSize w:val="1"/>
      <w:tblStyleColBandSize w:val="1"/>
    </w:tblPr>
    <w:tcPr>
      <w:shd w:val="clear" w:color="auto" w:fill="5F5F5F" w:themeFill="accent3"/>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3"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3"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3" w:themeFillShade="BF"/>
      </w:tcPr>
    </w:tblStylePr>
    <w:tblStylePr w:type="band1Vert">
      <w:tblPr/>
      <w:tcPr>
        <w:tcBorders>
          <w:top w:val="nil"/>
          <w:left w:val="nil"/>
          <w:bottom w:val="nil"/>
          <w:right w:val="nil"/>
          <w:insideH w:val="nil"/>
          <w:insideV w:val="nil"/>
        </w:tcBorders>
        <w:shd w:val="clear" w:color="auto" w:fill="474747" w:themeFill="accent3" w:themeFillShade="BF"/>
      </w:tcPr>
    </w:tblStylePr>
    <w:tblStylePr w:type="band1Horz">
      <w:tblPr/>
      <w:tcPr>
        <w:tcBorders>
          <w:top w:val="nil"/>
          <w:left w:val="nil"/>
          <w:bottom w:val="nil"/>
          <w:right w:val="nil"/>
          <w:insideH w:val="nil"/>
          <w:insideV w:val="nil"/>
        </w:tcBorders>
        <w:shd w:val="clear" w:color="auto" w:fill="474747" w:themeFill="accent3" w:themeFillShade="BF"/>
      </w:tcPr>
    </w:tblStylePr>
  </w:style>
  <w:style w:type="table" w:styleId="DarkList-Accent4">
    <w:name w:val="Dark List Accent 4"/>
    <w:basedOn w:val="TableNormal"/>
    <w:uiPriority w:val="99"/>
    <w:semiHidden/>
    <w:rsid w:val="00171962"/>
    <w:rPr>
      <w:color w:val="0072BC" w:themeColor="background1"/>
    </w:rPr>
    <w:tblPr>
      <w:tblStyleRowBandSize w:val="1"/>
      <w:tblStyleColBandSize w:val="1"/>
    </w:tblPr>
    <w:tcPr>
      <w:shd w:val="clear" w:color="auto" w:fill="969696" w:themeFill="accent4"/>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4A4A4A" w:themeFill="accent4" w:themeFillShade="7F"/>
      </w:tcPr>
    </w:tblStylePr>
    <w:tblStylePr w:type="firstCol">
      <w:tblPr/>
      <w:tcPr>
        <w:tcBorders>
          <w:top w:val="nil"/>
          <w:left w:val="nil"/>
          <w:bottom w:val="nil"/>
          <w:right w:val="single" w:sz="18" w:space="0" w:color="0072BC" w:themeColor="background1"/>
          <w:insideH w:val="nil"/>
          <w:insideV w:val="nil"/>
        </w:tcBorders>
        <w:shd w:val="clear" w:color="auto" w:fill="707070" w:themeFill="accent4" w:themeFillShade="BF"/>
      </w:tcPr>
    </w:tblStylePr>
    <w:tblStylePr w:type="lastCol">
      <w:tblPr/>
      <w:tcPr>
        <w:tcBorders>
          <w:top w:val="nil"/>
          <w:left w:val="single" w:sz="18" w:space="0" w:color="0072BC" w:themeColor="background1"/>
          <w:bottom w:val="nil"/>
          <w:right w:val="nil"/>
          <w:insideH w:val="nil"/>
          <w:insideV w:val="nil"/>
        </w:tcBorders>
        <w:shd w:val="clear" w:color="auto" w:fill="707070" w:themeFill="accent4" w:themeFillShade="BF"/>
      </w:tcPr>
    </w:tblStylePr>
    <w:tblStylePr w:type="band1Vert">
      <w:tblPr/>
      <w:tcPr>
        <w:tcBorders>
          <w:top w:val="nil"/>
          <w:left w:val="nil"/>
          <w:bottom w:val="nil"/>
          <w:right w:val="nil"/>
          <w:insideH w:val="nil"/>
          <w:insideV w:val="nil"/>
        </w:tcBorders>
        <w:shd w:val="clear" w:color="auto" w:fill="707070" w:themeFill="accent4" w:themeFillShade="BF"/>
      </w:tcPr>
    </w:tblStylePr>
    <w:tblStylePr w:type="band1Horz">
      <w:tblPr/>
      <w:tcPr>
        <w:tcBorders>
          <w:top w:val="nil"/>
          <w:left w:val="nil"/>
          <w:bottom w:val="nil"/>
          <w:right w:val="nil"/>
          <w:insideH w:val="nil"/>
          <w:insideV w:val="nil"/>
        </w:tcBorders>
        <w:shd w:val="clear" w:color="auto" w:fill="707070" w:themeFill="accent4" w:themeFillShade="BF"/>
      </w:tcPr>
    </w:tblStylePr>
  </w:style>
  <w:style w:type="table" w:styleId="DarkList-Accent5">
    <w:name w:val="Dark List Accent 5"/>
    <w:basedOn w:val="TableNormal"/>
    <w:uiPriority w:val="99"/>
    <w:semiHidden/>
    <w:rsid w:val="00171962"/>
    <w:rPr>
      <w:color w:val="0072BC" w:themeColor="background1"/>
    </w:rPr>
    <w:tblPr>
      <w:tblStyleRowBandSize w:val="1"/>
      <w:tblStyleColBandSize w:val="1"/>
    </w:tblPr>
    <w:tcPr>
      <w:shd w:val="clear" w:color="auto" w:fill="5F5F5F" w:themeFill="accent5"/>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5"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99"/>
    <w:semiHidden/>
    <w:rsid w:val="00171962"/>
    <w:rPr>
      <w:color w:val="0072BC" w:themeColor="background1"/>
    </w:rPr>
    <w:tblPr>
      <w:tblStyleRowBandSize w:val="1"/>
      <w:tblStyleColBandSize w:val="1"/>
    </w:tblPr>
    <w:tcPr>
      <w:shd w:val="clear" w:color="auto" w:fill="4D4D4D" w:themeFill="accent6"/>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0072BC" w:themeColor="background1"/>
          <w:insideH w:val="nil"/>
          <w:insideV w:val="nil"/>
        </w:tcBorders>
        <w:shd w:val="clear" w:color="auto" w:fill="393939" w:themeFill="accent6" w:themeFillShade="BF"/>
      </w:tcPr>
    </w:tblStylePr>
    <w:tblStylePr w:type="lastCol">
      <w:tblPr/>
      <w:tcPr>
        <w:tcBorders>
          <w:top w:val="nil"/>
          <w:left w:val="single" w:sz="18" w:space="0" w:color="0072BC"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e">
    <w:name w:val="Date"/>
    <w:basedOn w:val="Normal"/>
    <w:next w:val="Normal"/>
    <w:link w:val="DateChar"/>
    <w:uiPriority w:val="99"/>
    <w:semiHidden/>
    <w:rsid w:val="00171962"/>
  </w:style>
  <w:style w:type="character" w:customStyle="1" w:styleId="DateChar">
    <w:name w:val="Date Char"/>
    <w:basedOn w:val="DefaultParagraphFont"/>
    <w:link w:val="Date"/>
    <w:rsid w:val="00171962"/>
    <w:rPr>
      <w:sz w:val="24"/>
      <w:lang w:val="en-GB"/>
    </w:rPr>
  </w:style>
  <w:style w:type="paragraph" w:styleId="E-mailSignature">
    <w:name w:val="E-mail Signature"/>
    <w:basedOn w:val="Normal"/>
    <w:link w:val="E-mailSignatureChar"/>
    <w:uiPriority w:val="99"/>
    <w:semiHidden/>
    <w:rsid w:val="00171962"/>
  </w:style>
  <w:style w:type="character" w:customStyle="1" w:styleId="E-mailSignatureChar">
    <w:name w:val="E-mail Signature Char"/>
    <w:basedOn w:val="DefaultParagraphFont"/>
    <w:link w:val="E-mailSignature"/>
    <w:rsid w:val="00171962"/>
    <w:rPr>
      <w:sz w:val="24"/>
      <w:lang w:val="en-GB"/>
    </w:rPr>
  </w:style>
  <w:style w:type="paragraph" w:styleId="EnvelopeAddress">
    <w:name w:val="envelope address"/>
    <w:basedOn w:val="Normal"/>
    <w:uiPriority w:val="99"/>
    <w:semiHidden/>
    <w:rsid w:val="00171962"/>
    <w:pPr>
      <w:framePr w:w="7938" w:h="1985" w:hRule="exact" w:hSpace="141" w:wrap="auto" w:hAnchor="page" w:xAlign="center" w:yAlign="bottom"/>
      <w:ind w:left="2835"/>
    </w:pPr>
    <w:rPr>
      <w:rFonts w:asciiTheme="majorHAnsi" w:eastAsiaTheme="majorEastAsia" w:hAnsiTheme="majorHAnsi" w:cstheme="majorBidi"/>
      <w:szCs w:val="24"/>
    </w:rPr>
  </w:style>
  <w:style w:type="paragraph" w:styleId="EnvelopeReturn">
    <w:name w:val="envelope return"/>
    <w:basedOn w:val="Normal"/>
    <w:uiPriority w:val="99"/>
    <w:semiHidden/>
    <w:rsid w:val="00171962"/>
    <w:rPr>
      <w:rFonts w:asciiTheme="majorHAnsi" w:eastAsiaTheme="majorEastAsia" w:hAnsiTheme="majorHAnsi" w:cstheme="majorBidi"/>
      <w:sz w:val="20"/>
      <w:szCs w:val="20"/>
    </w:rPr>
  </w:style>
  <w:style w:type="character" w:styleId="HTMLAcronym">
    <w:name w:val="HTML Acronym"/>
    <w:basedOn w:val="DefaultParagraphFont"/>
    <w:uiPriority w:val="99"/>
    <w:semiHidden/>
    <w:rsid w:val="00171962"/>
  </w:style>
  <w:style w:type="paragraph" w:styleId="HTMLAddress">
    <w:name w:val="HTML Address"/>
    <w:basedOn w:val="Normal"/>
    <w:link w:val="HTMLAddressChar"/>
    <w:uiPriority w:val="99"/>
    <w:semiHidden/>
    <w:rsid w:val="00171962"/>
    <w:rPr>
      <w:i/>
      <w:iCs/>
    </w:rPr>
  </w:style>
  <w:style w:type="character" w:customStyle="1" w:styleId="HTMLAddressChar">
    <w:name w:val="HTML Address Char"/>
    <w:basedOn w:val="DefaultParagraphFont"/>
    <w:link w:val="HTMLAddress"/>
    <w:rsid w:val="00171962"/>
    <w:rPr>
      <w:i/>
      <w:iCs/>
      <w:sz w:val="24"/>
      <w:lang w:val="en-GB"/>
    </w:rPr>
  </w:style>
  <w:style w:type="character" w:styleId="HTMLCite">
    <w:name w:val="HTML Cite"/>
    <w:basedOn w:val="DefaultParagraphFont"/>
    <w:uiPriority w:val="99"/>
    <w:semiHidden/>
    <w:rsid w:val="00171962"/>
    <w:rPr>
      <w:i/>
      <w:iCs/>
    </w:rPr>
  </w:style>
  <w:style w:type="character" w:styleId="HTMLCode">
    <w:name w:val="HTML Code"/>
    <w:basedOn w:val="DefaultParagraphFont"/>
    <w:uiPriority w:val="99"/>
    <w:semiHidden/>
    <w:rsid w:val="00171962"/>
    <w:rPr>
      <w:rFonts w:ascii="Consolas" w:hAnsi="Consolas" w:cs="Consolas"/>
      <w:sz w:val="20"/>
      <w:szCs w:val="20"/>
    </w:rPr>
  </w:style>
  <w:style w:type="character" w:styleId="HTMLDefinition">
    <w:name w:val="HTML Definition"/>
    <w:basedOn w:val="DefaultParagraphFont"/>
    <w:uiPriority w:val="99"/>
    <w:semiHidden/>
    <w:rsid w:val="00171962"/>
    <w:rPr>
      <w:i/>
      <w:iCs/>
    </w:rPr>
  </w:style>
  <w:style w:type="character" w:styleId="HTMLKeyboard">
    <w:name w:val="HTML Keyboard"/>
    <w:basedOn w:val="DefaultParagraphFont"/>
    <w:uiPriority w:val="99"/>
    <w:semiHidden/>
    <w:rsid w:val="00171962"/>
    <w:rPr>
      <w:rFonts w:ascii="Consolas" w:hAnsi="Consolas" w:cs="Consolas"/>
      <w:sz w:val="20"/>
      <w:szCs w:val="20"/>
    </w:rPr>
  </w:style>
  <w:style w:type="paragraph" w:styleId="HTMLPreformatted">
    <w:name w:val="HTML Preformatted"/>
    <w:basedOn w:val="Normal"/>
    <w:link w:val="HTMLPreformattedChar"/>
    <w:uiPriority w:val="99"/>
    <w:semiHidden/>
    <w:rsid w:val="00171962"/>
    <w:rPr>
      <w:rFonts w:ascii="Consolas" w:hAnsi="Consolas" w:cs="Consolas"/>
      <w:sz w:val="20"/>
      <w:szCs w:val="20"/>
    </w:rPr>
  </w:style>
  <w:style w:type="character" w:customStyle="1" w:styleId="HTMLPreformattedChar">
    <w:name w:val="HTML Preformatted Char"/>
    <w:basedOn w:val="DefaultParagraphFont"/>
    <w:link w:val="HTMLPreformatted"/>
    <w:rsid w:val="00171962"/>
    <w:rPr>
      <w:rFonts w:ascii="Consolas" w:hAnsi="Consolas" w:cs="Consolas"/>
      <w:sz w:val="20"/>
      <w:szCs w:val="20"/>
      <w:lang w:val="en-GB"/>
    </w:rPr>
  </w:style>
  <w:style w:type="character" w:styleId="HTMLSample">
    <w:name w:val="HTML Sample"/>
    <w:basedOn w:val="DefaultParagraphFont"/>
    <w:uiPriority w:val="99"/>
    <w:semiHidden/>
    <w:rsid w:val="00171962"/>
    <w:rPr>
      <w:rFonts w:ascii="Consolas" w:hAnsi="Consolas" w:cs="Consolas"/>
      <w:sz w:val="24"/>
      <w:szCs w:val="24"/>
    </w:rPr>
  </w:style>
  <w:style w:type="character" w:styleId="HTMLTypewriter">
    <w:name w:val="HTML Typewriter"/>
    <w:basedOn w:val="DefaultParagraphFont"/>
    <w:uiPriority w:val="99"/>
    <w:semiHidden/>
    <w:rsid w:val="00171962"/>
    <w:rPr>
      <w:rFonts w:ascii="Consolas" w:hAnsi="Consolas" w:cs="Consolas"/>
      <w:sz w:val="20"/>
      <w:szCs w:val="20"/>
    </w:rPr>
  </w:style>
  <w:style w:type="character" w:styleId="HTMLVariable">
    <w:name w:val="HTML Variable"/>
    <w:basedOn w:val="DefaultParagraphFont"/>
    <w:uiPriority w:val="99"/>
    <w:semiHidden/>
    <w:rsid w:val="00171962"/>
    <w:rPr>
      <w:i/>
      <w:iCs/>
    </w:rPr>
  </w:style>
  <w:style w:type="paragraph" w:styleId="Index1">
    <w:name w:val="index 1"/>
    <w:basedOn w:val="Normal"/>
    <w:next w:val="Normal"/>
    <w:autoRedefine/>
    <w:uiPriority w:val="99"/>
    <w:semiHidden/>
    <w:rsid w:val="00171962"/>
    <w:pPr>
      <w:ind w:left="240" w:hanging="240"/>
    </w:pPr>
  </w:style>
  <w:style w:type="paragraph" w:styleId="Index2">
    <w:name w:val="index 2"/>
    <w:basedOn w:val="Normal"/>
    <w:next w:val="Normal"/>
    <w:autoRedefine/>
    <w:uiPriority w:val="99"/>
    <w:semiHidden/>
    <w:rsid w:val="00171962"/>
    <w:pPr>
      <w:ind w:left="480" w:hanging="240"/>
    </w:pPr>
  </w:style>
  <w:style w:type="paragraph" w:styleId="Index3">
    <w:name w:val="index 3"/>
    <w:basedOn w:val="Normal"/>
    <w:next w:val="Normal"/>
    <w:autoRedefine/>
    <w:uiPriority w:val="99"/>
    <w:semiHidden/>
    <w:rsid w:val="00171962"/>
    <w:pPr>
      <w:ind w:left="720" w:hanging="240"/>
    </w:pPr>
  </w:style>
  <w:style w:type="paragraph" w:styleId="Index4">
    <w:name w:val="index 4"/>
    <w:basedOn w:val="Normal"/>
    <w:next w:val="Normal"/>
    <w:autoRedefine/>
    <w:uiPriority w:val="99"/>
    <w:semiHidden/>
    <w:rsid w:val="00171962"/>
    <w:pPr>
      <w:ind w:left="960" w:hanging="240"/>
    </w:pPr>
  </w:style>
  <w:style w:type="paragraph" w:styleId="Index5">
    <w:name w:val="index 5"/>
    <w:basedOn w:val="Normal"/>
    <w:next w:val="Normal"/>
    <w:autoRedefine/>
    <w:uiPriority w:val="99"/>
    <w:semiHidden/>
    <w:rsid w:val="00171962"/>
    <w:pPr>
      <w:ind w:left="1200" w:hanging="240"/>
    </w:pPr>
  </w:style>
  <w:style w:type="paragraph" w:styleId="Index6">
    <w:name w:val="index 6"/>
    <w:basedOn w:val="Normal"/>
    <w:next w:val="Normal"/>
    <w:autoRedefine/>
    <w:uiPriority w:val="99"/>
    <w:semiHidden/>
    <w:rsid w:val="00171962"/>
    <w:pPr>
      <w:ind w:left="1440" w:hanging="240"/>
    </w:pPr>
  </w:style>
  <w:style w:type="paragraph" w:styleId="Index7">
    <w:name w:val="index 7"/>
    <w:basedOn w:val="Normal"/>
    <w:next w:val="Normal"/>
    <w:autoRedefine/>
    <w:uiPriority w:val="99"/>
    <w:semiHidden/>
    <w:rsid w:val="00171962"/>
    <w:pPr>
      <w:ind w:left="1680" w:hanging="240"/>
    </w:pPr>
  </w:style>
  <w:style w:type="paragraph" w:styleId="Index8">
    <w:name w:val="index 8"/>
    <w:basedOn w:val="Normal"/>
    <w:next w:val="Normal"/>
    <w:autoRedefine/>
    <w:uiPriority w:val="99"/>
    <w:semiHidden/>
    <w:rsid w:val="00171962"/>
    <w:pPr>
      <w:ind w:left="1920" w:hanging="240"/>
    </w:pPr>
  </w:style>
  <w:style w:type="paragraph" w:styleId="Index9">
    <w:name w:val="index 9"/>
    <w:basedOn w:val="Normal"/>
    <w:next w:val="Normal"/>
    <w:autoRedefine/>
    <w:uiPriority w:val="99"/>
    <w:semiHidden/>
    <w:rsid w:val="00171962"/>
    <w:pPr>
      <w:ind w:left="2160" w:hanging="240"/>
    </w:pPr>
  </w:style>
  <w:style w:type="paragraph" w:styleId="IndexHeading">
    <w:name w:val="index heading"/>
    <w:basedOn w:val="Normal"/>
    <w:next w:val="Index1"/>
    <w:uiPriority w:val="99"/>
    <w:semiHidden/>
    <w:rsid w:val="00171962"/>
    <w:rPr>
      <w:rFonts w:asciiTheme="majorHAnsi" w:eastAsiaTheme="majorEastAsia" w:hAnsiTheme="majorHAnsi" w:cstheme="majorBidi"/>
      <w:b/>
      <w:bCs/>
    </w:rPr>
  </w:style>
  <w:style w:type="table" w:styleId="LightGrid">
    <w:name w:val="Light Grid"/>
    <w:basedOn w:val="TableNormal"/>
    <w:uiPriority w:val="99"/>
    <w:semiHidden/>
    <w:rsid w:val="00171962"/>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9"/>
    <w:semiHidden/>
    <w:rsid w:val="00171962"/>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18" w:space="0" w:color="0072BC" w:themeColor="accent1"/>
          <w:right w:val="single" w:sz="8" w:space="0" w:color="0072BC" w:themeColor="accent1"/>
          <w:insideH w:val="nil"/>
          <w:insideV w:val="single" w:sz="8" w:space="0" w:color="0072B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insideH w:val="nil"/>
          <w:insideV w:val="single" w:sz="8" w:space="0" w:color="0072B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shd w:val="clear" w:color="auto" w:fill="AFDFFF" w:themeFill="accent1" w:themeFillTint="3F"/>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shd w:val="clear" w:color="auto" w:fill="AFDFFF" w:themeFill="accent1" w:themeFillTint="3F"/>
      </w:tcPr>
    </w:tblStylePr>
    <w:tblStylePr w:type="band2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tcPr>
    </w:tblStylePr>
  </w:style>
  <w:style w:type="table" w:styleId="LightGrid-Accent2">
    <w:name w:val="Light Grid Accent 2"/>
    <w:basedOn w:val="TableNormal"/>
    <w:uiPriority w:val="99"/>
    <w:semiHidden/>
    <w:rsid w:val="00171962"/>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18" w:space="0" w:color="C00000" w:themeColor="accent2"/>
          <w:right w:val="single" w:sz="8" w:space="0" w:color="C00000" w:themeColor="accent2"/>
          <w:insideH w:val="nil"/>
          <w:insideV w:val="single" w:sz="8" w:space="0" w:color="C0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insideH w:val="nil"/>
          <w:insideV w:val="single" w:sz="8" w:space="0" w:color="C0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shd w:val="clear" w:color="auto" w:fill="FFB0B0" w:themeFill="accent2" w:themeFillTint="3F"/>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shd w:val="clear" w:color="auto" w:fill="FFB0B0" w:themeFill="accent2" w:themeFillTint="3F"/>
      </w:tcPr>
    </w:tblStylePr>
    <w:tblStylePr w:type="band2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tcPr>
    </w:tblStylePr>
  </w:style>
  <w:style w:type="table" w:styleId="LightGrid-Accent3">
    <w:name w:val="Light Grid Accent 3"/>
    <w:basedOn w:val="TableNormal"/>
    <w:uiPriority w:val="99"/>
    <w:semiHidden/>
    <w:rsid w:val="00171962"/>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18" w:space="0" w:color="5F5F5F" w:themeColor="accent3"/>
          <w:right w:val="single" w:sz="8" w:space="0" w:color="5F5F5F" w:themeColor="accent3"/>
          <w:insideH w:val="nil"/>
          <w:insideV w:val="single" w:sz="8" w:space="0" w:color="5F5F5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insideH w:val="nil"/>
          <w:insideV w:val="single" w:sz="8" w:space="0" w:color="5F5F5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shd w:val="clear" w:color="auto" w:fill="D7D7D7" w:themeFill="accent3" w:themeFillTint="3F"/>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shd w:val="clear" w:color="auto" w:fill="D7D7D7" w:themeFill="accent3" w:themeFillTint="3F"/>
      </w:tcPr>
    </w:tblStylePr>
    <w:tblStylePr w:type="band2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tcPr>
    </w:tblStylePr>
  </w:style>
  <w:style w:type="table" w:styleId="LightGrid-Accent4">
    <w:name w:val="Light Grid Accent 4"/>
    <w:basedOn w:val="TableNormal"/>
    <w:uiPriority w:val="99"/>
    <w:semiHidden/>
    <w:rsid w:val="00171962"/>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18" w:space="0" w:color="969696" w:themeColor="accent4"/>
          <w:right w:val="single" w:sz="8" w:space="0" w:color="969696" w:themeColor="accent4"/>
          <w:insideH w:val="nil"/>
          <w:insideV w:val="single" w:sz="8" w:space="0" w:color="96969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insideH w:val="nil"/>
          <w:insideV w:val="single" w:sz="8" w:space="0" w:color="96969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shd w:val="clear" w:color="auto" w:fill="E5E5E5" w:themeFill="accent4" w:themeFillTint="3F"/>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shd w:val="clear" w:color="auto" w:fill="E5E5E5" w:themeFill="accent4" w:themeFillTint="3F"/>
      </w:tcPr>
    </w:tblStylePr>
    <w:tblStylePr w:type="band2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tcPr>
    </w:tblStylePr>
  </w:style>
  <w:style w:type="table" w:styleId="LightGrid-Accent5">
    <w:name w:val="Light Grid Accent 5"/>
    <w:basedOn w:val="TableNormal"/>
    <w:uiPriority w:val="99"/>
    <w:semiHidden/>
    <w:rsid w:val="00171962"/>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99"/>
    <w:semiHidden/>
    <w:rsid w:val="00171962"/>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99"/>
    <w:semiHidden/>
    <w:rsid w:val="00171962"/>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0072BC"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9"/>
    <w:semiHidden/>
    <w:rsid w:val="00171962"/>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pPr>
        <w:spacing w:before="0" w:after="0" w:line="240" w:lineRule="auto"/>
      </w:pPr>
      <w:rPr>
        <w:b/>
        <w:bCs/>
        <w:color w:val="0072BC" w:themeColor="background1"/>
      </w:rPr>
      <w:tblPr/>
      <w:tcPr>
        <w:shd w:val="clear" w:color="auto" w:fill="0072BC" w:themeFill="accent1"/>
      </w:tcPr>
    </w:tblStylePr>
    <w:tblStylePr w:type="lastRow">
      <w:pPr>
        <w:spacing w:before="0" w:after="0" w:line="240" w:lineRule="auto"/>
      </w:pPr>
      <w:rPr>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tcBorders>
      </w:tcPr>
    </w:tblStylePr>
    <w:tblStylePr w:type="firstCol">
      <w:rPr>
        <w:b/>
        <w:bCs/>
      </w:rPr>
    </w:tblStylePr>
    <w:tblStylePr w:type="lastCol">
      <w:rPr>
        <w:b/>
        <w:bCs/>
      </w:r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style>
  <w:style w:type="table" w:styleId="LightList-Accent2">
    <w:name w:val="Light List Accent 2"/>
    <w:basedOn w:val="TableNormal"/>
    <w:uiPriority w:val="99"/>
    <w:semiHidden/>
    <w:rsid w:val="00171962"/>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pPr>
        <w:spacing w:before="0" w:after="0" w:line="240" w:lineRule="auto"/>
      </w:pPr>
      <w:rPr>
        <w:b/>
        <w:bCs/>
        <w:color w:val="0072BC" w:themeColor="background1"/>
      </w:rPr>
      <w:tblPr/>
      <w:tcPr>
        <w:shd w:val="clear" w:color="auto" w:fill="C00000" w:themeFill="accent2"/>
      </w:tcPr>
    </w:tblStylePr>
    <w:tblStylePr w:type="lastRow">
      <w:pPr>
        <w:spacing w:before="0" w:after="0" w:line="240" w:lineRule="auto"/>
      </w:pPr>
      <w:rPr>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tcBorders>
      </w:tcPr>
    </w:tblStylePr>
    <w:tblStylePr w:type="firstCol">
      <w:rPr>
        <w:b/>
        <w:bCs/>
      </w:rPr>
    </w:tblStylePr>
    <w:tblStylePr w:type="lastCol">
      <w:rPr>
        <w:b/>
        <w:bCs/>
      </w:r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style>
  <w:style w:type="table" w:styleId="LightList-Accent3">
    <w:name w:val="Light List Accent 3"/>
    <w:basedOn w:val="TableNormal"/>
    <w:uiPriority w:val="99"/>
    <w:semiHidden/>
    <w:rsid w:val="00171962"/>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pPr>
        <w:spacing w:before="0" w:after="0" w:line="240" w:lineRule="auto"/>
      </w:pPr>
      <w:rPr>
        <w:b/>
        <w:bCs/>
        <w:color w:val="0072BC" w:themeColor="background1"/>
      </w:rPr>
      <w:tblPr/>
      <w:tcPr>
        <w:shd w:val="clear" w:color="auto" w:fill="5F5F5F" w:themeFill="accent3"/>
      </w:tcPr>
    </w:tblStylePr>
    <w:tblStylePr w:type="lastRow">
      <w:pPr>
        <w:spacing w:before="0" w:after="0" w:line="240" w:lineRule="auto"/>
      </w:pPr>
      <w:rPr>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tcBorders>
      </w:tcPr>
    </w:tblStylePr>
    <w:tblStylePr w:type="firstCol">
      <w:rPr>
        <w:b/>
        <w:bCs/>
      </w:rPr>
    </w:tblStylePr>
    <w:tblStylePr w:type="lastCol">
      <w:rPr>
        <w:b/>
        <w:bCs/>
      </w:r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style>
  <w:style w:type="table" w:styleId="LightList-Accent4">
    <w:name w:val="Light List Accent 4"/>
    <w:basedOn w:val="TableNormal"/>
    <w:uiPriority w:val="99"/>
    <w:semiHidden/>
    <w:rsid w:val="00171962"/>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pPr>
        <w:spacing w:before="0" w:after="0" w:line="240" w:lineRule="auto"/>
      </w:pPr>
      <w:rPr>
        <w:b/>
        <w:bCs/>
        <w:color w:val="0072BC" w:themeColor="background1"/>
      </w:rPr>
      <w:tblPr/>
      <w:tcPr>
        <w:shd w:val="clear" w:color="auto" w:fill="969696" w:themeFill="accent4"/>
      </w:tcPr>
    </w:tblStylePr>
    <w:tblStylePr w:type="lastRow">
      <w:pPr>
        <w:spacing w:before="0" w:after="0" w:line="240" w:lineRule="auto"/>
      </w:pPr>
      <w:rPr>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tcBorders>
      </w:tcPr>
    </w:tblStylePr>
    <w:tblStylePr w:type="firstCol">
      <w:rPr>
        <w:b/>
        <w:bCs/>
      </w:rPr>
    </w:tblStylePr>
    <w:tblStylePr w:type="lastCol">
      <w:rPr>
        <w:b/>
        <w:bCs/>
      </w:r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style>
  <w:style w:type="table" w:styleId="LightList-Accent5">
    <w:name w:val="Light List Accent 5"/>
    <w:basedOn w:val="TableNormal"/>
    <w:uiPriority w:val="99"/>
    <w:semiHidden/>
    <w:rsid w:val="00171962"/>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pPr>
        <w:spacing w:before="0" w:after="0" w:line="240" w:lineRule="auto"/>
      </w:pPr>
      <w:rPr>
        <w:b/>
        <w:bCs/>
        <w:color w:val="0072BC"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99"/>
    <w:semiHidden/>
    <w:rsid w:val="00171962"/>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0" w:after="0" w:line="240" w:lineRule="auto"/>
      </w:pPr>
      <w:rPr>
        <w:b/>
        <w:bCs/>
        <w:color w:val="0072BC"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99"/>
    <w:semiHidden/>
    <w:rsid w:val="0017196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9"/>
    <w:semiHidden/>
    <w:rsid w:val="00171962"/>
    <w:rPr>
      <w:color w:val="00548C" w:themeColor="accent1" w:themeShade="BF"/>
    </w:rPr>
    <w:tblPr>
      <w:tblStyleRowBandSize w:val="1"/>
      <w:tblStyleColBandSize w:val="1"/>
      <w:tblBorders>
        <w:top w:val="single" w:sz="8" w:space="0" w:color="0072BC" w:themeColor="accent1"/>
        <w:bottom w:val="single" w:sz="8" w:space="0" w:color="0072BC" w:themeColor="accent1"/>
      </w:tblBorders>
    </w:tblPr>
    <w:tblStylePr w:type="fir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la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left w:val="nil"/>
          <w:right w:val="nil"/>
          <w:insideH w:val="nil"/>
          <w:insideV w:val="nil"/>
        </w:tcBorders>
        <w:shd w:val="clear" w:color="auto" w:fill="AFDFFF" w:themeFill="accent1" w:themeFillTint="3F"/>
      </w:tcPr>
    </w:tblStylePr>
  </w:style>
  <w:style w:type="table" w:styleId="LightShading-Accent2">
    <w:name w:val="Light Shading Accent 2"/>
    <w:basedOn w:val="TableNormal"/>
    <w:uiPriority w:val="99"/>
    <w:semiHidden/>
    <w:rsid w:val="00171962"/>
    <w:rPr>
      <w:color w:val="8F0000" w:themeColor="accent2" w:themeShade="BF"/>
    </w:rPr>
    <w:tblPr>
      <w:tblStyleRowBandSize w:val="1"/>
      <w:tblStyleColBandSize w:val="1"/>
      <w:tblBorders>
        <w:top w:val="single" w:sz="8" w:space="0" w:color="C00000" w:themeColor="accent2"/>
        <w:bottom w:val="single" w:sz="8" w:space="0" w:color="C00000" w:themeColor="accent2"/>
      </w:tblBorders>
    </w:tblPr>
    <w:tblStylePr w:type="fir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la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left w:val="nil"/>
          <w:right w:val="nil"/>
          <w:insideH w:val="nil"/>
          <w:insideV w:val="nil"/>
        </w:tcBorders>
        <w:shd w:val="clear" w:color="auto" w:fill="FFB0B0" w:themeFill="accent2" w:themeFillTint="3F"/>
      </w:tcPr>
    </w:tblStylePr>
  </w:style>
  <w:style w:type="table" w:styleId="LightShading-Accent3">
    <w:name w:val="Light Shading Accent 3"/>
    <w:basedOn w:val="TableNormal"/>
    <w:uiPriority w:val="99"/>
    <w:semiHidden/>
    <w:rsid w:val="00171962"/>
    <w:rPr>
      <w:color w:val="474747" w:themeColor="accent3" w:themeShade="BF"/>
    </w:rPr>
    <w:tblPr>
      <w:tblStyleRowBandSize w:val="1"/>
      <w:tblStyleColBandSize w:val="1"/>
      <w:tblBorders>
        <w:top w:val="single" w:sz="8" w:space="0" w:color="5F5F5F" w:themeColor="accent3"/>
        <w:bottom w:val="single" w:sz="8" w:space="0" w:color="5F5F5F" w:themeColor="accent3"/>
      </w:tblBorders>
    </w:tblPr>
    <w:tblStylePr w:type="fir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la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left w:val="nil"/>
          <w:right w:val="nil"/>
          <w:insideH w:val="nil"/>
          <w:insideV w:val="nil"/>
        </w:tcBorders>
        <w:shd w:val="clear" w:color="auto" w:fill="D7D7D7" w:themeFill="accent3" w:themeFillTint="3F"/>
      </w:tcPr>
    </w:tblStylePr>
  </w:style>
  <w:style w:type="table" w:styleId="LightShading-Accent4">
    <w:name w:val="Light Shading Accent 4"/>
    <w:basedOn w:val="TableNormal"/>
    <w:uiPriority w:val="99"/>
    <w:semiHidden/>
    <w:rsid w:val="00171962"/>
    <w:rPr>
      <w:color w:val="707070" w:themeColor="accent4" w:themeShade="BF"/>
    </w:rPr>
    <w:tblPr>
      <w:tblStyleRowBandSize w:val="1"/>
      <w:tblStyleColBandSize w:val="1"/>
      <w:tblBorders>
        <w:top w:val="single" w:sz="8" w:space="0" w:color="969696" w:themeColor="accent4"/>
        <w:bottom w:val="single" w:sz="8" w:space="0" w:color="969696" w:themeColor="accent4"/>
      </w:tblBorders>
    </w:tblPr>
    <w:tblStylePr w:type="fir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la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left w:val="nil"/>
          <w:right w:val="nil"/>
          <w:insideH w:val="nil"/>
          <w:insideV w:val="nil"/>
        </w:tcBorders>
        <w:shd w:val="clear" w:color="auto" w:fill="E5E5E5" w:themeFill="accent4" w:themeFillTint="3F"/>
      </w:tcPr>
    </w:tblStylePr>
  </w:style>
  <w:style w:type="table" w:styleId="LightShading-Accent5">
    <w:name w:val="Light Shading Accent 5"/>
    <w:basedOn w:val="TableNormal"/>
    <w:uiPriority w:val="99"/>
    <w:semiHidden/>
    <w:rsid w:val="00171962"/>
    <w:rPr>
      <w:color w:val="474747" w:themeColor="accent5" w:themeShade="BF"/>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99"/>
    <w:semiHidden/>
    <w:rsid w:val="00171962"/>
    <w:rPr>
      <w:color w:val="393939" w:themeColor="accent6" w:themeShade="BF"/>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LineNumber">
    <w:name w:val="line number"/>
    <w:basedOn w:val="DefaultParagraphFont"/>
    <w:uiPriority w:val="99"/>
    <w:semiHidden/>
    <w:rsid w:val="00171962"/>
  </w:style>
  <w:style w:type="paragraph" w:styleId="List">
    <w:name w:val="List"/>
    <w:basedOn w:val="Normal"/>
    <w:uiPriority w:val="99"/>
    <w:semiHidden/>
    <w:rsid w:val="00171962"/>
    <w:pPr>
      <w:ind w:left="283" w:hanging="283"/>
      <w:contextualSpacing/>
    </w:pPr>
  </w:style>
  <w:style w:type="paragraph" w:styleId="List2">
    <w:name w:val="List 2"/>
    <w:basedOn w:val="Normal"/>
    <w:uiPriority w:val="99"/>
    <w:semiHidden/>
    <w:rsid w:val="00171962"/>
    <w:pPr>
      <w:ind w:left="566" w:hanging="283"/>
      <w:contextualSpacing/>
    </w:pPr>
  </w:style>
  <w:style w:type="paragraph" w:styleId="List3">
    <w:name w:val="List 3"/>
    <w:basedOn w:val="Normal"/>
    <w:uiPriority w:val="99"/>
    <w:semiHidden/>
    <w:rsid w:val="00171962"/>
    <w:pPr>
      <w:ind w:left="849" w:hanging="283"/>
      <w:contextualSpacing/>
    </w:pPr>
  </w:style>
  <w:style w:type="paragraph" w:styleId="List4">
    <w:name w:val="List 4"/>
    <w:basedOn w:val="Normal"/>
    <w:uiPriority w:val="99"/>
    <w:semiHidden/>
    <w:rsid w:val="00171962"/>
    <w:pPr>
      <w:ind w:left="1132" w:hanging="283"/>
      <w:contextualSpacing/>
    </w:pPr>
  </w:style>
  <w:style w:type="paragraph" w:styleId="List5">
    <w:name w:val="List 5"/>
    <w:basedOn w:val="Normal"/>
    <w:uiPriority w:val="99"/>
    <w:semiHidden/>
    <w:rsid w:val="00171962"/>
    <w:pPr>
      <w:ind w:left="1415" w:hanging="283"/>
      <w:contextualSpacing/>
    </w:pPr>
  </w:style>
  <w:style w:type="paragraph" w:styleId="ListBullet2">
    <w:name w:val="List Bullet 2"/>
    <w:basedOn w:val="Normal"/>
    <w:uiPriority w:val="99"/>
    <w:semiHidden/>
    <w:rsid w:val="00171962"/>
    <w:pPr>
      <w:numPr>
        <w:numId w:val="5"/>
      </w:numPr>
      <w:contextualSpacing/>
    </w:pPr>
  </w:style>
  <w:style w:type="paragraph" w:styleId="ListBullet3">
    <w:name w:val="List Bullet 3"/>
    <w:basedOn w:val="Normal"/>
    <w:uiPriority w:val="99"/>
    <w:semiHidden/>
    <w:rsid w:val="00171962"/>
    <w:pPr>
      <w:numPr>
        <w:numId w:val="6"/>
      </w:numPr>
      <w:contextualSpacing/>
    </w:pPr>
  </w:style>
  <w:style w:type="paragraph" w:styleId="ListBullet4">
    <w:name w:val="List Bullet 4"/>
    <w:basedOn w:val="Normal"/>
    <w:uiPriority w:val="99"/>
    <w:semiHidden/>
    <w:rsid w:val="00171962"/>
    <w:pPr>
      <w:numPr>
        <w:numId w:val="7"/>
      </w:numPr>
      <w:contextualSpacing/>
    </w:pPr>
  </w:style>
  <w:style w:type="paragraph" w:styleId="ListBullet5">
    <w:name w:val="List Bullet 5"/>
    <w:basedOn w:val="Normal"/>
    <w:uiPriority w:val="99"/>
    <w:semiHidden/>
    <w:rsid w:val="00171962"/>
    <w:pPr>
      <w:numPr>
        <w:numId w:val="8"/>
      </w:numPr>
      <w:contextualSpacing/>
    </w:pPr>
  </w:style>
  <w:style w:type="paragraph" w:styleId="ListContinue">
    <w:name w:val="List Continue"/>
    <w:basedOn w:val="Normal"/>
    <w:uiPriority w:val="99"/>
    <w:semiHidden/>
    <w:rsid w:val="00171962"/>
    <w:pPr>
      <w:spacing w:after="120"/>
      <w:ind w:left="283"/>
      <w:contextualSpacing/>
    </w:pPr>
  </w:style>
  <w:style w:type="paragraph" w:styleId="ListContinue2">
    <w:name w:val="List Continue 2"/>
    <w:basedOn w:val="Normal"/>
    <w:uiPriority w:val="99"/>
    <w:semiHidden/>
    <w:rsid w:val="00171962"/>
    <w:pPr>
      <w:spacing w:after="120"/>
      <w:ind w:left="566"/>
      <w:contextualSpacing/>
    </w:pPr>
  </w:style>
  <w:style w:type="paragraph" w:styleId="ListContinue3">
    <w:name w:val="List Continue 3"/>
    <w:basedOn w:val="Normal"/>
    <w:uiPriority w:val="99"/>
    <w:semiHidden/>
    <w:rsid w:val="00171962"/>
    <w:pPr>
      <w:spacing w:after="120"/>
      <w:ind w:left="849"/>
      <w:contextualSpacing/>
    </w:pPr>
  </w:style>
  <w:style w:type="paragraph" w:styleId="ListContinue4">
    <w:name w:val="List Continue 4"/>
    <w:basedOn w:val="Normal"/>
    <w:uiPriority w:val="99"/>
    <w:semiHidden/>
    <w:rsid w:val="00171962"/>
    <w:pPr>
      <w:spacing w:after="120"/>
      <w:ind w:left="1132"/>
      <w:contextualSpacing/>
    </w:pPr>
  </w:style>
  <w:style w:type="paragraph" w:styleId="ListContinue5">
    <w:name w:val="List Continue 5"/>
    <w:basedOn w:val="Normal"/>
    <w:uiPriority w:val="99"/>
    <w:semiHidden/>
    <w:rsid w:val="00171962"/>
    <w:pPr>
      <w:spacing w:after="120"/>
      <w:ind w:left="1415"/>
      <w:contextualSpacing/>
    </w:pPr>
  </w:style>
  <w:style w:type="paragraph" w:styleId="ListNumber">
    <w:name w:val="List Number"/>
    <w:basedOn w:val="Normal"/>
    <w:uiPriority w:val="99"/>
    <w:semiHidden/>
    <w:rsid w:val="00171962"/>
    <w:pPr>
      <w:numPr>
        <w:numId w:val="9"/>
      </w:numPr>
      <w:contextualSpacing/>
    </w:pPr>
  </w:style>
  <w:style w:type="paragraph" w:styleId="ListNumber2">
    <w:name w:val="List Number 2"/>
    <w:basedOn w:val="Normal"/>
    <w:uiPriority w:val="99"/>
    <w:semiHidden/>
    <w:rsid w:val="00171962"/>
    <w:pPr>
      <w:numPr>
        <w:numId w:val="10"/>
      </w:numPr>
      <w:contextualSpacing/>
    </w:pPr>
  </w:style>
  <w:style w:type="paragraph" w:styleId="ListNumber3">
    <w:name w:val="List Number 3"/>
    <w:basedOn w:val="Normal"/>
    <w:uiPriority w:val="99"/>
    <w:semiHidden/>
    <w:rsid w:val="00171962"/>
    <w:pPr>
      <w:numPr>
        <w:numId w:val="11"/>
      </w:numPr>
      <w:contextualSpacing/>
    </w:pPr>
  </w:style>
  <w:style w:type="paragraph" w:styleId="ListNumber4">
    <w:name w:val="List Number 4"/>
    <w:basedOn w:val="Normal"/>
    <w:uiPriority w:val="99"/>
    <w:semiHidden/>
    <w:rsid w:val="00171962"/>
    <w:pPr>
      <w:numPr>
        <w:numId w:val="12"/>
      </w:numPr>
      <w:contextualSpacing/>
    </w:pPr>
  </w:style>
  <w:style w:type="paragraph" w:styleId="ListNumber5">
    <w:name w:val="List Number 5"/>
    <w:basedOn w:val="Normal"/>
    <w:uiPriority w:val="99"/>
    <w:semiHidden/>
    <w:rsid w:val="00171962"/>
    <w:pPr>
      <w:numPr>
        <w:numId w:val="13"/>
      </w:numPr>
      <w:contextualSpacing/>
    </w:pPr>
  </w:style>
  <w:style w:type="paragraph" w:styleId="MacroText">
    <w:name w:val="macro"/>
    <w:link w:val="MacroTextChar"/>
    <w:uiPriority w:val="99"/>
    <w:semiHidden/>
    <w:rsid w:val="00171962"/>
    <w:pPr>
      <w:tabs>
        <w:tab w:val="left" w:pos="480"/>
        <w:tab w:val="left" w:pos="960"/>
        <w:tab w:val="left" w:pos="1440"/>
        <w:tab w:val="left" w:pos="1920"/>
        <w:tab w:val="left" w:pos="2400"/>
        <w:tab w:val="left" w:pos="2880"/>
        <w:tab w:val="left" w:pos="3360"/>
        <w:tab w:val="left" w:pos="3840"/>
        <w:tab w:val="left" w:pos="4320"/>
      </w:tabs>
      <w:suppressAutoHyphens/>
    </w:pPr>
    <w:rPr>
      <w:rFonts w:ascii="Consolas" w:hAnsi="Consolas" w:cs="Consolas"/>
      <w:sz w:val="20"/>
      <w:szCs w:val="20"/>
      <w:lang w:val="en-GB"/>
    </w:rPr>
  </w:style>
  <w:style w:type="character" w:customStyle="1" w:styleId="MacroTextChar">
    <w:name w:val="Macro Text Char"/>
    <w:basedOn w:val="DefaultParagraphFont"/>
    <w:link w:val="MacroText"/>
    <w:rsid w:val="00171962"/>
    <w:rPr>
      <w:rFonts w:ascii="Consolas" w:hAnsi="Consolas" w:cs="Consolas"/>
      <w:sz w:val="20"/>
      <w:szCs w:val="20"/>
      <w:lang w:val="en-GB"/>
    </w:rPr>
  </w:style>
  <w:style w:type="table" w:styleId="MediumGrid1">
    <w:name w:val="Medium Grid 1"/>
    <w:basedOn w:val="TableNormal"/>
    <w:uiPriority w:val="99"/>
    <w:semiHidden/>
    <w:rsid w:val="00171962"/>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9"/>
    <w:semiHidden/>
    <w:rsid w:val="00171962"/>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insideV w:val="single" w:sz="8" w:space="0" w:color="0D9FFF" w:themeColor="accent1" w:themeTint="BF"/>
      </w:tblBorders>
    </w:tblPr>
    <w:tcPr>
      <w:shd w:val="clear" w:color="auto" w:fill="AFDFFF" w:themeFill="accent1" w:themeFillTint="3F"/>
    </w:tcPr>
    <w:tblStylePr w:type="firstRow">
      <w:rPr>
        <w:b/>
        <w:bCs/>
      </w:rPr>
    </w:tblStylePr>
    <w:tblStylePr w:type="lastRow">
      <w:rPr>
        <w:b/>
        <w:bCs/>
      </w:rPr>
      <w:tblPr/>
      <w:tcPr>
        <w:tcBorders>
          <w:top w:val="single" w:sz="18" w:space="0" w:color="0D9FFF" w:themeColor="accent1" w:themeTint="BF"/>
        </w:tcBorders>
      </w:tcPr>
    </w:tblStylePr>
    <w:tblStylePr w:type="firstCol">
      <w:rPr>
        <w:b/>
        <w:bCs/>
      </w:rPr>
    </w:tblStylePr>
    <w:tblStylePr w:type="lastCol">
      <w:rPr>
        <w:b/>
        <w:bCs/>
      </w:r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MediumGrid1-Accent2">
    <w:name w:val="Medium Grid 1 Accent 2"/>
    <w:basedOn w:val="TableNormal"/>
    <w:uiPriority w:val="99"/>
    <w:semiHidden/>
    <w:rsid w:val="00171962"/>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insideV w:val="single" w:sz="8" w:space="0" w:color="FF1010" w:themeColor="accent2" w:themeTint="BF"/>
      </w:tblBorders>
    </w:tblPr>
    <w:tcPr>
      <w:shd w:val="clear" w:color="auto" w:fill="FFB0B0" w:themeFill="accent2" w:themeFillTint="3F"/>
    </w:tcPr>
    <w:tblStylePr w:type="firstRow">
      <w:rPr>
        <w:b/>
        <w:bCs/>
      </w:rPr>
    </w:tblStylePr>
    <w:tblStylePr w:type="lastRow">
      <w:rPr>
        <w:b/>
        <w:bCs/>
      </w:rPr>
      <w:tblPr/>
      <w:tcPr>
        <w:tcBorders>
          <w:top w:val="single" w:sz="18" w:space="0" w:color="FF1010" w:themeColor="accent2" w:themeTint="BF"/>
        </w:tcBorders>
      </w:tcPr>
    </w:tblStylePr>
    <w:tblStylePr w:type="firstCol">
      <w:rPr>
        <w:b/>
        <w:bCs/>
      </w:rPr>
    </w:tblStylePr>
    <w:tblStylePr w:type="lastCol">
      <w:rPr>
        <w:b/>
        <w:bCs/>
      </w:r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MediumGrid1-Accent3">
    <w:name w:val="Medium Grid 1 Accent 3"/>
    <w:basedOn w:val="TableNormal"/>
    <w:uiPriority w:val="99"/>
    <w:semiHidden/>
    <w:rsid w:val="00171962"/>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insideV w:val="single" w:sz="8" w:space="0" w:color="878787" w:themeColor="accent3" w:themeTint="BF"/>
      </w:tblBorders>
    </w:tblPr>
    <w:tcPr>
      <w:shd w:val="clear" w:color="auto" w:fill="D7D7D7" w:themeFill="accent3" w:themeFillTint="3F"/>
    </w:tcPr>
    <w:tblStylePr w:type="firstRow">
      <w:rPr>
        <w:b/>
        <w:bCs/>
      </w:rPr>
    </w:tblStylePr>
    <w:tblStylePr w:type="lastRow">
      <w:rPr>
        <w:b/>
        <w:bCs/>
      </w:rPr>
      <w:tblPr/>
      <w:tcPr>
        <w:tcBorders>
          <w:top w:val="single" w:sz="18" w:space="0" w:color="878787" w:themeColor="accent3" w:themeTint="BF"/>
        </w:tcBorders>
      </w:tcPr>
    </w:tblStylePr>
    <w:tblStylePr w:type="firstCol">
      <w:rPr>
        <w:b/>
        <w:bCs/>
      </w:rPr>
    </w:tblStylePr>
    <w:tblStylePr w:type="lastCol">
      <w:rPr>
        <w:b/>
        <w:bCs/>
      </w:r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MediumGrid1-Accent4">
    <w:name w:val="Medium Grid 1 Accent 4"/>
    <w:basedOn w:val="TableNormal"/>
    <w:uiPriority w:val="99"/>
    <w:semiHidden/>
    <w:rsid w:val="00171962"/>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insideV w:val="single" w:sz="8" w:space="0" w:color="B0B0B0" w:themeColor="accent4" w:themeTint="BF"/>
      </w:tblBorders>
    </w:tblPr>
    <w:tcPr>
      <w:shd w:val="clear" w:color="auto" w:fill="E5E5E5" w:themeFill="accent4" w:themeFillTint="3F"/>
    </w:tcPr>
    <w:tblStylePr w:type="firstRow">
      <w:rPr>
        <w:b/>
        <w:bCs/>
      </w:rPr>
    </w:tblStylePr>
    <w:tblStylePr w:type="lastRow">
      <w:rPr>
        <w:b/>
        <w:bCs/>
      </w:rPr>
      <w:tblPr/>
      <w:tcPr>
        <w:tcBorders>
          <w:top w:val="single" w:sz="18" w:space="0" w:color="B0B0B0" w:themeColor="accent4" w:themeTint="BF"/>
        </w:tcBorders>
      </w:tcPr>
    </w:tblStylePr>
    <w:tblStylePr w:type="firstCol">
      <w:rPr>
        <w:b/>
        <w:bCs/>
      </w:rPr>
    </w:tblStylePr>
    <w:tblStylePr w:type="lastCol">
      <w:rPr>
        <w:b/>
        <w:bCs/>
      </w:r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MediumGrid1-Accent5">
    <w:name w:val="Medium Grid 1 Accent 5"/>
    <w:basedOn w:val="TableNormal"/>
    <w:uiPriority w:val="99"/>
    <w:semiHidden/>
    <w:rsid w:val="00171962"/>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99"/>
    <w:semiHidden/>
    <w:rsid w:val="00171962"/>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99"/>
    <w:semiHidden/>
    <w:rsid w:val="00171962"/>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0072BC" w:themeFill="background1"/>
      </w:tcPr>
    </w:tblStylePr>
  </w:style>
  <w:style w:type="table" w:styleId="MediumGrid2-Accent1">
    <w:name w:val="Medium Grid 2 Accent 1"/>
    <w:basedOn w:val="TableNormal"/>
    <w:uiPriority w:val="99"/>
    <w:semiHidden/>
    <w:rsid w:val="00171962"/>
    <w:rPr>
      <w:rFonts w:asciiTheme="majorHAnsi" w:eastAsiaTheme="majorEastAsia" w:hAnsiTheme="majorHAnsi" w:cstheme="majorBidi"/>
      <w:color w:val="000000" w:themeColor="text1"/>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cPr>
      <w:shd w:val="clear" w:color="auto" w:fill="AFDFFF" w:themeFill="accent1" w:themeFillTint="3F"/>
    </w:tcPr>
    <w:tblStylePr w:type="firstRow">
      <w:rPr>
        <w:b/>
        <w:bCs/>
        <w:color w:val="000000" w:themeColor="text1"/>
      </w:rPr>
      <w:tblPr/>
      <w:tcPr>
        <w:shd w:val="clear" w:color="auto" w:fill="DFF2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E5FF" w:themeFill="accent1" w:themeFillTint="33"/>
      </w:tcPr>
    </w:tblStylePr>
    <w:tblStylePr w:type="band1Vert">
      <w:tblPr/>
      <w:tcPr>
        <w:shd w:val="clear" w:color="auto" w:fill="5EBFFF" w:themeFill="accent1" w:themeFillTint="7F"/>
      </w:tcPr>
    </w:tblStylePr>
    <w:tblStylePr w:type="band1Horz">
      <w:tblPr/>
      <w:tcPr>
        <w:tcBorders>
          <w:insideH w:val="single" w:sz="6" w:space="0" w:color="0072BC" w:themeColor="accent1"/>
          <w:insideV w:val="single" w:sz="6" w:space="0" w:color="0072BC" w:themeColor="accent1"/>
        </w:tcBorders>
        <w:shd w:val="clear" w:color="auto" w:fill="5EBFFF" w:themeFill="accent1" w:themeFillTint="7F"/>
      </w:tcPr>
    </w:tblStylePr>
    <w:tblStylePr w:type="nwCell">
      <w:tblPr/>
      <w:tcPr>
        <w:shd w:val="clear" w:color="auto" w:fill="0072BC" w:themeFill="background1"/>
      </w:tcPr>
    </w:tblStylePr>
  </w:style>
  <w:style w:type="table" w:styleId="MediumGrid2-Accent2">
    <w:name w:val="Medium Grid 2 Accent 2"/>
    <w:basedOn w:val="TableNormal"/>
    <w:uiPriority w:val="99"/>
    <w:semiHidden/>
    <w:rsid w:val="00171962"/>
    <w:rPr>
      <w:rFonts w:asciiTheme="majorHAnsi" w:eastAsiaTheme="majorEastAsia" w:hAnsiTheme="majorHAnsi" w:cstheme="majorBidi"/>
      <w:color w:val="000000" w:themeColor="text1"/>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cPr>
      <w:shd w:val="clear" w:color="auto" w:fill="FFB0B0" w:themeFill="accent2" w:themeFillTint="3F"/>
    </w:tcPr>
    <w:tblStylePr w:type="firstRow">
      <w:rPr>
        <w:b/>
        <w:bCs/>
        <w:color w:val="000000" w:themeColor="text1"/>
      </w:rPr>
      <w:tblPr/>
      <w:tcPr>
        <w:shd w:val="clear" w:color="auto" w:fill="FFDFD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FBF" w:themeFill="accent2" w:themeFillTint="33"/>
      </w:tcPr>
    </w:tblStylePr>
    <w:tblStylePr w:type="band1Vert">
      <w:tblPr/>
      <w:tcPr>
        <w:shd w:val="clear" w:color="auto" w:fill="FF6060" w:themeFill="accent2" w:themeFillTint="7F"/>
      </w:tcPr>
    </w:tblStylePr>
    <w:tblStylePr w:type="band1Horz">
      <w:tblPr/>
      <w:tcPr>
        <w:tcBorders>
          <w:insideH w:val="single" w:sz="6" w:space="0" w:color="C00000" w:themeColor="accent2"/>
          <w:insideV w:val="single" w:sz="6" w:space="0" w:color="C00000" w:themeColor="accent2"/>
        </w:tcBorders>
        <w:shd w:val="clear" w:color="auto" w:fill="FF6060" w:themeFill="accent2" w:themeFillTint="7F"/>
      </w:tcPr>
    </w:tblStylePr>
    <w:tblStylePr w:type="nwCell">
      <w:tblPr/>
      <w:tcPr>
        <w:shd w:val="clear" w:color="auto" w:fill="0072BC" w:themeFill="background1"/>
      </w:tcPr>
    </w:tblStylePr>
  </w:style>
  <w:style w:type="table" w:styleId="MediumGrid2-Accent3">
    <w:name w:val="Medium Grid 2 Accent 3"/>
    <w:basedOn w:val="TableNormal"/>
    <w:uiPriority w:val="99"/>
    <w:semiHidden/>
    <w:rsid w:val="00171962"/>
    <w:rPr>
      <w:rFonts w:asciiTheme="majorHAnsi" w:eastAsiaTheme="majorEastAsia" w:hAnsiTheme="majorHAnsi" w:cstheme="majorBidi"/>
      <w:color w:val="000000" w:themeColor="text1"/>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cPr>
      <w:shd w:val="clear" w:color="auto" w:fill="D7D7D7" w:themeFill="accent3" w:themeFillTint="3F"/>
    </w:tcPr>
    <w:tblStylePr w:type="firstRow">
      <w:rPr>
        <w:b/>
        <w:bCs/>
        <w:color w:val="000000" w:themeColor="text1"/>
      </w:rPr>
      <w:tblPr/>
      <w:tcPr>
        <w:shd w:val="clear" w:color="auto" w:fill="EFEFE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3" w:themeFillTint="33"/>
      </w:tcPr>
    </w:tblStylePr>
    <w:tblStylePr w:type="band1Vert">
      <w:tblPr/>
      <w:tcPr>
        <w:shd w:val="clear" w:color="auto" w:fill="AFAFAF" w:themeFill="accent3" w:themeFillTint="7F"/>
      </w:tcPr>
    </w:tblStylePr>
    <w:tblStylePr w:type="band1Horz">
      <w:tblPr/>
      <w:tcPr>
        <w:tcBorders>
          <w:insideH w:val="single" w:sz="6" w:space="0" w:color="5F5F5F" w:themeColor="accent3"/>
          <w:insideV w:val="single" w:sz="6" w:space="0" w:color="5F5F5F" w:themeColor="accent3"/>
        </w:tcBorders>
        <w:shd w:val="clear" w:color="auto" w:fill="AFAFAF" w:themeFill="accent3" w:themeFillTint="7F"/>
      </w:tcPr>
    </w:tblStylePr>
    <w:tblStylePr w:type="nwCell">
      <w:tblPr/>
      <w:tcPr>
        <w:shd w:val="clear" w:color="auto" w:fill="0072BC" w:themeFill="background1"/>
      </w:tcPr>
    </w:tblStylePr>
  </w:style>
  <w:style w:type="table" w:styleId="MediumGrid2-Accent4">
    <w:name w:val="Medium Grid 2 Accent 4"/>
    <w:basedOn w:val="TableNormal"/>
    <w:uiPriority w:val="99"/>
    <w:semiHidden/>
    <w:rsid w:val="00171962"/>
    <w:rPr>
      <w:rFonts w:asciiTheme="majorHAnsi" w:eastAsiaTheme="majorEastAsia" w:hAnsiTheme="majorHAnsi" w:cstheme="majorBidi"/>
      <w:color w:val="000000" w:themeColor="text1"/>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cPr>
      <w:shd w:val="clear" w:color="auto" w:fill="E5E5E5" w:themeFill="accent4" w:themeFillTint="3F"/>
    </w:tcPr>
    <w:tblStylePr w:type="firstRow">
      <w:rPr>
        <w:b/>
        <w:bCs/>
        <w:color w:val="000000" w:themeColor="text1"/>
      </w:rPr>
      <w:tblPr/>
      <w:tcPr>
        <w:shd w:val="clear" w:color="auto" w:fill="F4F4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4" w:themeFillTint="33"/>
      </w:tcPr>
    </w:tblStylePr>
    <w:tblStylePr w:type="band1Vert">
      <w:tblPr/>
      <w:tcPr>
        <w:shd w:val="clear" w:color="auto" w:fill="CACACA" w:themeFill="accent4" w:themeFillTint="7F"/>
      </w:tcPr>
    </w:tblStylePr>
    <w:tblStylePr w:type="band1Horz">
      <w:tblPr/>
      <w:tcPr>
        <w:tcBorders>
          <w:insideH w:val="single" w:sz="6" w:space="0" w:color="969696" w:themeColor="accent4"/>
          <w:insideV w:val="single" w:sz="6" w:space="0" w:color="969696" w:themeColor="accent4"/>
        </w:tcBorders>
        <w:shd w:val="clear" w:color="auto" w:fill="CACACA" w:themeFill="accent4" w:themeFillTint="7F"/>
      </w:tcPr>
    </w:tblStylePr>
    <w:tblStylePr w:type="nwCell">
      <w:tblPr/>
      <w:tcPr>
        <w:shd w:val="clear" w:color="auto" w:fill="0072BC" w:themeFill="background1"/>
      </w:tcPr>
    </w:tblStylePr>
  </w:style>
  <w:style w:type="table" w:styleId="MediumGrid2-Accent5">
    <w:name w:val="Medium Grid 2 Accent 5"/>
    <w:basedOn w:val="TableNormal"/>
    <w:uiPriority w:val="99"/>
    <w:semiHidden/>
    <w:rsid w:val="00171962"/>
    <w:rPr>
      <w:rFonts w:asciiTheme="majorHAnsi" w:eastAsiaTheme="majorEastAsia" w:hAnsiTheme="majorHAnsi"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0072BC" w:themeFill="background1"/>
      </w:tcPr>
    </w:tblStylePr>
  </w:style>
  <w:style w:type="table" w:styleId="MediumGrid2-Accent6">
    <w:name w:val="Medium Grid 2 Accent 6"/>
    <w:basedOn w:val="TableNormal"/>
    <w:uiPriority w:val="99"/>
    <w:semiHidden/>
    <w:rsid w:val="00171962"/>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0072BC" w:themeFill="background1"/>
      </w:tcPr>
    </w:tblStylePr>
  </w:style>
  <w:style w:type="table" w:styleId="MediumGrid3">
    <w:name w:val="Medium Grid 3"/>
    <w:basedOn w:val="TableNormal"/>
    <w:uiPriority w:val="99"/>
    <w:semiHidden/>
    <w:rsid w:val="00171962"/>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C0C0C0" w:themeFill="tex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0000" w:themeFill="tex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0000" w:themeFill="tex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808080" w:themeFill="tex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808080" w:themeFill="text1" w:themeFillTint="7F"/>
      </w:tcPr>
    </w:tblStylePr>
  </w:style>
  <w:style w:type="table" w:styleId="MediumGrid3-Accent1">
    <w:name w:val="Medium Grid 3 Accent 1"/>
    <w:basedOn w:val="TableNormal"/>
    <w:uiPriority w:val="99"/>
    <w:semiHidden/>
    <w:rsid w:val="00171962"/>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AFDFFF" w:themeFill="accen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72BC" w:themeFill="accen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72BC" w:themeFill="accen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5EBFFF" w:themeFill="accen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5EBFFF" w:themeFill="accent1" w:themeFillTint="7F"/>
      </w:tcPr>
    </w:tblStylePr>
  </w:style>
  <w:style w:type="table" w:styleId="MediumGrid3-Accent2">
    <w:name w:val="Medium Grid 3 Accent 2"/>
    <w:basedOn w:val="TableNormal"/>
    <w:uiPriority w:val="99"/>
    <w:semiHidden/>
    <w:rsid w:val="00171962"/>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FFB0B0" w:themeFill="accent2"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C00000" w:themeFill="accent2"/>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C00000" w:themeFill="accent2"/>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FF6060" w:themeFill="accent2"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FF6060" w:themeFill="accent2" w:themeFillTint="7F"/>
      </w:tcPr>
    </w:tblStylePr>
  </w:style>
  <w:style w:type="table" w:styleId="MediumGrid3-Accent3">
    <w:name w:val="Medium Grid 3 Accent 3"/>
    <w:basedOn w:val="TableNormal"/>
    <w:uiPriority w:val="99"/>
    <w:semiHidden/>
    <w:rsid w:val="00171962"/>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3"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3"/>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3"/>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3"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3" w:themeFillTint="7F"/>
      </w:tcPr>
    </w:tblStylePr>
  </w:style>
  <w:style w:type="table" w:styleId="MediumGrid3-Accent4">
    <w:name w:val="Medium Grid 3 Accent 4"/>
    <w:basedOn w:val="TableNormal"/>
    <w:uiPriority w:val="99"/>
    <w:semiHidden/>
    <w:rsid w:val="00171962"/>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E5E5E5" w:themeFill="accent4"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969696" w:themeFill="accent4"/>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969696" w:themeFill="accent4"/>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CACACA" w:themeFill="accent4"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CACACA" w:themeFill="accent4" w:themeFillTint="7F"/>
      </w:tcPr>
    </w:tblStylePr>
  </w:style>
  <w:style w:type="table" w:styleId="MediumGrid3-Accent5">
    <w:name w:val="Medium Grid 3 Accent 5"/>
    <w:basedOn w:val="TableNormal"/>
    <w:uiPriority w:val="99"/>
    <w:semiHidden/>
    <w:rsid w:val="00171962"/>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5"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5"/>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5"/>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5"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5" w:themeFillTint="7F"/>
      </w:tcPr>
    </w:tblStylePr>
  </w:style>
  <w:style w:type="table" w:styleId="MediumGrid3-Accent6">
    <w:name w:val="Medium Grid 3 Accent 6"/>
    <w:basedOn w:val="TableNormal"/>
    <w:uiPriority w:val="99"/>
    <w:semiHidden/>
    <w:rsid w:val="00171962"/>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3D3D3" w:themeFill="accent6"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4D4D4D" w:themeFill="accent6"/>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4D4D4D" w:themeFill="accent6"/>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6A6A6" w:themeFill="accent6"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6A6A6" w:themeFill="accent6" w:themeFillTint="7F"/>
      </w:tcPr>
    </w:tblStylePr>
  </w:style>
  <w:style w:type="table" w:styleId="MediumList1">
    <w:name w:val="Medium List 1"/>
    <w:basedOn w:val="TableNormal"/>
    <w:uiPriority w:val="99"/>
    <w:semiHidden/>
    <w:rsid w:val="00171962"/>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C6C6C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9"/>
    <w:semiHidden/>
    <w:rsid w:val="00171962"/>
    <w:rPr>
      <w:color w:val="000000" w:themeColor="text1"/>
    </w:rPr>
    <w:tblPr>
      <w:tblStyleRowBandSize w:val="1"/>
      <w:tblStyleColBandSize w:val="1"/>
      <w:tblBorders>
        <w:top w:val="single" w:sz="8" w:space="0" w:color="0072BC" w:themeColor="accent1"/>
        <w:bottom w:val="single" w:sz="8" w:space="0" w:color="0072BC" w:themeColor="accent1"/>
      </w:tblBorders>
    </w:tblPr>
    <w:tblStylePr w:type="firstRow">
      <w:rPr>
        <w:rFonts w:asciiTheme="majorHAnsi" w:eastAsiaTheme="majorEastAsia" w:hAnsiTheme="majorHAnsi" w:cstheme="majorBidi"/>
      </w:rPr>
      <w:tblPr/>
      <w:tcPr>
        <w:tcBorders>
          <w:top w:val="nil"/>
          <w:bottom w:val="single" w:sz="8" w:space="0" w:color="0072BC" w:themeColor="accent1"/>
        </w:tcBorders>
      </w:tcPr>
    </w:tblStylePr>
    <w:tblStylePr w:type="lastRow">
      <w:rPr>
        <w:b/>
        <w:bCs/>
        <w:color w:val="C6C6C6" w:themeColor="text2"/>
      </w:rPr>
      <w:tblPr/>
      <w:tcPr>
        <w:tcBorders>
          <w:top w:val="single" w:sz="8" w:space="0" w:color="0072BC" w:themeColor="accent1"/>
          <w:bottom w:val="single" w:sz="8" w:space="0" w:color="0072BC" w:themeColor="accent1"/>
        </w:tcBorders>
      </w:tcPr>
    </w:tblStylePr>
    <w:tblStylePr w:type="firstCol">
      <w:rPr>
        <w:b/>
        <w:bCs/>
      </w:rPr>
    </w:tblStylePr>
    <w:tblStylePr w:type="lastCol">
      <w:rPr>
        <w:b/>
        <w:bCs/>
      </w:rPr>
      <w:tblPr/>
      <w:tcPr>
        <w:tcBorders>
          <w:top w:val="single" w:sz="8" w:space="0" w:color="0072BC" w:themeColor="accent1"/>
          <w:bottom w:val="single" w:sz="8" w:space="0" w:color="0072BC" w:themeColor="accent1"/>
        </w:tcBorders>
      </w:tcPr>
    </w:tblStylePr>
    <w:tblStylePr w:type="band1Vert">
      <w:tblPr/>
      <w:tcPr>
        <w:shd w:val="clear" w:color="auto" w:fill="AFDFFF" w:themeFill="accent1" w:themeFillTint="3F"/>
      </w:tcPr>
    </w:tblStylePr>
    <w:tblStylePr w:type="band1Horz">
      <w:tblPr/>
      <w:tcPr>
        <w:shd w:val="clear" w:color="auto" w:fill="AFDFFF" w:themeFill="accent1" w:themeFillTint="3F"/>
      </w:tcPr>
    </w:tblStylePr>
  </w:style>
  <w:style w:type="table" w:styleId="MediumList1-Accent2">
    <w:name w:val="Medium List 1 Accent 2"/>
    <w:basedOn w:val="TableNormal"/>
    <w:uiPriority w:val="99"/>
    <w:semiHidden/>
    <w:rsid w:val="00171962"/>
    <w:rPr>
      <w:color w:val="000000" w:themeColor="text1"/>
    </w:rPr>
    <w:tblPr>
      <w:tblStyleRowBandSize w:val="1"/>
      <w:tblStyleColBandSize w:val="1"/>
      <w:tblBorders>
        <w:top w:val="single" w:sz="8" w:space="0" w:color="C00000" w:themeColor="accent2"/>
        <w:bottom w:val="single" w:sz="8" w:space="0" w:color="C00000" w:themeColor="accent2"/>
      </w:tblBorders>
    </w:tblPr>
    <w:tblStylePr w:type="firstRow">
      <w:rPr>
        <w:rFonts w:asciiTheme="majorHAnsi" w:eastAsiaTheme="majorEastAsia" w:hAnsiTheme="majorHAnsi" w:cstheme="majorBidi"/>
      </w:rPr>
      <w:tblPr/>
      <w:tcPr>
        <w:tcBorders>
          <w:top w:val="nil"/>
          <w:bottom w:val="single" w:sz="8" w:space="0" w:color="C00000" w:themeColor="accent2"/>
        </w:tcBorders>
      </w:tcPr>
    </w:tblStylePr>
    <w:tblStylePr w:type="lastRow">
      <w:rPr>
        <w:b/>
        <w:bCs/>
        <w:color w:val="C6C6C6" w:themeColor="text2"/>
      </w:rPr>
      <w:tblPr/>
      <w:tcPr>
        <w:tcBorders>
          <w:top w:val="single" w:sz="8" w:space="0" w:color="C00000" w:themeColor="accent2"/>
          <w:bottom w:val="single" w:sz="8" w:space="0" w:color="C00000" w:themeColor="accent2"/>
        </w:tcBorders>
      </w:tcPr>
    </w:tblStylePr>
    <w:tblStylePr w:type="firstCol">
      <w:rPr>
        <w:b/>
        <w:bCs/>
      </w:rPr>
    </w:tblStylePr>
    <w:tblStylePr w:type="lastCol">
      <w:rPr>
        <w:b/>
        <w:bCs/>
      </w:rPr>
      <w:tblPr/>
      <w:tcPr>
        <w:tcBorders>
          <w:top w:val="single" w:sz="8" w:space="0" w:color="C00000" w:themeColor="accent2"/>
          <w:bottom w:val="single" w:sz="8" w:space="0" w:color="C00000" w:themeColor="accent2"/>
        </w:tcBorders>
      </w:tcPr>
    </w:tblStylePr>
    <w:tblStylePr w:type="band1Vert">
      <w:tblPr/>
      <w:tcPr>
        <w:shd w:val="clear" w:color="auto" w:fill="FFB0B0" w:themeFill="accent2" w:themeFillTint="3F"/>
      </w:tcPr>
    </w:tblStylePr>
    <w:tblStylePr w:type="band1Horz">
      <w:tblPr/>
      <w:tcPr>
        <w:shd w:val="clear" w:color="auto" w:fill="FFB0B0" w:themeFill="accent2" w:themeFillTint="3F"/>
      </w:tcPr>
    </w:tblStylePr>
  </w:style>
  <w:style w:type="table" w:styleId="MediumList1-Accent3">
    <w:name w:val="Medium List 1 Accent 3"/>
    <w:basedOn w:val="TableNormal"/>
    <w:uiPriority w:val="99"/>
    <w:semiHidden/>
    <w:rsid w:val="00171962"/>
    <w:rPr>
      <w:color w:val="000000" w:themeColor="text1"/>
    </w:rPr>
    <w:tblPr>
      <w:tblStyleRowBandSize w:val="1"/>
      <w:tblStyleColBandSize w:val="1"/>
      <w:tblBorders>
        <w:top w:val="single" w:sz="8" w:space="0" w:color="5F5F5F" w:themeColor="accent3"/>
        <w:bottom w:val="single" w:sz="8" w:space="0" w:color="5F5F5F" w:themeColor="accent3"/>
      </w:tblBorders>
    </w:tblPr>
    <w:tblStylePr w:type="firstRow">
      <w:rPr>
        <w:rFonts w:asciiTheme="majorHAnsi" w:eastAsiaTheme="majorEastAsia" w:hAnsiTheme="majorHAnsi" w:cstheme="majorBidi"/>
      </w:rPr>
      <w:tblPr/>
      <w:tcPr>
        <w:tcBorders>
          <w:top w:val="nil"/>
          <w:bottom w:val="single" w:sz="8" w:space="0" w:color="5F5F5F" w:themeColor="accent3"/>
        </w:tcBorders>
      </w:tcPr>
    </w:tblStylePr>
    <w:tblStylePr w:type="lastRow">
      <w:rPr>
        <w:b/>
        <w:bCs/>
        <w:color w:val="C6C6C6" w:themeColor="text2"/>
      </w:rPr>
      <w:tblPr/>
      <w:tcPr>
        <w:tcBorders>
          <w:top w:val="single" w:sz="8" w:space="0" w:color="5F5F5F" w:themeColor="accent3"/>
          <w:bottom w:val="single" w:sz="8" w:space="0" w:color="5F5F5F" w:themeColor="accent3"/>
        </w:tcBorders>
      </w:tcPr>
    </w:tblStylePr>
    <w:tblStylePr w:type="firstCol">
      <w:rPr>
        <w:b/>
        <w:bCs/>
      </w:rPr>
    </w:tblStylePr>
    <w:tblStylePr w:type="lastCol">
      <w:rPr>
        <w:b/>
        <w:bCs/>
      </w:rPr>
      <w:tblPr/>
      <w:tcPr>
        <w:tcBorders>
          <w:top w:val="single" w:sz="8" w:space="0" w:color="5F5F5F" w:themeColor="accent3"/>
          <w:bottom w:val="single" w:sz="8" w:space="0" w:color="5F5F5F" w:themeColor="accent3"/>
        </w:tcBorders>
      </w:tcPr>
    </w:tblStylePr>
    <w:tblStylePr w:type="band1Vert">
      <w:tblPr/>
      <w:tcPr>
        <w:shd w:val="clear" w:color="auto" w:fill="D7D7D7" w:themeFill="accent3" w:themeFillTint="3F"/>
      </w:tcPr>
    </w:tblStylePr>
    <w:tblStylePr w:type="band1Horz">
      <w:tblPr/>
      <w:tcPr>
        <w:shd w:val="clear" w:color="auto" w:fill="D7D7D7" w:themeFill="accent3" w:themeFillTint="3F"/>
      </w:tcPr>
    </w:tblStylePr>
  </w:style>
  <w:style w:type="table" w:styleId="MediumList1-Accent4">
    <w:name w:val="Medium List 1 Accent 4"/>
    <w:basedOn w:val="TableNormal"/>
    <w:uiPriority w:val="99"/>
    <w:semiHidden/>
    <w:rsid w:val="00171962"/>
    <w:rPr>
      <w:color w:val="000000" w:themeColor="text1"/>
    </w:rPr>
    <w:tblPr>
      <w:tblStyleRowBandSize w:val="1"/>
      <w:tblStyleColBandSize w:val="1"/>
      <w:tblBorders>
        <w:top w:val="single" w:sz="8" w:space="0" w:color="969696" w:themeColor="accent4"/>
        <w:bottom w:val="single" w:sz="8" w:space="0" w:color="969696" w:themeColor="accent4"/>
      </w:tblBorders>
    </w:tblPr>
    <w:tblStylePr w:type="firstRow">
      <w:rPr>
        <w:rFonts w:asciiTheme="majorHAnsi" w:eastAsiaTheme="majorEastAsia" w:hAnsiTheme="majorHAnsi" w:cstheme="majorBidi"/>
      </w:rPr>
      <w:tblPr/>
      <w:tcPr>
        <w:tcBorders>
          <w:top w:val="nil"/>
          <w:bottom w:val="single" w:sz="8" w:space="0" w:color="969696" w:themeColor="accent4"/>
        </w:tcBorders>
      </w:tcPr>
    </w:tblStylePr>
    <w:tblStylePr w:type="lastRow">
      <w:rPr>
        <w:b/>
        <w:bCs/>
        <w:color w:val="C6C6C6" w:themeColor="text2"/>
      </w:rPr>
      <w:tblPr/>
      <w:tcPr>
        <w:tcBorders>
          <w:top w:val="single" w:sz="8" w:space="0" w:color="969696" w:themeColor="accent4"/>
          <w:bottom w:val="single" w:sz="8" w:space="0" w:color="969696" w:themeColor="accent4"/>
        </w:tcBorders>
      </w:tcPr>
    </w:tblStylePr>
    <w:tblStylePr w:type="firstCol">
      <w:rPr>
        <w:b/>
        <w:bCs/>
      </w:rPr>
    </w:tblStylePr>
    <w:tblStylePr w:type="lastCol">
      <w:rPr>
        <w:b/>
        <w:bCs/>
      </w:rPr>
      <w:tblPr/>
      <w:tcPr>
        <w:tcBorders>
          <w:top w:val="single" w:sz="8" w:space="0" w:color="969696" w:themeColor="accent4"/>
          <w:bottom w:val="single" w:sz="8" w:space="0" w:color="969696" w:themeColor="accent4"/>
        </w:tcBorders>
      </w:tcPr>
    </w:tblStylePr>
    <w:tblStylePr w:type="band1Vert">
      <w:tblPr/>
      <w:tcPr>
        <w:shd w:val="clear" w:color="auto" w:fill="E5E5E5" w:themeFill="accent4" w:themeFillTint="3F"/>
      </w:tcPr>
    </w:tblStylePr>
    <w:tblStylePr w:type="band1Horz">
      <w:tblPr/>
      <w:tcPr>
        <w:shd w:val="clear" w:color="auto" w:fill="E5E5E5" w:themeFill="accent4" w:themeFillTint="3F"/>
      </w:tcPr>
    </w:tblStylePr>
  </w:style>
  <w:style w:type="table" w:styleId="MediumList1-Accent5">
    <w:name w:val="Medium List 1 Accent 5"/>
    <w:basedOn w:val="TableNormal"/>
    <w:uiPriority w:val="99"/>
    <w:semiHidden/>
    <w:rsid w:val="00171962"/>
    <w:rPr>
      <w:color w:val="000000" w:themeColor="text1"/>
    </w:rPr>
    <w:tblPr>
      <w:tblStyleRowBandSize w:val="1"/>
      <w:tblStyleColBandSize w:val="1"/>
      <w:tblBorders>
        <w:top w:val="single" w:sz="8" w:space="0" w:color="5F5F5F" w:themeColor="accent5"/>
        <w:bottom w:val="single" w:sz="8" w:space="0" w:color="5F5F5F" w:themeColor="accent5"/>
      </w:tblBorders>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C6C6C6"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99"/>
    <w:semiHidden/>
    <w:rsid w:val="00171962"/>
    <w:rPr>
      <w:color w:val="000000" w:themeColor="text1"/>
    </w:rPr>
    <w:tblPr>
      <w:tblStyleRowBandSize w:val="1"/>
      <w:tblStyleColBandSize w:val="1"/>
      <w:tblBorders>
        <w:top w:val="single" w:sz="8" w:space="0" w:color="4D4D4D" w:themeColor="accent6"/>
        <w:bottom w:val="single" w:sz="8" w:space="0" w:color="4D4D4D" w:themeColor="accent6"/>
      </w:tblBorders>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C6C6C6"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99"/>
    <w:semiHidden/>
    <w:rsid w:val="00171962"/>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0072BC" w:themeFill="background1"/>
      </w:tcPr>
    </w:tblStylePr>
    <w:tblStylePr w:type="lastRow">
      <w:tblPr/>
      <w:tcPr>
        <w:tcBorders>
          <w:top w:val="single" w:sz="8" w:space="0" w:color="000000" w:themeColor="tex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0000" w:themeColor="text1"/>
          <w:insideH w:val="nil"/>
          <w:insideV w:val="nil"/>
        </w:tcBorders>
        <w:shd w:val="clear" w:color="auto" w:fill="0072BC" w:themeFill="background1"/>
      </w:tcPr>
    </w:tblStylePr>
    <w:tblStylePr w:type="lastCol">
      <w:tblPr/>
      <w:tcPr>
        <w:tcBorders>
          <w:top w:val="nil"/>
          <w:left w:val="single" w:sz="8" w:space="0" w:color="000000" w:themeColor="tex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1">
    <w:name w:val="Medium List 2 Accent 1"/>
    <w:basedOn w:val="TableNormal"/>
    <w:uiPriority w:val="99"/>
    <w:semiHidden/>
    <w:rsid w:val="00171962"/>
    <w:rPr>
      <w:rFonts w:asciiTheme="majorHAnsi" w:eastAsiaTheme="majorEastAsia" w:hAnsiTheme="majorHAnsi" w:cstheme="majorBidi"/>
      <w:color w:val="000000" w:themeColor="text1"/>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rPr>
        <w:sz w:val="24"/>
        <w:szCs w:val="24"/>
      </w:rPr>
      <w:tblPr/>
      <w:tcPr>
        <w:tcBorders>
          <w:top w:val="nil"/>
          <w:left w:val="nil"/>
          <w:bottom w:val="single" w:sz="24" w:space="0" w:color="0072BC" w:themeColor="accent1"/>
          <w:right w:val="nil"/>
          <w:insideH w:val="nil"/>
          <w:insideV w:val="nil"/>
        </w:tcBorders>
        <w:shd w:val="clear" w:color="auto" w:fill="0072BC" w:themeFill="background1"/>
      </w:tcPr>
    </w:tblStylePr>
    <w:tblStylePr w:type="lastRow">
      <w:tblPr/>
      <w:tcPr>
        <w:tcBorders>
          <w:top w:val="single" w:sz="8" w:space="0" w:color="0072BC" w:themeColor="accen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72BC" w:themeColor="accent1"/>
          <w:insideH w:val="nil"/>
          <w:insideV w:val="nil"/>
        </w:tcBorders>
        <w:shd w:val="clear" w:color="auto" w:fill="0072BC" w:themeFill="background1"/>
      </w:tcPr>
    </w:tblStylePr>
    <w:tblStylePr w:type="lastCol">
      <w:tblPr/>
      <w:tcPr>
        <w:tcBorders>
          <w:top w:val="nil"/>
          <w:left w:val="single" w:sz="8" w:space="0" w:color="0072BC" w:themeColor="accen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top w:val="nil"/>
          <w:bottom w:val="nil"/>
          <w:insideH w:val="nil"/>
          <w:insideV w:val="nil"/>
        </w:tcBorders>
        <w:shd w:val="clear" w:color="auto" w:fill="AFDFFF" w:themeFill="accen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2">
    <w:name w:val="Medium List 2 Accent 2"/>
    <w:basedOn w:val="TableNormal"/>
    <w:uiPriority w:val="99"/>
    <w:semiHidden/>
    <w:rsid w:val="00171962"/>
    <w:rPr>
      <w:rFonts w:asciiTheme="majorHAnsi" w:eastAsiaTheme="majorEastAsia" w:hAnsiTheme="majorHAnsi" w:cstheme="majorBidi"/>
      <w:color w:val="000000" w:themeColor="text1"/>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rPr>
        <w:sz w:val="24"/>
        <w:szCs w:val="24"/>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tblPr/>
      <w:tcPr>
        <w:tcBorders>
          <w:top w:val="single" w:sz="8" w:space="0" w:color="C00000" w:themeColor="accent2"/>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C00000" w:themeColor="accent2"/>
          <w:insideH w:val="nil"/>
          <w:insideV w:val="nil"/>
        </w:tcBorders>
        <w:shd w:val="clear" w:color="auto" w:fill="0072BC" w:themeFill="background1"/>
      </w:tcPr>
    </w:tblStylePr>
    <w:tblStylePr w:type="lastCol">
      <w:tblPr/>
      <w:tcPr>
        <w:tcBorders>
          <w:top w:val="nil"/>
          <w:left w:val="single" w:sz="8" w:space="0" w:color="C00000" w:themeColor="accent2"/>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top w:val="nil"/>
          <w:bottom w:val="nil"/>
          <w:insideH w:val="nil"/>
          <w:insideV w:val="nil"/>
        </w:tcBorders>
        <w:shd w:val="clear" w:color="auto" w:fill="FFB0B0" w:themeFill="accent2"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3">
    <w:name w:val="Medium List 2 Accent 3"/>
    <w:basedOn w:val="TableNormal"/>
    <w:uiPriority w:val="99"/>
    <w:semiHidden/>
    <w:rsid w:val="00171962"/>
    <w:rPr>
      <w:rFonts w:asciiTheme="majorHAnsi" w:eastAsiaTheme="majorEastAsia" w:hAnsiTheme="majorHAnsi" w:cstheme="majorBidi"/>
      <w:color w:val="000000" w:themeColor="text1"/>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rPr>
        <w:sz w:val="24"/>
        <w:szCs w:val="24"/>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tblPr/>
      <w:tcPr>
        <w:tcBorders>
          <w:top w:val="single" w:sz="8" w:space="0" w:color="5F5F5F" w:themeColor="accent3"/>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3"/>
          <w:insideH w:val="nil"/>
          <w:insideV w:val="nil"/>
        </w:tcBorders>
        <w:shd w:val="clear" w:color="auto" w:fill="0072BC" w:themeFill="background1"/>
      </w:tcPr>
    </w:tblStylePr>
    <w:tblStylePr w:type="lastCol">
      <w:tblPr/>
      <w:tcPr>
        <w:tcBorders>
          <w:top w:val="nil"/>
          <w:left w:val="single" w:sz="8" w:space="0" w:color="5F5F5F" w:themeColor="accent3"/>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top w:val="nil"/>
          <w:bottom w:val="nil"/>
          <w:insideH w:val="nil"/>
          <w:insideV w:val="nil"/>
        </w:tcBorders>
        <w:shd w:val="clear" w:color="auto" w:fill="D7D7D7" w:themeFill="accent3"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4">
    <w:name w:val="Medium List 2 Accent 4"/>
    <w:basedOn w:val="TableNormal"/>
    <w:uiPriority w:val="99"/>
    <w:semiHidden/>
    <w:rsid w:val="00171962"/>
    <w:rPr>
      <w:rFonts w:asciiTheme="majorHAnsi" w:eastAsiaTheme="majorEastAsia" w:hAnsiTheme="majorHAnsi" w:cstheme="majorBidi"/>
      <w:color w:val="000000" w:themeColor="text1"/>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rPr>
        <w:sz w:val="24"/>
        <w:szCs w:val="24"/>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tblPr/>
      <w:tcPr>
        <w:tcBorders>
          <w:top w:val="single" w:sz="8" w:space="0" w:color="969696" w:themeColor="accent4"/>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969696" w:themeColor="accent4"/>
          <w:insideH w:val="nil"/>
          <w:insideV w:val="nil"/>
        </w:tcBorders>
        <w:shd w:val="clear" w:color="auto" w:fill="0072BC" w:themeFill="background1"/>
      </w:tcPr>
    </w:tblStylePr>
    <w:tblStylePr w:type="lastCol">
      <w:tblPr/>
      <w:tcPr>
        <w:tcBorders>
          <w:top w:val="nil"/>
          <w:left w:val="single" w:sz="8" w:space="0" w:color="969696" w:themeColor="accent4"/>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top w:val="nil"/>
          <w:bottom w:val="nil"/>
          <w:insideH w:val="nil"/>
          <w:insideV w:val="nil"/>
        </w:tcBorders>
        <w:shd w:val="clear" w:color="auto" w:fill="E5E5E5" w:themeFill="accent4"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5">
    <w:name w:val="Medium List 2 Accent 5"/>
    <w:basedOn w:val="TableNormal"/>
    <w:uiPriority w:val="99"/>
    <w:semiHidden/>
    <w:rsid w:val="00171962"/>
    <w:rPr>
      <w:rFonts w:asciiTheme="majorHAnsi" w:eastAsiaTheme="majorEastAsia" w:hAnsiTheme="majorHAnsi"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rPr>
        <w:sz w:val="24"/>
        <w:szCs w:val="24"/>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tblPr/>
      <w:tcPr>
        <w:tcBorders>
          <w:top w:val="single" w:sz="8" w:space="0" w:color="5F5F5F" w:themeColor="accent5"/>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5"/>
          <w:insideH w:val="nil"/>
          <w:insideV w:val="nil"/>
        </w:tcBorders>
        <w:shd w:val="clear" w:color="auto" w:fill="0072BC" w:themeFill="background1"/>
      </w:tcPr>
    </w:tblStylePr>
    <w:tblStylePr w:type="lastCol">
      <w:tblPr/>
      <w:tcPr>
        <w:tcBorders>
          <w:top w:val="nil"/>
          <w:left w:val="single" w:sz="8" w:space="0" w:color="5F5F5F" w:themeColor="accent5"/>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6">
    <w:name w:val="Medium List 2 Accent 6"/>
    <w:basedOn w:val="TableNormal"/>
    <w:uiPriority w:val="99"/>
    <w:semiHidden/>
    <w:rsid w:val="00171962"/>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rPr>
        <w:sz w:val="24"/>
        <w:szCs w:val="24"/>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tblPr/>
      <w:tcPr>
        <w:tcBorders>
          <w:top w:val="single" w:sz="8" w:space="0" w:color="4D4D4D" w:themeColor="accent6"/>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4D4D4D" w:themeColor="accent6"/>
          <w:insideH w:val="nil"/>
          <w:insideV w:val="nil"/>
        </w:tcBorders>
        <w:shd w:val="clear" w:color="auto" w:fill="0072BC" w:themeFill="background1"/>
      </w:tcPr>
    </w:tblStylePr>
    <w:tblStylePr w:type="lastCol">
      <w:tblPr/>
      <w:tcPr>
        <w:tcBorders>
          <w:top w:val="nil"/>
          <w:left w:val="single" w:sz="8" w:space="0" w:color="4D4D4D" w:themeColor="accent6"/>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Shading1">
    <w:name w:val="Medium Shading 1"/>
    <w:basedOn w:val="TableNormal"/>
    <w:uiPriority w:val="99"/>
    <w:semiHidden/>
    <w:rsid w:val="00171962"/>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0072BC"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9"/>
    <w:semiHidden/>
    <w:rsid w:val="00171962"/>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tblBorders>
    </w:tblPr>
    <w:tblStylePr w:type="firstRow">
      <w:pPr>
        <w:spacing w:before="0" w:after="0" w:line="240" w:lineRule="auto"/>
      </w:pPr>
      <w:rPr>
        <w:b/>
        <w:bCs/>
        <w:color w:val="0072BC" w:themeColor="background1"/>
      </w:rPr>
      <w:tblPr/>
      <w:tcPr>
        <w:tc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shd w:val="clear" w:color="auto" w:fill="0072BC" w:themeFill="accent1"/>
      </w:tcPr>
    </w:tblStylePr>
    <w:tblStylePr w:type="lastRow">
      <w:pPr>
        <w:spacing w:before="0" w:after="0" w:line="240" w:lineRule="auto"/>
      </w:pPr>
      <w:rPr>
        <w:b/>
        <w:bCs/>
      </w:rPr>
      <w:tblPr/>
      <w:tcPr>
        <w:tcBorders>
          <w:top w:val="double" w:sz="6"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FDFFF" w:themeFill="accent1" w:themeFillTint="3F"/>
      </w:tcPr>
    </w:tblStylePr>
    <w:tblStylePr w:type="band1Horz">
      <w:tblPr/>
      <w:tcPr>
        <w:tcBorders>
          <w:insideH w:val="nil"/>
          <w:insideV w:val="nil"/>
        </w:tcBorders>
        <w:shd w:val="clear" w:color="auto" w:fill="AFDF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9"/>
    <w:semiHidden/>
    <w:rsid w:val="00171962"/>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tblBorders>
    </w:tblPr>
    <w:tblStylePr w:type="firstRow">
      <w:pPr>
        <w:spacing w:before="0" w:after="0" w:line="240" w:lineRule="auto"/>
      </w:pPr>
      <w:rPr>
        <w:b/>
        <w:bCs/>
        <w:color w:val="0072BC" w:themeColor="background1"/>
      </w:rPr>
      <w:tblPr/>
      <w:tcPr>
        <w:tc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shd w:val="clear" w:color="auto" w:fill="C00000" w:themeFill="accent2"/>
      </w:tcPr>
    </w:tblStylePr>
    <w:tblStylePr w:type="lastRow">
      <w:pPr>
        <w:spacing w:before="0" w:after="0" w:line="240" w:lineRule="auto"/>
      </w:pPr>
      <w:rPr>
        <w:b/>
        <w:bCs/>
      </w:rPr>
      <w:tblPr/>
      <w:tcPr>
        <w:tcBorders>
          <w:top w:val="double" w:sz="6"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2" w:themeFillTint="3F"/>
      </w:tcPr>
    </w:tblStylePr>
    <w:tblStylePr w:type="band1Horz">
      <w:tblPr/>
      <w:tcPr>
        <w:tcBorders>
          <w:insideH w:val="nil"/>
          <w:insideV w:val="nil"/>
        </w:tcBorders>
        <w:shd w:val="clear" w:color="auto" w:fill="FFB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9"/>
    <w:semiHidden/>
    <w:rsid w:val="00171962"/>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tblBorders>
    </w:tblPr>
    <w:tblStylePr w:type="firstRow">
      <w:pPr>
        <w:spacing w:before="0" w:after="0" w:line="240" w:lineRule="auto"/>
      </w:pPr>
      <w:rPr>
        <w:b/>
        <w:bCs/>
        <w:color w:val="0072BC" w:themeColor="background1"/>
      </w:rPr>
      <w:tblPr/>
      <w:tcPr>
        <w:tc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shd w:val="clear" w:color="auto" w:fill="5F5F5F" w:themeFill="accent3"/>
      </w:tcPr>
    </w:tblStylePr>
    <w:tblStylePr w:type="lastRow">
      <w:pPr>
        <w:spacing w:before="0" w:after="0" w:line="240" w:lineRule="auto"/>
      </w:pPr>
      <w:rPr>
        <w:b/>
        <w:bCs/>
      </w:rPr>
      <w:tblPr/>
      <w:tcPr>
        <w:tcBorders>
          <w:top w:val="double" w:sz="6"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3" w:themeFillTint="3F"/>
      </w:tcPr>
    </w:tblStylePr>
    <w:tblStylePr w:type="band1Horz">
      <w:tblPr/>
      <w:tcPr>
        <w:tcBorders>
          <w:insideH w:val="nil"/>
          <w:insideV w:val="nil"/>
        </w:tcBorders>
        <w:shd w:val="clear" w:color="auto" w:fill="D7D7D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9"/>
    <w:semiHidden/>
    <w:rsid w:val="00171962"/>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tblBorders>
    </w:tblPr>
    <w:tblStylePr w:type="firstRow">
      <w:pPr>
        <w:spacing w:before="0" w:after="0" w:line="240" w:lineRule="auto"/>
      </w:pPr>
      <w:rPr>
        <w:b/>
        <w:bCs/>
        <w:color w:val="0072BC" w:themeColor="background1"/>
      </w:rPr>
      <w:tblPr/>
      <w:tcPr>
        <w:tc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shd w:val="clear" w:color="auto" w:fill="969696" w:themeFill="accent4"/>
      </w:tcPr>
    </w:tblStylePr>
    <w:tblStylePr w:type="lastRow">
      <w:pPr>
        <w:spacing w:before="0" w:after="0" w:line="240" w:lineRule="auto"/>
      </w:pPr>
      <w:rPr>
        <w:b/>
        <w:bCs/>
      </w:rPr>
      <w:tblPr/>
      <w:tcPr>
        <w:tcBorders>
          <w:top w:val="double" w:sz="6"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4" w:themeFillTint="3F"/>
      </w:tcPr>
    </w:tblStylePr>
    <w:tblStylePr w:type="band1Horz">
      <w:tblPr/>
      <w:tcPr>
        <w:tcBorders>
          <w:insideH w:val="nil"/>
          <w:insideV w:val="nil"/>
        </w:tcBorders>
        <w:shd w:val="clear" w:color="auto" w:fill="E5E5E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9"/>
    <w:semiHidden/>
    <w:rsid w:val="00171962"/>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Pr>
    <w:tblStylePr w:type="firstRow">
      <w:pPr>
        <w:spacing w:before="0" w:after="0" w:line="240" w:lineRule="auto"/>
      </w:pPr>
      <w:rPr>
        <w:b/>
        <w:bCs/>
        <w:color w:val="0072BC"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9"/>
    <w:semiHidden/>
    <w:rsid w:val="00171962"/>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Pr>
    <w:tblStylePr w:type="firstRow">
      <w:pPr>
        <w:spacing w:before="0" w:after="0" w:line="240" w:lineRule="auto"/>
      </w:pPr>
      <w:rPr>
        <w:b/>
        <w:bCs/>
        <w:color w:val="0072BC"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9"/>
    <w:semiHidden/>
    <w:rsid w:val="0017196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0072BC"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9"/>
    <w:semiHidden/>
    <w:rsid w:val="0017196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72B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72BC" w:themeFill="accent1"/>
      </w:tcPr>
    </w:tblStylePr>
    <w:tblStylePr w:type="lastCol">
      <w:rPr>
        <w:b/>
        <w:bCs/>
        <w:color w:val="0072BC" w:themeColor="background1"/>
      </w:rPr>
      <w:tblPr/>
      <w:tcPr>
        <w:tcBorders>
          <w:left w:val="nil"/>
          <w:right w:val="nil"/>
          <w:insideH w:val="nil"/>
          <w:insideV w:val="nil"/>
        </w:tcBorders>
        <w:shd w:val="clear" w:color="auto" w:fill="0072BC" w:themeFill="accen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9"/>
    <w:semiHidden/>
    <w:rsid w:val="0017196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C0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C00000" w:themeFill="accent2"/>
      </w:tcPr>
    </w:tblStylePr>
    <w:tblStylePr w:type="lastCol">
      <w:rPr>
        <w:b/>
        <w:bCs/>
        <w:color w:val="0072BC" w:themeColor="background1"/>
      </w:rPr>
      <w:tblPr/>
      <w:tcPr>
        <w:tcBorders>
          <w:left w:val="nil"/>
          <w:right w:val="nil"/>
          <w:insideH w:val="nil"/>
          <w:insideV w:val="nil"/>
        </w:tcBorders>
        <w:shd w:val="clear" w:color="auto" w:fill="C00000" w:themeFill="accent2"/>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semiHidden/>
    <w:rsid w:val="0017196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3"/>
      </w:tcPr>
    </w:tblStylePr>
    <w:tblStylePr w:type="lastCol">
      <w:rPr>
        <w:b/>
        <w:bCs/>
        <w:color w:val="0072BC" w:themeColor="background1"/>
      </w:rPr>
      <w:tblPr/>
      <w:tcPr>
        <w:tcBorders>
          <w:left w:val="nil"/>
          <w:right w:val="nil"/>
          <w:insideH w:val="nil"/>
          <w:insideV w:val="nil"/>
        </w:tcBorders>
        <w:shd w:val="clear" w:color="auto" w:fill="5F5F5F" w:themeFill="accent3"/>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semiHidden/>
    <w:rsid w:val="0017196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96969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969696" w:themeFill="accent4"/>
      </w:tcPr>
    </w:tblStylePr>
    <w:tblStylePr w:type="lastCol">
      <w:rPr>
        <w:b/>
        <w:bCs/>
        <w:color w:val="0072BC" w:themeColor="background1"/>
      </w:rPr>
      <w:tblPr/>
      <w:tcPr>
        <w:tcBorders>
          <w:left w:val="nil"/>
          <w:right w:val="nil"/>
          <w:insideH w:val="nil"/>
          <w:insideV w:val="nil"/>
        </w:tcBorders>
        <w:shd w:val="clear" w:color="auto" w:fill="969696" w:themeFill="accent4"/>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semiHidden/>
    <w:rsid w:val="0017196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5"/>
      </w:tcPr>
    </w:tblStylePr>
    <w:tblStylePr w:type="lastCol">
      <w:rPr>
        <w:b/>
        <w:bCs/>
        <w:color w:val="0072BC"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semiHidden/>
    <w:rsid w:val="0017196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4D4D4D" w:themeFill="accent6"/>
      </w:tcPr>
    </w:tblStylePr>
    <w:tblStylePr w:type="lastCol">
      <w:rPr>
        <w:b/>
        <w:bCs/>
        <w:color w:val="0072BC"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rsid w:val="00171962"/>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rsid w:val="00171962"/>
    <w:rPr>
      <w:rFonts w:asciiTheme="majorHAnsi" w:eastAsiaTheme="majorEastAsia" w:hAnsiTheme="majorHAnsi" w:cstheme="majorBidi"/>
      <w:sz w:val="24"/>
      <w:szCs w:val="24"/>
      <w:shd w:val="pct20" w:color="auto" w:fill="auto"/>
      <w:lang w:val="en-GB"/>
    </w:rPr>
  </w:style>
  <w:style w:type="paragraph" w:styleId="NormalWeb">
    <w:name w:val="Normal (Web)"/>
    <w:basedOn w:val="Normal"/>
    <w:uiPriority w:val="99"/>
    <w:semiHidden/>
    <w:rsid w:val="00171962"/>
    <w:rPr>
      <w:rFonts w:ascii="Times New Roman" w:hAnsi="Times New Roman" w:cs="Times New Roman"/>
      <w:szCs w:val="24"/>
    </w:rPr>
  </w:style>
  <w:style w:type="paragraph" w:styleId="NormalIndent">
    <w:name w:val="Normal Indent"/>
    <w:basedOn w:val="Normal"/>
    <w:uiPriority w:val="99"/>
    <w:semiHidden/>
    <w:rsid w:val="00171962"/>
    <w:pPr>
      <w:ind w:left="720"/>
    </w:pPr>
  </w:style>
  <w:style w:type="paragraph" w:styleId="NoteHeading">
    <w:name w:val="Note Heading"/>
    <w:basedOn w:val="Normal"/>
    <w:next w:val="Normal"/>
    <w:link w:val="NoteHeadingChar"/>
    <w:uiPriority w:val="99"/>
    <w:semiHidden/>
    <w:rsid w:val="00171962"/>
  </w:style>
  <w:style w:type="character" w:customStyle="1" w:styleId="NoteHeadingChar">
    <w:name w:val="Note Heading Char"/>
    <w:basedOn w:val="DefaultParagraphFont"/>
    <w:link w:val="NoteHeading"/>
    <w:rsid w:val="00171962"/>
    <w:rPr>
      <w:sz w:val="24"/>
      <w:lang w:val="en-GB"/>
    </w:rPr>
  </w:style>
  <w:style w:type="character" w:styleId="PlaceholderText">
    <w:name w:val="Placeholder Text"/>
    <w:basedOn w:val="DefaultParagraphFont"/>
    <w:uiPriority w:val="99"/>
    <w:semiHidden/>
    <w:rsid w:val="00171962"/>
    <w:rPr>
      <w:color w:val="808080"/>
    </w:rPr>
  </w:style>
  <w:style w:type="paragraph" w:styleId="PlainText">
    <w:name w:val="Plain Text"/>
    <w:basedOn w:val="Normal"/>
    <w:link w:val="PlainTextChar"/>
    <w:uiPriority w:val="99"/>
    <w:semiHidden/>
    <w:rsid w:val="00171962"/>
    <w:rPr>
      <w:rFonts w:ascii="Consolas" w:hAnsi="Consolas" w:cs="Consolas"/>
      <w:sz w:val="21"/>
      <w:szCs w:val="21"/>
    </w:rPr>
  </w:style>
  <w:style w:type="character" w:customStyle="1" w:styleId="PlainTextChar">
    <w:name w:val="Plain Text Char"/>
    <w:basedOn w:val="DefaultParagraphFont"/>
    <w:link w:val="PlainText"/>
    <w:rsid w:val="00171962"/>
    <w:rPr>
      <w:rFonts w:ascii="Consolas" w:hAnsi="Consolas" w:cs="Consolas"/>
      <w:sz w:val="21"/>
      <w:szCs w:val="21"/>
      <w:lang w:val="en-GB"/>
    </w:rPr>
  </w:style>
  <w:style w:type="paragraph" w:styleId="Salutation">
    <w:name w:val="Salutation"/>
    <w:basedOn w:val="Normal"/>
    <w:next w:val="Normal"/>
    <w:link w:val="SalutationChar"/>
    <w:uiPriority w:val="99"/>
    <w:semiHidden/>
    <w:rsid w:val="00171962"/>
  </w:style>
  <w:style w:type="character" w:customStyle="1" w:styleId="SalutationChar">
    <w:name w:val="Salutation Char"/>
    <w:basedOn w:val="DefaultParagraphFont"/>
    <w:link w:val="Salutation"/>
    <w:rsid w:val="00171962"/>
    <w:rPr>
      <w:sz w:val="24"/>
      <w:lang w:val="en-GB"/>
    </w:rPr>
  </w:style>
  <w:style w:type="paragraph" w:styleId="Signature">
    <w:name w:val="Signature"/>
    <w:basedOn w:val="Normal"/>
    <w:link w:val="SignatureChar"/>
    <w:uiPriority w:val="99"/>
    <w:semiHidden/>
    <w:rsid w:val="00171962"/>
    <w:pPr>
      <w:ind w:left="4252"/>
    </w:pPr>
  </w:style>
  <w:style w:type="character" w:customStyle="1" w:styleId="SignatureChar">
    <w:name w:val="Signature Char"/>
    <w:basedOn w:val="DefaultParagraphFont"/>
    <w:link w:val="Signature"/>
    <w:rsid w:val="00171962"/>
    <w:rPr>
      <w:sz w:val="24"/>
      <w:lang w:val="en-GB"/>
    </w:rPr>
  </w:style>
  <w:style w:type="table" w:styleId="Table3Deffects1">
    <w:name w:val="Table 3D effects 1"/>
    <w:basedOn w:val="TableNormal"/>
    <w:uiPriority w:val="99"/>
    <w:semiHidden/>
    <w:rsid w:val="00171962"/>
    <w:pPr>
      <w:suppressAutoHyphens/>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171962"/>
    <w:pPr>
      <w:suppressAutoHyphens/>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171962"/>
    <w:pPr>
      <w:suppressAutoHyphens/>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171962"/>
    <w:pPr>
      <w:suppressAutoHyphens/>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171962"/>
    <w:pPr>
      <w:suppressAutoHyphens/>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171962"/>
    <w:pPr>
      <w:suppressAutoHyphens/>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171962"/>
    <w:pPr>
      <w:suppressAutoHyphens/>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171962"/>
    <w:pPr>
      <w:suppressAutoHyphens/>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171962"/>
    <w:pPr>
      <w:suppressAutoHyphens/>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171962"/>
    <w:pPr>
      <w:suppressAutoHyphens/>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171962"/>
    <w:pPr>
      <w:suppressAutoHyphens/>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171962"/>
    <w:pPr>
      <w:suppressAutoHyphens/>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171962"/>
    <w:pPr>
      <w:suppressAutoHyphens/>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171962"/>
    <w:pPr>
      <w:suppressAutoHyphens/>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rsid w:val="00171962"/>
    <w:pPr>
      <w:suppressAutoHyphens/>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rsid w:val="00171962"/>
    <w:pPr>
      <w:suppressAutoHyphens/>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171962"/>
    <w:pPr>
      <w:suppressAutoHyphens/>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99"/>
    <w:semiHidden/>
    <w:rsid w:val="004214B5"/>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rsid w:val="00171962"/>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171962"/>
    <w:pPr>
      <w:suppressAutoHyphens/>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171962"/>
    <w:pPr>
      <w:suppressAutoHyphens/>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171962"/>
    <w:pPr>
      <w:suppressAutoHyphens/>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171962"/>
    <w:pPr>
      <w:suppressAutoHyphens/>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rsid w:val="00171962"/>
    <w:pPr>
      <w:suppressAutoHyphens/>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rsid w:val="00171962"/>
    <w:pPr>
      <w:suppressAutoHyphens/>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rsid w:val="00171962"/>
    <w:pPr>
      <w:suppressAutoHyphens/>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171962"/>
    <w:pPr>
      <w:suppressAutoHyphens/>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171962"/>
    <w:pPr>
      <w:suppressAutoHyphens/>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171962"/>
    <w:pPr>
      <w:suppressAutoHyphens/>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171962"/>
    <w:pPr>
      <w:suppressAutoHyphens/>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171962"/>
    <w:pPr>
      <w:suppressAutoHyphens/>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171962"/>
    <w:pPr>
      <w:suppressAutoHyphens/>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171962"/>
    <w:pPr>
      <w:suppressAutoHyphens/>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171962"/>
    <w:pPr>
      <w:suppressAutoHyphens/>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171962"/>
    <w:pPr>
      <w:ind w:left="240" w:hanging="240"/>
    </w:pPr>
  </w:style>
  <w:style w:type="paragraph" w:styleId="TableofFigures">
    <w:name w:val="table of figures"/>
    <w:basedOn w:val="Normal"/>
    <w:next w:val="Normal"/>
    <w:uiPriority w:val="99"/>
    <w:semiHidden/>
    <w:rsid w:val="00171962"/>
  </w:style>
  <w:style w:type="table" w:styleId="TableProfessional">
    <w:name w:val="Table Professional"/>
    <w:basedOn w:val="TableNormal"/>
    <w:uiPriority w:val="99"/>
    <w:semiHidden/>
    <w:rsid w:val="00171962"/>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171962"/>
    <w:pPr>
      <w:suppressAutoHyphens/>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171962"/>
    <w:pPr>
      <w:suppressAutoHyphens/>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171962"/>
    <w:pPr>
      <w:suppressAutoHyphens/>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171962"/>
    <w:pPr>
      <w:suppressAutoHyphens/>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171962"/>
    <w:pPr>
      <w:suppressAutoHyphens/>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171962"/>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171962"/>
    <w:pPr>
      <w:suppressAutoHyphens/>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171962"/>
    <w:pPr>
      <w:suppressAutoHyphens/>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171962"/>
    <w:pPr>
      <w:suppressAutoHyphens/>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4214B5"/>
    <w:pPr>
      <w:spacing w:before="120"/>
    </w:pPr>
    <w:rPr>
      <w:rFonts w:asciiTheme="majorHAnsi" w:eastAsiaTheme="majorEastAsia" w:hAnsiTheme="majorHAnsi" w:cstheme="majorBidi"/>
      <w:b/>
      <w:bCs/>
      <w:color w:val="474747" w:themeColor="accent3" w:themeShade="BF"/>
      <w:szCs w:val="24"/>
    </w:rPr>
  </w:style>
  <w:style w:type="paragraph" w:styleId="TOC1">
    <w:name w:val="toc 1"/>
    <w:basedOn w:val="Normal"/>
    <w:next w:val="Normal"/>
    <w:autoRedefine/>
    <w:uiPriority w:val="99"/>
    <w:semiHidden/>
    <w:rsid w:val="004214B5"/>
    <w:pPr>
      <w:spacing w:before="120" w:after="60"/>
      <w:ind w:left="340" w:right="340" w:hanging="340"/>
    </w:pPr>
    <w:rPr>
      <w:color w:val="0D0D0D" w:themeColor="text1" w:themeTint="F2"/>
    </w:rPr>
  </w:style>
  <w:style w:type="paragraph" w:styleId="TOC2">
    <w:name w:val="toc 2"/>
    <w:basedOn w:val="Normal"/>
    <w:next w:val="Normal"/>
    <w:autoRedefine/>
    <w:uiPriority w:val="99"/>
    <w:semiHidden/>
    <w:rsid w:val="004214B5"/>
    <w:pPr>
      <w:spacing w:after="60"/>
      <w:ind w:left="680" w:right="340" w:hanging="340"/>
    </w:pPr>
  </w:style>
  <w:style w:type="paragraph" w:styleId="TOC3">
    <w:name w:val="toc 3"/>
    <w:basedOn w:val="Normal"/>
    <w:next w:val="Normal"/>
    <w:autoRedefine/>
    <w:uiPriority w:val="99"/>
    <w:semiHidden/>
    <w:rsid w:val="004214B5"/>
    <w:pPr>
      <w:spacing w:after="60"/>
      <w:ind w:left="1020" w:right="340" w:hanging="340"/>
    </w:pPr>
  </w:style>
  <w:style w:type="paragraph" w:styleId="TOC4">
    <w:name w:val="toc 4"/>
    <w:basedOn w:val="Normal"/>
    <w:next w:val="Normal"/>
    <w:autoRedefine/>
    <w:uiPriority w:val="99"/>
    <w:semiHidden/>
    <w:rsid w:val="004214B5"/>
    <w:pPr>
      <w:tabs>
        <w:tab w:val="right" w:leader="dot" w:pos="9017"/>
      </w:tabs>
      <w:spacing w:after="60"/>
      <w:ind w:left="1361" w:right="340" w:hanging="340"/>
    </w:pPr>
  </w:style>
  <w:style w:type="paragraph" w:styleId="TOC5">
    <w:name w:val="toc 5"/>
    <w:basedOn w:val="Normal"/>
    <w:next w:val="Normal"/>
    <w:autoRedefine/>
    <w:uiPriority w:val="99"/>
    <w:semiHidden/>
    <w:rsid w:val="004214B5"/>
    <w:pPr>
      <w:spacing w:after="60"/>
      <w:ind w:left="1701" w:right="340" w:hanging="340"/>
    </w:pPr>
  </w:style>
  <w:style w:type="paragraph" w:styleId="TOC6">
    <w:name w:val="toc 6"/>
    <w:basedOn w:val="Normal"/>
    <w:next w:val="Normal"/>
    <w:autoRedefine/>
    <w:uiPriority w:val="99"/>
    <w:semiHidden/>
    <w:rsid w:val="00171962"/>
    <w:pPr>
      <w:spacing w:after="100"/>
      <w:ind w:left="1200"/>
    </w:pPr>
  </w:style>
  <w:style w:type="paragraph" w:styleId="TOC7">
    <w:name w:val="toc 7"/>
    <w:basedOn w:val="Normal"/>
    <w:next w:val="Normal"/>
    <w:autoRedefine/>
    <w:uiPriority w:val="99"/>
    <w:semiHidden/>
    <w:rsid w:val="00171962"/>
    <w:pPr>
      <w:spacing w:after="100"/>
      <w:ind w:left="1440"/>
    </w:pPr>
  </w:style>
  <w:style w:type="paragraph" w:styleId="TOC8">
    <w:name w:val="toc 8"/>
    <w:basedOn w:val="Normal"/>
    <w:next w:val="Normal"/>
    <w:autoRedefine/>
    <w:uiPriority w:val="99"/>
    <w:semiHidden/>
    <w:rsid w:val="00171962"/>
    <w:pPr>
      <w:spacing w:after="100"/>
      <w:ind w:left="1680"/>
    </w:pPr>
  </w:style>
  <w:style w:type="paragraph" w:styleId="TOC9">
    <w:name w:val="toc 9"/>
    <w:basedOn w:val="Normal"/>
    <w:next w:val="Normal"/>
    <w:autoRedefine/>
    <w:uiPriority w:val="99"/>
    <w:semiHidden/>
    <w:rsid w:val="00171962"/>
    <w:pPr>
      <w:spacing w:after="100"/>
      <w:ind w:left="1920"/>
    </w:pPr>
  </w:style>
  <w:style w:type="paragraph" w:customStyle="1" w:styleId="ECHRTitleCentre1">
    <w:name w:val="ECHR_Title_Centre_1"/>
    <w:aliases w:val="Opi_H_Head"/>
    <w:basedOn w:val="Normal"/>
    <w:next w:val="OpiPara"/>
    <w:uiPriority w:val="39"/>
    <w:qFormat/>
    <w:rsid w:val="004214B5"/>
    <w:pPr>
      <w:keepNext/>
      <w:keepLines/>
      <w:spacing w:after="240"/>
      <w:jc w:val="center"/>
      <w:outlineLvl w:val="0"/>
    </w:pPr>
    <w:rPr>
      <w:rFonts w:asciiTheme="majorHAnsi" w:hAnsiTheme="majorHAnsi"/>
      <w:sz w:val="28"/>
      <w:lang w:val="fr-FR" w:eastAsia="fr-FR"/>
    </w:rPr>
  </w:style>
  <w:style w:type="paragraph" w:customStyle="1" w:styleId="JuQuotSub">
    <w:name w:val="Ju_Quot_Sub"/>
    <w:basedOn w:val="ECHRParaQuote"/>
    <w:uiPriority w:val="15"/>
    <w:qFormat/>
    <w:rsid w:val="004214B5"/>
    <w:pPr>
      <w:ind w:left="567"/>
    </w:pPr>
  </w:style>
  <w:style w:type="paragraph" w:customStyle="1" w:styleId="JuInitialled">
    <w:name w:val="Ju_Initialled"/>
    <w:basedOn w:val="Normal"/>
    <w:uiPriority w:val="31"/>
    <w:qFormat/>
    <w:rsid w:val="004214B5"/>
    <w:pPr>
      <w:tabs>
        <w:tab w:val="center" w:pos="6407"/>
      </w:tabs>
      <w:spacing w:before="720"/>
      <w:jc w:val="right"/>
    </w:pPr>
    <w:rPr>
      <w:lang w:val="fr-FR" w:eastAsia="fr-FR"/>
    </w:rPr>
  </w:style>
  <w:style w:type="paragraph" w:customStyle="1" w:styleId="OpiHA">
    <w:name w:val="Opi_H_A"/>
    <w:basedOn w:val="ECHRHeading1"/>
    <w:next w:val="OpiPara"/>
    <w:uiPriority w:val="41"/>
    <w:qFormat/>
    <w:rsid w:val="004214B5"/>
    <w:pPr>
      <w:tabs>
        <w:tab w:val="clear" w:pos="357"/>
      </w:tabs>
      <w:outlineLvl w:val="1"/>
    </w:pPr>
    <w:rPr>
      <w:b/>
    </w:rPr>
  </w:style>
  <w:style w:type="character" w:customStyle="1" w:styleId="JUNAMES0">
    <w:name w:val="JU_NAMES"/>
    <w:uiPriority w:val="17"/>
    <w:qFormat/>
    <w:rsid w:val="004214B5"/>
    <w:rPr>
      <w:caps w:val="0"/>
      <w:smallCaps/>
    </w:rPr>
  </w:style>
  <w:style w:type="paragraph" w:customStyle="1" w:styleId="OpiTranslation">
    <w:name w:val="Opi_Translation"/>
    <w:basedOn w:val="Normal"/>
    <w:next w:val="OpiPara"/>
    <w:uiPriority w:val="40"/>
    <w:qFormat/>
    <w:rsid w:val="004214B5"/>
    <w:pPr>
      <w:jc w:val="center"/>
      <w:outlineLvl w:val="0"/>
    </w:pPr>
    <w:rPr>
      <w:i/>
      <w:lang w:val="fr-FR" w:eastAsia="fr-FR"/>
    </w:rPr>
  </w:style>
  <w:style w:type="paragraph" w:customStyle="1" w:styleId="DecHTitle">
    <w:name w:val="Dec_H_Title"/>
    <w:basedOn w:val="ECHRTitleCentre1"/>
    <w:uiPriority w:val="7"/>
    <w:semiHidden/>
    <w:rsid w:val="004214B5"/>
  </w:style>
  <w:style w:type="paragraph" w:customStyle="1" w:styleId="ECHRHeading3">
    <w:name w:val="ECHR_Heading_3"/>
    <w:aliases w:val="Ju_H_1."/>
    <w:basedOn w:val="Heading3"/>
    <w:next w:val="ECHRPara"/>
    <w:uiPriority w:val="21"/>
    <w:qFormat/>
    <w:rsid w:val="004214B5"/>
    <w:pPr>
      <w:keepNext/>
      <w:keepLines/>
      <w:tabs>
        <w:tab w:val="left" w:pos="731"/>
      </w:tabs>
      <w:spacing w:before="240" w:after="120" w:line="240" w:lineRule="auto"/>
      <w:ind w:left="732" w:hanging="301"/>
    </w:pPr>
    <w:rPr>
      <w:b w:val="0"/>
      <w:i/>
      <w:color w:val="auto"/>
      <w:lang w:val="fr-FR" w:eastAsia="fr-FR"/>
    </w:rPr>
  </w:style>
  <w:style w:type="paragraph" w:customStyle="1" w:styleId="ECHRHeading4">
    <w:name w:val="ECHR_Heading_4"/>
    <w:aliases w:val="Ju_H_a"/>
    <w:basedOn w:val="Heading4"/>
    <w:next w:val="ECHRPara"/>
    <w:uiPriority w:val="22"/>
    <w:qFormat/>
    <w:rsid w:val="004214B5"/>
    <w:pPr>
      <w:keepNext/>
      <w:keepLines/>
      <w:tabs>
        <w:tab w:val="left" w:pos="975"/>
      </w:tabs>
      <w:spacing w:before="240" w:after="120"/>
      <w:ind w:left="975" w:hanging="340"/>
    </w:pPr>
    <w:rPr>
      <w:i w:val="0"/>
      <w:color w:val="auto"/>
      <w:sz w:val="20"/>
      <w:lang w:val="fr-FR" w:eastAsia="fr-FR"/>
    </w:rPr>
  </w:style>
  <w:style w:type="paragraph" w:customStyle="1" w:styleId="ECHRHeading5">
    <w:name w:val="ECHR_Heading_5"/>
    <w:aliases w:val="Ju_H_i"/>
    <w:basedOn w:val="Heading5"/>
    <w:next w:val="ECHRPara"/>
    <w:uiPriority w:val="23"/>
    <w:qFormat/>
    <w:rsid w:val="004214B5"/>
    <w:pPr>
      <w:keepNext/>
      <w:keepLines/>
      <w:tabs>
        <w:tab w:val="left" w:pos="1191"/>
      </w:tabs>
      <w:spacing w:before="240" w:after="120"/>
      <w:ind w:left="1190" w:hanging="357"/>
    </w:pPr>
    <w:rPr>
      <w:b w:val="0"/>
      <w:i/>
      <w:color w:val="auto"/>
      <w:sz w:val="20"/>
    </w:rPr>
  </w:style>
  <w:style w:type="paragraph" w:customStyle="1" w:styleId="ECHRHeading6">
    <w:name w:val="ECHR_Heading_6"/>
    <w:aliases w:val="Ju_H_alpha"/>
    <w:basedOn w:val="Heading6"/>
    <w:next w:val="ECHRPara"/>
    <w:uiPriority w:val="24"/>
    <w:qFormat/>
    <w:rsid w:val="004214B5"/>
    <w:pPr>
      <w:keepNext/>
      <w:keepLines/>
      <w:tabs>
        <w:tab w:val="left" w:pos="1372"/>
      </w:tabs>
      <w:spacing w:before="240" w:after="120" w:line="240" w:lineRule="auto"/>
      <w:ind w:left="1373" w:hanging="335"/>
    </w:pPr>
    <w:rPr>
      <w:b w:val="0"/>
      <w:color w:val="auto"/>
      <w:sz w:val="20"/>
      <w:lang w:val="fr-FR" w:eastAsia="fr-FR"/>
    </w:rPr>
  </w:style>
  <w:style w:type="paragraph" w:customStyle="1" w:styleId="ECHRHeading7">
    <w:name w:val="ECHR_Heading_7"/>
    <w:aliases w:val="Ju_H_–"/>
    <w:basedOn w:val="Heading7"/>
    <w:next w:val="ECHRPara"/>
    <w:uiPriority w:val="25"/>
    <w:qFormat/>
    <w:rsid w:val="004214B5"/>
    <w:pPr>
      <w:keepNext/>
      <w:keepLines/>
      <w:spacing w:before="240" w:after="120"/>
      <w:ind w:left="1236"/>
    </w:pPr>
    <w:rPr>
      <w:sz w:val="20"/>
    </w:rPr>
  </w:style>
  <w:style w:type="paragraph" w:customStyle="1" w:styleId="DecList">
    <w:name w:val="Dec_List"/>
    <w:basedOn w:val="Normal"/>
    <w:uiPriority w:val="9"/>
    <w:semiHidden/>
    <w:rsid w:val="004214B5"/>
    <w:pPr>
      <w:spacing w:before="240"/>
      <w:ind w:left="284"/>
    </w:pPr>
  </w:style>
  <w:style w:type="paragraph" w:customStyle="1" w:styleId="OpiH1">
    <w:name w:val="Opi_H_1"/>
    <w:basedOn w:val="ECHRHeading2"/>
    <w:uiPriority w:val="42"/>
    <w:qFormat/>
    <w:rsid w:val="004214B5"/>
    <w:pPr>
      <w:ind w:left="635" w:hanging="357"/>
      <w:outlineLvl w:val="2"/>
    </w:pPr>
  </w:style>
  <w:style w:type="paragraph" w:customStyle="1" w:styleId="OpiHa0">
    <w:name w:val="Opi_H_a"/>
    <w:basedOn w:val="ECHRHeading3"/>
    <w:uiPriority w:val="43"/>
    <w:qFormat/>
    <w:rsid w:val="004214B5"/>
    <w:pPr>
      <w:ind w:left="833" w:hanging="357"/>
      <w:outlineLvl w:val="3"/>
    </w:pPr>
    <w:rPr>
      <w:b/>
      <w:i w:val="0"/>
      <w:sz w:val="20"/>
    </w:rPr>
  </w:style>
  <w:style w:type="paragraph" w:customStyle="1" w:styleId="OpiHi">
    <w:name w:val="Opi_H_i"/>
    <w:basedOn w:val="ECHRHeading4"/>
    <w:uiPriority w:val="44"/>
    <w:qFormat/>
    <w:rsid w:val="004214B5"/>
    <w:pPr>
      <w:ind w:left="1037" w:hanging="357"/>
      <w:outlineLvl w:val="4"/>
    </w:pPr>
    <w:rPr>
      <w:b w:val="0"/>
      <w:i/>
    </w:rPr>
  </w:style>
  <w:style w:type="table" w:customStyle="1" w:styleId="ECHRListTable">
    <w:name w:val="ECHR_List_Table"/>
    <w:basedOn w:val="TableNormal"/>
    <w:uiPriority w:val="99"/>
    <w:rsid w:val="004214B5"/>
    <w:rPr>
      <w:lang w:val="en-US" w:eastAsia="en-US"/>
    </w:rPr>
    <w:tblPr>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b/>
        <w:color w:val="474747" w:themeColor="accent3" w:themeShade="BF"/>
      </w:rPr>
      <w:tblPr/>
      <w:trPr>
        <w:tblHeader/>
      </w:tr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shd w:val="clear" w:color="auto" w:fill="DFDFDF" w:themeFill="background2" w:themeFillShade="E6"/>
      </w:tcPr>
    </w:tblStylePr>
  </w:style>
  <w:style w:type="character" w:customStyle="1" w:styleId="JuParaCar">
    <w:name w:val="Ju_Para Car"/>
    <w:uiPriority w:val="12"/>
    <w:rsid w:val="0021683A"/>
    <w:rPr>
      <w:rFonts w:eastAsiaTheme="minorEastAsia"/>
      <w:sz w:val="24"/>
    </w:rPr>
  </w:style>
  <w:style w:type="character" w:customStyle="1" w:styleId="s6b621b36">
    <w:name w:val="s6b621b36"/>
    <w:basedOn w:val="DefaultParagraphFont"/>
    <w:rsid w:val="00E81C2C"/>
  </w:style>
  <w:style w:type="paragraph" w:customStyle="1" w:styleId="s30eec3f8">
    <w:name w:val="s30eec3f8"/>
    <w:basedOn w:val="Normal"/>
    <w:rsid w:val="00E9729B"/>
    <w:pPr>
      <w:spacing w:before="100" w:beforeAutospacing="1" w:after="100" w:afterAutospacing="1"/>
      <w:jc w:val="left"/>
    </w:pPr>
    <w:rPr>
      <w:rFonts w:ascii="Times New Roman" w:eastAsia="Times New Roman" w:hAnsi="Times New Roman" w:cs="Times New Roman"/>
      <w:szCs w:val="24"/>
    </w:rPr>
  </w:style>
  <w:style w:type="paragraph" w:customStyle="1" w:styleId="Default">
    <w:name w:val="Default"/>
    <w:rsid w:val="007B31F3"/>
    <w:pPr>
      <w:autoSpaceDE w:val="0"/>
      <w:autoSpaceDN w:val="0"/>
      <w:adjustRightInd w:val="0"/>
    </w:pPr>
    <w:rPr>
      <w:rFonts w:ascii="Times New Roman" w:hAnsi="Times New Roman" w:cs="Times New Roman"/>
      <w:color w:val="000000"/>
      <w:sz w:val="24"/>
      <w:szCs w:val="24"/>
      <w:lang w:val="en-US"/>
    </w:rPr>
  </w:style>
  <w:style w:type="paragraph" w:styleId="Revision">
    <w:name w:val="Revision"/>
    <w:hidden/>
    <w:uiPriority w:val="99"/>
    <w:semiHidden/>
    <w:rsid w:val="00177A7C"/>
    <w:rPr>
      <w:rFonts w:eastAsiaTheme="minorEastAsia"/>
      <w:sz w:val="24"/>
      <w:lang w:val="en-US" w:eastAsia="en-US"/>
    </w:rPr>
  </w:style>
  <w:style w:type="paragraph" w:customStyle="1" w:styleId="jupara">
    <w:name w:val="jupara"/>
    <w:basedOn w:val="Normal"/>
    <w:rsid w:val="008441C7"/>
    <w:pPr>
      <w:ind w:firstLine="284"/>
    </w:pPr>
    <w:rPr>
      <w:rFonts w:ascii="Times New Roman" w:eastAsia="Times New Roman" w:hAnsi="Times New Roman" w:cs="Times New Roman"/>
      <w:szCs w:val="24"/>
      <w:lang w:val="en-GB" w:eastAsia="en-GB"/>
    </w:rPr>
  </w:style>
  <w:style w:type="paragraph" w:customStyle="1" w:styleId="jucase0">
    <w:name w:val="jucase"/>
    <w:basedOn w:val="Normal"/>
    <w:rsid w:val="008441C7"/>
    <w:pPr>
      <w:ind w:firstLine="284"/>
    </w:pPr>
    <w:rPr>
      <w:rFonts w:ascii="Times New Roman" w:eastAsia="Times New Roman" w:hAnsi="Times New Roman" w:cs="Times New Roman"/>
      <w:b/>
      <w:bCs/>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971436">
      <w:bodyDiv w:val="1"/>
      <w:marLeft w:val="0"/>
      <w:marRight w:val="0"/>
      <w:marTop w:val="0"/>
      <w:marBottom w:val="0"/>
      <w:divBdr>
        <w:top w:val="none" w:sz="0" w:space="0" w:color="auto"/>
        <w:left w:val="none" w:sz="0" w:space="0" w:color="auto"/>
        <w:bottom w:val="none" w:sz="0" w:space="0" w:color="auto"/>
        <w:right w:val="none" w:sz="0" w:space="0" w:color="auto"/>
      </w:divBdr>
      <w:divsChild>
        <w:div w:id="2143648326">
          <w:marLeft w:val="0"/>
          <w:marRight w:val="0"/>
          <w:marTop w:val="0"/>
          <w:marBottom w:val="0"/>
          <w:divBdr>
            <w:top w:val="none" w:sz="0" w:space="0" w:color="auto"/>
            <w:left w:val="none" w:sz="0" w:space="0" w:color="auto"/>
            <w:bottom w:val="none" w:sz="0" w:space="0" w:color="auto"/>
            <w:right w:val="none" w:sz="0" w:space="0" w:color="auto"/>
          </w:divBdr>
          <w:divsChild>
            <w:div w:id="955673734">
              <w:marLeft w:val="0"/>
              <w:marRight w:val="0"/>
              <w:marTop w:val="0"/>
              <w:marBottom w:val="0"/>
              <w:divBdr>
                <w:top w:val="none" w:sz="0" w:space="0" w:color="auto"/>
                <w:left w:val="none" w:sz="0" w:space="0" w:color="auto"/>
                <w:bottom w:val="none" w:sz="0" w:space="0" w:color="auto"/>
                <w:right w:val="none" w:sz="0" w:space="0" w:color="auto"/>
              </w:divBdr>
              <w:divsChild>
                <w:div w:id="1394430706">
                  <w:marLeft w:val="0"/>
                  <w:marRight w:val="0"/>
                  <w:marTop w:val="0"/>
                  <w:marBottom w:val="0"/>
                  <w:divBdr>
                    <w:top w:val="none" w:sz="0" w:space="0" w:color="auto"/>
                    <w:left w:val="none" w:sz="0" w:space="0" w:color="auto"/>
                    <w:bottom w:val="none" w:sz="0" w:space="0" w:color="auto"/>
                    <w:right w:val="none" w:sz="0" w:space="0" w:color="auto"/>
                  </w:divBdr>
                  <w:divsChild>
                    <w:div w:id="1611620307">
                      <w:marLeft w:val="0"/>
                      <w:marRight w:val="0"/>
                      <w:marTop w:val="0"/>
                      <w:marBottom w:val="0"/>
                      <w:divBdr>
                        <w:top w:val="none" w:sz="0" w:space="0" w:color="auto"/>
                        <w:left w:val="none" w:sz="0" w:space="0" w:color="auto"/>
                        <w:bottom w:val="none" w:sz="0" w:space="0" w:color="auto"/>
                        <w:right w:val="none" w:sz="0" w:space="0" w:color="auto"/>
                      </w:divBdr>
                      <w:divsChild>
                        <w:div w:id="778140857">
                          <w:marLeft w:val="0"/>
                          <w:marRight w:val="0"/>
                          <w:marTop w:val="0"/>
                          <w:marBottom w:val="0"/>
                          <w:divBdr>
                            <w:top w:val="none" w:sz="0" w:space="0" w:color="auto"/>
                            <w:left w:val="none" w:sz="0" w:space="0" w:color="auto"/>
                            <w:bottom w:val="none" w:sz="0" w:space="0" w:color="auto"/>
                            <w:right w:val="none" w:sz="0" w:space="0" w:color="auto"/>
                          </w:divBdr>
                          <w:divsChild>
                            <w:div w:id="86764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422048">
      <w:bodyDiv w:val="1"/>
      <w:marLeft w:val="0"/>
      <w:marRight w:val="0"/>
      <w:marTop w:val="0"/>
      <w:marBottom w:val="0"/>
      <w:divBdr>
        <w:top w:val="none" w:sz="0" w:space="0" w:color="auto"/>
        <w:left w:val="none" w:sz="0" w:space="0" w:color="auto"/>
        <w:bottom w:val="none" w:sz="0" w:space="0" w:color="auto"/>
        <w:right w:val="none" w:sz="0" w:space="0" w:color="auto"/>
      </w:divBdr>
      <w:divsChild>
        <w:div w:id="932203305">
          <w:marLeft w:val="0"/>
          <w:marRight w:val="0"/>
          <w:marTop w:val="0"/>
          <w:marBottom w:val="0"/>
          <w:divBdr>
            <w:top w:val="none" w:sz="0" w:space="0" w:color="auto"/>
            <w:left w:val="none" w:sz="0" w:space="0" w:color="auto"/>
            <w:bottom w:val="none" w:sz="0" w:space="0" w:color="auto"/>
            <w:right w:val="none" w:sz="0" w:space="0" w:color="auto"/>
          </w:divBdr>
          <w:divsChild>
            <w:div w:id="1024938258">
              <w:marLeft w:val="0"/>
              <w:marRight w:val="0"/>
              <w:marTop w:val="0"/>
              <w:marBottom w:val="0"/>
              <w:divBdr>
                <w:top w:val="none" w:sz="0" w:space="0" w:color="auto"/>
                <w:left w:val="none" w:sz="0" w:space="0" w:color="auto"/>
                <w:bottom w:val="none" w:sz="0" w:space="0" w:color="auto"/>
                <w:right w:val="none" w:sz="0" w:space="0" w:color="auto"/>
              </w:divBdr>
              <w:divsChild>
                <w:div w:id="1480616702">
                  <w:marLeft w:val="0"/>
                  <w:marRight w:val="0"/>
                  <w:marTop w:val="0"/>
                  <w:marBottom w:val="0"/>
                  <w:divBdr>
                    <w:top w:val="none" w:sz="0" w:space="0" w:color="auto"/>
                    <w:left w:val="none" w:sz="0" w:space="0" w:color="auto"/>
                    <w:bottom w:val="none" w:sz="0" w:space="0" w:color="auto"/>
                    <w:right w:val="none" w:sz="0" w:space="0" w:color="auto"/>
                  </w:divBdr>
                  <w:divsChild>
                    <w:div w:id="722290135">
                      <w:marLeft w:val="0"/>
                      <w:marRight w:val="0"/>
                      <w:marTop w:val="0"/>
                      <w:marBottom w:val="0"/>
                      <w:divBdr>
                        <w:top w:val="none" w:sz="0" w:space="0" w:color="auto"/>
                        <w:left w:val="none" w:sz="0" w:space="0" w:color="auto"/>
                        <w:bottom w:val="none" w:sz="0" w:space="0" w:color="auto"/>
                        <w:right w:val="none" w:sz="0" w:space="0" w:color="auto"/>
                      </w:divBdr>
                      <w:divsChild>
                        <w:div w:id="1360350708">
                          <w:marLeft w:val="0"/>
                          <w:marRight w:val="0"/>
                          <w:marTop w:val="0"/>
                          <w:marBottom w:val="0"/>
                          <w:divBdr>
                            <w:top w:val="none" w:sz="0" w:space="0" w:color="auto"/>
                            <w:left w:val="none" w:sz="0" w:space="0" w:color="auto"/>
                            <w:bottom w:val="none" w:sz="0" w:space="0" w:color="auto"/>
                            <w:right w:val="none" w:sz="0" w:space="0" w:color="auto"/>
                          </w:divBdr>
                          <w:divsChild>
                            <w:div w:id="102224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1812309">
      <w:bodyDiv w:val="1"/>
      <w:marLeft w:val="0"/>
      <w:marRight w:val="0"/>
      <w:marTop w:val="0"/>
      <w:marBottom w:val="0"/>
      <w:divBdr>
        <w:top w:val="none" w:sz="0" w:space="0" w:color="auto"/>
        <w:left w:val="none" w:sz="0" w:space="0" w:color="auto"/>
        <w:bottom w:val="none" w:sz="0" w:space="0" w:color="auto"/>
        <w:right w:val="none" w:sz="0" w:space="0" w:color="auto"/>
      </w:divBdr>
      <w:divsChild>
        <w:div w:id="1895121898">
          <w:marLeft w:val="0"/>
          <w:marRight w:val="0"/>
          <w:marTop w:val="0"/>
          <w:marBottom w:val="0"/>
          <w:divBdr>
            <w:top w:val="none" w:sz="0" w:space="0" w:color="auto"/>
            <w:left w:val="none" w:sz="0" w:space="0" w:color="auto"/>
            <w:bottom w:val="none" w:sz="0" w:space="0" w:color="auto"/>
            <w:right w:val="none" w:sz="0" w:space="0" w:color="auto"/>
          </w:divBdr>
          <w:divsChild>
            <w:div w:id="1698695398">
              <w:marLeft w:val="0"/>
              <w:marRight w:val="0"/>
              <w:marTop w:val="0"/>
              <w:marBottom w:val="0"/>
              <w:divBdr>
                <w:top w:val="none" w:sz="0" w:space="0" w:color="auto"/>
                <w:left w:val="none" w:sz="0" w:space="0" w:color="auto"/>
                <w:bottom w:val="none" w:sz="0" w:space="0" w:color="auto"/>
                <w:right w:val="none" w:sz="0" w:space="0" w:color="auto"/>
              </w:divBdr>
              <w:divsChild>
                <w:div w:id="217519465">
                  <w:marLeft w:val="0"/>
                  <w:marRight w:val="0"/>
                  <w:marTop w:val="0"/>
                  <w:marBottom w:val="0"/>
                  <w:divBdr>
                    <w:top w:val="none" w:sz="0" w:space="0" w:color="auto"/>
                    <w:left w:val="none" w:sz="0" w:space="0" w:color="auto"/>
                    <w:bottom w:val="none" w:sz="0" w:space="0" w:color="auto"/>
                    <w:right w:val="none" w:sz="0" w:space="0" w:color="auto"/>
                  </w:divBdr>
                  <w:divsChild>
                    <w:div w:id="337465693">
                      <w:marLeft w:val="0"/>
                      <w:marRight w:val="0"/>
                      <w:marTop w:val="0"/>
                      <w:marBottom w:val="0"/>
                      <w:divBdr>
                        <w:top w:val="none" w:sz="0" w:space="0" w:color="auto"/>
                        <w:left w:val="none" w:sz="0" w:space="0" w:color="auto"/>
                        <w:bottom w:val="none" w:sz="0" w:space="0" w:color="auto"/>
                        <w:right w:val="none" w:sz="0" w:space="0" w:color="auto"/>
                      </w:divBdr>
                      <w:divsChild>
                        <w:div w:id="1305038801">
                          <w:marLeft w:val="0"/>
                          <w:marRight w:val="0"/>
                          <w:marTop w:val="0"/>
                          <w:marBottom w:val="0"/>
                          <w:divBdr>
                            <w:top w:val="none" w:sz="0" w:space="0" w:color="auto"/>
                            <w:left w:val="none" w:sz="0" w:space="0" w:color="auto"/>
                            <w:bottom w:val="none" w:sz="0" w:space="0" w:color="auto"/>
                            <w:right w:val="none" w:sz="0" w:space="0" w:color="auto"/>
                          </w:divBdr>
                          <w:divsChild>
                            <w:div w:id="158618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6202965">
      <w:bodyDiv w:val="1"/>
      <w:marLeft w:val="0"/>
      <w:marRight w:val="0"/>
      <w:marTop w:val="0"/>
      <w:marBottom w:val="0"/>
      <w:divBdr>
        <w:top w:val="none" w:sz="0" w:space="0" w:color="auto"/>
        <w:left w:val="none" w:sz="0" w:space="0" w:color="auto"/>
        <w:bottom w:val="none" w:sz="0" w:space="0" w:color="auto"/>
        <w:right w:val="none" w:sz="0" w:space="0" w:color="auto"/>
      </w:divBdr>
      <w:divsChild>
        <w:div w:id="1556311295">
          <w:marLeft w:val="0"/>
          <w:marRight w:val="0"/>
          <w:marTop w:val="0"/>
          <w:marBottom w:val="0"/>
          <w:divBdr>
            <w:top w:val="none" w:sz="0" w:space="0" w:color="auto"/>
            <w:left w:val="none" w:sz="0" w:space="0" w:color="auto"/>
            <w:bottom w:val="none" w:sz="0" w:space="0" w:color="auto"/>
            <w:right w:val="none" w:sz="0" w:space="0" w:color="auto"/>
          </w:divBdr>
          <w:divsChild>
            <w:div w:id="12418646">
              <w:marLeft w:val="0"/>
              <w:marRight w:val="0"/>
              <w:marTop w:val="0"/>
              <w:marBottom w:val="0"/>
              <w:divBdr>
                <w:top w:val="none" w:sz="0" w:space="0" w:color="auto"/>
                <w:left w:val="none" w:sz="0" w:space="0" w:color="auto"/>
                <w:bottom w:val="none" w:sz="0" w:space="0" w:color="auto"/>
                <w:right w:val="none" w:sz="0" w:space="0" w:color="auto"/>
              </w:divBdr>
              <w:divsChild>
                <w:div w:id="967587637">
                  <w:marLeft w:val="0"/>
                  <w:marRight w:val="0"/>
                  <w:marTop w:val="0"/>
                  <w:marBottom w:val="0"/>
                  <w:divBdr>
                    <w:top w:val="none" w:sz="0" w:space="0" w:color="auto"/>
                    <w:left w:val="none" w:sz="0" w:space="0" w:color="auto"/>
                    <w:bottom w:val="none" w:sz="0" w:space="0" w:color="auto"/>
                    <w:right w:val="none" w:sz="0" w:space="0" w:color="auto"/>
                  </w:divBdr>
                  <w:divsChild>
                    <w:div w:id="1370956607">
                      <w:marLeft w:val="0"/>
                      <w:marRight w:val="0"/>
                      <w:marTop w:val="0"/>
                      <w:marBottom w:val="0"/>
                      <w:divBdr>
                        <w:top w:val="none" w:sz="0" w:space="0" w:color="auto"/>
                        <w:left w:val="none" w:sz="0" w:space="0" w:color="auto"/>
                        <w:bottom w:val="none" w:sz="0" w:space="0" w:color="auto"/>
                        <w:right w:val="none" w:sz="0" w:space="0" w:color="auto"/>
                      </w:divBdr>
                      <w:divsChild>
                        <w:div w:id="1940945767">
                          <w:marLeft w:val="0"/>
                          <w:marRight w:val="0"/>
                          <w:marTop w:val="0"/>
                          <w:marBottom w:val="0"/>
                          <w:divBdr>
                            <w:top w:val="none" w:sz="0" w:space="0" w:color="auto"/>
                            <w:left w:val="none" w:sz="0" w:space="0" w:color="auto"/>
                            <w:bottom w:val="none" w:sz="0" w:space="0" w:color="auto"/>
                            <w:right w:val="none" w:sz="0" w:space="0" w:color="auto"/>
                          </w:divBdr>
                          <w:divsChild>
                            <w:div w:id="126939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9670859">
      <w:bodyDiv w:val="1"/>
      <w:marLeft w:val="0"/>
      <w:marRight w:val="0"/>
      <w:marTop w:val="0"/>
      <w:marBottom w:val="0"/>
      <w:divBdr>
        <w:top w:val="none" w:sz="0" w:space="0" w:color="auto"/>
        <w:left w:val="none" w:sz="0" w:space="0" w:color="auto"/>
        <w:bottom w:val="none" w:sz="0" w:space="0" w:color="auto"/>
        <w:right w:val="none" w:sz="0" w:space="0" w:color="auto"/>
      </w:divBdr>
    </w:div>
    <w:div w:id="319578259">
      <w:bodyDiv w:val="1"/>
      <w:marLeft w:val="0"/>
      <w:marRight w:val="0"/>
      <w:marTop w:val="0"/>
      <w:marBottom w:val="0"/>
      <w:divBdr>
        <w:top w:val="none" w:sz="0" w:space="0" w:color="auto"/>
        <w:left w:val="none" w:sz="0" w:space="0" w:color="auto"/>
        <w:bottom w:val="none" w:sz="0" w:space="0" w:color="auto"/>
        <w:right w:val="none" w:sz="0" w:space="0" w:color="auto"/>
      </w:divBdr>
      <w:divsChild>
        <w:div w:id="14044833">
          <w:marLeft w:val="0"/>
          <w:marRight w:val="0"/>
          <w:marTop w:val="0"/>
          <w:marBottom w:val="0"/>
          <w:divBdr>
            <w:top w:val="none" w:sz="0" w:space="0" w:color="auto"/>
            <w:left w:val="none" w:sz="0" w:space="0" w:color="auto"/>
            <w:bottom w:val="none" w:sz="0" w:space="0" w:color="auto"/>
            <w:right w:val="none" w:sz="0" w:space="0" w:color="auto"/>
          </w:divBdr>
          <w:divsChild>
            <w:div w:id="2047246015">
              <w:marLeft w:val="0"/>
              <w:marRight w:val="0"/>
              <w:marTop w:val="0"/>
              <w:marBottom w:val="0"/>
              <w:divBdr>
                <w:top w:val="none" w:sz="0" w:space="0" w:color="auto"/>
                <w:left w:val="none" w:sz="0" w:space="0" w:color="auto"/>
                <w:bottom w:val="none" w:sz="0" w:space="0" w:color="auto"/>
                <w:right w:val="none" w:sz="0" w:space="0" w:color="auto"/>
              </w:divBdr>
              <w:divsChild>
                <w:div w:id="2036271488">
                  <w:marLeft w:val="0"/>
                  <w:marRight w:val="0"/>
                  <w:marTop w:val="0"/>
                  <w:marBottom w:val="0"/>
                  <w:divBdr>
                    <w:top w:val="none" w:sz="0" w:space="0" w:color="auto"/>
                    <w:left w:val="none" w:sz="0" w:space="0" w:color="auto"/>
                    <w:bottom w:val="none" w:sz="0" w:space="0" w:color="auto"/>
                    <w:right w:val="none" w:sz="0" w:space="0" w:color="auto"/>
                  </w:divBdr>
                  <w:divsChild>
                    <w:div w:id="275914427">
                      <w:marLeft w:val="0"/>
                      <w:marRight w:val="0"/>
                      <w:marTop w:val="0"/>
                      <w:marBottom w:val="0"/>
                      <w:divBdr>
                        <w:top w:val="none" w:sz="0" w:space="0" w:color="auto"/>
                        <w:left w:val="none" w:sz="0" w:space="0" w:color="auto"/>
                        <w:bottom w:val="none" w:sz="0" w:space="0" w:color="auto"/>
                        <w:right w:val="none" w:sz="0" w:space="0" w:color="auto"/>
                      </w:divBdr>
                      <w:divsChild>
                        <w:div w:id="1748648104">
                          <w:marLeft w:val="0"/>
                          <w:marRight w:val="0"/>
                          <w:marTop w:val="0"/>
                          <w:marBottom w:val="0"/>
                          <w:divBdr>
                            <w:top w:val="none" w:sz="0" w:space="0" w:color="auto"/>
                            <w:left w:val="none" w:sz="0" w:space="0" w:color="auto"/>
                            <w:bottom w:val="none" w:sz="0" w:space="0" w:color="auto"/>
                            <w:right w:val="none" w:sz="0" w:space="0" w:color="auto"/>
                          </w:divBdr>
                          <w:divsChild>
                            <w:div w:id="200003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2999323">
      <w:bodyDiv w:val="1"/>
      <w:marLeft w:val="0"/>
      <w:marRight w:val="0"/>
      <w:marTop w:val="0"/>
      <w:marBottom w:val="0"/>
      <w:divBdr>
        <w:top w:val="none" w:sz="0" w:space="0" w:color="auto"/>
        <w:left w:val="none" w:sz="0" w:space="0" w:color="auto"/>
        <w:bottom w:val="none" w:sz="0" w:space="0" w:color="auto"/>
        <w:right w:val="none" w:sz="0" w:space="0" w:color="auto"/>
      </w:divBdr>
      <w:divsChild>
        <w:div w:id="6907481">
          <w:marLeft w:val="0"/>
          <w:marRight w:val="0"/>
          <w:marTop w:val="0"/>
          <w:marBottom w:val="0"/>
          <w:divBdr>
            <w:top w:val="none" w:sz="0" w:space="0" w:color="auto"/>
            <w:left w:val="none" w:sz="0" w:space="0" w:color="auto"/>
            <w:bottom w:val="none" w:sz="0" w:space="0" w:color="auto"/>
            <w:right w:val="none" w:sz="0" w:space="0" w:color="auto"/>
          </w:divBdr>
          <w:divsChild>
            <w:div w:id="245651822">
              <w:marLeft w:val="0"/>
              <w:marRight w:val="0"/>
              <w:marTop w:val="0"/>
              <w:marBottom w:val="0"/>
              <w:divBdr>
                <w:top w:val="none" w:sz="0" w:space="0" w:color="auto"/>
                <w:left w:val="none" w:sz="0" w:space="0" w:color="auto"/>
                <w:bottom w:val="none" w:sz="0" w:space="0" w:color="auto"/>
                <w:right w:val="none" w:sz="0" w:space="0" w:color="auto"/>
              </w:divBdr>
              <w:divsChild>
                <w:div w:id="890775338">
                  <w:marLeft w:val="0"/>
                  <w:marRight w:val="0"/>
                  <w:marTop w:val="0"/>
                  <w:marBottom w:val="0"/>
                  <w:divBdr>
                    <w:top w:val="none" w:sz="0" w:space="0" w:color="auto"/>
                    <w:left w:val="none" w:sz="0" w:space="0" w:color="auto"/>
                    <w:bottom w:val="none" w:sz="0" w:space="0" w:color="auto"/>
                    <w:right w:val="none" w:sz="0" w:space="0" w:color="auto"/>
                  </w:divBdr>
                  <w:divsChild>
                    <w:div w:id="1721900966">
                      <w:marLeft w:val="0"/>
                      <w:marRight w:val="0"/>
                      <w:marTop w:val="0"/>
                      <w:marBottom w:val="0"/>
                      <w:divBdr>
                        <w:top w:val="none" w:sz="0" w:space="0" w:color="auto"/>
                        <w:left w:val="none" w:sz="0" w:space="0" w:color="auto"/>
                        <w:bottom w:val="none" w:sz="0" w:space="0" w:color="auto"/>
                        <w:right w:val="none" w:sz="0" w:space="0" w:color="auto"/>
                      </w:divBdr>
                      <w:divsChild>
                        <w:div w:id="601570738">
                          <w:marLeft w:val="0"/>
                          <w:marRight w:val="0"/>
                          <w:marTop w:val="0"/>
                          <w:marBottom w:val="0"/>
                          <w:divBdr>
                            <w:top w:val="none" w:sz="0" w:space="0" w:color="auto"/>
                            <w:left w:val="none" w:sz="0" w:space="0" w:color="auto"/>
                            <w:bottom w:val="none" w:sz="0" w:space="0" w:color="auto"/>
                            <w:right w:val="none" w:sz="0" w:space="0" w:color="auto"/>
                          </w:divBdr>
                          <w:divsChild>
                            <w:div w:id="134481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7851601">
      <w:bodyDiv w:val="1"/>
      <w:marLeft w:val="0"/>
      <w:marRight w:val="0"/>
      <w:marTop w:val="0"/>
      <w:marBottom w:val="0"/>
      <w:divBdr>
        <w:top w:val="none" w:sz="0" w:space="0" w:color="auto"/>
        <w:left w:val="none" w:sz="0" w:space="0" w:color="auto"/>
        <w:bottom w:val="none" w:sz="0" w:space="0" w:color="auto"/>
        <w:right w:val="none" w:sz="0" w:space="0" w:color="auto"/>
      </w:divBdr>
    </w:div>
    <w:div w:id="429012153">
      <w:bodyDiv w:val="1"/>
      <w:marLeft w:val="0"/>
      <w:marRight w:val="0"/>
      <w:marTop w:val="0"/>
      <w:marBottom w:val="0"/>
      <w:divBdr>
        <w:top w:val="none" w:sz="0" w:space="0" w:color="auto"/>
        <w:left w:val="none" w:sz="0" w:space="0" w:color="auto"/>
        <w:bottom w:val="none" w:sz="0" w:space="0" w:color="auto"/>
        <w:right w:val="none" w:sz="0" w:space="0" w:color="auto"/>
      </w:divBdr>
      <w:divsChild>
        <w:div w:id="169373875">
          <w:marLeft w:val="0"/>
          <w:marRight w:val="0"/>
          <w:marTop w:val="0"/>
          <w:marBottom w:val="0"/>
          <w:divBdr>
            <w:top w:val="none" w:sz="0" w:space="0" w:color="auto"/>
            <w:left w:val="none" w:sz="0" w:space="0" w:color="auto"/>
            <w:bottom w:val="none" w:sz="0" w:space="0" w:color="auto"/>
            <w:right w:val="none" w:sz="0" w:space="0" w:color="auto"/>
          </w:divBdr>
          <w:divsChild>
            <w:div w:id="1507672676">
              <w:marLeft w:val="0"/>
              <w:marRight w:val="0"/>
              <w:marTop w:val="0"/>
              <w:marBottom w:val="0"/>
              <w:divBdr>
                <w:top w:val="none" w:sz="0" w:space="0" w:color="auto"/>
                <w:left w:val="none" w:sz="0" w:space="0" w:color="auto"/>
                <w:bottom w:val="none" w:sz="0" w:space="0" w:color="auto"/>
                <w:right w:val="none" w:sz="0" w:space="0" w:color="auto"/>
              </w:divBdr>
              <w:divsChild>
                <w:div w:id="589387724">
                  <w:marLeft w:val="0"/>
                  <w:marRight w:val="0"/>
                  <w:marTop w:val="0"/>
                  <w:marBottom w:val="0"/>
                  <w:divBdr>
                    <w:top w:val="none" w:sz="0" w:space="0" w:color="auto"/>
                    <w:left w:val="none" w:sz="0" w:space="0" w:color="auto"/>
                    <w:bottom w:val="none" w:sz="0" w:space="0" w:color="auto"/>
                    <w:right w:val="none" w:sz="0" w:space="0" w:color="auto"/>
                  </w:divBdr>
                  <w:divsChild>
                    <w:div w:id="1217081121">
                      <w:marLeft w:val="0"/>
                      <w:marRight w:val="0"/>
                      <w:marTop w:val="0"/>
                      <w:marBottom w:val="0"/>
                      <w:divBdr>
                        <w:top w:val="none" w:sz="0" w:space="0" w:color="auto"/>
                        <w:left w:val="none" w:sz="0" w:space="0" w:color="auto"/>
                        <w:bottom w:val="none" w:sz="0" w:space="0" w:color="auto"/>
                        <w:right w:val="none" w:sz="0" w:space="0" w:color="auto"/>
                      </w:divBdr>
                      <w:divsChild>
                        <w:div w:id="105660436">
                          <w:marLeft w:val="0"/>
                          <w:marRight w:val="0"/>
                          <w:marTop w:val="0"/>
                          <w:marBottom w:val="0"/>
                          <w:divBdr>
                            <w:top w:val="none" w:sz="0" w:space="0" w:color="auto"/>
                            <w:left w:val="none" w:sz="0" w:space="0" w:color="auto"/>
                            <w:bottom w:val="none" w:sz="0" w:space="0" w:color="auto"/>
                            <w:right w:val="none" w:sz="0" w:space="0" w:color="auto"/>
                          </w:divBdr>
                          <w:divsChild>
                            <w:div w:id="39551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7358458">
      <w:bodyDiv w:val="1"/>
      <w:marLeft w:val="0"/>
      <w:marRight w:val="0"/>
      <w:marTop w:val="0"/>
      <w:marBottom w:val="0"/>
      <w:divBdr>
        <w:top w:val="none" w:sz="0" w:space="0" w:color="auto"/>
        <w:left w:val="none" w:sz="0" w:space="0" w:color="auto"/>
        <w:bottom w:val="none" w:sz="0" w:space="0" w:color="auto"/>
        <w:right w:val="none" w:sz="0" w:space="0" w:color="auto"/>
      </w:divBdr>
      <w:divsChild>
        <w:div w:id="1870364495">
          <w:marLeft w:val="0"/>
          <w:marRight w:val="0"/>
          <w:marTop w:val="0"/>
          <w:marBottom w:val="0"/>
          <w:divBdr>
            <w:top w:val="none" w:sz="0" w:space="0" w:color="auto"/>
            <w:left w:val="none" w:sz="0" w:space="0" w:color="auto"/>
            <w:bottom w:val="none" w:sz="0" w:space="0" w:color="auto"/>
            <w:right w:val="none" w:sz="0" w:space="0" w:color="auto"/>
          </w:divBdr>
          <w:divsChild>
            <w:div w:id="732892667">
              <w:marLeft w:val="0"/>
              <w:marRight w:val="0"/>
              <w:marTop w:val="0"/>
              <w:marBottom w:val="0"/>
              <w:divBdr>
                <w:top w:val="none" w:sz="0" w:space="0" w:color="auto"/>
                <w:left w:val="none" w:sz="0" w:space="0" w:color="auto"/>
                <w:bottom w:val="none" w:sz="0" w:space="0" w:color="auto"/>
                <w:right w:val="none" w:sz="0" w:space="0" w:color="auto"/>
              </w:divBdr>
              <w:divsChild>
                <w:div w:id="1404526273">
                  <w:marLeft w:val="0"/>
                  <w:marRight w:val="0"/>
                  <w:marTop w:val="0"/>
                  <w:marBottom w:val="0"/>
                  <w:divBdr>
                    <w:top w:val="none" w:sz="0" w:space="0" w:color="auto"/>
                    <w:left w:val="none" w:sz="0" w:space="0" w:color="auto"/>
                    <w:bottom w:val="none" w:sz="0" w:space="0" w:color="auto"/>
                    <w:right w:val="none" w:sz="0" w:space="0" w:color="auto"/>
                  </w:divBdr>
                  <w:divsChild>
                    <w:div w:id="436994267">
                      <w:marLeft w:val="0"/>
                      <w:marRight w:val="0"/>
                      <w:marTop w:val="0"/>
                      <w:marBottom w:val="0"/>
                      <w:divBdr>
                        <w:top w:val="none" w:sz="0" w:space="0" w:color="auto"/>
                        <w:left w:val="none" w:sz="0" w:space="0" w:color="auto"/>
                        <w:bottom w:val="none" w:sz="0" w:space="0" w:color="auto"/>
                        <w:right w:val="none" w:sz="0" w:space="0" w:color="auto"/>
                      </w:divBdr>
                      <w:divsChild>
                        <w:div w:id="1865745963">
                          <w:marLeft w:val="0"/>
                          <w:marRight w:val="0"/>
                          <w:marTop w:val="0"/>
                          <w:marBottom w:val="0"/>
                          <w:divBdr>
                            <w:top w:val="none" w:sz="0" w:space="0" w:color="auto"/>
                            <w:left w:val="none" w:sz="0" w:space="0" w:color="auto"/>
                            <w:bottom w:val="none" w:sz="0" w:space="0" w:color="auto"/>
                            <w:right w:val="none" w:sz="0" w:space="0" w:color="auto"/>
                          </w:divBdr>
                          <w:divsChild>
                            <w:div w:id="189118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1606031">
      <w:bodyDiv w:val="1"/>
      <w:marLeft w:val="0"/>
      <w:marRight w:val="0"/>
      <w:marTop w:val="0"/>
      <w:marBottom w:val="0"/>
      <w:divBdr>
        <w:top w:val="none" w:sz="0" w:space="0" w:color="auto"/>
        <w:left w:val="none" w:sz="0" w:space="0" w:color="auto"/>
        <w:bottom w:val="none" w:sz="0" w:space="0" w:color="auto"/>
        <w:right w:val="none" w:sz="0" w:space="0" w:color="auto"/>
      </w:divBdr>
      <w:divsChild>
        <w:div w:id="1929727135">
          <w:marLeft w:val="0"/>
          <w:marRight w:val="0"/>
          <w:marTop w:val="0"/>
          <w:marBottom w:val="0"/>
          <w:divBdr>
            <w:top w:val="none" w:sz="0" w:space="0" w:color="auto"/>
            <w:left w:val="none" w:sz="0" w:space="0" w:color="auto"/>
            <w:bottom w:val="none" w:sz="0" w:space="0" w:color="auto"/>
            <w:right w:val="none" w:sz="0" w:space="0" w:color="auto"/>
          </w:divBdr>
          <w:divsChild>
            <w:div w:id="1945258786">
              <w:marLeft w:val="0"/>
              <w:marRight w:val="0"/>
              <w:marTop w:val="0"/>
              <w:marBottom w:val="0"/>
              <w:divBdr>
                <w:top w:val="none" w:sz="0" w:space="0" w:color="auto"/>
                <w:left w:val="none" w:sz="0" w:space="0" w:color="auto"/>
                <w:bottom w:val="none" w:sz="0" w:space="0" w:color="auto"/>
                <w:right w:val="none" w:sz="0" w:space="0" w:color="auto"/>
              </w:divBdr>
              <w:divsChild>
                <w:div w:id="341205235">
                  <w:marLeft w:val="0"/>
                  <w:marRight w:val="0"/>
                  <w:marTop w:val="0"/>
                  <w:marBottom w:val="0"/>
                  <w:divBdr>
                    <w:top w:val="none" w:sz="0" w:space="0" w:color="auto"/>
                    <w:left w:val="none" w:sz="0" w:space="0" w:color="auto"/>
                    <w:bottom w:val="none" w:sz="0" w:space="0" w:color="auto"/>
                    <w:right w:val="none" w:sz="0" w:space="0" w:color="auto"/>
                  </w:divBdr>
                  <w:divsChild>
                    <w:div w:id="1833376457">
                      <w:marLeft w:val="0"/>
                      <w:marRight w:val="0"/>
                      <w:marTop w:val="0"/>
                      <w:marBottom w:val="0"/>
                      <w:divBdr>
                        <w:top w:val="none" w:sz="0" w:space="0" w:color="auto"/>
                        <w:left w:val="none" w:sz="0" w:space="0" w:color="auto"/>
                        <w:bottom w:val="none" w:sz="0" w:space="0" w:color="auto"/>
                        <w:right w:val="none" w:sz="0" w:space="0" w:color="auto"/>
                      </w:divBdr>
                      <w:divsChild>
                        <w:div w:id="1191408771">
                          <w:marLeft w:val="0"/>
                          <w:marRight w:val="0"/>
                          <w:marTop w:val="0"/>
                          <w:marBottom w:val="0"/>
                          <w:divBdr>
                            <w:top w:val="none" w:sz="0" w:space="0" w:color="auto"/>
                            <w:left w:val="none" w:sz="0" w:space="0" w:color="auto"/>
                            <w:bottom w:val="none" w:sz="0" w:space="0" w:color="auto"/>
                            <w:right w:val="none" w:sz="0" w:space="0" w:color="auto"/>
                          </w:divBdr>
                          <w:divsChild>
                            <w:div w:id="152574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9072365">
      <w:bodyDiv w:val="1"/>
      <w:marLeft w:val="0"/>
      <w:marRight w:val="0"/>
      <w:marTop w:val="0"/>
      <w:marBottom w:val="0"/>
      <w:divBdr>
        <w:top w:val="none" w:sz="0" w:space="0" w:color="auto"/>
        <w:left w:val="none" w:sz="0" w:space="0" w:color="auto"/>
        <w:bottom w:val="none" w:sz="0" w:space="0" w:color="auto"/>
        <w:right w:val="none" w:sz="0" w:space="0" w:color="auto"/>
      </w:divBdr>
    </w:div>
    <w:div w:id="623270018">
      <w:bodyDiv w:val="1"/>
      <w:marLeft w:val="0"/>
      <w:marRight w:val="0"/>
      <w:marTop w:val="0"/>
      <w:marBottom w:val="0"/>
      <w:divBdr>
        <w:top w:val="none" w:sz="0" w:space="0" w:color="auto"/>
        <w:left w:val="none" w:sz="0" w:space="0" w:color="auto"/>
        <w:bottom w:val="none" w:sz="0" w:space="0" w:color="auto"/>
        <w:right w:val="none" w:sz="0" w:space="0" w:color="auto"/>
      </w:divBdr>
    </w:div>
    <w:div w:id="638657639">
      <w:bodyDiv w:val="1"/>
      <w:marLeft w:val="0"/>
      <w:marRight w:val="0"/>
      <w:marTop w:val="0"/>
      <w:marBottom w:val="0"/>
      <w:divBdr>
        <w:top w:val="none" w:sz="0" w:space="0" w:color="auto"/>
        <w:left w:val="none" w:sz="0" w:space="0" w:color="auto"/>
        <w:bottom w:val="none" w:sz="0" w:space="0" w:color="auto"/>
        <w:right w:val="none" w:sz="0" w:space="0" w:color="auto"/>
      </w:divBdr>
      <w:divsChild>
        <w:div w:id="2097356626">
          <w:marLeft w:val="0"/>
          <w:marRight w:val="0"/>
          <w:marTop w:val="0"/>
          <w:marBottom w:val="0"/>
          <w:divBdr>
            <w:top w:val="none" w:sz="0" w:space="0" w:color="auto"/>
            <w:left w:val="none" w:sz="0" w:space="0" w:color="auto"/>
            <w:bottom w:val="none" w:sz="0" w:space="0" w:color="auto"/>
            <w:right w:val="none" w:sz="0" w:space="0" w:color="auto"/>
          </w:divBdr>
          <w:divsChild>
            <w:div w:id="1587686913">
              <w:marLeft w:val="0"/>
              <w:marRight w:val="0"/>
              <w:marTop w:val="0"/>
              <w:marBottom w:val="0"/>
              <w:divBdr>
                <w:top w:val="none" w:sz="0" w:space="0" w:color="auto"/>
                <w:left w:val="none" w:sz="0" w:space="0" w:color="auto"/>
                <w:bottom w:val="none" w:sz="0" w:space="0" w:color="auto"/>
                <w:right w:val="none" w:sz="0" w:space="0" w:color="auto"/>
              </w:divBdr>
              <w:divsChild>
                <w:div w:id="512426350">
                  <w:marLeft w:val="0"/>
                  <w:marRight w:val="0"/>
                  <w:marTop w:val="0"/>
                  <w:marBottom w:val="0"/>
                  <w:divBdr>
                    <w:top w:val="none" w:sz="0" w:space="0" w:color="auto"/>
                    <w:left w:val="none" w:sz="0" w:space="0" w:color="auto"/>
                    <w:bottom w:val="none" w:sz="0" w:space="0" w:color="auto"/>
                    <w:right w:val="none" w:sz="0" w:space="0" w:color="auto"/>
                  </w:divBdr>
                  <w:divsChild>
                    <w:div w:id="74792001">
                      <w:marLeft w:val="0"/>
                      <w:marRight w:val="0"/>
                      <w:marTop w:val="0"/>
                      <w:marBottom w:val="750"/>
                      <w:divBdr>
                        <w:top w:val="none" w:sz="0" w:space="0" w:color="auto"/>
                        <w:left w:val="none" w:sz="0" w:space="0" w:color="auto"/>
                        <w:bottom w:val="none" w:sz="0" w:space="0" w:color="auto"/>
                        <w:right w:val="none" w:sz="0" w:space="0" w:color="auto"/>
                      </w:divBdr>
                      <w:divsChild>
                        <w:div w:id="100127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0396938">
      <w:bodyDiv w:val="1"/>
      <w:marLeft w:val="0"/>
      <w:marRight w:val="0"/>
      <w:marTop w:val="0"/>
      <w:marBottom w:val="0"/>
      <w:divBdr>
        <w:top w:val="none" w:sz="0" w:space="0" w:color="auto"/>
        <w:left w:val="none" w:sz="0" w:space="0" w:color="auto"/>
        <w:bottom w:val="none" w:sz="0" w:space="0" w:color="auto"/>
        <w:right w:val="none" w:sz="0" w:space="0" w:color="auto"/>
      </w:divBdr>
      <w:divsChild>
        <w:div w:id="1796168888">
          <w:marLeft w:val="0"/>
          <w:marRight w:val="0"/>
          <w:marTop w:val="0"/>
          <w:marBottom w:val="0"/>
          <w:divBdr>
            <w:top w:val="none" w:sz="0" w:space="0" w:color="auto"/>
            <w:left w:val="none" w:sz="0" w:space="0" w:color="auto"/>
            <w:bottom w:val="none" w:sz="0" w:space="0" w:color="auto"/>
            <w:right w:val="none" w:sz="0" w:space="0" w:color="auto"/>
          </w:divBdr>
          <w:divsChild>
            <w:div w:id="498236230">
              <w:marLeft w:val="0"/>
              <w:marRight w:val="0"/>
              <w:marTop w:val="0"/>
              <w:marBottom w:val="0"/>
              <w:divBdr>
                <w:top w:val="none" w:sz="0" w:space="0" w:color="auto"/>
                <w:left w:val="none" w:sz="0" w:space="0" w:color="auto"/>
                <w:bottom w:val="none" w:sz="0" w:space="0" w:color="auto"/>
                <w:right w:val="none" w:sz="0" w:space="0" w:color="auto"/>
              </w:divBdr>
              <w:divsChild>
                <w:div w:id="1269697928">
                  <w:marLeft w:val="0"/>
                  <w:marRight w:val="0"/>
                  <w:marTop w:val="0"/>
                  <w:marBottom w:val="0"/>
                  <w:divBdr>
                    <w:top w:val="none" w:sz="0" w:space="0" w:color="auto"/>
                    <w:left w:val="none" w:sz="0" w:space="0" w:color="auto"/>
                    <w:bottom w:val="none" w:sz="0" w:space="0" w:color="auto"/>
                    <w:right w:val="none" w:sz="0" w:space="0" w:color="auto"/>
                  </w:divBdr>
                  <w:divsChild>
                    <w:div w:id="79668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5132300">
      <w:bodyDiv w:val="1"/>
      <w:marLeft w:val="0"/>
      <w:marRight w:val="0"/>
      <w:marTop w:val="0"/>
      <w:marBottom w:val="0"/>
      <w:divBdr>
        <w:top w:val="none" w:sz="0" w:space="0" w:color="auto"/>
        <w:left w:val="none" w:sz="0" w:space="0" w:color="auto"/>
        <w:bottom w:val="none" w:sz="0" w:space="0" w:color="auto"/>
        <w:right w:val="none" w:sz="0" w:space="0" w:color="auto"/>
      </w:divBdr>
      <w:divsChild>
        <w:div w:id="433787870">
          <w:marLeft w:val="0"/>
          <w:marRight w:val="0"/>
          <w:marTop w:val="0"/>
          <w:marBottom w:val="0"/>
          <w:divBdr>
            <w:top w:val="none" w:sz="0" w:space="0" w:color="auto"/>
            <w:left w:val="none" w:sz="0" w:space="0" w:color="auto"/>
            <w:bottom w:val="none" w:sz="0" w:space="0" w:color="auto"/>
            <w:right w:val="none" w:sz="0" w:space="0" w:color="auto"/>
          </w:divBdr>
          <w:divsChild>
            <w:div w:id="1260216634">
              <w:marLeft w:val="0"/>
              <w:marRight w:val="0"/>
              <w:marTop w:val="0"/>
              <w:marBottom w:val="0"/>
              <w:divBdr>
                <w:top w:val="none" w:sz="0" w:space="0" w:color="auto"/>
                <w:left w:val="none" w:sz="0" w:space="0" w:color="auto"/>
                <w:bottom w:val="none" w:sz="0" w:space="0" w:color="auto"/>
                <w:right w:val="none" w:sz="0" w:space="0" w:color="auto"/>
              </w:divBdr>
              <w:divsChild>
                <w:div w:id="496120644">
                  <w:marLeft w:val="0"/>
                  <w:marRight w:val="0"/>
                  <w:marTop w:val="0"/>
                  <w:marBottom w:val="0"/>
                  <w:divBdr>
                    <w:top w:val="none" w:sz="0" w:space="0" w:color="auto"/>
                    <w:left w:val="none" w:sz="0" w:space="0" w:color="auto"/>
                    <w:bottom w:val="none" w:sz="0" w:space="0" w:color="auto"/>
                    <w:right w:val="none" w:sz="0" w:space="0" w:color="auto"/>
                  </w:divBdr>
                  <w:divsChild>
                    <w:div w:id="450251345">
                      <w:marLeft w:val="0"/>
                      <w:marRight w:val="0"/>
                      <w:marTop w:val="0"/>
                      <w:marBottom w:val="0"/>
                      <w:divBdr>
                        <w:top w:val="none" w:sz="0" w:space="0" w:color="auto"/>
                        <w:left w:val="none" w:sz="0" w:space="0" w:color="auto"/>
                        <w:bottom w:val="none" w:sz="0" w:space="0" w:color="auto"/>
                        <w:right w:val="none" w:sz="0" w:space="0" w:color="auto"/>
                      </w:divBdr>
                      <w:divsChild>
                        <w:div w:id="848179421">
                          <w:marLeft w:val="0"/>
                          <w:marRight w:val="0"/>
                          <w:marTop w:val="0"/>
                          <w:marBottom w:val="0"/>
                          <w:divBdr>
                            <w:top w:val="none" w:sz="0" w:space="0" w:color="auto"/>
                            <w:left w:val="none" w:sz="0" w:space="0" w:color="auto"/>
                            <w:bottom w:val="none" w:sz="0" w:space="0" w:color="auto"/>
                            <w:right w:val="none" w:sz="0" w:space="0" w:color="auto"/>
                          </w:divBdr>
                          <w:divsChild>
                            <w:div w:id="51500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8432089">
      <w:bodyDiv w:val="1"/>
      <w:marLeft w:val="0"/>
      <w:marRight w:val="0"/>
      <w:marTop w:val="0"/>
      <w:marBottom w:val="0"/>
      <w:divBdr>
        <w:top w:val="none" w:sz="0" w:space="0" w:color="auto"/>
        <w:left w:val="none" w:sz="0" w:space="0" w:color="auto"/>
        <w:bottom w:val="none" w:sz="0" w:space="0" w:color="auto"/>
        <w:right w:val="none" w:sz="0" w:space="0" w:color="auto"/>
      </w:divBdr>
      <w:divsChild>
        <w:div w:id="1342053235">
          <w:marLeft w:val="0"/>
          <w:marRight w:val="0"/>
          <w:marTop w:val="0"/>
          <w:marBottom w:val="0"/>
          <w:divBdr>
            <w:top w:val="none" w:sz="0" w:space="0" w:color="auto"/>
            <w:left w:val="none" w:sz="0" w:space="0" w:color="auto"/>
            <w:bottom w:val="none" w:sz="0" w:space="0" w:color="auto"/>
            <w:right w:val="none" w:sz="0" w:space="0" w:color="auto"/>
          </w:divBdr>
          <w:divsChild>
            <w:div w:id="927420610">
              <w:marLeft w:val="0"/>
              <w:marRight w:val="0"/>
              <w:marTop w:val="0"/>
              <w:marBottom w:val="0"/>
              <w:divBdr>
                <w:top w:val="none" w:sz="0" w:space="0" w:color="auto"/>
                <w:left w:val="none" w:sz="0" w:space="0" w:color="auto"/>
                <w:bottom w:val="none" w:sz="0" w:space="0" w:color="auto"/>
                <w:right w:val="none" w:sz="0" w:space="0" w:color="auto"/>
              </w:divBdr>
              <w:divsChild>
                <w:div w:id="1285841421">
                  <w:marLeft w:val="0"/>
                  <w:marRight w:val="0"/>
                  <w:marTop w:val="0"/>
                  <w:marBottom w:val="0"/>
                  <w:divBdr>
                    <w:top w:val="none" w:sz="0" w:space="0" w:color="auto"/>
                    <w:left w:val="none" w:sz="0" w:space="0" w:color="auto"/>
                    <w:bottom w:val="none" w:sz="0" w:space="0" w:color="auto"/>
                    <w:right w:val="none" w:sz="0" w:space="0" w:color="auto"/>
                  </w:divBdr>
                  <w:divsChild>
                    <w:div w:id="833765833">
                      <w:marLeft w:val="0"/>
                      <w:marRight w:val="0"/>
                      <w:marTop w:val="0"/>
                      <w:marBottom w:val="0"/>
                      <w:divBdr>
                        <w:top w:val="none" w:sz="0" w:space="0" w:color="auto"/>
                        <w:left w:val="none" w:sz="0" w:space="0" w:color="auto"/>
                        <w:bottom w:val="none" w:sz="0" w:space="0" w:color="auto"/>
                        <w:right w:val="none" w:sz="0" w:space="0" w:color="auto"/>
                      </w:divBdr>
                      <w:divsChild>
                        <w:div w:id="654453584">
                          <w:marLeft w:val="0"/>
                          <w:marRight w:val="0"/>
                          <w:marTop w:val="0"/>
                          <w:marBottom w:val="0"/>
                          <w:divBdr>
                            <w:top w:val="none" w:sz="0" w:space="0" w:color="auto"/>
                            <w:left w:val="none" w:sz="0" w:space="0" w:color="auto"/>
                            <w:bottom w:val="none" w:sz="0" w:space="0" w:color="auto"/>
                            <w:right w:val="none" w:sz="0" w:space="0" w:color="auto"/>
                          </w:divBdr>
                          <w:divsChild>
                            <w:div w:id="130377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4836761">
      <w:bodyDiv w:val="1"/>
      <w:marLeft w:val="0"/>
      <w:marRight w:val="0"/>
      <w:marTop w:val="0"/>
      <w:marBottom w:val="0"/>
      <w:divBdr>
        <w:top w:val="none" w:sz="0" w:space="0" w:color="auto"/>
        <w:left w:val="none" w:sz="0" w:space="0" w:color="auto"/>
        <w:bottom w:val="none" w:sz="0" w:space="0" w:color="auto"/>
        <w:right w:val="none" w:sz="0" w:space="0" w:color="auto"/>
      </w:divBdr>
      <w:divsChild>
        <w:div w:id="1900162736">
          <w:marLeft w:val="0"/>
          <w:marRight w:val="0"/>
          <w:marTop w:val="0"/>
          <w:marBottom w:val="0"/>
          <w:divBdr>
            <w:top w:val="none" w:sz="0" w:space="0" w:color="auto"/>
            <w:left w:val="none" w:sz="0" w:space="0" w:color="auto"/>
            <w:bottom w:val="none" w:sz="0" w:space="0" w:color="auto"/>
            <w:right w:val="none" w:sz="0" w:space="0" w:color="auto"/>
          </w:divBdr>
          <w:divsChild>
            <w:div w:id="2117477762">
              <w:marLeft w:val="0"/>
              <w:marRight w:val="0"/>
              <w:marTop w:val="0"/>
              <w:marBottom w:val="0"/>
              <w:divBdr>
                <w:top w:val="none" w:sz="0" w:space="0" w:color="auto"/>
                <w:left w:val="none" w:sz="0" w:space="0" w:color="auto"/>
                <w:bottom w:val="none" w:sz="0" w:space="0" w:color="auto"/>
                <w:right w:val="none" w:sz="0" w:space="0" w:color="auto"/>
              </w:divBdr>
              <w:divsChild>
                <w:div w:id="1007248581">
                  <w:marLeft w:val="0"/>
                  <w:marRight w:val="0"/>
                  <w:marTop w:val="0"/>
                  <w:marBottom w:val="0"/>
                  <w:divBdr>
                    <w:top w:val="none" w:sz="0" w:space="0" w:color="auto"/>
                    <w:left w:val="none" w:sz="0" w:space="0" w:color="auto"/>
                    <w:bottom w:val="none" w:sz="0" w:space="0" w:color="auto"/>
                    <w:right w:val="none" w:sz="0" w:space="0" w:color="auto"/>
                  </w:divBdr>
                  <w:divsChild>
                    <w:div w:id="883449304">
                      <w:marLeft w:val="0"/>
                      <w:marRight w:val="0"/>
                      <w:marTop w:val="0"/>
                      <w:marBottom w:val="0"/>
                      <w:divBdr>
                        <w:top w:val="none" w:sz="0" w:space="0" w:color="auto"/>
                        <w:left w:val="none" w:sz="0" w:space="0" w:color="auto"/>
                        <w:bottom w:val="none" w:sz="0" w:space="0" w:color="auto"/>
                        <w:right w:val="none" w:sz="0" w:space="0" w:color="auto"/>
                      </w:divBdr>
                      <w:divsChild>
                        <w:div w:id="774784566">
                          <w:marLeft w:val="0"/>
                          <w:marRight w:val="0"/>
                          <w:marTop w:val="0"/>
                          <w:marBottom w:val="0"/>
                          <w:divBdr>
                            <w:top w:val="none" w:sz="0" w:space="0" w:color="auto"/>
                            <w:left w:val="none" w:sz="0" w:space="0" w:color="auto"/>
                            <w:bottom w:val="none" w:sz="0" w:space="0" w:color="auto"/>
                            <w:right w:val="none" w:sz="0" w:space="0" w:color="auto"/>
                          </w:divBdr>
                          <w:divsChild>
                            <w:div w:id="13765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7751850">
      <w:bodyDiv w:val="1"/>
      <w:marLeft w:val="0"/>
      <w:marRight w:val="0"/>
      <w:marTop w:val="0"/>
      <w:marBottom w:val="0"/>
      <w:divBdr>
        <w:top w:val="none" w:sz="0" w:space="0" w:color="auto"/>
        <w:left w:val="none" w:sz="0" w:space="0" w:color="auto"/>
        <w:bottom w:val="none" w:sz="0" w:space="0" w:color="auto"/>
        <w:right w:val="none" w:sz="0" w:space="0" w:color="auto"/>
      </w:divBdr>
    </w:div>
    <w:div w:id="969626017">
      <w:bodyDiv w:val="1"/>
      <w:marLeft w:val="0"/>
      <w:marRight w:val="0"/>
      <w:marTop w:val="0"/>
      <w:marBottom w:val="0"/>
      <w:divBdr>
        <w:top w:val="none" w:sz="0" w:space="0" w:color="auto"/>
        <w:left w:val="none" w:sz="0" w:space="0" w:color="auto"/>
        <w:bottom w:val="none" w:sz="0" w:space="0" w:color="auto"/>
        <w:right w:val="none" w:sz="0" w:space="0" w:color="auto"/>
      </w:divBdr>
      <w:divsChild>
        <w:div w:id="1319963780">
          <w:marLeft w:val="0"/>
          <w:marRight w:val="0"/>
          <w:marTop w:val="0"/>
          <w:marBottom w:val="0"/>
          <w:divBdr>
            <w:top w:val="none" w:sz="0" w:space="0" w:color="auto"/>
            <w:left w:val="none" w:sz="0" w:space="0" w:color="auto"/>
            <w:bottom w:val="none" w:sz="0" w:space="0" w:color="auto"/>
            <w:right w:val="none" w:sz="0" w:space="0" w:color="auto"/>
          </w:divBdr>
          <w:divsChild>
            <w:div w:id="1623731041">
              <w:marLeft w:val="0"/>
              <w:marRight w:val="0"/>
              <w:marTop w:val="0"/>
              <w:marBottom w:val="0"/>
              <w:divBdr>
                <w:top w:val="none" w:sz="0" w:space="0" w:color="auto"/>
                <w:left w:val="none" w:sz="0" w:space="0" w:color="auto"/>
                <w:bottom w:val="none" w:sz="0" w:space="0" w:color="auto"/>
                <w:right w:val="none" w:sz="0" w:space="0" w:color="auto"/>
              </w:divBdr>
              <w:divsChild>
                <w:div w:id="167407656">
                  <w:marLeft w:val="0"/>
                  <w:marRight w:val="0"/>
                  <w:marTop w:val="0"/>
                  <w:marBottom w:val="0"/>
                  <w:divBdr>
                    <w:top w:val="none" w:sz="0" w:space="0" w:color="auto"/>
                    <w:left w:val="none" w:sz="0" w:space="0" w:color="auto"/>
                    <w:bottom w:val="none" w:sz="0" w:space="0" w:color="auto"/>
                    <w:right w:val="none" w:sz="0" w:space="0" w:color="auto"/>
                  </w:divBdr>
                  <w:divsChild>
                    <w:div w:id="1375960181">
                      <w:marLeft w:val="0"/>
                      <w:marRight w:val="0"/>
                      <w:marTop w:val="0"/>
                      <w:marBottom w:val="750"/>
                      <w:divBdr>
                        <w:top w:val="none" w:sz="0" w:space="0" w:color="auto"/>
                        <w:left w:val="none" w:sz="0" w:space="0" w:color="auto"/>
                        <w:bottom w:val="none" w:sz="0" w:space="0" w:color="auto"/>
                        <w:right w:val="none" w:sz="0" w:space="0" w:color="auto"/>
                      </w:divBdr>
                      <w:divsChild>
                        <w:div w:id="164103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1516862">
      <w:bodyDiv w:val="1"/>
      <w:marLeft w:val="0"/>
      <w:marRight w:val="0"/>
      <w:marTop w:val="0"/>
      <w:marBottom w:val="0"/>
      <w:divBdr>
        <w:top w:val="none" w:sz="0" w:space="0" w:color="auto"/>
        <w:left w:val="none" w:sz="0" w:space="0" w:color="auto"/>
        <w:bottom w:val="none" w:sz="0" w:space="0" w:color="auto"/>
        <w:right w:val="none" w:sz="0" w:space="0" w:color="auto"/>
      </w:divBdr>
      <w:divsChild>
        <w:div w:id="366371438">
          <w:marLeft w:val="0"/>
          <w:marRight w:val="0"/>
          <w:marTop w:val="0"/>
          <w:marBottom w:val="0"/>
          <w:divBdr>
            <w:top w:val="none" w:sz="0" w:space="0" w:color="auto"/>
            <w:left w:val="none" w:sz="0" w:space="0" w:color="auto"/>
            <w:bottom w:val="none" w:sz="0" w:space="0" w:color="auto"/>
            <w:right w:val="none" w:sz="0" w:space="0" w:color="auto"/>
          </w:divBdr>
          <w:divsChild>
            <w:div w:id="1856922158">
              <w:marLeft w:val="0"/>
              <w:marRight w:val="0"/>
              <w:marTop w:val="0"/>
              <w:marBottom w:val="0"/>
              <w:divBdr>
                <w:top w:val="none" w:sz="0" w:space="0" w:color="auto"/>
                <w:left w:val="none" w:sz="0" w:space="0" w:color="auto"/>
                <w:bottom w:val="none" w:sz="0" w:space="0" w:color="auto"/>
                <w:right w:val="none" w:sz="0" w:space="0" w:color="auto"/>
              </w:divBdr>
              <w:divsChild>
                <w:div w:id="1038117098">
                  <w:marLeft w:val="0"/>
                  <w:marRight w:val="0"/>
                  <w:marTop w:val="0"/>
                  <w:marBottom w:val="0"/>
                  <w:divBdr>
                    <w:top w:val="none" w:sz="0" w:space="0" w:color="auto"/>
                    <w:left w:val="none" w:sz="0" w:space="0" w:color="auto"/>
                    <w:bottom w:val="none" w:sz="0" w:space="0" w:color="auto"/>
                    <w:right w:val="none" w:sz="0" w:space="0" w:color="auto"/>
                  </w:divBdr>
                  <w:divsChild>
                    <w:div w:id="1426488627">
                      <w:marLeft w:val="0"/>
                      <w:marRight w:val="0"/>
                      <w:marTop w:val="0"/>
                      <w:marBottom w:val="0"/>
                      <w:divBdr>
                        <w:top w:val="none" w:sz="0" w:space="0" w:color="auto"/>
                        <w:left w:val="none" w:sz="0" w:space="0" w:color="auto"/>
                        <w:bottom w:val="none" w:sz="0" w:space="0" w:color="auto"/>
                        <w:right w:val="none" w:sz="0" w:space="0" w:color="auto"/>
                      </w:divBdr>
                      <w:divsChild>
                        <w:div w:id="1832326184">
                          <w:marLeft w:val="0"/>
                          <w:marRight w:val="0"/>
                          <w:marTop w:val="0"/>
                          <w:marBottom w:val="0"/>
                          <w:divBdr>
                            <w:top w:val="none" w:sz="0" w:space="0" w:color="auto"/>
                            <w:left w:val="none" w:sz="0" w:space="0" w:color="auto"/>
                            <w:bottom w:val="none" w:sz="0" w:space="0" w:color="auto"/>
                            <w:right w:val="none" w:sz="0" w:space="0" w:color="auto"/>
                          </w:divBdr>
                          <w:divsChild>
                            <w:div w:id="18278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5152895">
      <w:bodyDiv w:val="1"/>
      <w:marLeft w:val="0"/>
      <w:marRight w:val="0"/>
      <w:marTop w:val="0"/>
      <w:marBottom w:val="0"/>
      <w:divBdr>
        <w:top w:val="none" w:sz="0" w:space="0" w:color="auto"/>
        <w:left w:val="none" w:sz="0" w:space="0" w:color="auto"/>
        <w:bottom w:val="none" w:sz="0" w:space="0" w:color="auto"/>
        <w:right w:val="none" w:sz="0" w:space="0" w:color="auto"/>
      </w:divBdr>
      <w:divsChild>
        <w:div w:id="1260412556">
          <w:marLeft w:val="0"/>
          <w:marRight w:val="0"/>
          <w:marTop w:val="0"/>
          <w:marBottom w:val="0"/>
          <w:divBdr>
            <w:top w:val="none" w:sz="0" w:space="0" w:color="auto"/>
            <w:left w:val="none" w:sz="0" w:space="0" w:color="auto"/>
            <w:bottom w:val="none" w:sz="0" w:space="0" w:color="auto"/>
            <w:right w:val="none" w:sz="0" w:space="0" w:color="auto"/>
          </w:divBdr>
          <w:divsChild>
            <w:div w:id="609897022">
              <w:marLeft w:val="0"/>
              <w:marRight w:val="0"/>
              <w:marTop w:val="0"/>
              <w:marBottom w:val="0"/>
              <w:divBdr>
                <w:top w:val="none" w:sz="0" w:space="0" w:color="auto"/>
                <w:left w:val="none" w:sz="0" w:space="0" w:color="auto"/>
                <w:bottom w:val="none" w:sz="0" w:space="0" w:color="auto"/>
                <w:right w:val="none" w:sz="0" w:space="0" w:color="auto"/>
              </w:divBdr>
              <w:divsChild>
                <w:div w:id="1976450407">
                  <w:marLeft w:val="0"/>
                  <w:marRight w:val="0"/>
                  <w:marTop w:val="0"/>
                  <w:marBottom w:val="0"/>
                  <w:divBdr>
                    <w:top w:val="none" w:sz="0" w:space="0" w:color="auto"/>
                    <w:left w:val="none" w:sz="0" w:space="0" w:color="auto"/>
                    <w:bottom w:val="none" w:sz="0" w:space="0" w:color="auto"/>
                    <w:right w:val="none" w:sz="0" w:space="0" w:color="auto"/>
                  </w:divBdr>
                  <w:divsChild>
                    <w:div w:id="1202742178">
                      <w:marLeft w:val="0"/>
                      <w:marRight w:val="0"/>
                      <w:marTop w:val="0"/>
                      <w:marBottom w:val="405"/>
                      <w:divBdr>
                        <w:top w:val="none" w:sz="0" w:space="0" w:color="auto"/>
                        <w:left w:val="none" w:sz="0" w:space="0" w:color="auto"/>
                        <w:bottom w:val="none" w:sz="0" w:space="0" w:color="auto"/>
                        <w:right w:val="none" w:sz="0" w:space="0" w:color="auto"/>
                      </w:divBdr>
                    </w:div>
                  </w:divsChild>
                </w:div>
              </w:divsChild>
            </w:div>
          </w:divsChild>
        </w:div>
      </w:divsChild>
    </w:div>
    <w:div w:id="1156605195">
      <w:bodyDiv w:val="1"/>
      <w:marLeft w:val="0"/>
      <w:marRight w:val="0"/>
      <w:marTop w:val="0"/>
      <w:marBottom w:val="0"/>
      <w:divBdr>
        <w:top w:val="none" w:sz="0" w:space="0" w:color="auto"/>
        <w:left w:val="none" w:sz="0" w:space="0" w:color="auto"/>
        <w:bottom w:val="none" w:sz="0" w:space="0" w:color="auto"/>
        <w:right w:val="none" w:sz="0" w:space="0" w:color="auto"/>
      </w:divBdr>
      <w:divsChild>
        <w:div w:id="1278298883">
          <w:marLeft w:val="0"/>
          <w:marRight w:val="0"/>
          <w:marTop w:val="0"/>
          <w:marBottom w:val="0"/>
          <w:divBdr>
            <w:top w:val="none" w:sz="0" w:space="0" w:color="auto"/>
            <w:left w:val="none" w:sz="0" w:space="0" w:color="auto"/>
            <w:bottom w:val="none" w:sz="0" w:space="0" w:color="auto"/>
            <w:right w:val="none" w:sz="0" w:space="0" w:color="auto"/>
          </w:divBdr>
          <w:divsChild>
            <w:div w:id="427310887">
              <w:marLeft w:val="0"/>
              <w:marRight w:val="0"/>
              <w:marTop w:val="0"/>
              <w:marBottom w:val="0"/>
              <w:divBdr>
                <w:top w:val="none" w:sz="0" w:space="0" w:color="auto"/>
                <w:left w:val="none" w:sz="0" w:space="0" w:color="auto"/>
                <w:bottom w:val="none" w:sz="0" w:space="0" w:color="auto"/>
                <w:right w:val="none" w:sz="0" w:space="0" w:color="auto"/>
              </w:divBdr>
              <w:divsChild>
                <w:div w:id="1651712707">
                  <w:marLeft w:val="0"/>
                  <w:marRight w:val="0"/>
                  <w:marTop w:val="0"/>
                  <w:marBottom w:val="0"/>
                  <w:divBdr>
                    <w:top w:val="none" w:sz="0" w:space="0" w:color="auto"/>
                    <w:left w:val="none" w:sz="0" w:space="0" w:color="auto"/>
                    <w:bottom w:val="none" w:sz="0" w:space="0" w:color="auto"/>
                    <w:right w:val="none" w:sz="0" w:space="0" w:color="auto"/>
                  </w:divBdr>
                  <w:divsChild>
                    <w:div w:id="141821218">
                      <w:marLeft w:val="0"/>
                      <w:marRight w:val="0"/>
                      <w:marTop w:val="0"/>
                      <w:marBottom w:val="0"/>
                      <w:divBdr>
                        <w:top w:val="none" w:sz="0" w:space="0" w:color="auto"/>
                        <w:left w:val="none" w:sz="0" w:space="0" w:color="auto"/>
                        <w:bottom w:val="none" w:sz="0" w:space="0" w:color="auto"/>
                        <w:right w:val="none" w:sz="0" w:space="0" w:color="auto"/>
                      </w:divBdr>
                      <w:divsChild>
                        <w:div w:id="1250239170">
                          <w:marLeft w:val="0"/>
                          <w:marRight w:val="0"/>
                          <w:marTop w:val="0"/>
                          <w:marBottom w:val="0"/>
                          <w:divBdr>
                            <w:top w:val="none" w:sz="0" w:space="0" w:color="auto"/>
                            <w:left w:val="none" w:sz="0" w:space="0" w:color="auto"/>
                            <w:bottom w:val="none" w:sz="0" w:space="0" w:color="auto"/>
                            <w:right w:val="none" w:sz="0" w:space="0" w:color="auto"/>
                          </w:divBdr>
                          <w:divsChild>
                            <w:div w:id="107382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1088657">
      <w:bodyDiv w:val="1"/>
      <w:marLeft w:val="0"/>
      <w:marRight w:val="0"/>
      <w:marTop w:val="0"/>
      <w:marBottom w:val="0"/>
      <w:divBdr>
        <w:top w:val="none" w:sz="0" w:space="0" w:color="auto"/>
        <w:left w:val="none" w:sz="0" w:space="0" w:color="auto"/>
        <w:bottom w:val="none" w:sz="0" w:space="0" w:color="auto"/>
        <w:right w:val="none" w:sz="0" w:space="0" w:color="auto"/>
      </w:divBdr>
    </w:div>
    <w:div w:id="1252087198">
      <w:bodyDiv w:val="1"/>
      <w:marLeft w:val="0"/>
      <w:marRight w:val="0"/>
      <w:marTop w:val="0"/>
      <w:marBottom w:val="0"/>
      <w:divBdr>
        <w:top w:val="none" w:sz="0" w:space="0" w:color="auto"/>
        <w:left w:val="none" w:sz="0" w:space="0" w:color="auto"/>
        <w:bottom w:val="none" w:sz="0" w:space="0" w:color="auto"/>
        <w:right w:val="none" w:sz="0" w:space="0" w:color="auto"/>
      </w:divBdr>
    </w:div>
    <w:div w:id="1336491886">
      <w:bodyDiv w:val="1"/>
      <w:marLeft w:val="0"/>
      <w:marRight w:val="0"/>
      <w:marTop w:val="0"/>
      <w:marBottom w:val="0"/>
      <w:divBdr>
        <w:top w:val="none" w:sz="0" w:space="0" w:color="auto"/>
        <w:left w:val="none" w:sz="0" w:space="0" w:color="auto"/>
        <w:bottom w:val="none" w:sz="0" w:space="0" w:color="auto"/>
        <w:right w:val="none" w:sz="0" w:space="0" w:color="auto"/>
      </w:divBdr>
      <w:divsChild>
        <w:div w:id="745032755">
          <w:marLeft w:val="0"/>
          <w:marRight w:val="0"/>
          <w:marTop w:val="0"/>
          <w:marBottom w:val="0"/>
          <w:divBdr>
            <w:top w:val="none" w:sz="0" w:space="0" w:color="auto"/>
            <w:left w:val="none" w:sz="0" w:space="0" w:color="auto"/>
            <w:bottom w:val="none" w:sz="0" w:space="0" w:color="auto"/>
            <w:right w:val="none" w:sz="0" w:space="0" w:color="auto"/>
          </w:divBdr>
          <w:divsChild>
            <w:div w:id="907617133">
              <w:marLeft w:val="0"/>
              <w:marRight w:val="0"/>
              <w:marTop w:val="0"/>
              <w:marBottom w:val="0"/>
              <w:divBdr>
                <w:top w:val="none" w:sz="0" w:space="0" w:color="auto"/>
                <w:left w:val="none" w:sz="0" w:space="0" w:color="auto"/>
                <w:bottom w:val="none" w:sz="0" w:space="0" w:color="auto"/>
                <w:right w:val="none" w:sz="0" w:space="0" w:color="auto"/>
              </w:divBdr>
              <w:divsChild>
                <w:div w:id="1908877953">
                  <w:marLeft w:val="0"/>
                  <w:marRight w:val="0"/>
                  <w:marTop w:val="0"/>
                  <w:marBottom w:val="0"/>
                  <w:divBdr>
                    <w:top w:val="none" w:sz="0" w:space="0" w:color="auto"/>
                    <w:left w:val="none" w:sz="0" w:space="0" w:color="auto"/>
                    <w:bottom w:val="none" w:sz="0" w:space="0" w:color="auto"/>
                    <w:right w:val="none" w:sz="0" w:space="0" w:color="auto"/>
                  </w:divBdr>
                  <w:divsChild>
                    <w:div w:id="1980987050">
                      <w:marLeft w:val="0"/>
                      <w:marRight w:val="0"/>
                      <w:marTop w:val="0"/>
                      <w:marBottom w:val="0"/>
                      <w:divBdr>
                        <w:top w:val="none" w:sz="0" w:space="0" w:color="auto"/>
                        <w:left w:val="none" w:sz="0" w:space="0" w:color="auto"/>
                        <w:bottom w:val="none" w:sz="0" w:space="0" w:color="auto"/>
                        <w:right w:val="none" w:sz="0" w:space="0" w:color="auto"/>
                      </w:divBdr>
                      <w:divsChild>
                        <w:div w:id="1256401325">
                          <w:marLeft w:val="0"/>
                          <w:marRight w:val="0"/>
                          <w:marTop w:val="0"/>
                          <w:marBottom w:val="0"/>
                          <w:divBdr>
                            <w:top w:val="none" w:sz="0" w:space="0" w:color="auto"/>
                            <w:left w:val="none" w:sz="0" w:space="0" w:color="auto"/>
                            <w:bottom w:val="none" w:sz="0" w:space="0" w:color="auto"/>
                            <w:right w:val="none" w:sz="0" w:space="0" w:color="auto"/>
                          </w:divBdr>
                          <w:divsChild>
                            <w:div w:id="198600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125316">
      <w:bodyDiv w:val="1"/>
      <w:marLeft w:val="0"/>
      <w:marRight w:val="0"/>
      <w:marTop w:val="0"/>
      <w:marBottom w:val="0"/>
      <w:divBdr>
        <w:top w:val="none" w:sz="0" w:space="0" w:color="auto"/>
        <w:left w:val="none" w:sz="0" w:space="0" w:color="auto"/>
        <w:bottom w:val="none" w:sz="0" w:space="0" w:color="auto"/>
        <w:right w:val="none" w:sz="0" w:space="0" w:color="auto"/>
      </w:divBdr>
    </w:div>
    <w:div w:id="1453327195">
      <w:bodyDiv w:val="1"/>
      <w:marLeft w:val="0"/>
      <w:marRight w:val="0"/>
      <w:marTop w:val="0"/>
      <w:marBottom w:val="150"/>
      <w:divBdr>
        <w:top w:val="none" w:sz="0" w:space="0" w:color="auto"/>
        <w:left w:val="none" w:sz="0" w:space="0" w:color="auto"/>
        <w:bottom w:val="none" w:sz="0" w:space="0" w:color="auto"/>
        <w:right w:val="none" w:sz="0" w:space="0" w:color="auto"/>
      </w:divBdr>
      <w:divsChild>
        <w:div w:id="1972705621">
          <w:marLeft w:val="0"/>
          <w:marRight w:val="0"/>
          <w:marTop w:val="0"/>
          <w:marBottom w:val="0"/>
          <w:divBdr>
            <w:top w:val="single" w:sz="6" w:space="0" w:color="777777"/>
            <w:left w:val="single" w:sz="6" w:space="0" w:color="777777"/>
            <w:bottom w:val="single" w:sz="6" w:space="0" w:color="777777"/>
            <w:right w:val="single" w:sz="6" w:space="0" w:color="777777"/>
          </w:divBdr>
          <w:divsChild>
            <w:div w:id="458185532">
              <w:marLeft w:val="0"/>
              <w:marRight w:val="0"/>
              <w:marTop w:val="0"/>
              <w:marBottom w:val="0"/>
              <w:divBdr>
                <w:top w:val="none" w:sz="0" w:space="0" w:color="auto"/>
                <w:left w:val="none" w:sz="0" w:space="0" w:color="auto"/>
                <w:bottom w:val="none" w:sz="0" w:space="0" w:color="auto"/>
                <w:right w:val="none" w:sz="0" w:space="0" w:color="auto"/>
              </w:divBdr>
              <w:divsChild>
                <w:div w:id="1823423960">
                  <w:marLeft w:val="0"/>
                  <w:marRight w:val="0"/>
                  <w:marTop w:val="0"/>
                  <w:marBottom w:val="225"/>
                  <w:divBdr>
                    <w:top w:val="none" w:sz="0" w:space="0" w:color="auto"/>
                    <w:left w:val="none" w:sz="0" w:space="0" w:color="auto"/>
                    <w:bottom w:val="none" w:sz="0" w:space="0" w:color="auto"/>
                    <w:right w:val="none" w:sz="0" w:space="0" w:color="auto"/>
                  </w:divBdr>
                  <w:divsChild>
                    <w:div w:id="496650927">
                      <w:marLeft w:val="0"/>
                      <w:marRight w:val="0"/>
                      <w:marTop w:val="0"/>
                      <w:marBottom w:val="0"/>
                      <w:divBdr>
                        <w:top w:val="none" w:sz="0" w:space="0" w:color="auto"/>
                        <w:left w:val="none" w:sz="0" w:space="0" w:color="auto"/>
                        <w:bottom w:val="none" w:sz="0" w:space="0" w:color="auto"/>
                        <w:right w:val="none" w:sz="0" w:space="0" w:color="auto"/>
                      </w:divBdr>
                    </w:div>
                    <w:div w:id="117403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5679045">
      <w:bodyDiv w:val="1"/>
      <w:marLeft w:val="0"/>
      <w:marRight w:val="0"/>
      <w:marTop w:val="0"/>
      <w:marBottom w:val="0"/>
      <w:divBdr>
        <w:top w:val="none" w:sz="0" w:space="0" w:color="auto"/>
        <w:left w:val="none" w:sz="0" w:space="0" w:color="auto"/>
        <w:bottom w:val="none" w:sz="0" w:space="0" w:color="auto"/>
        <w:right w:val="none" w:sz="0" w:space="0" w:color="auto"/>
      </w:divBdr>
      <w:divsChild>
        <w:div w:id="1020399666">
          <w:marLeft w:val="0"/>
          <w:marRight w:val="0"/>
          <w:marTop w:val="0"/>
          <w:marBottom w:val="0"/>
          <w:divBdr>
            <w:top w:val="none" w:sz="0" w:space="0" w:color="auto"/>
            <w:left w:val="none" w:sz="0" w:space="0" w:color="auto"/>
            <w:bottom w:val="none" w:sz="0" w:space="0" w:color="auto"/>
            <w:right w:val="none" w:sz="0" w:space="0" w:color="auto"/>
          </w:divBdr>
          <w:divsChild>
            <w:div w:id="983506013">
              <w:marLeft w:val="0"/>
              <w:marRight w:val="0"/>
              <w:marTop w:val="0"/>
              <w:marBottom w:val="0"/>
              <w:divBdr>
                <w:top w:val="none" w:sz="0" w:space="0" w:color="auto"/>
                <w:left w:val="none" w:sz="0" w:space="0" w:color="auto"/>
                <w:bottom w:val="none" w:sz="0" w:space="0" w:color="auto"/>
                <w:right w:val="none" w:sz="0" w:space="0" w:color="auto"/>
              </w:divBdr>
              <w:divsChild>
                <w:div w:id="781535752">
                  <w:marLeft w:val="0"/>
                  <w:marRight w:val="0"/>
                  <w:marTop w:val="0"/>
                  <w:marBottom w:val="0"/>
                  <w:divBdr>
                    <w:top w:val="none" w:sz="0" w:space="0" w:color="auto"/>
                    <w:left w:val="none" w:sz="0" w:space="0" w:color="auto"/>
                    <w:bottom w:val="none" w:sz="0" w:space="0" w:color="auto"/>
                    <w:right w:val="none" w:sz="0" w:space="0" w:color="auto"/>
                  </w:divBdr>
                  <w:divsChild>
                    <w:div w:id="1953124025">
                      <w:marLeft w:val="0"/>
                      <w:marRight w:val="0"/>
                      <w:marTop w:val="0"/>
                      <w:marBottom w:val="0"/>
                      <w:divBdr>
                        <w:top w:val="none" w:sz="0" w:space="0" w:color="auto"/>
                        <w:left w:val="none" w:sz="0" w:space="0" w:color="auto"/>
                        <w:bottom w:val="none" w:sz="0" w:space="0" w:color="auto"/>
                        <w:right w:val="none" w:sz="0" w:space="0" w:color="auto"/>
                      </w:divBdr>
                      <w:divsChild>
                        <w:div w:id="663973131">
                          <w:marLeft w:val="0"/>
                          <w:marRight w:val="0"/>
                          <w:marTop w:val="0"/>
                          <w:marBottom w:val="0"/>
                          <w:divBdr>
                            <w:top w:val="none" w:sz="0" w:space="0" w:color="auto"/>
                            <w:left w:val="none" w:sz="0" w:space="0" w:color="auto"/>
                            <w:bottom w:val="none" w:sz="0" w:space="0" w:color="auto"/>
                            <w:right w:val="none" w:sz="0" w:space="0" w:color="auto"/>
                          </w:divBdr>
                          <w:divsChild>
                            <w:div w:id="86888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4805061">
      <w:bodyDiv w:val="1"/>
      <w:marLeft w:val="0"/>
      <w:marRight w:val="0"/>
      <w:marTop w:val="0"/>
      <w:marBottom w:val="0"/>
      <w:divBdr>
        <w:top w:val="none" w:sz="0" w:space="0" w:color="auto"/>
        <w:left w:val="none" w:sz="0" w:space="0" w:color="auto"/>
        <w:bottom w:val="none" w:sz="0" w:space="0" w:color="auto"/>
        <w:right w:val="none" w:sz="0" w:space="0" w:color="auto"/>
      </w:divBdr>
      <w:divsChild>
        <w:div w:id="1321883687">
          <w:marLeft w:val="0"/>
          <w:marRight w:val="0"/>
          <w:marTop w:val="0"/>
          <w:marBottom w:val="0"/>
          <w:divBdr>
            <w:top w:val="none" w:sz="0" w:space="0" w:color="auto"/>
            <w:left w:val="none" w:sz="0" w:space="0" w:color="auto"/>
            <w:bottom w:val="none" w:sz="0" w:space="0" w:color="auto"/>
            <w:right w:val="none" w:sz="0" w:space="0" w:color="auto"/>
          </w:divBdr>
          <w:divsChild>
            <w:div w:id="317882165">
              <w:marLeft w:val="0"/>
              <w:marRight w:val="0"/>
              <w:marTop w:val="0"/>
              <w:marBottom w:val="0"/>
              <w:divBdr>
                <w:top w:val="none" w:sz="0" w:space="0" w:color="auto"/>
                <w:left w:val="none" w:sz="0" w:space="0" w:color="auto"/>
                <w:bottom w:val="none" w:sz="0" w:space="0" w:color="auto"/>
                <w:right w:val="none" w:sz="0" w:space="0" w:color="auto"/>
              </w:divBdr>
              <w:divsChild>
                <w:div w:id="1501389961">
                  <w:marLeft w:val="0"/>
                  <w:marRight w:val="0"/>
                  <w:marTop w:val="0"/>
                  <w:marBottom w:val="0"/>
                  <w:divBdr>
                    <w:top w:val="none" w:sz="0" w:space="0" w:color="auto"/>
                    <w:left w:val="none" w:sz="0" w:space="0" w:color="auto"/>
                    <w:bottom w:val="none" w:sz="0" w:space="0" w:color="auto"/>
                    <w:right w:val="none" w:sz="0" w:space="0" w:color="auto"/>
                  </w:divBdr>
                  <w:divsChild>
                    <w:div w:id="474420995">
                      <w:marLeft w:val="0"/>
                      <w:marRight w:val="0"/>
                      <w:marTop w:val="0"/>
                      <w:marBottom w:val="0"/>
                      <w:divBdr>
                        <w:top w:val="none" w:sz="0" w:space="0" w:color="auto"/>
                        <w:left w:val="none" w:sz="0" w:space="0" w:color="auto"/>
                        <w:bottom w:val="none" w:sz="0" w:space="0" w:color="auto"/>
                        <w:right w:val="none" w:sz="0" w:space="0" w:color="auto"/>
                      </w:divBdr>
                      <w:divsChild>
                        <w:div w:id="1289891811">
                          <w:marLeft w:val="0"/>
                          <w:marRight w:val="0"/>
                          <w:marTop w:val="0"/>
                          <w:marBottom w:val="0"/>
                          <w:divBdr>
                            <w:top w:val="none" w:sz="0" w:space="0" w:color="auto"/>
                            <w:left w:val="none" w:sz="0" w:space="0" w:color="auto"/>
                            <w:bottom w:val="none" w:sz="0" w:space="0" w:color="auto"/>
                            <w:right w:val="none" w:sz="0" w:space="0" w:color="auto"/>
                          </w:divBdr>
                          <w:divsChild>
                            <w:div w:id="1701129855">
                              <w:marLeft w:val="0"/>
                              <w:marRight w:val="0"/>
                              <w:marTop w:val="0"/>
                              <w:marBottom w:val="0"/>
                              <w:divBdr>
                                <w:top w:val="none" w:sz="0" w:space="0" w:color="auto"/>
                                <w:left w:val="none" w:sz="0" w:space="0" w:color="auto"/>
                                <w:bottom w:val="none" w:sz="0" w:space="0" w:color="auto"/>
                                <w:right w:val="none" w:sz="0" w:space="0" w:color="auto"/>
                              </w:divBdr>
                              <w:divsChild>
                                <w:div w:id="94276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1103766">
      <w:bodyDiv w:val="1"/>
      <w:marLeft w:val="0"/>
      <w:marRight w:val="0"/>
      <w:marTop w:val="0"/>
      <w:marBottom w:val="0"/>
      <w:divBdr>
        <w:top w:val="none" w:sz="0" w:space="0" w:color="auto"/>
        <w:left w:val="none" w:sz="0" w:space="0" w:color="auto"/>
        <w:bottom w:val="none" w:sz="0" w:space="0" w:color="auto"/>
        <w:right w:val="none" w:sz="0" w:space="0" w:color="auto"/>
      </w:divBdr>
      <w:divsChild>
        <w:div w:id="557791312">
          <w:marLeft w:val="0"/>
          <w:marRight w:val="0"/>
          <w:marTop w:val="0"/>
          <w:marBottom w:val="0"/>
          <w:divBdr>
            <w:top w:val="none" w:sz="0" w:space="0" w:color="auto"/>
            <w:left w:val="none" w:sz="0" w:space="0" w:color="auto"/>
            <w:bottom w:val="none" w:sz="0" w:space="0" w:color="auto"/>
            <w:right w:val="none" w:sz="0" w:space="0" w:color="auto"/>
          </w:divBdr>
          <w:divsChild>
            <w:div w:id="427773962">
              <w:marLeft w:val="0"/>
              <w:marRight w:val="0"/>
              <w:marTop w:val="0"/>
              <w:marBottom w:val="0"/>
              <w:divBdr>
                <w:top w:val="none" w:sz="0" w:space="0" w:color="auto"/>
                <w:left w:val="none" w:sz="0" w:space="0" w:color="auto"/>
                <w:bottom w:val="none" w:sz="0" w:space="0" w:color="auto"/>
                <w:right w:val="none" w:sz="0" w:space="0" w:color="auto"/>
              </w:divBdr>
              <w:divsChild>
                <w:div w:id="870799267">
                  <w:marLeft w:val="0"/>
                  <w:marRight w:val="0"/>
                  <w:marTop w:val="0"/>
                  <w:marBottom w:val="0"/>
                  <w:divBdr>
                    <w:top w:val="none" w:sz="0" w:space="0" w:color="auto"/>
                    <w:left w:val="none" w:sz="0" w:space="0" w:color="auto"/>
                    <w:bottom w:val="none" w:sz="0" w:space="0" w:color="auto"/>
                    <w:right w:val="none" w:sz="0" w:space="0" w:color="auto"/>
                  </w:divBdr>
                  <w:divsChild>
                    <w:div w:id="1702508035">
                      <w:marLeft w:val="0"/>
                      <w:marRight w:val="0"/>
                      <w:marTop w:val="0"/>
                      <w:marBottom w:val="0"/>
                      <w:divBdr>
                        <w:top w:val="none" w:sz="0" w:space="0" w:color="auto"/>
                        <w:left w:val="none" w:sz="0" w:space="0" w:color="auto"/>
                        <w:bottom w:val="none" w:sz="0" w:space="0" w:color="auto"/>
                        <w:right w:val="none" w:sz="0" w:space="0" w:color="auto"/>
                      </w:divBdr>
                      <w:divsChild>
                        <w:div w:id="1903561625">
                          <w:marLeft w:val="0"/>
                          <w:marRight w:val="0"/>
                          <w:marTop w:val="0"/>
                          <w:marBottom w:val="0"/>
                          <w:divBdr>
                            <w:top w:val="none" w:sz="0" w:space="0" w:color="auto"/>
                            <w:left w:val="none" w:sz="0" w:space="0" w:color="auto"/>
                            <w:bottom w:val="none" w:sz="0" w:space="0" w:color="auto"/>
                            <w:right w:val="none" w:sz="0" w:space="0" w:color="auto"/>
                          </w:divBdr>
                          <w:divsChild>
                            <w:div w:id="4326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9570977">
      <w:bodyDiv w:val="1"/>
      <w:marLeft w:val="0"/>
      <w:marRight w:val="0"/>
      <w:marTop w:val="0"/>
      <w:marBottom w:val="0"/>
      <w:divBdr>
        <w:top w:val="none" w:sz="0" w:space="0" w:color="auto"/>
        <w:left w:val="none" w:sz="0" w:space="0" w:color="auto"/>
        <w:bottom w:val="none" w:sz="0" w:space="0" w:color="auto"/>
        <w:right w:val="none" w:sz="0" w:space="0" w:color="auto"/>
      </w:divBdr>
      <w:divsChild>
        <w:div w:id="989942482">
          <w:marLeft w:val="0"/>
          <w:marRight w:val="0"/>
          <w:marTop w:val="0"/>
          <w:marBottom w:val="0"/>
          <w:divBdr>
            <w:top w:val="none" w:sz="0" w:space="0" w:color="auto"/>
            <w:left w:val="none" w:sz="0" w:space="0" w:color="auto"/>
            <w:bottom w:val="none" w:sz="0" w:space="0" w:color="auto"/>
            <w:right w:val="none" w:sz="0" w:space="0" w:color="auto"/>
          </w:divBdr>
          <w:divsChild>
            <w:div w:id="2099936807">
              <w:marLeft w:val="0"/>
              <w:marRight w:val="0"/>
              <w:marTop w:val="0"/>
              <w:marBottom w:val="0"/>
              <w:divBdr>
                <w:top w:val="none" w:sz="0" w:space="0" w:color="auto"/>
                <w:left w:val="none" w:sz="0" w:space="0" w:color="auto"/>
                <w:bottom w:val="none" w:sz="0" w:space="0" w:color="auto"/>
                <w:right w:val="none" w:sz="0" w:space="0" w:color="auto"/>
              </w:divBdr>
              <w:divsChild>
                <w:div w:id="1027215267">
                  <w:marLeft w:val="0"/>
                  <w:marRight w:val="0"/>
                  <w:marTop w:val="0"/>
                  <w:marBottom w:val="0"/>
                  <w:divBdr>
                    <w:top w:val="none" w:sz="0" w:space="0" w:color="auto"/>
                    <w:left w:val="none" w:sz="0" w:space="0" w:color="auto"/>
                    <w:bottom w:val="none" w:sz="0" w:space="0" w:color="auto"/>
                    <w:right w:val="none" w:sz="0" w:space="0" w:color="auto"/>
                  </w:divBdr>
                  <w:divsChild>
                    <w:div w:id="523248861">
                      <w:marLeft w:val="0"/>
                      <w:marRight w:val="0"/>
                      <w:marTop w:val="0"/>
                      <w:marBottom w:val="0"/>
                      <w:divBdr>
                        <w:top w:val="none" w:sz="0" w:space="0" w:color="auto"/>
                        <w:left w:val="none" w:sz="0" w:space="0" w:color="auto"/>
                        <w:bottom w:val="none" w:sz="0" w:space="0" w:color="auto"/>
                        <w:right w:val="none" w:sz="0" w:space="0" w:color="auto"/>
                      </w:divBdr>
                      <w:divsChild>
                        <w:div w:id="1287739089">
                          <w:marLeft w:val="0"/>
                          <w:marRight w:val="0"/>
                          <w:marTop w:val="0"/>
                          <w:marBottom w:val="0"/>
                          <w:divBdr>
                            <w:top w:val="none" w:sz="0" w:space="0" w:color="auto"/>
                            <w:left w:val="none" w:sz="0" w:space="0" w:color="auto"/>
                            <w:bottom w:val="none" w:sz="0" w:space="0" w:color="auto"/>
                            <w:right w:val="none" w:sz="0" w:space="0" w:color="auto"/>
                          </w:divBdr>
                          <w:divsChild>
                            <w:div w:id="126079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6921209">
      <w:bodyDiv w:val="1"/>
      <w:marLeft w:val="0"/>
      <w:marRight w:val="0"/>
      <w:marTop w:val="0"/>
      <w:marBottom w:val="0"/>
      <w:divBdr>
        <w:top w:val="none" w:sz="0" w:space="0" w:color="auto"/>
        <w:left w:val="none" w:sz="0" w:space="0" w:color="auto"/>
        <w:bottom w:val="none" w:sz="0" w:space="0" w:color="auto"/>
        <w:right w:val="none" w:sz="0" w:space="0" w:color="auto"/>
      </w:divBdr>
      <w:divsChild>
        <w:div w:id="945816710">
          <w:marLeft w:val="0"/>
          <w:marRight w:val="0"/>
          <w:marTop w:val="150"/>
          <w:marBottom w:val="150"/>
          <w:divBdr>
            <w:top w:val="none" w:sz="0" w:space="0" w:color="auto"/>
            <w:left w:val="none" w:sz="0" w:space="0" w:color="auto"/>
            <w:bottom w:val="none" w:sz="0" w:space="0" w:color="auto"/>
            <w:right w:val="none" w:sz="0" w:space="0" w:color="auto"/>
          </w:divBdr>
          <w:divsChild>
            <w:div w:id="621812262">
              <w:marLeft w:val="0"/>
              <w:marRight w:val="0"/>
              <w:marTop w:val="0"/>
              <w:marBottom w:val="0"/>
              <w:divBdr>
                <w:top w:val="none" w:sz="0" w:space="0" w:color="auto"/>
                <w:left w:val="none" w:sz="0" w:space="0" w:color="auto"/>
                <w:bottom w:val="none" w:sz="0" w:space="0" w:color="auto"/>
                <w:right w:val="none" w:sz="0" w:space="0" w:color="auto"/>
              </w:divBdr>
              <w:divsChild>
                <w:div w:id="1125007112">
                  <w:marLeft w:val="0"/>
                  <w:marRight w:val="0"/>
                  <w:marTop w:val="0"/>
                  <w:marBottom w:val="0"/>
                  <w:divBdr>
                    <w:top w:val="none" w:sz="0" w:space="0" w:color="auto"/>
                    <w:left w:val="none" w:sz="0" w:space="0" w:color="auto"/>
                    <w:bottom w:val="none" w:sz="0" w:space="0" w:color="auto"/>
                    <w:right w:val="none" w:sz="0" w:space="0" w:color="auto"/>
                  </w:divBdr>
                  <w:divsChild>
                    <w:div w:id="361244336">
                      <w:marLeft w:val="0"/>
                      <w:marRight w:val="0"/>
                      <w:marTop w:val="0"/>
                      <w:marBottom w:val="0"/>
                      <w:divBdr>
                        <w:top w:val="none" w:sz="0" w:space="0" w:color="auto"/>
                        <w:left w:val="none" w:sz="0" w:space="0" w:color="auto"/>
                        <w:bottom w:val="none" w:sz="0" w:space="0" w:color="auto"/>
                        <w:right w:val="none" w:sz="0" w:space="0" w:color="auto"/>
                      </w:divBdr>
                      <w:divsChild>
                        <w:div w:id="128295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ECHR_Theme_Judgments_Decisions_Reports">
  <a:themeElements>
    <a:clrScheme name="ECHR_grey">
      <a:dk1>
        <a:sysClr val="windowText" lastClr="000000"/>
      </a:dk1>
      <a:lt1>
        <a:srgbClr val="0072BC"/>
      </a:lt1>
      <a:dk2>
        <a:srgbClr val="C6C6C6"/>
      </a:dk2>
      <a:lt2>
        <a:srgbClr val="F8F8F8"/>
      </a:lt2>
      <a:accent1>
        <a:srgbClr val="0072BC"/>
      </a:accent1>
      <a:accent2>
        <a:srgbClr val="C00000"/>
      </a:accent2>
      <a:accent3>
        <a:srgbClr val="5F5F5F"/>
      </a:accent3>
      <a:accent4>
        <a:srgbClr val="969696"/>
      </a:accent4>
      <a:accent5>
        <a:srgbClr val="5F5F5F"/>
      </a:accent5>
      <a:accent6>
        <a:srgbClr val="4D4D4D"/>
      </a:accent6>
      <a:hlink>
        <a:srgbClr val="0072BC"/>
      </a:hlink>
      <a:folHlink>
        <a:srgbClr val="7030A0"/>
      </a:folHlink>
    </a:clrScheme>
    <a:fontScheme name="ECHR_Judgments_Reports_Decision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8EB02BDB9E204AB350EDD385B68E10" ma:contentTypeVersion="0" ma:contentTypeDescription="Create a new document." ma:contentTypeScope="" ma:versionID="4c0f801ee557d5c8fba2c83aceb7a3a2">
  <xsd:schema xmlns:xsd="http://www.w3.org/2001/XMLSchema" xmlns:xs="http://www.w3.org/2001/XMLSchema" xmlns:p="http://schemas.microsoft.com/office/2006/metadata/properties" targetNamespace="http://schemas.microsoft.com/office/2006/metadata/properties" ma:root="true" ma:fieldsID="66a9e0779a85d62bb2248c31b91edb7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F240F66-0F0F-487C-B994-51895E0DF847}"/>
</file>

<file path=customXml/itemProps2.xml><?xml version="1.0" encoding="utf-8"?>
<ds:datastoreItem xmlns:ds="http://schemas.openxmlformats.org/officeDocument/2006/customXml" ds:itemID="{0BA88D9D-A5AE-4FBC-81E3-BF743F32FD24}"/>
</file>

<file path=customXml/itemProps3.xml><?xml version="1.0" encoding="utf-8"?>
<ds:datastoreItem xmlns:ds="http://schemas.openxmlformats.org/officeDocument/2006/customXml" ds:itemID="{7E6581DB-8FA7-4708-BCA2-1FD3A7C1BD95}"/>
</file>

<file path=customXml/itemProps4.xml><?xml version="1.0" encoding="utf-8"?>
<ds:datastoreItem xmlns:ds="http://schemas.openxmlformats.org/officeDocument/2006/customXml" ds:itemID="{B3E361A7-C461-4D99-B493-8022D22FF1A6}"/>
</file>

<file path=docProps/app.xml><?xml version="1.0" encoding="utf-8"?>
<Properties xmlns="http://schemas.openxmlformats.org/officeDocument/2006/extended-properties" xmlns:vt="http://schemas.openxmlformats.org/officeDocument/2006/docPropsVTypes">
  <Template>Normal.dotm</Template>
  <TotalTime>0</TotalTime>
  <Pages>1</Pages>
  <Words>25915</Words>
  <Characters>147722</Characters>
  <Application>Microsoft Office Word</Application>
  <DocSecurity>0</DocSecurity>
  <Lines>1231</Lines>
  <Paragraphs>346</Paragraphs>
  <ScaleCrop>false</ScaleCrop>
  <HeadingPairs>
    <vt:vector size="2" baseType="variant">
      <vt:variant>
        <vt:lpstr>Title</vt:lpstr>
      </vt:variant>
      <vt:variant>
        <vt:i4>1</vt:i4>
      </vt:variant>
    </vt:vector>
  </HeadingPairs>
  <TitlesOfParts>
    <vt:vector size="1" baseType="lpstr">
      <vt:lpstr>ECHR</vt:lpstr>
    </vt:vector>
  </TitlesOfParts>
  <Manager/>
  <Company/>
  <LinksUpToDate>false</LinksUpToDate>
  <CharactersWithSpaces>173291</CharactersWithSpaces>
  <SharedDoc>false</SharedDoc>
  <HLinks>
    <vt:vector size="6" baseType="variant">
      <vt:variant>
        <vt:i4>4587612</vt:i4>
      </vt:variant>
      <vt:variant>
        <vt:i4>0</vt:i4>
      </vt:variant>
      <vt:variant>
        <vt:i4>0</vt:i4>
      </vt:variant>
      <vt:variant>
        <vt:i4>5</vt:i4>
      </vt:variant>
      <vt:variant>
        <vt:lpwstr>http://insite.dhcour.coe.int/link/tikitlink.asp?doc=2309498&amp;lib=court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ECHR</dc:title>
  <dc:subject>DJ</dc:subject>
  <dc:creator/>
  <cp:keywords/>
  <dc:description/>
  <cp:lastModifiedBy/>
  <cp:revision>1</cp:revision>
  <cp:lastPrinted>2014-09-24T08:28:00Z</cp:lastPrinted>
  <dcterms:created xsi:type="dcterms:W3CDTF">2017-06-07T09:13:00Z</dcterms:created>
  <dcterms:modified xsi:type="dcterms:W3CDTF">2017-06-07T09:13:00Z</dcterms:modified>
  <cp:category>ECHR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0x010100558EB02BDB9E204AB350EDD385B68E10</vt:lpwstr>
  </property>
</Properties>
</file>