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19" w:rsidRDefault="00797919">
      <w:pPr>
        <w:jc w:val="center"/>
      </w:pPr>
    </w:p>
    <w:p w:rsidRPr="005725AF" w:rsidR="00CD49A7" w:rsidRDefault="00CD49A7">
      <w:pPr>
        <w:jc w:val="center"/>
      </w:pPr>
    </w:p>
    <w:p w:rsidRPr="005725AF" w:rsidR="00CD49A7" w:rsidRDefault="005725AF">
      <w:pPr>
        <w:jc w:val="center"/>
      </w:pPr>
      <w:r w:rsidRPr="005725AF">
        <w:t>SECOND SECTION</w:t>
      </w:r>
    </w:p>
    <w:p w:rsidR="00797919" w:rsidRDefault="00797919">
      <w:pPr>
        <w:jc w:val="center"/>
      </w:pPr>
    </w:p>
    <w:p w:rsidRPr="005725AF" w:rsidR="00CD49A7" w:rsidRDefault="00CD49A7">
      <w:pPr>
        <w:jc w:val="center"/>
      </w:pPr>
    </w:p>
    <w:p w:rsidRPr="005725AF" w:rsidR="00CD49A7" w:rsidRDefault="00CD49A7">
      <w:pPr>
        <w:jc w:val="center"/>
        <w:rPr>
          <w:b/>
        </w:rPr>
      </w:pPr>
      <w:r w:rsidRPr="005725AF">
        <w:rPr>
          <w:b/>
        </w:rPr>
        <w:t xml:space="preserve">CASE OF </w:t>
      </w:r>
      <w:r w:rsidRPr="005725AF" w:rsidR="005725AF">
        <w:rPr>
          <w:b/>
        </w:rPr>
        <w:t xml:space="preserve">L. v. </w:t>
      </w:r>
      <w:smartTag w:uri="urn:schemas-microsoft-com:office:smarttags" w:element="place">
        <w:smartTag w:uri="urn:schemas-microsoft-com:office:smarttags" w:element="country-region">
          <w:r w:rsidR="005725AF" w:rsidRPr="005725AF">
            <w:rPr>
              <w:b/>
            </w:rPr>
            <w:t>LITHUANIA</w:t>
          </w:r>
        </w:smartTag>
      </w:smartTag>
    </w:p>
    <w:p w:rsidR="00CD49A7" w:rsidRDefault="00CD49A7">
      <w:pPr>
        <w:jc w:val="center"/>
      </w:pPr>
    </w:p>
    <w:p w:rsidRPr="005725AF" w:rsidR="00D64433" w:rsidRDefault="00D64433">
      <w:pPr>
        <w:jc w:val="center"/>
      </w:pPr>
    </w:p>
    <w:p w:rsidRPr="005725AF" w:rsidR="00CD49A7" w:rsidRDefault="00CD49A7">
      <w:pPr>
        <w:jc w:val="center"/>
        <w:rPr>
          <w:i/>
        </w:rPr>
      </w:pPr>
      <w:r w:rsidRPr="005725AF">
        <w:rPr>
          <w:i/>
        </w:rPr>
        <w:t>(</w:t>
      </w:r>
      <w:r w:rsidRPr="005725AF" w:rsidR="005725AF">
        <w:rPr>
          <w:i/>
        </w:rPr>
        <w:t>Application no. 27527/03</w:t>
      </w:r>
      <w:r w:rsidRPr="005725AF">
        <w:rPr>
          <w:i/>
        </w:rPr>
        <w:t>)</w:t>
      </w: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r>
        <w:rPr>
          <w:rFonts w:ascii="Times New (W1)" w:hAnsi="Times New (W1)"/>
          <w:sz w:val="22"/>
        </w:rPr>
        <w:t>JUDGMENT</w:t>
      </w: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p>
    <w:p w:rsidR="00797919" w:rsidP="00797919" w:rsidRDefault="00797919">
      <w:pPr>
        <w:jc w:val="center"/>
        <w:rPr>
          <w:rFonts w:ascii="Times New (W1)" w:hAnsi="Times New (W1)"/>
          <w:sz w:val="22"/>
        </w:rPr>
      </w:pPr>
      <w:smartTag w:uri="urn:schemas-microsoft-com:office:smarttags" w:element="place">
        <w:smartTag w:uri="urn:schemas-microsoft-com:office:smarttags" w:element="City">
          <w:r>
            <w:rPr>
              <w:rFonts w:ascii="Times New (W1)" w:hAnsi="Times New (W1)"/>
              <w:sz w:val="22"/>
            </w:rPr>
            <w:t>STRASBOURG</w:t>
          </w:r>
        </w:smartTag>
      </w:smartTag>
    </w:p>
    <w:p w:rsidR="00797919" w:rsidP="00797919" w:rsidRDefault="00797919">
      <w:pPr>
        <w:jc w:val="center"/>
        <w:rPr>
          <w:rFonts w:ascii="Times New (W1)" w:hAnsi="Times New (W1)"/>
          <w:sz w:val="22"/>
        </w:rPr>
      </w:pPr>
    </w:p>
    <w:p w:rsidR="00D64433" w:rsidP="00797919" w:rsidRDefault="00D64433">
      <w:pPr>
        <w:jc w:val="center"/>
        <w:rPr>
          <w:rFonts w:ascii="Times New (W1)" w:hAnsi="Times New (W1)"/>
          <w:sz w:val="22"/>
        </w:rPr>
      </w:pPr>
    </w:p>
    <w:p w:rsidR="00797919" w:rsidP="00797919" w:rsidRDefault="00F01472">
      <w:pPr>
        <w:jc w:val="center"/>
        <w:rPr>
          <w:rFonts w:ascii="Times New (W1)" w:hAnsi="Times New (W1)"/>
          <w:sz w:val="22"/>
        </w:rPr>
      </w:pPr>
      <w:r>
        <w:rPr>
          <w:rFonts w:ascii="Times New (W1)" w:hAnsi="Times New (W1)"/>
          <w:sz w:val="22"/>
        </w:rPr>
        <w:t>11 September 2007</w:t>
      </w:r>
    </w:p>
    <w:p w:rsidR="00797919" w:rsidP="00797919" w:rsidRDefault="00797919">
      <w:pPr>
        <w:jc w:val="center"/>
        <w:rPr>
          <w:rFonts w:ascii="Times New (W1)" w:hAnsi="Times New (W1)"/>
          <w:sz w:val="22"/>
        </w:rPr>
      </w:pPr>
    </w:p>
    <w:p w:rsidR="00770931" w:rsidP="00797919" w:rsidRDefault="00770931">
      <w:pPr>
        <w:jc w:val="center"/>
        <w:rPr>
          <w:rFonts w:ascii="Times New (W1)" w:hAnsi="Times New (W1)"/>
          <w:sz w:val="22"/>
        </w:rPr>
      </w:pPr>
    </w:p>
    <w:p w:rsidR="00D64433" w:rsidP="00D64433" w:rsidRDefault="00D64433">
      <w:pPr>
        <w:jc w:val="center"/>
        <w:rPr>
          <w:color w:val="FF0000"/>
        </w:rPr>
      </w:pPr>
    </w:p>
    <w:p w:rsidR="00D64433" w:rsidP="00D64433" w:rsidRDefault="00D64433">
      <w:pPr>
        <w:jc w:val="center"/>
        <w:rPr>
          <w:color w:val="FF0000"/>
        </w:rPr>
      </w:pPr>
    </w:p>
    <w:p w:rsidR="00D64433" w:rsidP="00D64433" w:rsidRDefault="00D64433">
      <w:pPr>
        <w:jc w:val="center"/>
        <w:rPr>
          <w:b/>
          <w:color w:val="FF0000"/>
          <w:sz w:val="36"/>
          <w:u w:val="single"/>
        </w:rPr>
      </w:pPr>
      <w:r>
        <w:rPr>
          <w:b/>
          <w:color w:val="FF0000"/>
          <w:sz w:val="36"/>
          <w:u w:val="single"/>
        </w:rPr>
        <w:t>FINAL</w:t>
      </w:r>
    </w:p>
    <w:p w:rsidR="00D64433" w:rsidP="00D64433" w:rsidRDefault="00D64433">
      <w:pPr>
        <w:jc w:val="center"/>
        <w:rPr>
          <w:color w:val="FF0000"/>
        </w:rPr>
      </w:pPr>
    </w:p>
    <w:p w:rsidR="00D64433" w:rsidP="00D64433" w:rsidRDefault="00D64433">
      <w:pPr>
        <w:jc w:val="center"/>
        <w:rPr>
          <w:color w:val="FF0000"/>
        </w:rPr>
      </w:pPr>
    </w:p>
    <w:p w:rsidR="00D64433" w:rsidP="00D64433" w:rsidRDefault="00D64433">
      <w:pPr>
        <w:jc w:val="center"/>
        <w:rPr>
          <w:i/>
          <w:color w:val="FF0000"/>
          <w:sz w:val="36"/>
        </w:rPr>
      </w:pPr>
      <w:r>
        <w:rPr>
          <w:i/>
          <w:color w:val="FF0000"/>
          <w:sz w:val="36"/>
        </w:rPr>
        <w:t>31/03/2008</w:t>
      </w:r>
    </w:p>
    <w:p w:rsidR="00D64433" w:rsidP="00D64433" w:rsidRDefault="00D64433">
      <w:pPr>
        <w:jc w:val="center"/>
        <w:rPr>
          <w:color w:val="FF0000"/>
        </w:rPr>
      </w:pPr>
      <w:bookmarkStart w:name="OLE_LINK1" w:id="0"/>
      <w:bookmarkStart w:name="OLE_LINK2" w:id="1"/>
      <w:bookmarkStart w:name="_GoBack" w:id="2"/>
      <w:bookmarkEnd w:id="0"/>
      <w:bookmarkEnd w:id="1"/>
      <w:bookmarkEnd w:id="2"/>
    </w:p>
    <w:p w:rsidR="00D64433" w:rsidP="00797919" w:rsidRDefault="00D64433">
      <w:pPr>
        <w:jc w:val="center"/>
        <w:rPr>
          <w:color w:val="FF0000"/>
          <w:sz w:val="28"/>
          <w:szCs w:val="28"/>
        </w:rPr>
      </w:pPr>
    </w:p>
    <w:p w:rsidRPr="00797919" w:rsidR="00947907" w:rsidP="00797919" w:rsidRDefault="00947907">
      <w:pPr>
        <w:jc w:val="both"/>
        <w:rPr>
          <w:rFonts w:ascii="Times New (W1)" w:hAnsi="Times New (W1)"/>
          <w:sz w:val="22"/>
        </w:rPr>
      </w:pPr>
    </w:p>
    <w:p w:rsidR="00797919" w:rsidP="00947907" w:rsidRDefault="00797919">
      <w:pPr>
        <w:pStyle w:val="JuCase"/>
        <w:sectPr w:rsidR="00797919" w:rsidSect="00797919">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Pr="005725AF" w:rsidR="00CD49A7" w:rsidP="00947907" w:rsidRDefault="00CD49A7">
      <w:pPr>
        <w:pStyle w:val="JuCase"/>
      </w:pPr>
      <w:r w:rsidRPr="005725AF">
        <w:t xml:space="preserve">In the case of </w:t>
      </w:r>
      <w:r w:rsidRPr="005725AF" w:rsidR="005725AF">
        <w:t xml:space="preserve">L. v. </w:t>
      </w:r>
      <w:smartTag w:uri="urn:schemas-microsoft-com:office:smarttags" w:element="place">
        <w:smartTag w:uri="urn:schemas-microsoft-com:office:smarttags" w:element="country-region">
          <w:r w:rsidR="005725AF" w:rsidRPr="005725AF">
            <w:t>Lithuania</w:t>
          </w:r>
        </w:smartTag>
      </w:smartTag>
      <w:r w:rsidRPr="005725AF">
        <w:t>,</w:t>
      </w:r>
    </w:p>
    <w:p w:rsidRPr="005725AF" w:rsidR="005803E1" w:rsidP="005803E1" w:rsidRDefault="00CD49A7">
      <w:pPr>
        <w:pStyle w:val="JuPara"/>
      </w:pPr>
      <w:r w:rsidRPr="005725AF">
        <w:t>The European Court of Human Rights</w:t>
      </w:r>
      <w:r w:rsidRPr="005725AF" w:rsidR="005725AF">
        <w:t xml:space="preserve"> (Second Section)</w:t>
      </w:r>
      <w:r w:rsidRPr="005725AF">
        <w:t xml:space="preserve">, sitting as a </w:t>
      </w:r>
      <w:r w:rsidRPr="005725AF" w:rsidR="005725AF">
        <w:t>Chamber</w:t>
      </w:r>
      <w:r w:rsidRPr="005725AF">
        <w:t xml:space="preserve"> </w:t>
      </w:r>
      <w:r w:rsidRPr="005725AF" w:rsidR="005803E1">
        <w:t>composed of:</w:t>
      </w:r>
    </w:p>
    <w:p w:rsidRPr="005725AF" w:rsidR="00CD49A7" w:rsidP="005803E1" w:rsidRDefault="00F4645F">
      <w:pPr>
        <w:pStyle w:val="JuJudges"/>
      </w:pPr>
      <w:r w:rsidRPr="00F4645F">
        <w:tab/>
        <w:t>Jean-Paul</w:t>
      </w:r>
      <w:r>
        <w:t xml:space="preserve"> </w:t>
      </w:r>
      <w:r w:rsidRPr="00F4645F">
        <w:t>Costa</w:t>
      </w:r>
      <w:r>
        <w:t>,</w:t>
      </w:r>
      <w:r w:rsidRPr="00F4645F">
        <w:rPr>
          <w:i/>
        </w:rPr>
        <w:t xml:space="preserve"> President</w:t>
      </w:r>
      <w:r w:rsidRPr="00F4645F">
        <w:t>,</w:t>
      </w:r>
      <w:r>
        <w:rPr>
          <w:i/>
        </w:rPr>
        <w:br/>
      </w:r>
      <w:r w:rsidRPr="00F4645F">
        <w:tab/>
        <w:t>András</w:t>
      </w:r>
      <w:r>
        <w:t xml:space="preserve"> </w:t>
      </w:r>
      <w:r w:rsidRPr="00F4645F">
        <w:t>Baka</w:t>
      </w:r>
      <w:r>
        <w:t>,</w:t>
      </w:r>
      <w:r>
        <w:rPr>
          <w:i/>
        </w:rPr>
        <w:br/>
      </w:r>
      <w:r w:rsidRPr="00F4645F">
        <w:tab/>
        <w:t>Rıza</w:t>
      </w:r>
      <w:r>
        <w:t xml:space="preserve"> </w:t>
      </w:r>
      <w:r w:rsidRPr="00F4645F">
        <w:t>Türmen</w:t>
      </w:r>
      <w:r>
        <w:t>,</w:t>
      </w:r>
      <w:r>
        <w:rPr>
          <w:i/>
        </w:rPr>
        <w:br/>
      </w:r>
      <w:r w:rsidRPr="00F4645F">
        <w:tab/>
        <w:t>Mindia</w:t>
      </w:r>
      <w:r>
        <w:t xml:space="preserve"> </w:t>
      </w:r>
      <w:r w:rsidRPr="00F4645F">
        <w:t>Ugrekhelidze</w:t>
      </w:r>
      <w:r>
        <w:t>,</w:t>
      </w:r>
      <w:r>
        <w:rPr>
          <w:i/>
        </w:rPr>
        <w:br/>
      </w:r>
      <w:r w:rsidRPr="00F4645F">
        <w:tab/>
        <w:t>Elisabet</w:t>
      </w:r>
      <w:r>
        <w:t xml:space="preserve"> </w:t>
      </w:r>
      <w:r w:rsidRPr="00F4645F">
        <w:t>Fura</w:t>
      </w:r>
      <w:r>
        <w:t>-Sandstr</w:t>
      </w:r>
      <w:r w:rsidRPr="00F4645F">
        <w:t>ö</w:t>
      </w:r>
      <w:r>
        <w:t>m,</w:t>
      </w:r>
      <w:r>
        <w:rPr>
          <w:i/>
        </w:rPr>
        <w:br/>
      </w:r>
      <w:r w:rsidRPr="00F4645F">
        <w:tab/>
        <w:t>Danutė</w:t>
      </w:r>
      <w:r>
        <w:t xml:space="preserve"> </w:t>
      </w:r>
      <w:r w:rsidRPr="00F4645F">
        <w:t>Jočienė</w:t>
      </w:r>
      <w:r>
        <w:t>,</w:t>
      </w:r>
      <w:r>
        <w:rPr>
          <w:i/>
        </w:rPr>
        <w:br/>
      </w:r>
      <w:r w:rsidRPr="00F4645F">
        <w:tab/>
        <w:t>Dragoljub</w:t>
      </w:r>
      <w:r>
        <w:t xml:space="preserve"> </w:t>
      </w:r>
      <w:r w:rsidRPr="00F4645F">
        <w:t>Popović</w:t>
      </w:r>
      <w:r>
        <w:t>,</w:t>
      </w:r>
      <w:r w:rsidRPr="00F4645F">
        <w:rPr>
          <w:i/>
        </w:rPr>
        <w:t xml:space="preserve"> judges</w:t>
      </w:r>
      <w:r w:rsidRPr="00F4645F">
        <w:t>,</w:t>
      </w:r>
      <w:r>
        <w:rPr>
          <w:i/>
        </w:rPr>
        <w:br/>
      </w:r>
      <w:r w:rsidRPr="005725AF" w:rsidR="00CD49A7">
        <w:t xml:space="preserve">and </w:t>
      </w:r>
      <w:r>
        <w:t>Sally Dollé</w:t>
      </w:r>
      <w:r w:rsidRPr="005725AF" w:rsidR="00CD49A7">
        <w:t xml:space="preserve">, </w:t>
      </w:r>
      <w:r>
        <w:rPr>
          <w:i/>
        </w:rPr>
        <w:t>Section Registr</w:t>
      </w:r>
      <w:r w:rsidRPr="005725AF" w:rsidR="005725AF">
        <w:rPr>
          <w:i/>
        </w:rPr>
        <w:t>ar</w:t>
      </w:r>
      <w:r w:rsidRPr="005725AF" w:rsidR="00CD49A7">
        <w:t>,</w:t>
      </w:r>
    </w:p>
    <w:p w:rsidRPr="005725AF" w:rsidR="00CD49A7" w:rsidRDefault="00CD49A7">
      <w:pPr>
        <w:pStyle w:val="JuPara"/>
      </w:pPr>
      <w:r w:rsidRPr="005725AF">
        <w:t xml:space="preserve">Having deliberated in private on </w:t>
      </w:r>
      <w:r w:rsidR="00401BC8">
        <w:t>17 October 2006</w:t>
      </w:r>
      <w:r w:rsidRPr="005725AF" w:rsidR="00401BC8">
        <w:t xml:space="preserve"> </w:t>
      </w:r>
      <w:r w:rsidRPr="005725AF">
        <w:t xml:space="preserve">and </w:t>
      </w:r>
      <w:r w:rsidR="008439FF">
        <w:t>3 July</w:t>
      </w:r>
      <w:r w:rsidR="00401BC8">
        <w:t xml:space="preserve"> 2007</w:t>
      </w:r>
      <w:r w:rsidRPr="005725AF">
        <w:t>,</w:t>
      </w:r>
    </w:p>
    <w:p w:rsidRPr="005725AF" w:rsidR="00CD49A7" w:rsidRDefault="00CD49A7">
      <w:pPr>
        <w:pStyle w:val="JuPara"/>
      </w:pPr>
      <w:r w:rsidRPr="005725AF">
        <w:t>Delivers the following judgment, which was adopt</w:t>
      </w:r>
      <w:r w:rsidR="0034657D">
        <w:t>ed on the last-</w:t>
      </w:r>
      <w:r w:rsidRPr="005725AF">
        <w:t>mentioned date:</w:t>
      </w:r>
    </w:p>
    <w:p w:rsidRPr="005725AF" w:rsidR="00CD49A7" w:rsidRDefault="00CD49A7">
      <w:pPr>
        <w:pStyle w:val="JuHHead"/>
      </w:pPr>
      <w:r w:rsidRPr="005725AF">
        <w:t>PROCEDURE</w:t>
      </w:r>
    </w:p>
    <w:p w:rsidRPr="005725AF" w:rsidR="00CD49A7" w:rsidP="00085109" w:rsidRDefault="000C2CB8">
      <w:pPr>
        <w:pStyle w:val="JuPara"/>
      </w:pPr>
      <w:r>
        <w:fldChar w:fldCharType="begin"/>
      </w:r>
      <w:r>
        <w:instrText xml:space="preserve"> SEQ level0 \*arabic </w:instrText>
      </w:r>
      <w:r>
        <w:fldChar w:fldCharType="separate"/>
      </w:r>
      <w:r w:rsidR="00F03FB1">
        <w:rPr>
          <w:noProof/>
        </w:rPr>
        <w:t>1</w:t>
      </w:r>
      <w:r>
        <w:fldChar w:fldCharType="end"/>
      </w:r>
      <w:r>
        <w:t>.  </w:t>
      </w:r>
      <w:r w:rsidRPr="005725AF" w:rsidR="00CD49A7">
        <w:t xml:space="preserve">The case originated in </w:t>
      </w:r>
      <w:r w:rsidRPr="005725AF" w:rsidR="005725AF">
        <w:t>an application (no. 27527/03)</w:t>
      </w:r>
      <w:r w:rsidRPr="005725AF" w:rsidR="00CD49A7">
        <w:t xml:space="preserve"> against </w:t>
      </w:r>
      <w:r w:rsidRPr="005725AF" w:rsidR="005725AF">
        <w:t xml:space="preserve">the </w:t>
      </w:r>
      <w:smartTag w:uri="urn:schemas-microsoft-com:office:smarttags" w:element="place">
        <w:smartTag w:uri="urn:schemas-microsoft-com:office:smarttags" w:element="PlaceType">
          <w:r w:rsidR="005725AF" w:rsidRPr="005725AF">
            <w:t>Republic</w:t>
          </w:r>
        </w:smartTag>
        <w:r w:rsidR="005725AF" w:rsidRPr="005725AF">
          <w:t xml:space="preserve"> of </w:t>
        </w:r>
        <w:smartTag w:uri="urn:schemas-microsoft-com:office:smarttags" w:element="PlaceName">
          <w:r w:rsidR="005725AF" w:rsidRPr="005725AF">
            <w:t>Lit</w:t>
          </w:r>
          <w:r w:rsidR="00C1345B">
            <w:t>h</w:t>
          </w:r>
          <w:r w:rsidR="005725AF" w:rsidRPr="005725AF">
            <w:t>uania</w:t>
          </w:r>
        </w:smartTag>
      </w:smartTag>
      <w:r w:rsidRPr="005725AF" w:rsidR="00CD49A7">
        <w:t xml:space="preserve"> lodged with the </w:t>
      </w:r>
      <w:r w:rsidRPr="005725AF" w:rsidR="005725AF">
        <w:t>Court under Article 34</w:t>
      </w:r>
      <w:r w:rsidRPr="005725AF" w:rsidR="00CD49A7">
        <w:t xml:space="preserve"> of the Convention for the Protection of Human Rights and Fundamental Freedoms (“the Convention”) by </w:t>
      </w:r>
      <w:r w:rsidR="00D55646">
        <w:t xml:space="preserve">a Lithuanian national, </w:t>
      </w:r>
      <w:r w:rsidR="00C1345B">
        <w:t>Mr L</w:t>
      </w:r>
      <w:r w:rsidRPr="005725AF" w:rsidR="00CD49A7">
        <w:t>.</w:t>
      </w:r>
      <w:r w:rsidR="00A67E68">
        <w:t xml:space="preserve"> (“the applicant”)</w:t>
      </w:r>
      <w:r w:rsidR="00AA6845">
        <w:t>, on 14 </w:t>
      </w:r>
      <w:r w:rsidR="00D55646">
        <w:t>August 2003.</w:t>
      </w:r>
      <w:r w:rsidR="00EB4396">
        <w:t xml:space="preserve"> </w:t>
      </w:r>
      <w:r w:rsidRPr="005725AF" w:rsidR="005725AF">
        <w:t>The President of the Chamber acceded to the applicant</w:t>
      </w:r>
      <w:r w:rsidR="00C86D12">
        <w:t>’</w:t>
      </w:r>
      <w:r w:rsidRPr="005725AF" w:rsidR="005725AF">
        <w:t>s request not to have his name disclosed (Rule 47 § 3 of the Rules of Court).</w:t>
      </w:r>
    </w:p>
    <w:p w:rsidR="006A120B" w:rsidRDefault="005725AF">
      <w:pPr>
        <w:pStyle w:val="JuPara"/>
      </w:pPr>
      <w:r w:rsidRPr="005725AF">
        <w:fldChar w:fldCharType="begin"/>
      </w:r>
      <w:r w:rsidRPr="005725AF">
        <w:instrText xml:space="preserve"> SEQ level0 \*arabic </w:instrText>
      </w:r>
      <w:r w:rsidRPr="005725AF">
        <w:fldChar w:fldCharType="separate"/>
      </w:r>
      <w:r w:rsidR="00F03FB1">
        <w:rPr>
          <w:noProof/>
        </w:rPr>
        <w:t>2</w:t>
      </w:r>
      <w:r w:rsidRPr="005725AF">
        <w:fldChar w:fldCharType="end"/>
      </w:r>
      <w:r w:rsidRPr="005725AF" w:rsidR="00CD49A7">
        <w:t>.  </w:t>
      </w:r>
      <w:r w:rsidR="008E1279">
        <w:t xml:space="preserve">The applicant alleged </w:t>
      </w:r>
      <w:r w:rsidR="0034657D">
        <w:t>violations of Articles 3, 8, 12</w:t>
      </w:r>
      <w:r w:rsidR="008E1279">
        <w:t xml:space="preserve"> and 14 of the Convention in respect of the lack of legal regulation regarding transsexuals in Lithuania, and particularly the absence of </w:t>
      </w:r>
      <w:r w:rsidR="00954AA9">
        <w:t xml:space="preserve">any </w:t>
      </w:r>
      <w:r w:rsidR="008E1279">
        <w:t>l</w:t>
      </w:r>
      <w:r w:rsidR="00084069">
        <w:t>awfu</w:t>
      </w:r>
      <w:r w:rsidR="008E1279">
        <w:t xml:space="preserve">l possibility </w:t>
      </w:r>
      <w:r w:rsidR="00D55646">
        <w:t xml:space="preserve">of </w:t>
      </w:r>
      <w:r w:rsidR="008E1279">
        <w:t>undergo</w:t>
      </w:r>
      <w:r w:rsidR="00AC5ADC">
        <w:t>ing</w:t>
      </w:r>
      <w:r w:rsidR="008E1279">
        <w:t xml:space="preserve"> full </w:t>
      </w:r>
      <w:r w:rsidR="0034657D">
        <w:t xml:space="preserve">gender </w:t>
      </w:r>
      <w:r w:rsidR="002E64A3">
        <w:t>reassignment</w:t>
      </w:r>
      <w:r w:rsidR="008E1279">
        <w:t xml:space="preserve"> </w:t>
      </w:r>
      <w:r w:rsidR="00200453">
        <w:t>surgery</w:t>
      </w:r>
      <w:r w:rsidR="008E1279">
        <w:t>,</w:t>
      </w:r>
      <w:r w:rsidR="00200453">
        <w:t xml:space="preserve"> which in turn </w:t>
      </w:r>
      <w:r w:rsidR="00D55646">
        <w:t xml:space="preserve">had </w:t>
      </w:r>
      <w:r w:rsidR="00200453">
        <w:t>resulted in other hardships and inconveniences.</w:t>
      </w:r>
    </w:p>
    <w:p w:rsidR="00CD49A7" w:rsidRDefault="005725AF">
      <w:pPr>
        <w:pStyle w:val="JuPara"/>
      </w:pPr>
      <w:r w:rsidRPr="005725AF">
        <w:fldChar w:fldCharType="begin"/>
      </w:r>
      <w:r w:rsidRPr="005725AF">
        <w:instrText xml:space="preserve"> SEQ level0 \*arabic </w:instrText>
      </w:r>
      <w:r w:rsidRPr="005725AF">
        <w:fldChar w:fldCharType="separate"/>
      </w:r>
      <w:r w:rsidR="00F03FB1">
        <w:rPr>
          <w:noProof/>
        </w:rPr>
        <w:t>3</w:t>
      </w:r>
      <w:r w:rsidRPr="005725AF">
        <w:fldChar w:fldCharType="end"/>
      </w:r>
      <w:r w:rsidRPr="005725AF">
        <w:t>.  By a decision of 6 July 2006</w:t>
      </w:r>
      <w:r w:rsidR="0034657D">
        <w:t>,</w:t>
      </w:r>
      <w:r w:rsidRPr="005725AF">
        <w:t xml:space="preserve"> the </w:t>
      </w:r>
      <w:r w:rsidR="00DA6101">
        <w:t>Court declared the application partly</w:t>
      </w:r>
      <w:r w:rsidRPr="005725AF">
        <w:t xml:space="preserve"> admissible.</w:t>
      </w:r>
    </w:p>
    <w:p w:rsidRPr="005725AF" w:rsidR="00CD49A7" w:rsidRDefault="005725AF">
      <w:pPr>
        <w:pStyle w:val="JuPara"/>
      </w:pPr>
      <w:r w:rsidRPr="005725AF">
        <w:fldChar w:fldCharType="begin"/>
      </w:r>
      <w:r w:rsidRPr="005725AF">
        <w:instrText xml:space="preserve"> SEQ level0 \*arabic </w:instrText>
      </w:r>
      <w:r w:rsidRPr="005725AF">
        <w:fldChar w:fldCharType="separate"/>
      </w:r>
      <w:r w:rsidR="00F03FB1">
        <w:rPr>
          <w:noProof/>
        </w:rPr>
        <w:t>4</w:t>
      </w:r>
      <w:r w:rsidRPr="005725AF">
        <w:fldChar w:fldCharType="end"/>
      </w:r>
      <w:r w:rsidRPr="005725AF" w:rsidR="00CD49A7">
        <w:t xml:space="preserve">.  A hearing </w:t>
      </w:r>
      <w:r w:rsidR="00954AA9">
        <w:t xml:space="preserve">on the merits </w:t>
      </w:r>
      <w:r w:rsidRPr="005725AF" w:rsidR="00CD49A7">
        <w:t xml:space="preserve">took place in public in the </w:t>
      </w:r>
      <w:smartTag w:uri="urn:schemas-microsoft-com:office:smarttags" w:element="PlaceName">
        <w:r w:rsidR="00CD49A7" w:rsidRPr="005725AF">
          <w:t>Human</w:t>
        </w:r>
      </w:smartTag>
      <w:r w:rsidRPr="005725AF" w:rsidR="00CD49A7">
        <w:t xml:space="preserve"> </w:t>
      </w:r>
      <w:smartTag w:uri="urn:schemas-microsoft-com:office:smarttags" w:element="PlaceName">
        <w:r w:rsidR="00CD49A7" w:rsidRPr="005725AF">
          <w:t>Rights</w:t>
        </w:r>
      </w:smartTag>
      <w:r w:rsidRPr="005725AF" w:rsidR="00CD49A7">
        <w:t xml:space="preserve"> </w:t>
      </w:r>
      <w:smartTag w:uri="urn:schemas-microsoft-com:office:smarttags" w:element="PlaceType">
        <w:r w:rsidR="00CD49A7" w:rsidRPr="005725AF">
          <w:t>Building</w:t>
        </w:r>
      </w:smartTag>
      <w:r w:rsidRPr="005725AF" w:rsidR="00CD49A7">
        <w:t xml:space="preserve">, </w:t>
      </w:r>
      <w:smartTag w:uri="urn:schemas-microsoft-com:office:smarttags" w:element="place">
        <w:smartTag w:uri="urn:schemas-microsoft-com:office:smarttags" w:element="City">
          <w:r w:rsidR="00CD49A7" w:rsidRPr="005725AF">
            <w:t>Strasbourg</w:t>
          </w:r>
        </w:smartTag>
      </w:smartTag>
      <w:r w:rsidRPr="005725AF" w:rsidR="00CD49A7">
        <w:t xml:space="preserve">, on </w:t>
      </w:r>
      <w:r w:rsidR="00DA6101">
        <w:t>17 October 2006</w:t>
      </w:r>
      <w:r w:rsidRPr="005725AF" w:rsidR="00CD49A7">
        <w:t xml:space="preserve"> (Rule 59 § 3).</w:t>
      </w:r>
    </w:p>
    <w:p w:rsidR="0034657D" w:rsidP="00F92A55" w:rsidRDefault="0034657D">
      <w:pPr>
        <w:pStyle w:val="JuPara"/>
        <w:keepNext/>
        <w:keepLines/>
      </w:pPr>
    </w:p>
    <w:p w:rsidRPr="005725AF" w:rsidR="00CD49A7" w:rsidP="00F92A55" w:rsidRDefault="00CD49A7">
      <w:pPr>
        <w:pStyle w:val="JuPara"/>
        <w:keepNext/>
        <w:keepLines/>
      </w:pPr>
      <w:r w:rsidRPr="005725AF">
        <w:t>There appeared before the Court:</w:t>
      </w:r>
    </w:p>
    <w:p w:rsidR="00763796" w:rsidP="00F92A55" w:rsidRDefault="00CD49A7">
      <w:pPr>
        <w:pStyle w:val="JuCourt"/>
        <w:keepLines/>
      </w:pPr>
      <w:r w:rsidRPr="005725AF">
        <w:t>(a)  </w:t>
      </w:r>
      <w:r w:rsidRPr="005725AF">
        <w:rPr>
          <w:i/>
        </w:rPr>
        <w:t>for the Government</w:t>
      </w:r>
      <w:r w:rsidR="00763796">
        <w:br/>
        <w:t>M</w:t>
      </w:r>
      <w:r w:rsidR="00013D98">
        <w:t>s</w:t>
      </w:r>
      <w:r w:rsidRPr="005725AF">
        <w:tab/>
      </w:r>
      <w:smartTag w:uri="urn:schemas-microsoft-com:office:smarttags" w:element="place">
        <w:r w:rsidR="00013D98">
          <w:rPr>
            <w:rStyle w:val="JuNames"/>
          </w:rPr>
          <w:t>E. Baltutytė</w:t>
        </w:r>
      </w:smartTag>
      <w:r w:rsidRPr="005725AF">
        <w:t xml:space="preserve">, </w:t>
      </w:r>
      <w:r w:rsidR="00F01472">
        <w:tab/>
      </w:r>
      <w:r w:rsidRPr="005725AF">
        <w:rPr>
          <w:i/>
        </w:rPr>
        <w:t>Agent</w:t>
      </w:r>
      <w:r w:rsidR="00954AA9">
        <w:rPr>
          <w:i/>
        </w:rPr>
        <w:t>,</w:t>
      </w:r>
      <w:r w:rsidRPr="005725AF">
        <w:br/>
        <w:t>M</w:t>
      </w:r>
      <w:r w:rsidR="00763796">
        <w:t>s</w:t>
      </w:r>
      <w:r w:rsidRPr="005725AF">
        <w:tab/>
      </w:r>
      <w:r w:rsidR="00763796">
        <w:rPr>
          <w:rStyle w:val="JuNames"/>
        </w:rPr>
        <w:t>L.</w:t>
      </w:r>
      <w:r w:rsidR="00172D41">
        <w:t xml:space="preserve"> </w:t>
      </w:r>
      <w:r w:rsidRPr="00172D41" w:rsidR="00172D41">
        <w:rPr>
          <w:rStyle w:val="JuNames"/>
        </w:rPr>
        <w:t>Urbaitė</w:t>
      </w:r>
      <w:r w:rsidR="00763796">
        <w:t xml:space="preserve">, </w:t>
      </w:r>
      <w:r w:rsidR="00F01472">
        <w:tab/>
      </w:r>
      <w:r w:rsidRPr="00763796" w:rsidR="00763796">
        <w:rPr>
          <w:i/>
        </w:rPr>
        <w:t>Assistant to the Agent</w:t>
      </w:r>
      <w:r w:rsidRPr="005725AF">
        <w:t>;</w:t>
      </w:r>
    </w:p>
    <w:p w:rsidR="00954AA9" w:rsidP="006F66DB" w:rsidRDefault="00CD49A7">
      <w:pPr>
        <w:pStyle w:val="JuCourt"/>
        <w:keepLines/>
        <w:rPr>
          <w:i/>
        </w:rPr>
      </w:pPr>
      <w:r w:rsidRPr="005725AF">
        <w:t>(b)  </w:t>
      </w:r>
      <w:r w:rsidRPr="005725AF">
        <w:rPr>
          <w:i/>
        </w:rPr>
        <w:t xml:space="preserve">for the </w:t>
      </w:r>
      <w:r w:rsidRPr="005725AF" w:rsidR="005725AF">
        <w:rPr>
          <w:i/>
        </w:rPr>
        <w:t>applicant</w:t>
      </w:r>
      <w:r w:rsidR="00763796">
        <w:br/>
        <w:t>Mr</w:t>
      </w:r>
      <w:r w:rsidRPr="005725AF">
        <w:tab/>
      </w:r>
      <w:r w:rsidR="00763796">
        <w:rPr>
          <w:rStyle w:val="JuNames"/>
        </w:rPr>
        <w:t xml:space="preserve">H. </w:t>
      </w:r>
      <w:r w:rsidRPr="00172D41" w:rsidR="00172D41">
        <w:rPr>
          <w:rStyle w:val="JuNames"/>
        </w:rPr>
        <w:t>Mickevičius</w:t>
      </w:r>
      <w:r w:rsidRPr="005725AF">
        <w:t xml:space="preserve">, </w:t>
      </w:r>
      <w:r w:rsidR="00F01472">
        <w:tab/>
      </w:r>
      <w:r w:rsidRPr="005725AF">
        <w:rPr>
          <w:i/>
        </w:rPr>
        <w:t>Counsel</w:t>
      </w:r>
      <w:r w:rsidR="00763796">
        <w:rPr>
          <w:i/>
        </w:rPr>
        <w:t>,</w:t>
      </w:r>
      <w:r w:rsidR="00763796">
        <w:br/>
      </w:r>
      <w:r w:rsidRPr="005725AF">
        <w:t>M</w:t>
      </w:r>
      <w:r w:rsidR="00763796">
        <w:t>s</w:t>
      </w:r>
      <w:r w:rsidRPr="005725AF">
        <w:tab/>
      </w:r>
      <w:r w:rsidR="00763796">
        <w:rPr>
          <w:rStyle w:val="JuNames"/>
        </w:rPr>
        <w:t>A. Radvilaitė</w:t>
      </w:r>
      <w:r w:rsidRPr="005725AF">
        <w:t xml:space="preserve">, </w:t>
      </w:r>
      <w:r w:rsidR="00F01472">
        <w:tab/>
      </w:r>
      <w:r w:rsidRPr="00763796" w:rsidR="00763796">
        <w:rPr>
          <w:i/>
        </w:rPr>
        <w:t>Assistant</w:t>
      </w:r>
      <w:r w:rsidR="006F66DB">
        <w:rPr>
          <w:i/>
        </w:rPr>
        <w:t xml:space="preserve"> to Coun</w:t>
      </w:r>
      <w:r w:rsidR="00393D9B">
        <w:rPr>
          <w:i/>
        </w:rPr>
        <w:t>sel</w:t>
      </w:r>
      <w:r w:rsidR="006F66DB">
        <w:rPr>
          <w:i/>
        </w:rPr>
        <w:t>.</w:t>
      </w:r>
    </w:p>
    <w:p w:rsidRPr="005725AF" w:rsidR="00CD49A7" w:rsidP="00152E80" w:rsidRDefault="006F66DB">
      <w:pPr>
        <w:pStyle w:val="JuPara"/>
      </w:pPr>
      <w:r>
        <w:t xml:space="preserve">The Court heard addresses by </w:t>
      </w:r>
      <w:r w:rsidRPr="005725AF" w:rsidR="00CD49A7">
        <w:t xml:space="preserve">Mr </w:t>
      </w:r>
      <w:r>
        <w:t>Mickevičius an</w:t>
      </w:r>
      <w:r w:rsidR="006124F4">
        <w:t>d M</w:t>
      </w:r>
      <w:r w:rsidR="001F01A0">
        <w:t>s Baltutytė, as well as</w:t>
      </w:r>
      <w:r w:rsidR="006124F4">
        <w:t xml:space="preserve"> replies </w:t>
      </w:r>
      <w:r w:rsidR="001F01A0">
        <w:t xml:space="preserve">by </w:t>
      </w:r>
      <w:r w:rsidRPr="005725AF" w:rsidR="001F01A0">
        <w:t>Mr</w:t>
      </w:r>
      <w:r w:rsidR="00144364">
        <w:t xml:space="preserve"> </w:t>
      </w:r>
      <w:r w:rsidR="001F01A0">
        <w:t>Mickevičius, Ms Baltutytė and Ms Urbaitė</w:t>
      </w:r>
      <w:r w:rsidR="00D55646">
        <w:t xml:space="preserve"> to questions from its members</w:t>
      </w:r>
      <w:r w:rsidR="00697317">
        <w:t>.</w:t>
      </w:r>
    </w:p>
    <w:p w:rsidRPr="005725AF" w:rsidR="00CD49A7" w:rsidP="00F92A55" w:rsidRDefault="00CD49A7">
      <w:pPr>
        <w:pStyle w:val="JuHHead"/>
      </w:pPr>
      <w:r w:rsidRPr="005725AF">
        <w:t>THE FACTS</w:t>
      </w:r>
    </w:p>
    <w:p w:rsidRPr="005725AF" w:rsidR="00CD49A7" w:rsidP="00F92A55" w:rsidRDefault="00CD49A7">
      <w:pPr>
        <w:pStyle w:val="JuHIRoman"/>
      </w:pPr>
      <w:r w:rsidRPr="005725AF">
        <w:t>I.  THE CIRCUMSTANCES OF THE CASE</w:t>
      </w:r>
    </w:p>
    <w:p w:rsidRPr="005725AF" w:rsidR="00CD49A7" w:rsidP="00F92A55" w:rsidRDefault="00954AA9">
      <w:pPr>
        <w:pStyle w:val="JuPara"/>
        <w:keepNext/>
        <w:keepLines/>
      </w:pPr>
      <w:r>
        <w:fldChar w:fldCharType="begin"/>
      </w:r>
      <w:r>
        <w:instrText xml:space="preserve"> SEQ level0 \*arabic </w:instrText>
      </w:r>
      <w:r>
        <w:fldChar w:fldCharType="separate"/>
      </w:r>
      <w:r w:rsidR="00F03FB1">
        <w:rPr>
          <w:noProof/>
        </w:rPr>
        <w:t>5</w:t>
      </w:r>
      <w:r>
        <w:fldChar w:fldCharType="end"/>
      </w:r>
      <w:r>
        <w:t>.  </w:t>
      </w:r>
      <w:r w:rsidRPr="005725AF" w:rsidR="00CD49A7">
        <w:t xml:space="preserve">The </w:t>
      </w:r>
      <w:r w:rsidRPr="005725AF" w:rsidR="005725AF">
        <w:t xml:space="preserve">applicant was born in </w:t>
      </w:r>
      <w:r w:rsidR="006F66DB">
        <w:t>1978</w:t>
      </w:r>
      <w:r w:rsidRPr="005725AF" w:rsidR="005725AF">
        <w:t xml:space="preserve"> and lives</w:t>
      </w:r>
      <w:r w:rsidRPr="005725AF" w:rsidR="00CD49A7">
        <w:t xml:space="preserve"> in </w:t>
      </w:r>
      <w:smartTag w:uri="urn:schemas-microsoft-com:office:smarttags" w:element="place">
        <w:smartTag w:uri="urn:schemas-microsoft-com:office:smarttags" w:element="City">
          <w:r w:rsidR="006F66DB">
            <w:t>Klaipėda</w:t>
          </w:r>
        </w:smartTag>
      </w:smartTag>
      <w:r w:rsidRPr="005725AF" w:rsidR="00CD49A7">
        <w:t>.</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6</w:t>
      </w:r>
      <w:r>
        <w:fldChar w:fldCharType="end"/>
      </w:r>
      <w:r>
        <w:t>.  </w:t>
      </w:r>
      <w:r w:rsidRPr="00A54170" w:rsidR="006F66DB">
        <w:t>At birth the applicant was registered as a girl with a clearly female name under the rules of the Lithuanian language.</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7</w:t>
      </w:r>
      <w:r>
        <w:fldChar w:fldCharType="end"/>
      </w:r>
      <w:r>
        <w:t>.  </w:t>
      </w:r>
      <w:r w:rsidRPr="00A54170" w:rsidR="006F66DB">
        <w:t>The applicant submit</w:t>
      </w:r>
      <w:r w:rsidR="00EB4C2D">
        <w:t>ted</w:t>
      </w:r>
      <w:r w:rsidRPr="00A54170" w:rsidR="006F66DB">
        <w:t xml:space="preserve"> that from an early age he </w:t>
      </w:r>
      <w:r w:rsidR="00EB4C2D">
        <w:t xml:space="preserve">had </w:t>
      </w:r>
      <w:r w:rsidRPr="00A54170" w:rsidR="006F66DB">
        <w:t>bec</w:t>
      </w:r>
      <w:r w:rsidR="00EB4C2D">
        <w:t>o</w:t>
      </w:r>
      <w:r w:rsidRPr="00A54170" w:rsidR="006F66DB">
        <w:t xml:space="preserve">me aware </w:t>
      </w:r>
      <w:r w:rsidR="00D55646">
        <w:t>that</w:t>
      </w:r>
      <w:r w:rsidRPr="00A54170" w:rsidR="00D55646">
        <w:t xml:space="preserve"> </w:t>
      </w:r>
      <w:r w:rsidRPr="00A54170" w:rsidR="006F66DB">
        <w:t xml:space="preserve">his </w:t>
      </w:r>
      <w:r w:rsidR="00A67E68">
        <w:t>“</w:t>
      </w:r>
      <w:r w:rsidRPr="00A54170" w:rsidR="006F66DB">
        <w:t>mental sex</w:t>
      </w:r>
      <w:r w:rsidR="00A67E68">
        <w:t>”</w:t>
      </w:r>
      <w:r w:rsidRPr="00D55646" w:rsidR="00D55646">
        <w:t xml:space="preserve"> </w:t>
      </w:r>
      <w:r w:rsidR="00D55646">
        <w:t xml:space="preserve">was </w:t>
      </w:r>
      <w:r w:rsidRPr="00A54170" w:rsidR="00D55646">
        <w:t>male</w:t>
      </w:r>
      <w:r w:rsidRPr="00A54170" w:rsidR="006F66DB">
        <w:t>, thus acknowledging the conflict between his mental and genital gender.</w:t>
      </w:r>
    </w:p>
    <w:p w:rsidR="006F66DB" w:rsidP="006F66DB" w:rsidRDefault="00954AA9">
      <w:pPr>
        <w:pStyle w:val="JuPara"/>
      </w:pPr>
      <w:r>
        <w:fldChar w:fldCharType="begin"/>
      </w:r>
      <w:r>
        <w:instrText xml:space="preserve"> SEQ level0 \*arabic </w:instrText>
      </w:r>
      <w:r>
        <w:fldChar w:fldCharType="separate"/>
      </w:r>
      <w:r w:rsidR="00F03FB1">
        <w:rPr>
          <w:noProof/>
        </w:rPr>
        <w:t>8</w:t>
      </w:r>
      <w:r>
        <w:fldChar w:fldCharType="end"/>
      </w:r>
      <w:r>
        <w:t>.  </w:t>
      </w:r>
      <w:r w:rsidRPr="00A54170" w:rsidR="006F66DB">
        <w:t>On 18 May 1997 the applicant consulted a microsurgeon about the possib</w:t>
      </w:r>
      <w:r w:rsidR="00784463">
        <w:t xml:space="preserve">ilities of </w:t>
      </w:r>
      <w:r w:rsidR="002E64A3">
        <w:t>gender</w:t>
      </w:r>
      <w:r w:rsidR="003B29B7">
        <w:t xml:space="preserve"> </w:t>
      </w:r>
      <w:r w:rsidR="002E64A3">
        <w:t>reassignment</w:t>
      </w:r>
      <w:r w:rsidRPr="00A54170" w:rsidR="006F66DB">
        <w:t xml:space="preserve">. The doctor proposed that the applicant </w:t>
      </w:r>
      <w:r w:rsidR="00784463">
        <w:t xml:space="preserve">first </w:t>
      </w:r>
      <w:r w:rsidRPr="00A54170" w:rsidR="006F66DB">
        <w:t>consult a psych</w:t>
      </w:r>
      <w:r w:rsidR="00784463">
        <w:t>iatrist</w:t>
      </w:r>
      <w:r w:rsidRPr="00A54170" w:rsidR="006F66DB">
        <w:t>.</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9</w:t>
      </w:r>
      <w:r>
        <w:fldChar w:fldCharType="end"/>
      </w:r>
      <w:r>
        <w:t>.  </w:t>
      </w:r>
      <w:r w:rsidRPr="00A54170" w:rsidR="006F66DB">
        <w:t xml:space="preserve">From 4 to 12 November 1997 the applicant attended </w:t>
      </w:r>
      <w:smartTag w:uri="urn:schemas-microsoft-com:office:smarttags" w:element="place">
        <w:smartTag w:uri="urn:schemas-microsoft-com:office:smarttags" w:element="PlaceName">
          <w:r w:rsidR="006F66DB" w:rsidRPr="00A54170">
            <w:t>Vilnius</w:t>
          </w:r>
        </w:smartTag>
        <w:r w:rsidR="006F66DB" w:rsidRPr="00A54170">
          <w:t xml:space="preserve"> </w:t>
        </w:r>
        <w:smartTag w:uri="urn:schemas-microsoft-com:office:smarttags" w:element="PlaceType">
          <w:r w:rsidR="006F66DB" w:rsidRPr="00A54170">
            <w:t>Psychiatric Hospital</w:t>
          </w:r>
        </w:smartTag>
      </w:smartTag>
      <w:r w:rsidRPr="00A54170" w:rsidR="006F66DB">
        <w:t xml:space="preserve"> for tests on his physical and psychological condition.</w:t>
      </w:r>
    </w:p>
    <w:p w:rsidR="00784463" w:rsidP="00784463" w:rsidRDefault="00954AA9">
      <w:pPr>
        <w:pStyle w:val="JuPara"/>
      </w:pPr>
      <w:r>
        <w:fldChar w:fldCharType="begin"/>
      </w:r>
      <w:r>
        <w:instrText xml:space="preserve"> SEQ level0 \*arabic </w:instrText>
      </w:r>
      <w:r>
        <w:fldChar w:fldCharType="separate"/>
      </w:r>
      <w:r w:rsidR="00F03FB1">
        <w:rPr>
          <w:noProof/>
        </w:rPr>
        <w:t>10</w:t>
      </w:r>
      <w:r>
        <w:fldChar w:fldCharType="end"/>
      </w:r>
      <w:r>
        <w:t>.  </w:t>
      </w:r>
      <w:r w:rsidRPr="00A54170" w:rsidR="006F66DB">
        <w:t xml:space="preserve">On 16 December 1997 a doctor at the Vilnius University </w:t>
      </w:r>
      <w:r w:rsidRPr="00A54170" w:rsidR="00784463">
        <w:t>Hospital</w:t>
      </w:r>
      <w:r w:rsidR="00784463">
        <w:t xml:space="preserve"> of</w:t>
      </w:r>
      <w:r w:rsidRPr="00A54170" w:rsidR="00784463">
        <w:t xml:space="preserve"> </w:t>
      </w:r>
      <w:r w:rsidRPr="00A54170" w:rsidR="006F66DB">
        <w:t>Santariškės confirmed the applicant</w:t>
      </w:r>
      <w:r w:rsidR="00C86D12">
        <w:t>’</w:t>
      </w:r>
      <w:r w:rsidRPr="00A54170" w:rsidR="006F66DB">
        <w:t>s chromosomal sex as female, and dia</w:t>
      </w:r>
      <w:r w:rsidR="00784463">
        <w:t>gnosed him as a transsexual. Th</w:t>
      </w:r>
      <w:r w:rsidR="006107B2">
        <w:t>e</w:t>
      </w:r>
      <w:r w:rsidRPr="00A54170" w:rsidR="006F66DB">
        <w:t xml:space="preserve"> doctor </w:t>
      </w:r>
      <w:r w:rsidR="00784463">
        <w:t xml:space="preserve">also </w:t>
      </w:r>
      <w:r w:rsidRPr="00A54170" w:rsidR="006F66DB">
        <w:t xml:space="preserve">advised that the applicant consult </w:t>
      </w:r>
      <w:r w:rsidRPr="00A54170" w:rsidR="00784463">
        <w:t>a psych</w:t>
      </w:r>
      <w:r w:rsidR="00784463">
        <w:t>iatrist</w:t>
      </w:r>
      <w:r w:rsidRPr="00A54170" w:rsidR="00784463">
        <w:t>.</w:t>
      </w:r>
    </w:p>
    <w:p w:rsidR="006A120B" w:rsidP="006F66DB" w:rsidRDefault="00954AA9">
      <w:pPr>
        <w:pStyle w:val="JuPara"/>
      </w:pPr>
      <w:r>
        <w:fldChar w:fldCharType="begin"/>
      </w:r>
      <w:r>
        <w:instrText xml:space="preserve"> SEQ level0 \*arabic </w:instrText>
      </w:r>
      <w:r>
        <w:fldChar w:fldCharType="separate"/>
      </w:r>
      <w:r w:rsidR="00F03FB1">
        <w:rPr>
          <w:noProof/>
        </w:rPr>
        <w:t>11</w:t>
      </w:r>
      <w:r>
        <w:fldChar w:fldCharType="end"/>
      </w:r>
      <w:r>
        <w:t>.  </w:t>
      </w:r>
      <w:r w:rsidRPr="00A54170" w:rsidR="006F66DB">
        <w:t xml:space="preserve">On 23 January 1998 the Vilnius University </w:t>
      </w:r>
      <w:r w:rsidRPr="00A54170" w:rsidR="00784463">
        <w:t xml:space="preserve">Hospital </w:t>
      </w:r>
      <w:r w:rsidR="00784463">
        <w:t xml:space="preserve">of </w:t>
      </w:r>
      <w:r w:rsidRPr="00A54170" w:rsidR="006F66DB">
        <w:t xml:space="preserve">Raudonasis Kryžius opened </w:t>
      </w:r>
      <w:r w:rsidR="00784463">
        <w:t>a</w:t>
      </w:r>
      <w:r w:rsidRPr="00A54170" w:rsidR="006F66DB">
        <w:t xml:space="preserve"> medical file</w:t>
      </w:r>
      <w:r w:rsidRPr="00784463" w:rsidR="00784463">
        <w:t xml:space="preserve"> </w:t>
      </w:r>
      <w:r w:rsidR="00784463">
        <w:t xml:space="preserve">on the </w:t>
      </w:r>
      <w:r w:rsidRPr="00A54170" w:rsidR="00784463">
        <w:t>applicant</w:t>
      </w:r>
      <w:r w:rsidRPr="00A54170" w:rsidR="006F66DB">
        <w:t>. The applicant gave his name in a masculine form under the rules of the Lithuanian language, and his medical file referred to him as being of male gender. An entry</w:t>
      </w:r>
      <w:r w:rsidRPr="003B29B7" w:rsidR="003B29B7">
        <w:t xml:space="preserve"> </w:t>
      </w:r>
      <w:r w:rsidR="009F30D2">
        <w:t>of 28 </w:t>
      </w:r>
      <w:r w:rsidRPr="00A54170" w:rsidR="003B29B7">
        <w:t>January 1998</w:t>
      </w:r>
      <w:r w:rsidRPr="00A54170" w:rsidR="006F66DB">
        <w:t xml:space="preserve"> in the medical file included a recommendation that the applicant pursue hormone treatment with a view to eventual </w:t>
      </w:r>
      <w:r w:rsidR="0034657D">
        <w:t xml:space="preserve">gender </w:t>
      </w:r>
      <w:r w:rsidR="002E64A3">
        <w:t>reassignment</w:t>
      </w:r>
      <w:r w:rsidRPr="00A54170" w:rsidR="006F66DB">
        <w:t xml:space="preserve"> surgery. Thereafter</w:t>
      </w:r>
      <w:r w:rsidR="003B29B7">
        <w:t>,</w:t>
      </w:r>
      <w:r w:rsidRPr="00A54170" w:rsidR="006F66DB">
        <w:t xml:space="preserve"> </w:t>
      </w:r>
      <w:r w:rsidR="00084069">
        <w:t xml:space="preserve">a two-month course of </w:t>
      </w:r>
      <w:r w:rsidRPr="00A54170" w:rsidR="006F66DB">
        <w:t xml:space="preserve">hormone treatment was officially prescribed </w:t>
      </w:r>
      <w:r w:rsidR="00084069">
        <w:t>for</w:t>
      </w:r>
      <w:r w:rsidRPr="00A54170" w:rsidR="006F66DB">
        <w:t xml:space="preserve"> the applicant.</w:t>
      </w:r>
      <w:r w:rsidR="00944091">
        <w:t xml:space="preserve"> Moreover, </w:t>
      </w:r>
      <w:r w:rsidR="00084069">
        <w:t>i</w:t>
      </w:r>
      <w:r w:rsidR="00B87150">
        <w:t xml:space="preserve">t was recommended that the applicant consult a </w:t>
      </w:r>
      <w:r w:rsidR="004D3783">
        <w:t>neurosurgeon</w:t>
      </w:r>
      <w:r w:rsidR="00F81A35">
        <w:t>,</w:t>
      </w:r>
      <w:r w:rsidR="00434CE6">
        <w:t xml:space="preserve"> </w:t>
      </w:r>
      <w:r w:rsidR="00113380">
        <w:t>wh</w:t>
      </w:r>
      <w:r w:rsidR="00F81A35">
        <w:t>o</w:t>
      </w:r>
      <w:r w:rsidR="00200453">
        <w:t xml:space="preserve"> subsequently performed</w:t>
      </w:r>
      <w:r w:rsidR="00434CE6">
        <w:t xml:space="preserve"> breast removal surgery </w:t>
      </w:r>
      <w:r w:rsidR="00200453">
        <w:t xml:space="preserve">on </w:t>
      </w:r>
      <w:r w:rsidR="003B29B7">
        <w:t>him</w:t>
      </w:r>
      <w:r w:rsidR="00200453">
        <w:t xml:space="preserve"> </w:t>
      </w:r>
      <w:r w:rsidR="00434CE6">
        <w:t xml:space="preserve">(see </w:t>
      </w:r>
      <w:r w:rsidR="009D624C">
        <w:t xml:space="preserve">paragraph </w:t>
      </w:r>
      <w:r w:rsidR="00084069">
        <w:t>19</w:t>
      </w:r>
      <w:r w:rsidR="009D624C">
        <w:t xml:space="preserve"> </w:t>
      </w:r>
      <w:r w:rsidR="00434CE6">
        <w:t>below).</w:t>
      </w:r>
    </w:p>
    <w:p w:rsidR="006F66DB" w:rsidP="006F66DB" w:rsidRDefault="00954AA9">
      <w:pPr>
        <w:pStyle w:val="JuPara"/>
      </w:pPr>
      <w:r>
        <w:fldChar w:fldCharType="begin"/>
      </w:r>
      <w:r>
        <w:instrText xml:space="preserve"> SEQ level0 \*arabic </w:instrText>
      </w:r>
      <w:r>
        <w:fldChar w:fldCharType="separate"/>
      </w:r>
      <w:r w:rsidR="00F03FB1">
        <w:rPr>
          <w:noProof/>
        </w:rPr>
        <w:t>12</w:t>
      </w:r>
      <w:r>
        <w:fldChar w:fldCharType="end"/>
      </w:r>
      <w:r>
        <w:t>.  </w:t>
      </w:r>
      <w:r w:rsidRPr="00A54170" w:rsidR="006F66DB">
        <w:t>On 12 November 1998 the applicant, using his original name and surname, wrote a l</w:t>
      </w:r>
      <w:r w:rsidR="0034657D">
        <w:t>etter to the Ministry of Health</w:t>
      </w:r>
      <w:r w:rsidRPr="00A54170" w:rsidR="006F66DB">
        <w:t xml:space="preserve"> seeking clarification of the legal and medical possibilities for </w:t>
      </w:r>
      <w:r w:rsidR="002E64A3">
        <w:t>gender</w:t>
      </w:r>
      <w:r w:rsidR="003B29B7">
        <w:t xml:space="preserve"> </w:t>
      </w:r>
      <w:r w:rsidR="002E64A3">
        <w:t>reassignment</w:t>
      </w:r>
      <w:r w:rsidRPr="00A54170" w:rsidR="006F66DB">
        <w:t>. He stated that he was determined to undergo this procedure.</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13</w:t>
      </w:r>
      <w:r>
        <w:fldChar w:fldCharType="end"/>
      </w:r>
      <w:r>
        <w:t>.  </w:t>
      </w:r>
      <w:r w:rsidRPr="00A54170" w:rsidR="006F66DB">
        <w:t xml:space="preserve">On 17 December 1998 an official of the Ministry of Health replied that a working group had been set up by the Minister of Health with a view to analysing the questions pertaining to </w:t>
      </w:r>
      <w:r w:rsidR="002E64A3">
        <w:t>gender</w:t>
      </w:r>
      <w:r w:rsidR="003B29B7">
        <w:t xml:space="preserve"> </w:t>
      </w:r>
      <w:r w:rsidR="002E64A3">
        <w:t>reassignment</w:t>
      </w:r>
      <w:r w:rsidRPr="00A54170" w:rsidR="006F66DB">
        <w:t>, and that the applicant would be duly informed about the conclusions of that group.</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14</w:t>
      </w:r>
      <w:r>
        <w:fldChar w:fldCharType="end"/>
      </w:r>
      <w:r>
        <w:t>.  </w:t>
      </w:r>
      <w:r w:rsidR="002C737F">
        <w:t>Before the Court, t</w:t>
      </w:r>
      <w:r w:rsidRPr="00A54170" w:rsidR="006F66DB">
        <w:t xml:space="preserve">he applicant </w:t>
      </w:r>
      <w:r w:rsidR="002C737F">
        <w:t>claimed</w:t>
      </w:r>
      <w:r w:rsidRPr="00A54170" w:rsidR="006F66DB">
        <w:t xml:space="preserve"> that he</w:t>
      </w:r>
      <w:r w:rsidR="003B29B7">
        <w:t xml:space="preserve"> had</w:t>
      </w:r>
      <w:r w:rsidRPr="00A54170" w:rsidR="006F66DB">
        <w:t xml:space="preserve"> received no further communication from the Ministry of Health.</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15</w:t>
      </w:r>
      <w:r>
        <w:fldChar w:fldCharType="end"/>
      </w:r>
      <w:r>
        <w:t>.  </w:t>
      </w:r>
      <w:r w:rsidRPr="00A54170" w:rsidR="006F66DB">
        <w:t>On 13 May 1999 a doctor at Vilnius Psychiatric Hospital confirmed that the applicant, referred to by his original name, h</w:t>
      </w:r>
      <w:r w:rsidR="00F03FB1">
        <w:t xml:space="preserve">ad attended the hospital from 4 </w:t>
      </w:r>
      <w:r w:rsidRPr="00A54170" w:rsidR="006F66DB">
        <w:t>to 12 November 1997, and that he had been diagnosed as a transsexual.</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16</w:t>
      </w:r>
      <w:r>
        <w:fldChar w:fldCharType="end"/>
      </w:r>
      <w:r>
        <w:t>.  </w:t>
      </w:r>
      <w:r w:rsidRPr="00A54170" w:rsidR="006F66DB">
        <w:t>The applicant submit</w:t>
      </w:r>
      <w:r w:rsidR="006107B2">
        <w:t>ted</w:t>
      </w:r>
      <w:r w:rsidRPr="00A54170" w:rsidR="006F66DB">
        <w:t xml:space="preserve"> that in 1999 his general medical practitioner </w:t>
      </w:r>
      <w:r w:rsidR="006107B2">
        <w:t xml:space="preserve">had </w:t>
      </w:r>
      <w:r w:rsidRPr="00A54170" w:rsidR="006F66DB">
        <w:t>refused to prescribe hormone therapy in view of the legal uncertain</w:t>
      </w:r>
      <w:r w:rsidR="00084069">
        <w:t>t</w:t>
      </w:r>
      <w:r w:rsidRPr="00A54170" w:rsidR="006F66DB">
        <w:t xml:space="preserve">y as to whether full </w:t>
      </w:r>
      <w:r w:rsidR="002E64A3">
        <w:t>gender</w:t>
      </w:r>
      <w:r w:rsidR="003B29B7">
        <w:t xml:space="preserve"> </w:t>
      </w:r>
      <w:r w:rsidR="002E64A3">
        <w:t>reassignment</w:t>
      </w:r>
      <w:r w:rsidRPr="00A54170" w:rsidR="006F66DB">
        <w:t xml:space="preserve"> could be carried out</w:t>
      </w:r>
      <w:r w:rsidR="009D624C">
        <w:t>,</w:t>
      </w:r>
      <w:r w:rsidRPr="00A54170" w:rsidR="006F66DB">
        <w:t xml:space="preserve"> </w:t>
      </w:r>
      <w:r w:rsidR="0034657D">
        <w:t>leading to</w:t>
      </w:r>
      <w:r w:rsidRPr="00A54170" w:rsidR="006F66DB">
        <w:t xml:space="preserve"> the new identity of a transsexual being registered </w:t>
      </w:r>
      <w:r w:rsidR="003B29B7">
        <w:t>in accordance with</w:t>
      </w:r>
      <w:r w:rsidRPr="00A54170" w:rsidR="006F66DB">
        <w:t xml:space="preserve"> domestic law. Thereafter the applicant continued the hormone treatment “unofficially”</w:t>
      </w:r>
      <w:r w:rsidR="00101A4F">
        <w:t xml:space="preserve">, as it was </w:t>
      </w:r>
      <w:r w:rsidR="0046490D">
        <w:t>considered</w:t>
      </w:r>
      <w:r w:rsidR="00101A4F">
        <w:t xml:space="preserve"> </w:t>
      </w:r>
      <w:r w:rsidR="0078353E">
        <w:t xml:space="preserve">at that time </w:t>
      </w:r>
      <w:r w:rsidR="00101A4F">
        <w:t>that such treat</w:t>
      </w:r>
      <w:r w:rsidR="001A508C">
        <w:t>ment should be followed for two </w:t>
      </w:r>
      <w:r w:rsidR="00101A4F">
        <w:t xml:space="preserve">years before </w:t>
      </w:r>
      <w:r w:rsidR="00911F3D">
        <w:t xml:space="preserve">the full </w:t>
      </w:r>
      <w:r w:rsidR="00101A4F">
        <w:t>surg</w:t>
      </w:r>
      <w:r w:rsidR="00911F3D">
        <w:t>ical procedure</w:t>
      </w:r>
      <w:r w:rsidR="00101A4F">
        <w:t xml:space="preserve"> could be </w:t>
      </w:r>
      <w:r w:rsidR="00911F3D">
        <w:t>performed</w:t>
      </w:r>
      <w:r w:rsidRPr="00A54170" w:rsidR="006F66DB">
        <w:t>.</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17</w:t>
      </w:r>
      <w:r>
        <w:fldChar w:fldCharType="end"/>
      </w:r>
      <w:r>
        <w:t>.  </w:t>
      </w:r>
      <w:r w:rsidRPr="00A54170" w:rsidR="006F66DB">
        <w:t>On an unspecified date in 1999 the applicant requested that his name on all official documents be changed to reflect his male identity; that request was refused.</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18</w:t>
      </w:r>
      <w:r>
        <w:fldChar w:fldCharType="end"/>
      </w:r>
      <w:r>
        <w:t>.  </w:t>
      </w:r>
      <w:r w:rsidRPr="00A54170" w:rsidR="006F66DB">
        <w:t xml:space="preserve">On an unspecified date in 1999 the applicant </w:t>
      </w:r>
      <w:r w:rsidR="003B29B7">
        <w:t>enrolled at</w:t>
      </w:r>
      <w:r w:rsidRPr="00A54170" w:rsidR="003B29B7">
        <w:t xml:space="preserve"> </w:t>
      </w:r>
      <w:smartTag w:uri="urn:schemas-microsoft-com:office:smarttags" w:element="place">
        <w:smartTag w:uri="urn:schemas-microsoft-com:office:smarttags" w:element="PlaceName">
          <w:r w:rsidR="006F66DB" w:rsidRPr="00A54170">
            <w:t>Vilnius</w:t>
          </w:r>
        </w:smartTag>
        <w:r w:rsidR="006F66DB" w:rsidRPr="00A54170">
          <w:t xml:space="preserve"> </w:t>
        </w:r>
        <w:smartTag w:uri="urn:schemas-microsoft-com:office:smarttags" w:element="PlaceType">
          <w:r w:rsidR="006F66DB" w:rsidRPr="00A54170">
            <w:t>University</w:t>
          </w:r>
        </w:smartTag>
      </w:smartTag>
      <w:r w:rsidRPr="00A54170" w:rsidR="006F66DB">
        <w:t>. Upon the applicant</w:t>
      </w:r>
      <w:r w:rsidR="00C86D12">
        <w:t>’</w:t>
      </w:r>
      <w:r w:rsidRPr="00A54170" w:rsidR="006F66DB">
        <w:t xml:space="preserve">s request, the university administration agreed to </w:t>
      </w:r>
      <w:r w:rsidR="00911F3D">
        <w:t>register</w:t>
      </w:r>
      <w:r w:rsidRPr="00A54170" w:rsidR="006F66DB">
        <w:t xml:space="preserve"> </w:t>
      </w:r>
      <w:r w:rsidR="004C7BA1">
        <w:t>him</w:t>
      </w:r>
      <w:r w:rsidRPr="00A54170" w:rsidR="006F66DB">
        <w:t xml:space="preserve"> </w:t>
      </w:r>
      <w:r w:rsidR="00911F3D">
        <w:t>as a</w:t>
      </w:r>
      <w:r w:rsidRPr="00A54170" w:rsidR="006F66DB">
        <w:t xml:space="preserve"> student under the male name chosen by him (bearing the initials P.L.). The applicant assert</w:t>
      </w:r>
      <w:r w:rsidR="00911F3D">
        <w:t>ed before the Court</w:t>
      </w:r>
      <w:r w:rsidRPr="00A54170" w:rsidR="006F66DB">
        <w:t xml:space="preserve"> that the decision of the University was exceptional and purely humanit</w:t>
      </w:r>
      <w:r w:rsidR="009D624C">
        <w:t>arian</w:t>
      </w:r>
      <w:r w:rsidRPr="00A54170" w:rsidR="006F66DB">
        <w:t xml:space="preserve">, </w:t>
      </w:r>
      <w:r w:rsidR="0034657D">
        <w:t xml:space="preserve">as </w:t>
      </w:r>
      <w:r w:rsidRPr="00A54170" w:rsidR="006F66DB">
        <w:t xml:space="preserve">the laws applicable at the material time clearly required his registration under his original female name, as indicated </w:t>
      </w:r>
      <w:r w:rsidR="00C976FB">
        <w:t>o</w:t>
      </w:r>
      <w:r w:rsidRPr="00A54170" w:rsidR="006F66DB">
        <w:t>n his birth certificate and passport.</w:t>
      </w:r>
    </w:p>
    <w:p w:rsidR="00113380" w:rsidP="006F66DB" w:rsidRDefault="00954AA9">
      <w:pPr>
        <w:pStyle w:val="JuPara"/>
      </w:pPr>
      <w:r>
        <w:fldChar w:fldCharType="begin"/>
      </w:r>
      <w:r>
        <w:instrText xml:space="preserve"> SEQ level0 \*arabic </w:instrText>
      </w:r>
      <w:r>
        <w:fldChar w:fldCharType="separate"/>
      </w:r>
      <w:r w:rsidR="00F03FB1">
        <w:rPr>
          <w:noProof/>
        </w:rPr>
        <w:t>19</w:t>
      </w:r>
      <w:r>
        <w:fldChar w:fldCharType="end"/>
      </w:r>
      <w:r>
        <w:t>.  </w:t>
      </w:r>
      <w:r w:rsidRPr="00A54170" w:rsidR="006F66DB">
        <w:t xml:space="preserve">From 3 to 9 May 2000 the applicant underwent “partial </w:t>
      </w:r>
      <w:r w:rsidR="0034657D">
        <w:t xml:space="preserve">gender </w:t>
      </w:r>
      <w:r w:rsidR="002E64A3">
        <w:t>reassignment</w:t>
      </w:r>
      <w:r w:rsidRPr="00A54170" w:rsidR="006F66DB">
        <w:t xml:space="preserve"> surgery”</w:t>
      </w:r>
      <w:r w:rsidR="009D624C">
        <w:t xml:space="preserve"> </w:t>
      </w:r>
      <w:r w:rsidR="00911F3D">
        <w:t>(</w:t>
      </w:r>
      <w:r w:rsidRPr="00A54170" w:rsidR="006F66DB">
        <w:t>breast removal</w:t>
      </w:r>
      <w:r w:rsidR="00911F3D">
        <w:t>)</w:t>
      </w:r>
      <w:r w:rsidRPr="00A54170" w:rsidR="006F66DB">
        <w:t>.</w:t>
      </w:r>
      <w:r w:rsidR="00D43F59">
        <w:t xml:space="preserve"> </w:t>
      </w:r>
      <w:r w:rsidRPr="00A54170" w:rsidR="00197716">
        <w:t xml:space="preserve">The applicant agreed with the doctors that a further surgical step would be carried out upon the </w:t>
      </w:r>
      <w:r w:rsidR="000743EC">
        <w:t>enactment</w:t>
      </w:r>
      <w:r w:rsidRPr="00A54170" w:rsidR="000743EC">
        <w:t xml:space="preserve"> </w:t>
      </w:r>
      <w:r w:rsidRPr="00A54170" w:rsidR="00197716">
        <w:t xml:space="preserve">of </w:t>
      </w:r>
      <w:r w:rsidR="00E96054">
        <w:rPr>
          <w:szCs w:val="24"/>
        </w:rPr>
        <w:t>subsidiary</w:t>
      </w:r>
      <w:r w:rsidR="00197716">
        <w:t xml:space="preserve"> </w:t>
      </w:r>
      <w:r w:rsidRPr="00A54170" w:rsidR="00197716">
        <w:t xml:space="preserve">laws governing the </w:t>
      </w:r>
      <w:r w:rsidR="004C7BA1">
        <w:t xml:space="preserve">appropriate </w:t>
      </w:r>
      <w:r w:rsidRPr="00A54170" w:rsidR="00197716">
        <w:t>conditions and procedure.</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20</w:t>
      </w:r>
      <w:r>
        <w:fldChar w:fldCharType="end"/>
      </w:r>
      <w:r>
        <w:t>.  </w:t>
      </w:r>
      <w:r w:rsidR="00EE4CA0">
        <w:t>On an unspecified date in</w:t>
      </w:r>
      <w:r w:rsidRPr="00A54170" w:rsidR="006F66DB">
        <w:t xml:space="preserve"> 2000, with the assistance of a Lithuanian </w:t>
      </w:r>
      <w:r w:rsidR="004C7BA1">
        <w:t>m</w:t>
      </w:r>
      <w:r w:rsidRPr="00A54170" w:rsidR="006F66DB">
        <w:t xml:space="preserve">ember of </w:t>
      </w:r>
      <w:r w:rsidR="004C7BA1">
        <w:t>p</w:t>
      </w:r>
      <w:r w:rsidRPr="00A54170" w:rsidR="006F66DB">
        <w:t>arliament, the applicant</w:t>
      </w:r>
      <w:r w:rsidR="00C86D12">
        <w:t>’</w:t>
      </w:r>
      <w:r w:rsidRPr="00A54170" w:rsidR="006F66DB">
        <w:t xml:space="preserve">s birth certificate and passport were changed to indicate </w:t>
      </w:r>
      <w:r w:rsidR="004C7BA1">
        <w:t>his</w:t>
      </w:r>
      <w:r w:rsidRPr="00A54170" w:rsidR="006F66DB">
        <w:t xml:space="preserve"> identity as P.L. The </w:t>
      </w:r>
      <w:r w:rsidR="00BA7271">
        <w:t>fore</w:t>
      </w:r>
      <w:r w:rsidRPr="00A54170" w:rsidR="006F66DB">
        <w:t xml:space="preserve">name and surname chosen by the applicant for this new identity were of Slavic origin, and thus did not disclose </w:t>
      </w:r>
      <w:r w:rsidR="00BA7271">
        <w:t>hi</w:t>
      </w:r>
      <w:r w:rsidRPr="00A54170" w:rsidR="006F66DB">
        <w:t xml:space="preserve">s gender. The applicant could not choose a Lithuanian name or surname as </w:t>
      </w:r>
      <w:r w:rsidR="00FD39E5">
        <w:t>they are all gender-sensitive. However,</w:t>
      </w:r>
      <w:r w:rsidRPr="00A54170" w:rsidR="006F66DB">
        <w:t xml:space="preserve"> the applicant</w:t>
      </w:r>
      <w:r w:rsidR="00C86D12">
        <w:t>’</w:t>
      </w:r>
      <w:r w:rsidR="00C976FB">
        <w:t>s “personal code” o</w:t>
      </w:r>
      <w:r w:rsidRPr="00A54170" w:rsidR="006F66DB">
        <w:t>n his new birth certificate and passport</w:t>
      </w:r>
      <w:r w:rsidR="00BA7271">
        <w:t xml:space="preserve"> –</w:t>
      </w:r>
      <w:r w:rsidRPr="00A54170" w:rsidR="006F66DB">
        <w:t xml:space="preserve"> a numerical code comprising the basic information about a person in accordance with the Lithuanian civil</w:t>
      </w:r>
      <w:r w:rsidR="00BA7271">
        <w:t>-</w:t>
      </w:r>
      <w:r w:rsidRPr="00A54170" w:rsidR="006F66DB">
        <w:t>registration rules</w:t>
      </w:r>
      <w:r w:rsidR="00BA7271">
        <w:t xml:space="preserve"> –</w:t>
      </w:r>
      <w:r w:rsidRPr="00A54170" w:rsidR="006F66DB">
        <w:t xml:space="preserve"> remain</w:t>
      </w:r>
      <w:r w:rsidR="00FD39E5">
        <w:t>ed</w:t>
      </w:r>
      <w:r w:rsidRPr="00A54170" w:rsidR="006F66DB">
        <w:t xml:space="preserve"> the same</w:t>
      </w:r>
      <w:r w:rsidR="00FD39E5">
        <w:t>,</w:t>
      </w:r>
      <w:r w:rsidRPr="00A54170" w:rsidR="006F66DB">
        <w:t xml:space="preserve"> start</w:t>
      </w:r>
      <w:r w:rsidR="00FD39E5">
        <w:t>ing</w:t>
      </w:r>
      <w:r w:rsidRPr="00A54170" w:rsidR="006F66DB">
        <w:t xml:space="preserve"> with </w:t>
      </w:r>
      <w:r w:rsidR="00BA7271">
        <w:t xml:space="preserve">the </w:t>
      </w:r>
      <w:r w:rsidR="009F30D2">
        <w:t>number </w:t>
      </w:r>
      <w:r w:rsidRPr="00A54170" w:rsidR="006F66DB">
        <w:t xml:space="preserve">4, thus disclosing his gender as female (see </w:t>
      </w:r>
      <w:r w:rsidR="00FD39E5">
        <w:t xml:space="preserve">paragraphs </w:t>
      </w:r>
      <w:r w:rsidR="00D9414C">
        <w:t>28</w:t>
      </w:r>
      <w:r w:rsidR="009F30D2">
        <w:noBreakHyphen/>
      </w:r>
      <w:r w:rsidR="00D9414C">
        <w:t>29</w:t>
      </w:r>
      <w:r w:rsidRPr="00A54170" w:rsidR="006F66DB">
        <w:t xml:space="preserve"> below).</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21</w:t>
      </w:r>
      <w:r>
        <w:fldChar w:fldCharType="end"/>
      </w:r>
      <w:r>
        <w:t>.  </w:t>
      </w:r>
      <w:r w:rsidRPr="00A54170" w:rsidR="006F66DB">
        <w:t xml:space="preserve">The applicant </w:t>
      </w:r>
      <w:r w:rsidR="0034657D">
        <w:t>stressed</w:t>
      </w:r>
      <w:r w:rsidRPr="00A54170" w:rsidR="006F66DB">
        <w:t xml:space="preserve"> that he therefore remain</w:t>
      </w:r>
      <w:r w:rsidR="00BA7271">
        <w:t>ed</w:t>
      </w:r>
      <w:r w:rsidRPr="00A54170" w:rsidR="006F66DB">
        <w:t xml:space="preserve"> female under domestic law. This </w:t>
      </w:r>
      <w:r w:rsidR="00FD39E5">
        <w:t>wa</w:t>
      </w:r>
      <w:r w:rsidRPr="00A54170" w:rsidR="006F66DB">
        <w:t>s confirmed</w:t>
      </w:r>
      <w:r w:rsidR="00BA7271">
        <w:t>,</w:t>
      </w:r>
      <w:r w:rsidRPr="00A54170" w:rsidR="006F66DB">
        <w:t xml:space="preserve"> </w:t>
      </w:r>
      <w:r w:rsidRPr="00A54170" w:rsidR="006F66DB">
        <w:rPr>
          <w:i/>
        </w:rPr>
        <w:t>inter alia</w:t>
      </w:r>
      <w:r w:rsidR="00BA7271">
        <w:t>,</w:t>
      </w:r>
      <w:r w:rsidRPr="00A54170" w:rsidR="006F66DB">
        <w:rPr>
          <w:i/>
        </w:rPr>
        <w:t xml:space="preserve"> </w:t>
      </w:r>
      <w:r w:rsidRPr="00A54170" w:rsidR="006F66DB">
        <w:t xml:space="preserve">by the fact that, </w:t>
      </w:r>
      <w:r w:rsidR="0034657D">
        <w:t>on the</w:t>
      </w:r>
      <w:r w:rsidRPr="00A54170" w:rsidR="006F66DB">
        <w:t xml:space="preserve"> </w:t>
      </w:r>
      <w:smartTag w:uri="urn:schemas-microsoft-com:office:smarttags" w:element="place">
        <w:smartTag w:uri="urn:schemas-microsoft-com:office:smarttags" w:element="PlaceName">
          <w:r w:rsidR="006F66DB" w:rsidRPr="00A54170">
            <w:t>Vilnius</w:t>
          </w:r>
        </w:smartTag>
        <w:r w:rsidR="006F66DB" w:rsidRPr="00A54170">
          <w:t xml:space="preserve"> </w:t>
        </w:r>
        <w:smartTag w:uri="urn:schemas-microsoft-com:office:smarttags" w:element="PlaceType">
          <w:r w:rsidR="006F66DB" w:rsidRPr="00A54170">
            <w:t>University</w:t>
          </w:r>
        </w:smartTag>
      </w:smartTag>
      <w:r w:rsidRPr="00A54170" w:rsidR="006F66DB">
        <w:t xml:space="preserve"> </w:t>
      </w:r>
      <w:r w:rsidR="00BA7271">
        <w:t xml:space="preserve">degree </w:t>
      </w:r>
      <w:r w:rsidR="0034657D">
        <w:t xml:space="preserve">certificate </w:t>
      </w:r>
      <w:r w:rsidR="00BA7271">
        <w:t>he had</w:t>
      </w:r>
      <w:r w:rsidRPr="00A54170" w:rsidR="00BA7271">
        <w:t xml:space="preserve"> </w:t>
      </w:r>
      <w:r w:rsidRPr="00A54170" w:rsidR="006F66DB">
        <w:t>received after successfully graduating in 2003, his “personal code” remain</w:t>
      </w:r>
      <w:r w:rsidR="00FD39E5">
        <w:t>ed</w:t>
      </w:r>
      <w:r w:rsidRPr="00A54170" w:rsidR="006F66DB">
        <w:t xml:space="preserve"> the same and denote</w:t>
      </w:r>
      <w:r w:rsidR="00FD39E5">
        <w:t>d</w:t>
      </w:r>
      <w:r w:rsidRPr="00A54170" w:rsidR="006F66DB">
        <w:t xml:space="preserve"> him as a female. As a result, he </w:t>
      </w:r>
      <w:r w:rsidR="008A5E54">
        <w:t xml:space="preserve">claimed that he </w:t>
      </w:r>
      <w:r w:rsidRPr="00A54170" w:rsidR="006F66DB">
        <w:t>face</w:t>
      </w:r>
      <w:r w:rsidR="00BA7271">
        <w:t>d</w:t>
      </w:r>
      <w:r w:rsidRPr="00A54170" w:rsidR="006F66DB">
        <w:t xml:space="preserve"> </w:t>
      </w:r>
      <w:r w:rsidR="00BA7271">
        <w:t xml:space="preserve">considerable </w:t>
      </w:r>
      <w:r w:rsidRPr="00A54170" w:rsidR="006F66DB">
        <w:t xml:space="preserve">daily embarrassment and difficulties, as he </w:t>
      </w:r>
      <w:r w:rsidR="00BA7271">
        <w:t>was</w:t>
      </w:r>
      <w:r w:rsidRPr="00A54170" w:rsidR="00BA7271">
        <w:t xml:space="preserve"> </w:t>
      </w:r>
      <w:r w:rsidRPr="00A54170" w:rsidR="006F66DB">
        <w:t>unable</w:t>
      </w:r>
      <w:r w:rsidR="00BA7271">
        <w:t>, for example,</w:t>
      </w:r>
      <w:r w:rsidRPr="00A54170" w:rsidR="006F66DB">
        <w:t xml:space="preserve"> to apply for a job, pay social</w:t>
      </w:r>
      <w:r w:rsidR="0034657D">
        <w:t xml:space="preserve"> </w:t>
      </w:r>
      <w:r w:rsidRPr="00A54170" w:rsidR="006F66DB">
        <w:t>security contributions, consult medical institutions, communicate with the authorities, obtain a bank loan</w:t>
      </w:r>
      <w:r w:rsidR="00BA7271">
        <w:t xml:space="preserve"> or</w:t>
      </w:r>
      <w:r w:rsidRPr="00A54170" w:rsidR="006F66DB">
        <w:t xml:space="preserve"> cross the State border </w:t>
      </w:r>
      <w:r w:rsidR="00634187">
        <w:t>without disclosing his female identity</w:t>
      </w:r>
      <w:r w:rsidRPr="00A54170" w:rsidR="006F66DB">
        <w:t>.</w:t>
      </w:r>
    </w:p>
    <w:p w:rsidRPr="00A54170" w:rsidR="006F66DB" w:rsidP="006F66DB" w:rsidRDefault="00954AA9">
      <w:pPr>
        <w:pStyle w:val="JuPara"/>
      </w:pPr>
      <w:r>
        <w:fldChar w:fldCharType="begin"/>
      </w:r>
      <w:r>
        <w:instrText xml:space="preserve"> SEQ level0 \*arabic </w:instrText>
      </w:r>
      <w:r>
        <w:fldChar w:fldCharType="separate"/>
      </w:r>
      <w:r w:rsidR="00F03FB1">
        <w:rPr>
          <w:noProof/>
        </w:rPr>
        <w:t>22</w:t>
      </w:r>
      <w:r>
        <w:fldChar w:fldCharType="end"/>
      </w:r>
      <w:r>
        <w:t>.  </w:t>
      </w:r>
      <w:r w:rsidRPr="00A54170" w:rsidR="006F66DB">
        <w:t>The applicant submitted a copy of an article by the Baltic News Agency (BNS) of 17 June 2003</w:t>
      </w:r>
      <w:r w:rsidR="00327FC2">
        <w:t>,</w:t>
      </w:r>
      <w:r w:rsidRPr="00A54170" w:rsidR="006F66DB">
        <w:t xml:space="preserve"> quoting </w:t>
      </w:r>
      <w:r w:rsidR="002E0EA3">
        <w:t>a</w:t>
      </w:r>
      <w:r w:rsidRPr="00A54170" w:rsidR="002E0EA3">
        <w:t xml:space="preserve"> </w:t>
      </w:r>
      <w:r w:rsidRPr="00A54170" w:rsidR="006F66DB">
        <w:t xml:space="preserve">statement </w:t>
      </w:r>
      <w:r w:rsidR="002E0EA3">
        <w:t>by</w:t>
      </w:r>
      <w:r w:rsidRPr="00A54170" w:rsidR="002E0EA3">
        <w:t xml:space="preserve"> </w:t>
      </w:r>
      <w:r w:rsidRPr="00A54170" w:rsidR="006F66DB">
        <w:t xml:space="preserve">the </w:t>
      </w:r>
      <w:r w:rsidR="00BA7271">
        <w:t>Speaker</w:t>
      </w:r>
      <w:r w:rsidRPr="00A54170" w:rsidR="00BA7271">
        <w:t xml:space="preserve"> </w:t>
      </w:r>
      <w:r w:rsidRPr="00A54170" w:rsidR="006F66DB">
        <w:t xml:space="preserve">of </w:t>
      </w:r>
      <w:r w:rsidR="00BA7271">
        <w:t xml:space="preserve">the </w:t>
      </w:r>
      <w:r w:rsidRPr="00A54170" w:rsidR="006F66DB">
        <w:t xml:space="preserve">Seimas </w:t>
      </w:r>
      <w:r w:rsidR="000A60AA">
        <w:t>on</w:t>
      </w:r>
      <w:r w:rsidRPr="00A54170" w:rsidR="006F66DB">
        <w:t xml:space="preserve"> the </w:t>
      </w:r>
      <w:r w:rsidR="0034657D">
        <w:t xml:space="preserve">Gender </w:t>
      </w:r>
      <w:r w:rsidR="002E64A3">
        <w:t>Reassignment</w:t>
      </w:r>
      <w:r w:rsidRPr="00A54170" w:rsidR="006F66DB">
        <w:t xml:space="preserve"> Bill (</w:t>
      </w:r>
      <w:r w:rsidR="002E64A3">
        <w:t>put</w:t>
      </w:r>
      <w:r w:rsidR="009F30D2">
        <w:t xml:space="preserve"> before Parliament on 3 </w:t>
      </w:r>
      <w:r w:rsidR="009C7C27">
        <w:t>June 2003</w:t>
      </w:r>
      <w:r w:rsidR="00BA7271">
        <w:t xml:space="preserve"> – see</w:t>
      </w:r>
      <w:r w:rsidR="00327FC2">
        <w:t xml:space="preserve"> paragraph</w:t>
      </w:r>
      <w:r w:rsidRPr="00A54170" w:rsidR="006F66DB">
        <w:t xml:space="preserve"> </w:t>
      </w:r>
      <w:r w:rsidR="00286A7C">
        <w:t>3</w:t>
      </w:r>
      <w:r w:rsidR="00084069">
        <w:t>0</w:t>
      </w:r>
      <w:r w:rsidR="00286A7C">
        <w:t xml:space="preserve"> </w:t>
      </w:r>
      <w:r w:rsidRPr="00A54170" w:rsidR="006F66DB">
        <w:t xml:space="preserve">below). It was mentioned in the article that certain </w:t>
      </w:r>
      <w:r w:rsidR="0034657D">
        <w:t>members of parliament</w:t>
      </w:r>
      <w:r w:rsidRPr="00A54170" w:rsidR="006F66DB">
        <w:t xml:space="preserve"> </w:t>
      </w:r>
      <w:r w:rsidR="00BA7271">
        <w:t xml:space="preserve">had </w:t>
      </w:r>
      <w:r w:rsidRPr="00A54170" w:rsidR="006F66DB">
        <w:t xml:space="preserve">accused the Minister </w:t>
      </w:r>
      <w:r w:rsidR="0034657D">
        <w:t xml:space="preserve">of </w:t>
      </w:r>
      <w:r w:rsidRPr="00A54170" w:rsidR="006F66DB">
        <w:t>Health</w:t>
      </w:r>
      <w:r w:rsidR="00C976FB">
        <w:t>, who was a plastic surgeon,</w:t>
      </w:r>
      <w:r w:rsidRPr="00A54170" w:rsidR="006F66DB">
        <w:t xml:space="preserve"> of </w:t>
      </w:r>
      <w:r w:rsidR="00BA7271">
        <w:t>having a</w:t>
      </w:r>
      <w:r w:rsidRPr="00A54170" w:rsidR="00BA7271">
        <w:t xml:space="preserve"> </w:t>
      </w:r>
      <w:r w:rsidRPr="00A54170" w:rsidR="006F66DB">
        <w:t xml:space="preserve">personal interest in the </w:t>
      </w:r>
      <w:r w:rsidR="00BA7271">
        <w:t>enactment</w:t>
      </w:r>
      <w:r w:rsidRPr="00A54170" w:rsidR="00BA7271">
        <w:t xml:space="preserve"> </w:t>
      </w:r>
      <w:r w:rsidR="00C976FB">
        <w:t>of the law</w:t>
      </w:r>
      <w:r w:rsidRPr="00A54170" w:rsidR="006F66DB">
        <w:t xml:space="preserve">. The article also mentioned that certain members of the Social Democratic Party </w:t>
      </w:r>
      <w:r w:rsidR="00BA7271">
        <w:t xml:space="preserve">had </w:t>
      </w:r>
      <w:r w:rsidRPr="00A54170" w:rsidR="006F66DB">
        <w:t xml:space="preserve">urged the </w:t>
      </w:r>
      <w:r w:rsidR="00BA7271">
        <w:t>enactment</w:t>
      </w:r>
      <w:r w:rsidRPr="00A54170" w:rsidR="00BA7271">
        <w:t xml:space="preserve"> </w:t>
      </w:r>
      <w:r w:rsidRPr="00A54170" w:rsidR="006F66DB">
        <w:t xml:space="preserve">of the law as it was required by the imminent entry into force of the provisions </w:t>
      </w:r>
      <w:r w:rsidR="0034657D">
        <w:t xml:space="preserve">of the new Civil Code on 1 July </w:t>
      </w:r>
      <w:r w:rsidRPr="00A54170" w:rsidR="006F66DB">
        <w:t xml:space="preserve">2003. </w:t>
      </w:r>
      <w:r w:rsidR="00C976FB">
        <w:t>The article referred</w:t>
      </w:r>
      <w:r w:rsidRPr="00A54170" w:rsidR="006F66DB">
        <w:t xml:space="preserve"> to the opinion of experts</w:t>
      </w:r>
      <w:r w:rsidR="00C976FB">
        <w:t xml:space="preserve"> that there were</w:t>
      </w:r>
      <w:r w:rsidRPr="00A54170" w:rsidR="006F66DB">
        <w:t xml:space="preserve"> about </w:t>
      </w:r>
      <w:r w:rsidR="0034657D">
        <w:t>fifty</w:t>
      </w:r>
      <w:r w:rsidR="001A508C">
        <w:t> </w:t>
      </w:r>
      <w:r w:rsidRPr="00A54170" w:rsidR="006F66DB">
        <w:t>transsexuals liv</w:t>
      </w:r>
      <w:r w:rsidR="00BA7271">
        <w:t>ing</w:t>
      </w:r>
      <w:r w:rsidRPr="00A54170" w:rsidR="006F66DB">
        <w:t xml:space="preserve"> in </w:t>
      </w:r>
      <w:smartTag w:uri="urn:schemas-microsoft-com:office:smarttags" w:element="country-region">
        <w:smartTag w:uri="urn:schemas-microsoft-com:office:smarttags" w:element="place">
          <w:r w:rsidR="006F66DB" w:rsidRPr="00A54170">
            <w:t>Lithuania</w:t>
          </w:r>
        </w:smartTag>
      </w:smartTag>
      <w:r w:rsidRPr="00A54170" w:rsidR="006F66DB">
        <w:t xml:space="preserve">. It was mentioned that certain Vilnius and Kaunas surgeons were properly equipped and qualified to carry out </w:t>
      </w:r>
      <w:r w:rsidR="0034657D">
        <w:t xml:space="preserve">gender </w:t>
      </w:r>
      <w:r w:rsidR="002E64A3">
        <w:t>reassignment</w:t>
      </w:r>
      <w:r w:rsidRPr="00A54170" w:rsidR="006F66DB">
        <w:t xml:space="preserve"> surgery, the </w:t>
      </w:r>
      <w:r w:rsidR="00627367">
        <w:t>cost</w:t>
      </w:r>
      <w:r w:rsidRPr="00A54170" w:rsidR="006F66DB">
        <w:t xml:space="preserve"> of which </w:t>
      </w:r>
      <w:r w:rsidR="00627367">
        <w:t>c</w:t>
      </w:r>
      <w:r w:rsidRPr="00A54170" w:rsidR="006F66DB">
        <w:t xml:space="preserve">ould </w:t>
      </w:r>
      <w:r w:rsidR="001A508C">
        <w:t>be between 3,000 and </w:t>
      </w:r>
      <w:r w:rsidRPr="00A54170" w:rsidR="006F66DB">
        <w:t>4,000 Lithuanian litai</w:t>
      </w:r>
      <w:r w:rsidR="00A25C86">
        <w:t xml:space="preserve"> </w:t>
      </w:r>
      <w:r w:rsidR="00930A97">
        <w:t>(</w:t>
      </w:r>
      <w:r w:rsidR="00BA7271">
        <w:t xml:space="preserve">approximately </w:t>
      </w:r>
      <w:r w:rsidRPr="00A54170" w:rsidR="006F66DB">
        <w:t>870</w:t>
      </w:r>
      <w:r w:rsidR="00627367">
        <w:t xml:space="preserve"> to </w:t>
      </w:r>
      <w:r w:rsidRPr="00A54170" w:rsidR="006F66DB">
        <w:t>1,150</w:t>
      </w:r>
      <w:r w:rsidR="00A25C86">
        <w:t xml:space="preserve"> </w:t>
      </w:r>
      <w:r w:rsidR="0034657D">
        <w:t>euros</w:t>
      </w:r>
      <w:r w:rsidRPr="00A54170" w:rsidR="006F66DB">
        <w:t xml:space="preserve">), excluding the cost of hormone therapy. The article stated that a number of persons had already applied for </w:t>
      </w:r>
      <w:r w:rsidR="002E64A3">
        <w:t>gender</w:t>
      </w:r>
      <w:r w:rsidR="00BA7271">
        <w:t xml:space="preserve"> </w:t>
      </w:r>
      <w:r w:rsidR="002E64A3">
        <w:t>reassignment</w:t>
      </w:r>
      <w:r w:rsidRPr="00A54170" w:rsidR="006F66DB">
        <w:t xml:space="preserve">, but that the surgery could not be fully completed in the absence of adequate legal regulation. It was presumed that some of the Lithuanian transsexuals </w:t>
      </w:r>
      <w:r w:rsidR="00BA7271">
        <w:t>had</w:t>
      </w:r>
      <w:r w:rsidRPr="00A54170" w:rsidR="00BA7271">
        <w:t xml:space="preserve"> </w:t>
      </w:r>
      <w:r w:rsidRPr="00A54170" w:rsidR="006F66DB">
        <w:t xml:space="preserve">thus </w:t>
      </w:r>
      <w:r w:rsidR="00BA7271">
        <w:t xml:space="preserve">been </w:t>
      </w:r>
      <w:r w:rsidRPr="00A54170" w:rsidR="006F66DB">
        <w:t>obliged to go abroad for treatment.</w:t>
      </w:r>
    </w:p>
    <w:p w:rsidR="006F66DB" w:rsidP="006F66DB" w:rsidRDefault="00954AA9">
      <w:pPr>
        <w:pStyle w:val="JuPara"/>
      </w:pPr>
      <w:r>
        <w:fldChar w:fldCharType="begin"/>
      </w:r>
      <w:r>
        <w:instrText xml:space="preserve"> SEQ level0 \*arabic </w:instrText>
      </w:r>
      <w:r>
        <w:fldChar w:fldCharType="separate"/>
      </w:r>
      <w:r w:rsidR="00F03FB1">
        <w:rPr>
          <w:noProof/>
        </w:rPr>
        <w:t>23</w:t>
      </w:r>
      <w:r>
        <w:fldChar w:fldCharType="end"/>
      </w:r>
      <w:r>
        <w:t>.  </w:t>
      </w:r>
      <w:r w:rsidRPr="00A54170" w:rsidR="006F66DB">
        <w:t xml:space="preserve">In an article by the BNS on 18 June 2003 about </w:t>
      </w:r>
      <w:r w:rsidR="00BA7271">
        <w:t>a</w:t>
      </w:r>
      <w:r w:rsidRPr="00A54170" w:rsidR="00BA7271">
        <w:t xml:space="preserve"> </w:t>
      </w:r>
      <w:r w:rsidRPr="00A54170" w:rsidR="006F66DB">
        <w:t xml:space="preserve">meeting between the Prime Minister and the heads of the Lithuanian Catholic Church, the Prime Minister was quoted as saying that it was </w:t>
      </w:r>
      <w:r w:rsidR="00192391">
        <w:t>too early for Lithuania to enact</w:t>
      </w:r>
      <w:r w:rsidRPr="00A54170" w:rsidR="006F66DB">
        <w:t xml:space="preserve"> a law on </w:t>
      </w:r>
      <w:r w:rsidR="002E64A3">
        <w:t>gender</w:t>
      </w:r>
      <w:r w:rsidR="00BA7271">
        <w:t xml:space="preserve"> </w:t>
      </w:r>
      <w:r w:rsidR="002E64A3">
        <w:t>reassignment</w:t>
      </w:r>
      <w:r w:rsidRPr="00A54170" w:rsidR="006F66DB">
        <w:t>, and that there was “no need to rush” or “copy the principles that exist in one country or another</w:t>
      </w:r>
      <w:r w:rsidR="00BA7271">
        <w:t>”</w:t>
      </w:r>
      <w:r w:rsidRPr="00A54170" w:rsidR="006F66DB">
        <w:t>. The article stated that the Catholic Church had been among the most ardent opponents of such l</w:t>
      </w:r>
      <w:r w:rsidR="000A60AA">
        <w:t>egislation</w:t>
      </w:r>
      <w:r w:rsidRPr="00A54170" w:rsidR="006F66DB">
        <w:t xml:space="preserve">. At the same time, the Prime Minister </w:t>
      </w:r>
      <w:r w:rsidR="00627367">
        <w:t>conced</w:t>
      </w:r>
      <w:r w:rsidR="00192391">
        <w:t>ed that the g</w:t>
      </w:r>
      <w:r w:rsidRPr="00A54170" w:rsidR="006F66DB">
        <w:t xml:space="preserve">overnment </w:t>
      </w:r>
      <w:r w:rsidR="00BA7271">
        <w:t>were</w:t>
      </w:r>
      <w:r w:rsidRPr="00A54170" w:rsidR="00BA7271">
        <w:t xml:space="preserve"> </w:t>
      </w:r>
      <w:r w:rsidRPr="00A54170" w:rsidR="006F66DB">
        <w:t xml:space="preserve">obliged to prepare a </w:t>
      </w:r>
      <w:r w:rsidR="0034657D">
        <w:t xml:space="preserve">Gender </w:t>
      </w:r>
      <w:r w:rsidR="002E64A3">
        <w:t>Reassignment</w:t>
      </w:r>
      <w:r w:rsidRPr="00A54170" w:rsidR="006F66DB">
        <w:t xml:space="preserve"> Bill in view of the entry into force of </w:t>
      </w:r>
      <w:r w:rsidR="0037691B">
        <w:t xml:space="preserve">Article </w:t>
      </w:r>
      <w:r w:rsidRPr="00A54170" w:rsidR="0037691B">
        <w:t xml:space="preserve">2.27 § 1 </w:t>
      </w:r>
      <w:r w:rsidR="00560562">
        <w:t xml:space="preserve">of </w:t>
      </w:r>
      <w:r w:rsidR="009F30D2">
        <w:t>the new Civil Code on 1 </w:t>
      </w:r>
      <w:r w:rsidRPr="00A54170" w:rsidR="006F66DB">
        <w:t>July 2003.</w:t>
      </w:r>
    </w:p>
    <w:p w:rsidR="006A120B" w:rsidP="006F66DB" w:rsidRDefault="00954AA9">
      <w:pPr>
        <w:pStyle w:val="JuPara"/>
      </w:pPr>
      <w:r>
        <w:fldChar w:fldCharType="begin"/>
      </w:r>
      <w:r>
        <w:instrText xml:space="preserve"> SEQ level0 \*arabic </w:instrText>
      </w:r>
      <w:r>
        <w:fldChar w:fldCharType="separate"/>
      </w:r>
      <w:r w:rsidR="00F03FB1">
        <w:rPr>
          <w:noProof/>
        </w:rPr>
        <w:t>24</w:t>
      </w:r>
      <w:r>
        <w:fldChar w:fldCharType="end"/>
      </w:r>
      <w:r>
        <w:t>.  </w:t>
      </w:r>
      <w:r w:rsidRPr="00EF667F" w:rsidR="00697317">
        <w:t xml:space="preserve">The applicant </w:t>
      </w:r>
      <w:r w:rsidR="00B070D8">
        <w:t>submitted</w:t>
      </w:r>
      <w:r w:rsidRPr="00EF667F" w:rsidR="00B070D8">
        <w:t xml:space="preserve"> </w:t>
      </w:r>
      <w:r w:rsidRPr="00EF667F" w:rsidR="00697317">
        <w:t xml:space="preserve">that </w:t>
      </w:r>
      <w:r w:rsidR="00D008FB">
        <w:t xml:space="preserve">since 1998 </w:t>
      </w:r>
      <w:r w:rsidRPr="00EF667F" w:rsidR="00697317">
        <w:t>he ha</w:t>
      </w:r>
      <w:r w:rsidR="00BA7271">
        <w:t>d been in</w:t>
      </w:r>
      <w:r w:rsidR="003B4E72">
        <w:t xml:space="preserve"> </w:t>
      </w:r>
      <w:r w:rsidRPr="00EF667F" w:rsidR="00697317">
        <w:t>a stable relat</w:t>
      </w:r>
      <w:r w:rsidR="00EF667F">
        <w:t xml:space="preserve">ionship with a woman and </w:t>
      </w:r>
      <w:r w:rsidR="00541841">
        <w:t xml:space="preserve">that </w:t>
      </w:r>
      <w:r w:rsidR="00EF667F">
        <w:t xml:space="preserve">they </w:t>
      </w:r>
      <w:r w:rsidR="00627367">
        <w:t>ha</w:t>
      </w:r>
      <w:r w:rsidR="00BA7271">
        <w:t>d</w:t>
      </w:r>
      <w:r w:rsidR="00627367">
        <w:t xml:space="preserve"> </w:t>
      </w:r>
      <w:r w:rsidR="00EF667F">
        <w:t>live</w:t>
      </w:r>
      <w:r w:rsidR="00627367">
        <w:t>d</w:t>
      </w:r>
      <w:r w:rsidR="00EF667F">
        <w:t xml:space="preserve"> together since 1999.</w:t>
      </w:r>
    </w:p>
    <w:p w:rsidRPr="005725AF" w:rsidR="00CD49A7" w:rsidRDefault="00CD49A7">
      <w:pPr>
        <w:pStyle w:val="JuHIRoman"/>
      </w:pPr>
      <w:r w:rsidRPr="005725AF">
        <w:t xml:space="preserve">II.  RELEVANT DOMESTIC LAW </w:t>
      </w:r>
      <w:r w:rsidR="00D43F59">
        <w:t>AND PRACTICE</w:t>
      </w:r>
    </w:p>
    <w:p w:rsidR="000463BC" w:rsidP="00D76AD2" w:rsidRDefault="00954AA9">
      <w:pPr>
        <w:pStyle w:val="JuPara"/>
      </w:pPr>
      <w:r>
        <w:fldChar w:fldCharType="begin"/>
      </w:r>
      <w:r>
        <w:instrText xml:space="preserve"> SEQ level0 \*arabic </w:instrText>
      </w:r>
      <w:r>
        <w:fldChar w:fldCharType="separate"/>
      </w:r>
      <w:r w:rsidR="00F03FB1">
        <w:rPr>
          <w:noProof/>
        </w:rPr>
        <w:t>25</w:t>
      </w:r>
      <w:r>
        <w:fldChar w:fldCharType="end"/>
      </w:r>
      <w:r>
        <w:t>.  </w:t>
      </w:r>
      <w:r w:rsidRPr="00A54170" w:rsidR="00D76AD2">
        <w:t>There were no provisions pertaining to the question of transsexuals in Lithuanian law until the adopt</w:t>
      </w:r>
      <w:r w:rsidR="009F30D2">
        <w:t>ion of the new Civil Code on 18 </w:t>
      </w:r>
      <w:r w:rsidRPr="00A54170" w:rsidR="00D76AD2">
        <w:t xml:space="preserve">July 2000. The Civil Code </w:t>
      </w:r>
      <w:r w:rsidR="0034657D">
        <w:t>came</w:t>
      </w:r>
      <w:r w:rsidRPr="00A54170" w:rsidR="00D76AD2">
        <w:t xml:space="preserve"> into force on 1 July 2001. </w:t>
      </w:r>
      <w:r w:rsidR="0034657D">
        <w:t xml:space="preserve">The first paragraph of </w:t>
      </w:r>
      <w:r w:rsidRPr="00A54170" w:rsidR="00D76AD2">
        <w:t xml:space="preserve">Article 2.27 (which only </w:t>
      </w:r>
      <w:r w:rsidR="0034657D">
        <w:t>came</w:t>
      </w:r>
      <w:r w:rsidRPr="00A54170" w:rsidR="00D76AD2">
        <w:t xml:space="preserve"> into force on 1 July 2003) provides that an unmarried adult has the right to </w:t>
      </w:r>
      <w:r w:rsidR="002E64A3">
        <w:t>gender</w:t>
      </w:r>
      <w:r w:rsidR="0034657D">
        <w:t xml:space="preserve"> </w:t>
      </w:r>
      <w:r w:rsidR="002E64A3">
        <w:t>reassignment</w:t>
      </w:r>
      <w:r w:rsidRPr="00A54170" w:rsidR="00D76AD2">
        <w:t xml:space="preserve"> </w:t>
      </w:r>
      <w:r w:rsidR="00485E93">
        <w:t xml:space="preserve">surgery </w:t>
      </w:r>
      <w:r w:rsidRPr="00A54170" w:rsidR="00485E93">
        <w:t>(</w:t>
      </w:r>
      <w:r w:rsidRPr="00A54170" w:rsidR="00485E93">
        <w:rPr>
          <w:i/>
        </w:rPr>
        <w:t>pakeisti lyt</w:t>
      </w:r>
      <w:r w:rsidRPr="00A54170" w:rsidR="00485E93">
        <w:rPr>
          <w:i/>
          <w:lang w:val="lt-LT"/>
        </w:rPr>
        <w:t>į</w:t>
      </w:r>
      <w:r w:rsidRPr="00A54170" w:rsidR="00485E93">
        <w:t>)</w:t>
      </w:r>
      <w:r w:rsidR="00485E93">
        <w:t>,</w:t>
      </w:r>
      <w:r w:rsidRPr="00A54170" w:rsidR="00D76AD2">
        <w:t xml:space="preserve"> if this is medically possible. </w:t>
      </w:r>
      <w:r w:rsidR="00084069">
        <w:t>A</w:t>
      </w:r>
      <w:r w:rsidRPr="00A54170" w:rsidR="00D76AD2">
        <w:t xml:space="preserve"> request by the person </w:t>
      </w:r>
      <w:r w:rsidR="00CC215E">
        <w:t xml:space="preserve">concerned </w:t>
      </w:r>
      <w:r w:rsidR="00E21253">
        <w:t xml:space="preserve">must </w:t>
      </w:r>
      <w:r w:rsidR="000463BC">
        <w:t>be made in writing.</w:t>
      </w:r>
      <w:r w:rsidRPr="00A54170" w:rsidR="00D76AD2">
        <w:t xml:space="preserve"> The second paragraph of this provision states that the conditions and procedure for </w:t>
      </w:r>
      <w:r w:rsidR="0034657D">
        <w:t xml:space="preserve">gender </w:t>
      </w:r>
      <w:r w:rsidR="002E64A3">
        <w:t>reassignment</w:t>
      </w:r>
      <w:r w:rsidRPr="00A54170" w:rsidR="00D76AD2">
        <w:t xml:space="preserve"> </w:t>
      </w:r>
      <w:r w:rsidR="00CC789D">
        <w:t xml:space="preserve">surgery </w:t>
      </w:r>
      <w:r w:rsidR="00056D6B">
        <w:t xml:space="preserve">are </w:t>
      </w:r>
      <w:r w:rsidRPr="00A54170" w:rsidR="00D76AD2">
        <w:t>established by law.</w:t>
      </w:r>
    </w:p>
    <w:p w:rsidRPr="00A54170" w:rsidR="00D76AD2" w:rsidP="00D76AD2" w:rsidRDefault="00954AA9">
      <w:pPr>
        <w:pStyle w:val="JuPara"/>
      </w:pPr>
      <w:r>
        <w:fldChar w:fldCharType="begin"/>
      </w:r>
      <w:r>
        <w:instrText xml:space="preserve"> SEQ level0 \*arabic </w:instrText>
      </w:r>
      <w:r>
        <w:fldChar w:fldCharType="separate"/>
      </w:r>
      <w:r w:rsidR="00F03FB1">
        <w:rPr>
          <w:noProof/>
        </w:rPr>
        <w:t>26</w:t>
      </w:r>
      <w:r>
        <w:fldChar w:fldCharType="end"/>
      </w:r>
      <w:r>
        <w:t>.  </w:t>
      </w:r>
      <w:r w:rsidR="0034657D">
        <w:t>On 27 December 2000 the g</w:t>
      </w:r>
      <w:r w:rsidRPr="00A54170" w:rsidR="00D76AD2">
        <w:t xml:space="preserve">overnment adopted a decree specifying the measures </w:t>
      </w:r>
      <w:r w:rsidR="003B4E72">
        <w:t xml:space="preserve">needed </w:t>
      </w:r>
      <w:r w:rsidRPr="00A54170" w:rsidR="00D76AD2">
        <w:t xml:space="preserve">for the implementation of the new Civil Code. The preparation of a </w:t>
      </w:r>
      <w:r w:rsidR="0034657D">
        <w:t xml:space="preserve">Gender </w:t>
      </w:r>
      <w:r w:rsidR="002E64A3">
        <w:t>Reassignment</w:t>
      </w:r>
      <w:r w:rsidRPr="00A54170" w:rsidR="00D76AD2">
        <w:t xml:space="preserve"> Bill was mentioned in it.</w:t>
      </w:r>
    </w:p>
    <w:p w:rsidR="00D76AD2" w:rsidP="00D76AD2" w:rsidRDefault="00954AA9">
      <w:pPr>
        <w:pStyle w:val="JuPara"/>
      </w:pPr>
      <w:r>
        <w:fldChar w:fldCharType="begin"/>
      </w:r>
      <w:r>
        <w:instrText xml:space="preserve"> SEQ level0 \*arabic </w:instrText>
      </w:r>
      <w:r>
        <w:fldChar w:fldCharType="separate"/>
      </w:r>
      <w:r w:rsidR="00F03FB1">
        <w:rPr>
          <w:noProof/>
        </w:rPr>
        <w:t>27</w:t>
      </w:r>
      <w:r>
        <w:fldChar w:fldCharType="end"/>
      </w:r>
      <w:r>
        <w:t>.  </w:t>
      </w:r>
      <w:r w:rsidR="0034657D">
        <w:t xml:space="preserve">Rule </w:t>
      </w:r>
      <w:r w:rsidRPr="00A54170" w:rsidR="00D76AD2">
        <w:t>109.2 of the Civil Registration Rules, approved by an order of the Minister of Justice o</w:t>
      </w:r>
      <w:r w:rsidR="00E21253">
        <w:t>n</w:t>
      </w:r>
      <w:r w:rsidRPr="00A54170" w:rsidR="00D76AD2">
        <w:t xml:space="preserve"> 29 June 2001 (in force </w:t>
      </w:r>
      <w:r w:rsidR="00E21253">
        <w:t>from</w:t>
      </w:r>
      <w:r w:rsidRPr="00A54170" w:rsidR="00D76AD2">
        <w:t xml:space="preserve"> 12 July 2001), permits </w:t>
      </w:r>
      <w:r w:rsidR="00E21253">
        <w:t>a</w:t>
      </w:r>
      <w:r w:rsidRPr="00A54170" w:rsidR="00E21253">
        <w:t xml:space="preserve"> </w:t>
      </w:r>
      <w:r w:rsidRPr="00A54170" w:rsidR="00D76AD2">
        <w:t>change in civil</w:t>
      </w:r>
      <w:r w:rsidR="007F3F7C">
        <w:t>-</w:t>
      </w:r>
      <w:r w:rsidRPr="00A54170" w:rsidR="00D76AD2">
        <w:t>status</w:t>
      </w:r>
      <w:r w:rsidR="00E21253">
        <w:t xml:space="preserve"> documents</w:t>
      </w:r>
      <w:r w:rsidRPr="00A54170" w:rsidR="00D76AD2">
        <w:t xml:space="preserve"> if there is a need to change a person</w:t>
      </w:r>
      <w:r w:rsidR="00C86D12">
        <w:t>’</w:t>
      </w:r>
      <w:r w:rsidRPr="00A54170" w:rsidR="00D76AD2">
        <w:t xml:space="preserve">s gender, </w:t>
      </w:r>
      <w:r w:rsidR="00E21253">
        <w:t>fore</w:t>
      </w:r>
      <w:r w:rsidRPr="00A54170" w:rsidR="00D76AD2">
        <w:t xml:space="preserve">name and surname, following </w:t>
      </w:r>
      <w:r w:rsidR="002E64A3">
        <w:t>gender</w:t>
      </w:r>
      <w:r w:rsidR="00E21253">
        <w:t xml:space="preserve"> </w:t>
      </w:r>
      <w:r w:rsidR="002E64A3">
        <w:t>reassignment</w:t>
      </w:r>
      <w:r w:rsidRPr="00A54170" w:rsidR="00D76AD2">
        <w:t>.</w:t>
      </w:r>
    </w:p>
    <w:p w:rsidRPr="00A54170" w:rsidR="00D76AD2" w:rsidP="00D76AD2" w:rsidRDefault="00954AA9">
      <w:pPr>
        <w:pStyle w:val="JuPara"/>
      </w:pPr>
      <w:r>
        <w:fldChar w:fldCharType="begin"/>
      </w:r>
      <w:r>
        <w:instrText xml:space="preserve"> SEQ level0 \*arabic </w:instrText>
      </w:r>
      <w:r>
        <w:fldChar w:fldCharType="separate"/>
      </w:r>
      <w:r w:rsidR="00F03FB1">
        <w:rPr>
          <w:noProof/>
        </w:rPr>
        <w:t>28</w:t>
      </w:r>
      <w:r>
        <w:fldChar w:fldCharType="end"/>
      </w:r>
      <w:r>
        <w:t>.  </w:t>
      </w:r>
      <w:r w:rsidR="00E21253">
        <w:t>Under</w:t>
      </w:r>
      <w:r w:rsidRPr="00A54170" w:rsidR="00D76AD2">
        <w:t xml:space="preserve"> the Residents</w:t>
      </w:r>
      <w:r w:rsidR="00C86D12">
        <w:t>’</w:t>
      </w:r>
      <w:r w:rsidRPr="00A54170" w:rsidR="00D76AD2">
        <w:t xml:space="preserve"> Register Act and other relevant domestic laws, every Lithuanian resident has a </w:t>
      </w:r>
      <w:r w:rsidRPr="00A54170" w:rsidR="003B4E72">
        <w:t xml:space="preserve">numerical </w:t>
      </w:r>
      <w:r w:rsidRPr="00A54170" w:rsidR="00D76AD2">
        <w:t>“personal code” (</w:t>
      </w:r>
      <w:r w:rsidRPr="00A54170" w:rsidR="00D76AD2">
        <w:rPr>
          <w:i/>
        </w:rPr>
        <w:t>asmens kodas</w:t>
      </w:r>
      <w:r w:rsidRPr="00A54170" w:rsidR="00D76AD2">
        <w:t xml:space="preserve">), which </w:t>
      </w:r>
      <w:r w:rsidR="003B4E72">
        <w:t>denotes certain</w:t>
      </w:r>
      <w:r w:rsidRPr="00A54170" w:rsidR="00D76AD2">
        <w:t xml:space="preserve"> basic</w:t>
      </w:r>
      <w:r w:rsidR="00E21253">
        <w:t xml:space="preserve"> items of</w:t>
      </w:r>
      <w:r w:rsidRPr="00A54170" w:rsidR="00D76AD2">
        <w:t xml:space="preserve"> information, inclu</w:t>
      </w:r>
      <w:r w:rsidR="00D76AD2">
        <w:t xml:space="preserve">ding his or her gender. </w:t>
      </w:r>
      <w:r w:rsidR="0034657D">
        <w:t xml:space="preserve">Section </w:t>
      </w:r>
      <w:r w:rsidR="00D76AD2">
        <w:t>8</w:t>
      </w:r>
      <w:r w:rsidR="00E21253">
        <w:t>(</w:t>
      </w:r>
      <w:r w:rsidRPr="00A54170" w:rsidR="00D76AD2">
        <w:t>2</w:t>
      </w:r>
      <w:r w:rsidR="00E21253">
        <w:t>)</w:t>
      </w:r>
      <w:r w:rsidRPr="00A54170" w:rsidR="00D76AD2">
        <w:t xml:space="preserve"> of the Residents</w:t>
      </w:r>
      <w:r w:rsidR="00C86D12">
        <w:t>’</w:t>
      </w:r>
      <w:r w:rsidRPr="00A54170" w:rsidR="00D76AD2">
        <w:t xml:space="preserve"> Register Act provides that the first num</w:t>
      </w:r>
      <w:r w:rsidR="003B4E72">
        <w:t>ber of the personal code denotes the</w:t>
      </w:r>
      <w:r w:rsidRPr="00A54170" w:rsidR="00D76AD2">
        <w:t xml:space="preserve"> person</w:t>
      </w:r>
      <w:r w:rsidR="00C86D12">
        <w:t>’</w:t>
      </w:r>
      <w:r w:rsidRPr="00A54170" w:rsidR="00D76AD2">
        <w:t xml:space="preserve">s gender. A personal code starting with </w:t>
      </w:r>
      <w:r w:rsidR="00E21253">
        <w:t xml:space="preserve">the </w:t>
      </w:r>
      <w:r w:rsidRPr="00A54170" w:rsidR="00D76AD2">
        <w:t xml:space="preserve">number </w:t>
      </w:r>
      <w:r w:rsidR="000D2858">
        <w:t>3 denotes that the person is</w:t>
      </w:r>
      <w:r w:rsidRPr="00A54170" w:rsidR="00D76AD2">
        <w:t xml:space="preserve"> male, wh</w:t>
      </w:r>
      <w:r w:rsidR="003B4E72">
        <w:t>ereas a</w:t>
      </w:r>
      <w:r w:rsidRPr="00A54170" w:rsidR="00D76AD2">
        <w:t xml:space="preserve"> code starting with</w:t>
      </w:r>
      <w:r w:rsidRPr="000D2858" w:rsidR="000D2858">
        <w:t xml:space="preserve"> </w:t>
      </w:r>
      <w:r w:rsidRPr="00A54170" w:rsidR="000D2858">
        <w:t>number</w:t>
      </w:r>
      <w:r w:rsidRPr="00A54170" w:rsidR="00D76AD2">
        <w:t xml:space="preserve"> 4 means that the person is female.</w:t>
      </w:r>
    </w:p>
    <w:p w:rsidR="00D76AD2" w:rsidP="00D76AD2" w:rsidRDefault="00954AA9">
      <w:pPr>
        <w:pStyle w:val="JuPara"/>
      </w:pPr>
      <w:r>
        <w:fldChar w:fldCharType="begin"/>
      </w:r>
      <w:r>
        <w:instrText xml:space="preserve"> SEQ level0 \*arabic </w:instrText>
      </w:r>
      <w:r>
        <w:fldChar w:fldCharType="separate"/>
      </w:r>
      <w:r w:rsidR="00F03FB1">
        <w:rPr>
          <w:noProof/>
        </w:rPr>
        <w:t>29</w:t>
      </w:r>
      <w:r>
        <w:fldChar w:fldCharType="end"/>
      </w:r>
      <w:r>
        <w:t>.  </w:t>
      </w:r>
      <w:r w:rsidR="0034657D">
        <w:t xml:space="preserve">Section </w:t>
      </w:r>
      <w:r w:rsidRPr="00A54170" w:rsidR="00D76AD2">
        <w:t xml:space="preserve">5 of the Passport Act 2003 provides that a </w:t>
      </w:r>
      <w:r w:rsidR="00E21253">
        <w:t>citizen</w:t>
      </w:r>
      <w:r w:rsidR="00C86D12">
        <w:t>’</w:t>
      </w:r>
      <w:r w:rsidR="00E21253">
        <w:t xml:space="preserve">s </w:t>
      </w:r>
      <w:r w:rsidRPr="00A54170" w:rsidR="00D76AD2">
        <w:t xml:space="preserve">passport </w:t>
      </w:r>
      <w:r w:rsidR="00E21253">
        <w:t>must</w:t>
      </w:r>
      <w:r w:rsidRPr="00A54170" w:rsidR="00E21253">
        <w:t xml:space="preserve"> </w:t>
      </w:r>
      <w:r w:rsidRPr="00A54170" w:rsidR="00D76AD2">
        <w:t xml:space="preserve">be changed if </w:t>
      </w:r>
      <w:r w:rsidR="00E21253">
        <w:t>the</w:t>
      </w:r>
      <w:r w:rsidRPr="00A54170" w:rsidR="00E21253">
        <w:t xml:space="preserve"> </w:t>
      </w:r>
      <w:r w:rsidRPr="00A54170" w:rsidR="00D76AD2">
        <w:t>citizen changes his</w:t>
      </w:r>
      <w:r w:rsidR="000D2858">
        <w:t xml:space="preserve"> or her</w:t>
      </w:r>
      <w:r w:rsidRPr="00A54170" w:rsidR="00D76AD2">
        <w:t xml:space="preserve"> </w:t>
      </w:r>
      <w:r w:rsidR="00E21253">
        <w:t>fore</w:t>
      </w:r>
      <w:r w:rsidRPr="00A54170" w:rsidR="00D76AD2">
        <w:t>name, surname, gender or personal code.</w:t>
      </w:r>
    </w:p>
    <w:p w:rsidRPr="00A54170" w:rsidR="00D76AD2" w:rsidP="00D76AD2" w:rsidRDefault="00954AA9">
      <w:pPr>
        <w:pStyle w:val="JuPara"/>
      </w:pPr>
      <w:r>
        <w:fldChar w:fldCharType="begin"/>
      </w:r>
      <w:r>
        <w:instrText xml:space="preserve"> SEQ level0 \*arabic </w:instrText>
      </w:r>
      <w:r>
        <w:fldChar w:fldCharType="separate"/>
      </w:r>
      <w:r w:rsidR="00F03FB1">
        <w:rPr>
          <w:noProof/>
        </w:rPr>
        <w:t>30</w:t>
      </w:r>
      <w:r>
        <w:fldChar w:fldCharType="end"/>
      </w:r>
      <w:r>
        <w:t>.  </w:t>
      </w:r>
      <w:r w:rsidRPr="00A54170" w:rsidR="00D76AD2">
        <w:t xml:space="preserve">The </w:t>
      </w:r>
      <w:r w:rsidR="002E64A3">
        <w:t>Gender</w:t>
      </w:r>
      <w:r w:rsidR="0034657D">
        <w:t xml:space="preserve"> </w:t>
      </w:r>
      <w:r w:rsidR="002E64A3">
        <w:t>Reassignment</w:t>
      </w:r>
      <w:r w:rsidRPr="00A54170" w:rsidR="00D76AD2">
        <w:t xml:space="preserve"> Bill was prepared by a working group of the Ministry of Health in </w:t>
      </w:r>
      <w:r w:rsidR="0034657D">
        <w:t>early 2003. On 3 June 2003 the g</w:t>
      </w:r>
      <w:r w:rsidRPr="00A54170" w:rsidR="00D76AD2">
        <w:t xml:space="preserve">overnment approved the Bill, sending it for consideration </w:t>
      </w:r>
      <w:r w:rsidR="003B4E72">
        <w:t>to</w:t>
      </w:r>
      <w:r w:rsidRPr="00A54170" w:rsidR="00D76AD2">
        <w:t xml:space="preserve"> the Seimas (Parliament). In an explanatory note</w:t>
      </w:r>
      <w:r w:rsidRPr="00E21253" w:rsidR="00E21253">
        <w:t xml:space="preserve"> </w:t>
      </w:r>
      <w:r w:rsidRPr="00A54170" w:rsidR="00E21253">
        <w:t>to Parliament</w:t>
      </w:r>
      <w:r w:rsidRPr="00A54170" w:rsidR="00D76AD2">
        <w:t xml:space="preserve"> </w:t>
      </w:r>
      <w:r w:rsidR="003B4E72">
        <w:t xml:space="preserve">dated </w:t>
      </w:r>
      <w:r w:rsidRPr="00A54170" w:rsidR="003B4E72">
        <w:t>4 June 2003</w:t>
      </w:r>
      <w:r w:rsidRPr="00A54170" w:rsidR="00D76AD2">
        <w:t xml:space="preserve">, the Minister </w:t>
      </w:r>
      <w:r w:rsidR="0034657D">
        <w:t>of</w:t>
      </w:r>
      <w:r w:rsidRPr="00A54170" w:rsidR="00E21253">
        <w:t xml:space="preserve"> </w:t>
      </w:r>
      <w:r w:rsidRPr="00A54170" w:rsidR="00D76AD2">
        <w:t>Health indicated</w:t>
      </w:r>
      <w:r w:rsidR="00E21253">
        <w:t>,</w:t>
      </w:r>
      <w:r w:rsidRPr="00A54170" w:rsidR="00D76AD2">
        <w:t xml:space="preserve"> </w:t>
      </w:r>
      <w:r w:rsidRPr="00A54170" w:rsidR="00D76AD2">
        <w:rPr>
          <w:i/>
        </w:rPr>
        <w:t>inter alia</w:t>
      </w:r>
      <w:r w:rsidR="00E21253">
        <w:t>,</w:t>
      </w:r>
      <w:r w:rsidR="000D2858">
        <w:t xml:space="preserve"> that, </w:t>
      </w:r>
      <w:r w:rsidRPr="00A54170" w:rsidR="00D76AD2">
        <w:t>at present</w:t>
      </w:r>
      <w:r w:rsidR="000D2858">
        <w:t>,</w:t>
      </w:r>
      <w:r w:rsidRPr="00A54170" w:rsidR="00D76AD2">
        <w:t xml:space="preserve"> no legal </w:t>
      </w:r>
      <w:r w:rsidR="00E21253">
        <w:t>instrument</w:t>
      </w:r>
      <w:r w:rsidRPr="00A54170" w:rsidR="00E21253">
        <w:t xml:space="preserve"> </w:t>
      </w:r>
      <w:r w:rsidRPr="00A54170" w:rsidR="00D76AD2">
        <w:t>regulate</w:t>
      </w:r>
      <w:r w:rsidR="00084069">
        <w:t>d</w:t>
      </w:r>
      <w:r w:rsidRPr="00A54170" w:rsidR="00D76AD2">
        <w:t xml:space="preserve"> the conditions and procedure for </w:t>
      </w:r>
      <w:r w:rsidR="002E64A3">
        <w:t>gender</w:t>
      </w:r>
      <w:r w:rsidR="00E21253">
        <w:t xml:space="preserve"> </w:t>
      </w:r>
      <w:r w:rsidR="002E64A3">
        <w:t>reassignment</w:t>
      </w:r>
      <w:r w:rsidRPr="00A54170" w:rsidR="00D76AD2">
        <w:t>. The Bill was initially scheduled for a plenary session of Parliament on 12 June</w:t>
      </w:r>
      <w:r w:rsidR="00084069">
        <w:t xml:space="preserve"> 2003, but it was not examined</w:t>
      </w:r>
      <w:r w:rsidRPr="00A54170" w:rsidR="00D76AD2">
        <w:t xml:space="preserve"> that day. It was </w:t>
      </w:r>
      <w:r w:rsidR="00827578">
        <w:t>res</w:t>
      </w:r>
      <w:r w:rsidRPr="00A54170" w:rsidR="00D76AD2">
        <w:t xml:space="preserve">cheduled for 17 June 2003, but was </w:t>
      </w:r>
      <w:r w:rsidR="00084069">
        <w:t xml:space="preserve">then </w:t>
      </w:r>
      <w:r w:rsidRPr="00A54170" w:rsidR="00D76AD2">
        <w:t>omitted from Parliament</w:t>
      </w:r>
      <w:r w:rsidR="00C86D12">
        <w:t>’</w:t>
      </w:r>
      <w:r w:rsidRPr="00A54170" w:rsidR="00D76AD2">
        <w:t xml:space="preserve">s agenda. On the same date the </w:t>
      </w:r>
      <w:r w:rsidR="00E21253">
        <w:t>Speaker</w:t>
      </w:r>
      <w:r w:rsidRPr="00A54170" w:rsidR="00E21253">
        <w:t xml:space="preserve"> </w:t>
      </w:r>
      <w:r w:rsidRPr="00A54170" w:rsidR="00D76AD2">
        <w:t xml:space="preserve">of Parliament circulated an </w:t>
      </w:r>
      <w:r w:rsidR="0034657D">
        <w:t>official memorandum on the Bill</w:t>
      </w:r>
      <w:r w:rsidRPr="00A54170" w:rsidR="00D76AD2">
        <w:t xml:space="preserve"> stating</w:t>
      </w:r>
      <w:r w:rsidR="0034657D">
        <w:t>,</w:t>
      </w:r>
      <w:r w:rsidRPr="00A54170" w:rsidR="00D76AD2">
        <w:t xml:space="preserve"> </w:t>
      </w:r>
      <w:r w:rsidRPr="00A54170" w:rsidR="00D76AD2">
        <w:rPr>
          <w:i/>
        </w:rPr>
        <w:t>inter alia</w:t>
      </w:r>
      <w:r w:rsidRPr="00A54170" w:rsidR="00D76AD2">
        <w:t>:</w:t>
      </w:r>
    </w:p>
    <w:p w:rsidRPr="00A54170" w:rsidR="00D76AD2" w:rsidP="00D76AD2" w:rsidRDefault="00D76AD2">
      <w:pPr>
        <w:pStyle w:val="JuQuot"/>
      </w:pPr>
      <w:r w:rsidRPr="00A54170">
        <w:t xml:space="preserve">“The </w:t>
      </w:r>
      <w:r w:rsidR="00E21253">
        <w:t>Speaker</w:t>
      </w:r>
      <w:r w:rsidRPr="00A54170" w:rsidR="00E21253">
        <w:t xml:space="preserve"> </w:t>
      </w:r>
      <w:r w:rsidRPr="00A54170">
        <w:t xml:space="preserve">of </w:t>
      </w:r>
      <w:r w:rsidR="00E21253">
        <w:t xml:space="preserve">the </w:t>
      </w:r>
      <w:r w:rsidRPr="00A54170">
        <w:t xml:space="preserve">Seimas </w:t>
      </w:r>
      <w:r w:rsidR="00797919">
        <w:t>...</w:t>
      </w:r>
      <w:r w:rsidRPr="00A54170">
        <w:t xml:space="preserve"> strongly denounces </w:t>
      </w:r>
      <w:r w:rsidR="0034657D">
        <w:t xml:space="preserve">gender </w:t>
      </w:r>
      <w:r w:rsidR="002E64A3">
        <w:t>reassignment</w:t>
      </w:r>
      <w:r w:rsidRPr="00A54170">
        <w:t xml:space="preserve"> surgery and the further consideration of a </w:t>
      </w:r>
      <w:r w:rsidR="00E21253">
        <w:t xml:space="preserve">bill </w:t>
      </w:r>
      <w:r w:rsidRPr="00A54170">
        <w:t xml:space="preserve">on </w:t>
      </w:r>
      <w:r w:rsidR="00E21253">
        <w:t>the subject at</w:t>
      </w:r>
      <w:r w:rsidRPr="00A54170">
        <w:t xml:space="preserve"> a parliamentary hearing.</w:t>
      </w:r>
    </w:p>
    <w:p w:rsidR="00D76AD2" w:rsidP="00D76AD2" w:rsidRDefault="00D76AD2">
      <w:pPr>
        <w:pStyle w:val="JuQuot"/>
      </w:pPr>
      <w:r w:rsidRPr="00A54170">
        <w:t xml:space="preserve">[At a time] when the demographic situation in Lithuania </w:t>
      </w:r>
      <w:r w:rsidR="00E21253">
        <w:t xml:space="preserve">is </w:t>
      </w:r>
      <w:r w:rsidRPr="00A54170">
        <w:t>becom</w:t>
      </w:r>
      <w:r w:rsidR="00E21253">
        <w:t>ing</w:t>
      </w:r>
      <w:r w:rsidRPr="00A54170">
        <w:t xml:space="preserve"> threatened, the Seimas should not </w:t>
      </w:r>
      <w:r w:rsidR="0034657D">
        <w:t xml:space="preserve">make </w:t>
      </w:r>
      <w:r w:rsidR="005D7609">
        <w:t>matters</w:t>
      </w:r>
      <w:r w:rsidRPr="00A54170">
        <w:t xml:space="preserve"> </w:t>
      </w:r>
      <w:r w:rsidR="0034657D">
        <w:t>worse by</w:t>
      </w:r>
      <w:r w:rsidRPr="00A54170">
        <w:t xml:space="preserve"> considering such a controversial law, which </w:t>
      </w:r>
      <w:r w:rsidR="0053076B">
        <w:t>may</w:t>
      </w:r>
      <w:r w:rsidRPr="00A54170" w:rsidR="0053076B">
        <w:t xml:space="preserve"> </w:t>
      </w:r>
      <w:r w:rsidRPr="00A54170">
        <w:t>be taken by society as an insult to the far more impor</w:t>
      </w:r>
      <w:r w:rsidR="00192391">
        <w:t>tant problems facing the health-</w:t>
      </w:r>
      <w:r w:rsidRPr="00A54170">
        <w:t>care system.”</w:t>
      </w:r>
    </w:p>
    <w:p w:rsidR="0053076B" w:rsidP="0053076B" w:rsidRDefault="00954AA9">
      <w:pPr>
        <w:pStyle w:val="JuPara"/>
      </w:pPr>
      <w:r>
        <w:fldChar w:fldCharType="begin"/>
      </w:r>
      <w:r>
        <w:instrText xml:space="preserve"> SEQ level0 \*arabic </w:instrText>
      </w:r>
      <w:r>
        <w:fldChar w:fldCharType="separate"/>
      </w:r>
      <w:r w:rsidR="00F03FB1">
        <w:rPr>
          <w:noProof/>
        </w:rPr>
        <w:t>31</w:t>
      </w:r>
      <w:r>
        <w:fldChar w:fldCharType="end"/>
      </w:r>
      <w:r>
        <w:t>.  </w:t>
      </w:r>
      <w:r w:rsidR="000D2858">
        <w:t>The order of the M</w:t>
      </w:r>
      <w:r w:rsidR="00074BD1">
        <w:t>inister</w:t>
      </w:r>
      <w:r w:rsidR="000D2858">
        <w:t xml:space="preserve"> </w:t>
      </w:r>
      <w:r w:rsidR="0034657D">
        <w:t>of</w:t>
      </w:r>
      <w:r w:rsidR="0053076B">
        <w:t xml:space="preserve"> </w:t>
      </w:r>
      <w:r w:rsidR="000D2858">
        <w:t>H</w:t>
      </w:r>
      <w:r w:rsidR="00186C76">
        <w:t>ealth</w:t>
      </w:r>
      <w:r w:rsidR="00074BD1">
        <w:t>, issued on 6 September 2001</w:t>
      </w:r>
      <w:r w:rsidR="0017546F">
        <w:t>,</w:t>
      </w:r>
      <w:r w:rsidR="00074BD1">
        <w:t xml:space="preserve"> specifies the conditions under which patients in </w:t>
      </w:r>
      <w:smartTag w:uri="urn:schemas-microsoft-com:office:smarttags" w:element="country-region">
        <w:r w:rsidR="00074BD1">
          <w:t>Lithuania</w:t>
        </w:r>
      </w:smartTag>
      <w:r w:rsidR="00074BD1">
        <w:t xml:space="preserve"> ca</w:t>
      </w:r>
      <w:r w:rsidR="008C4B4C">
        <w:t xml:space="preserve">n be </w:t>
      </w:r>
      <w:r w:rsidR="0053076B">
        <w:t xml:space="preserve">referred </w:t>
      </w:r>
      <w:r w:rsidR="008C4B4C">
        <w:t xml:space="preserve">for treatment abroad, </w:t>
      </w:r>
      <w:r w:rsidR="00CD1F3A">
        <w:t xml:space="preserve">in cases where the necessary </w:t>
      </w:r>
      <w:r w:rsidR="000D2858">
        <w:t xml:space="preserve">treatment </w:t>
      </w:r>
      <w:r w:rsidR="00CD1F3A">
        <w:t xml:space="preserve">for a certain illness </w:t>
      </w:r>
      <w:r w:rsidR="000D2858">
        <w:t>is</w:t>
      </w:r>
      <w:r w:rsidR="00CD1F3A">
        <w:t xml:space="preserve"> not available in </w:t>
      </w:r>
      <w:smartTag w:uri="urn:schemas-microsoft-com:office:smarttags" w:element="place">
        <w:smartTag w:uri="urn:schemas-microsoft-com:office:smarttags" w:element="country-region">
          <w:r w:rsidR="00CD1F3A">
            <w:t>Lithuania</w:t>
          </w:r>
        </w:smartTag>
      </w:smartTag>
      <w:r w:rsidR="00CD1F3A">
        <w:t xml:space="preserve">. The decision is taken by a special commission of experts </w:t>
      </w:r>
      <w:r w:rsidR="00547EC6">
        <w:t>appointed</w:t>
      </w:r>
      <w:r w:rsidR="0053076B">
        <w:t xml:space="preserve"> </w:t>
      </w:r>
      <w:r w:rsidR="00CD1F3A">
        <w:t xml:space="preserve">by the </w:t>
      </w:r>
      <w:r w:rsidR="00AA13DC">
        <w:t xml:space="preserve">Minister </w:t>
      </w:r>
      <w:r w:rsidR="0034657D">
        <w:t>of</w:t>
      </w:r>
      <w:r w:rsidR="0053076B">
        <w:t xml:space="preserve"> </w:t>
      </w:r>
      <w:r w:rsidR="00AA13DC">
        <w:t>Health</w:t>
      </w:r>
      <w:r w:rsidR="00CD1F3A">
        <w:t xml:space="preserve">, </w:t>
      </w:r>
      <w:r w:rsidR="00C976FB">
        <w:t>and the cost</w:t>
      </w:r>
      <w:r w:rsidR="00E8300D">
        <w:t xml:space="preserve"> of such t</w:t>
      </w:r>
      <w:r w:rsidR="00C976FB">
        <w:t>reatment is</w:t>
      </w:r>
      <w:r w:rsidR="00E8300D">
        <w:t xml:space="preserve"> covered by the C</w:t>
      </w:r>
      <w:r w:rsidR="000D2858">
        <w:t>ompulsory Health Insurance Fund.</w:t>
      </w:r>
    </w:p>
    <w:p w:rsidR="006A120B" w:rsidP="0053076B" w:rsidRDefault="00954AA9">
      <w:pPr>
        <w:pStyle w:val="JuPara"/>
      </w:pPr>
      <w:r>
        <w:fldChar w:fldCharType="begin"/>
      </w:r>
      <w:r>
        <w:instrText xml:space="preserve"> SEQ level0 \*arabic </w:instrText>
      </w:r>
      <w:r>
        <w:fldChar w:fldCharType="separate"/>
      </w:r>
      <w:r w:rsidR="00F03FB1">
        <w:rPr>
          <w:noProof/>
        </w:rPr>
        <w:t>32</w:t>
      </w:r>
      <w:r>
        <w:fldChar w:fldCharType="end"/>
      </w:r>
      <w:r>
        <w:t>.  </w:t>
      </w:r>
      <w:r w:rsidR="00743075">
        <w:t xml:space="preserve">On 8 August 2006 the </w:t>
      </w:r>
      <w:smartTag w:uri="urn:schemas-microsoft-com:office:smarttags" w:element="Street">
        <w:smartTag w:uri="urn:schemas-microsoft-com:office:smarttags" w:element="address">
          <w:r w:rsidR="00743075">
            <w:t>Constitutional Court</w:t>
          </w:r>
        </w:smartTag>
      </w:smartTag>
      <w:r w:rsidR="00743075">
        <w:t xml:space="preserve"> </w:t>
      </w:r>
      <w:r w:rsidR="008712EC">
        <w:t>rul</w:t>
      </w:r>
      <w:r w:rsidR="00AA13DC">
        <w:t>ed</w:t>
      </w:r>
      <w:r w:rsidR="008712EC">
        <w:t xml:space="preserve"> that </w:t>
      </w:r>
      <w:r w:rsidR="00885DE3">
        <w:t xml:space="preserve">the courts were empowered to fill </w:t>
      </w:r>
      <w:r w:rsidR="00F54912">
        <w:t xml:space="preserve">the </w:t>
      </w:r>
      <w:r w:rsidR="00885DE3">
        <w:t xml:space="preserve">gaps left </w:t>
      </w:r>
      <w:r w:rsidR="0053076B">
        <w:t xml:space="preserve">in </w:t>
      </w:r>
      <w:r w:rsidR="00885DE3">
        <w:t>the legislat</w:t>
      </w:r>
      <w:r w:rsidR="0053076B">
        <w:t>i</w:t>
      </w:r>
      <w:r w:rsidR="00885DE3">
        <w:t>o</w:t>
      </w:r>
      <w:r w:rsidR="0053076B">
        <w:t>n</w:t>
      </w:r>
      <w:r w:rsidR="00885DE3">
        <w:t xml:space="preserve"> where this was necessa</w:t>
      </w:r>
      <w:r w:rsidR="00F54912">
        <w:t>ry</w:t>
      </w:r>
      <w:r w:rsidR="0017546F">
        <w:t>,</w:t>
      </w:r>
      <w:r w:rsidR="00F54912">
        <w:t xml:space="preserve"> </w:t>
      </w:r>
      <w:r w:rsidRPr="00F54912" w:rsidR="00F54912">
        <w:rPr>
          <w:i/>
        </w:rPr>
        <w:t>inter alia</w:t>
      </w:r>
      <w:r w:rsidRPr="00F32C5F" w:rsidR="0017546F">
        <w:t>,</w:t>
      </w:r>
      <w:r w:rsidR="00F54912">
        <w:t xml:space="preserve"> for </w:t>
      </w:r>
      <w:r w:rsidR="0017546F">
        <w:t xml:space="preserve">the </w:t>
      </w:r>
      <w:r w:rsidR="00F54912">
        <w:t>protection of the</w:t>
      </w:r>
      <w:r w:rsidR="00885DE3">
        <w:t xml:space="preserve"> rights and freedoms</w:t>
      </w:r>
      <w:r w:rsidR="00F54912">
        <w:t xml:space="preserve"> of a </w:t>
      </w:r>
      <w:r w:rsidR="00AA13DC">
        <w:t>particular individual</w:t>
      </w:r>
      <w:r w:rsidR="00885DE3">
        <w:t>.</w:t>
      </w:r>
    </w:p>
    <w:p w:rsidRPr="005725AF" w:rsidR="00CD49A7" w:rsidRDefault="00CD49A7">
      <w:pPr>
        <w:pStyle w:val="JuHHead"/>
      </w:pPr>
      <w:r w:rsidRPr="005725AF">
        <w:t>THE LAW</w:t>
      </w:r>
    </w:p>
    <w:p w:rsidRPr="005725AF" w:rsidR="00CD49A7" w:rsidRDefault="00CD49A7">
      <w:pPr>
        <w:pStyle w:val="JuHIRoman"/>
      </w:pPr>
      <w:r w:rsidRPr="005725AF">
        <w:t>I.  THE GOVERNMENT</w:t>
      </w:r>
      <w:r w:rsidR="00C86D12">
        <w:t>’</w:t>
      </w:r>
      <w:r w:rsidR="002E1DF1">
        <w:t>S PRELIMINARY OBJECTION</w:t>
      </w:r>
    </w:p>
    <w:p w:rsidR="006A120B" w:rsidRDefault="00954AA9">
      <w:pPr>
        <w:pStyle w:val="JuPara"/>
      </w:pPr>
      <w:r>
        <w:fldChar w:fldCharType="begin"/>
      </w:r>
      <w:r>
        <w:instrText xml:space="preserve"> SEQ level0 \*arabic </w:instrText>
      </w:r>
      <w:r>
        <w:fldChar w:fldCharType="separate"/>
      </w:r>
      <w:r w:rsidR="00F03FB1">
        <w:rPr>
          <w:noProof/>
        </w:rPr>
        <w:t>33</w:t>
      </w:r>
      <w:r>
        <w:fldChar w:fldCharType="end"/>
      </w:r>
      <w:r>
        <w:t>.  </w:t>
      </w:r>
      <w:r w:rsidR="002200AB">
        <w:t>The Government alleged that the applicant ha</w:t>
      </w:r>
      <w:r w:rsidR="00084069">
        <w:t>d</w:t>
      </w:r>
      <w:r w:rsidR="002200AB">
        <w:t xml:space="preserve"> failed to exhaust domestic remedies</w:t>
      </w:r>
      <w:r w:rsidR="00804A13">
        <w:t xml:space="preserve"> as regards his complaints </w:t>
      </w:r>
      <w:r w:rsidR="0053076B">
        <w:t>that he had been unable</w:t>
      </w:r>
      <w:r w:rsidR="00561F35">
        <w:t xml:space="preserve"> to complete the course of </w:t>
      </w:r>
      <w:r w:rsidR="002E64A3">
        <w:t>gender</w:t>
      </w:r>
      <w:r w:rsidR="0053076B">
        <w:t xml:space="preserve"> </w:t>
      </w:r>
      <w:r w:rsidR="002E64A3">
        <w:t>reassignment</w:t>
      </w:r>
      <w:r w:rsidR="002200AB">
        <w:t>. They assert</w:t>
      </w:r>
      <w:r w:rsidR="00783346">
        <w:t>ed</w:t>
      </w:r>
      <w:r w:rsidR="002200AB">
        <w:t xml:space="preserve"> that the applicant had</w:t>
      </w:r>
      <w:r w:rsidR="0053076B">
        <w:t xml:space="preserve"> had the</w:t>
      </w:r>
      <w:r w:rsidR="002200AB">
        <w:t xml:space="preserve"> </w:t>
      </w:r>
      <w:r w:rsidR="0053076B">
        <w:t xml:space="preserve">opportunity </w:t>
      </w:r>
      <w:r w:rsidR="002200AB">
        <w:t xml:space="preserve">to bring a claim </w:t>
      </w:r>
      <w:r w:rsidR="00783346">
        <w:t>– by way of civil or administrative proce</w:t>
      </w:r>
      <w:r w:rsidR="0053076B">
        <w:t>edings</w:t>
      </w:r>
      <w:r w:rsidR="00783346">
        <w:t xml:space="preserve"> – </w:t>
      </w:r>
      <w:r w:rsidR="0053076B">
        <w:t xml:space="preserve">seeking </w:t>
      </w:r>
      <w:r w:rsidR="00783346">
        <w:t>damage</w:t>
      </w:r>
      <w:r w:rsidR="00AA13DC">
        <w:t>s</w:t>
      </w:r>
      <w:r w:rsidR="00783346">
        <w:t xml:space="preserve"> for the alleged inactivity of the administr</w:t>
      </w:r>
      <w:r w:rsidR="0034657D">
        <w:t>ative an</w:t>
      </w:r>
      <w:r w:rsidR="00192391">
        <w:t>d health-</w:t>
      </w:r>
      <w:r w:rsidR="00783346">
        <w:t>care authorities and/or doctors</w:t>
      </w:r>
      <w:r w:rsidR="003068CF">
        <w:t xml:space="preserve"> when dealing with his </w:t>
      </w:r>
      <w:r w:rsidR="0034657D">
        <w:t xml:space="preserve">gender </w:t>
      </w:r>
      <w:r w:rsidR="002E64A3">
        <w:t>reassignment</w:t>
      </w:r>
      <w:r w:rsidR="003068CF">
        <w:t xml:space="preserve"> </w:t>
      </w:r>
      <w:r w:rsidR="00F276E8">
        <w:t>needs</w:t>
      </w:r>
      <w:r w:rsidR="003068CF">
        <w:t xml:space="preserve">. </w:t>
      </w:r>
      <w:r w:rsidR="00132E38">
        <w:t xml:space="preserve">The Government maintained that </w:t>
      </w:r>
      <w:r w:rsidR="005B2318">
        <w:t xml:space="preserve">such an action would have enabled the courts to fill </w:t>
      </w:r>
      <w:r w:rsidR="00132E38">
        <w:t xml:space="preserve">the legislative </w:t>
      </w:r>
      <w:r w:rsidR="00F15F93">
        <w:t>lacuna</w:t>
      </w:r>
      <w:r w:rsidR="00561F35">
        <w:t>e</w:t>
      </w:r>
      <w:r w:rsidR="00132E38">
        <w:t>.</w:t>
      </w:r>
      <w:r w:rsidR="004B6B7D">
        <w:t xml:space="preserve"> </w:t>
      </w:r>
      <w:r w:rsidR="005B2318">
        <w:t xml:space="preserve">In this </w:t>
      </w:r>
      <w:r w:rsidR="0053076B">
        <w:t>connection</w:t>
      </w:r>
      <w:r w:rsidR="005B2318">
        <w:t>, t</w:t>
      </w:r>
      <w:r w:rsidR="004B6B7D">
        <w:t>he</w:t>
      </w:r>
      <w:r w:rsidR="00F15F93">
        <w:t xml:space="preserve"> Government</w:t>
      </w:r>
      <w:r w:rsidR="004B6B7D">
        <w:t xml:space="preserve"> referred to the </w:t>
      </w:r>
      <w:smartTag w:uri="urn:schemas-microsoft-com:office:smarttags" w:element="Street">
        <w:smartTag w:uri="urn:schemas-microsoft-com:office:smarttags" w:element="address">
          <w:r w:rsidR="004B6B7D">
            <w:t>Constitutional Court</w:t>
          </w:r>
        </w:smartTag>
      </w:smartTag>
      <w:r w:rsidR="004B6B7D">
        <w:t xml:space="preserve"> ruling of 8</w:t>
      </w:r>
      <w:r w:rsidR="0053076B">
        <w:t> </w:t>
      </w:r>
      <w:r w:rsidR="004B6B7D">
        <w:t xml:space="preserve">August 2006, </w:t>
      </w:r>
      <w:r w:rsidR="00561F35">
        <w:t xml:space="preserve">in </w:t>
      </w:r>
      <w:r w:rsidR="00C93B15">
        <w:t xml:space="preserve">which </w:t>
      </w:r>
      <w:r w:rsidR="00F123EF">
        <w:t xml:space="preserve">a </w:t>
      </w:r>
      <w:r w:rsidR="00743075">
        <w:t>certain</w:t>
      </w:r>
      <w:r w:rsidR="00C93B15">
        <w:t xml:space="preserve"> </w:t>
      </w:r>
      <w:r w:rsidR="00517396">
        <w:t xml:space="preserve">law-making role of the </w:t>
      </w:r>
      <w:r w:rsidRPr="00F54912" w:rsidR="00517396">
        <w:t xml:space="preserve">courts </w:t>
      </w:r>
      <w:r w:rsidR="002910C7">
        <w:t xml:space="preserve">had been acknowledged </w:t>
      </w:r>
      <w:r w:rsidRPr="00F54912" w:rsidR="00517396">
        <w:t>(</w:t>
      </w:r>
      <w:r w:rsidRPr="00F54912" w:rsidR="00F54912">
        <w:t>see</w:t>
      </w:r>
      <w:r w:rsidRPr="00A54170" w:rsidR="00F54912">
        <w:t xml:space="preserve"> par</w:t>
      </w:r>
      <w:r w:rsidR="00AA13DC">
        <w:t>agraph 3</w:t>
      </w:r>
      <w:r w:rsidR="007E38D2">
        <w:t>2</w:t>
      </w:r>
      <w:r w:rsidRPr="00A54170" w:rsidR="00F54912">
        <w:t xml:space="preserve"> </w:t>
      </w:r>
      <w:r w:rsidR="00F54912">
        <w:t>above</w:t>
      </w:r>
      <w:r w:rsidR="00517396">
        <w:t>).</w:t>
      </w:r>
      <w:r w:rsidR="00132E38">
        <w:t xml:space="preserve"> Alternatively, the</w:t>
      </w:r>
      <w:r w:rsidR="00517396">
        <w:t xml:space="preserve"> domestic courts </w:t>
      </w:r>
      <w:r w:rsidR="00EE44EB">
        <w:t>could have sought</w:t>
      </w:r>
      <w:r w:rsidR="00517396">
        <w:t xml:space="preserve"> the opinion of the </w:t>
      </w:r>
      <w:smartTag w:uri="urn:schemas-microsoft-com:office:smarttags" w:element="Street">
        <w:smartTag w:uri="urn:schemas-microsoft-com:office:smarttags" w:element="address">
          <w:r w:rsidR="00517396">
            <w:t>Constitutional Court</w:t>
          </w:r>
        </w:smartTag>
      </w:smartTag>
      <w:r w:rsidR="00517396">
        <w:t xml:space="preserve"> as to whether </w:t>
      </w:r>
      <w:r w:rsidR="00E750A1">
        <w:t>the existence of</w:t>
      </w:r>
      <w:r w:rsidR="00517396">
        <w:t xml:space="preserve"> </w:t>
      </w:r>
      <w:r w:rsidR="0043782B">
        <w:t xml:space="preserve">the </w:t>
      </w:r>
      <w:r w:rsidR="00E750A1">
        <w:t xml:space="preserve">legal </w:t>
      </w:r>
      <w:r w:rsidR="00517396">
        <w:t>gap</w:t>
      </w:r>
      <w:r w:rsidR="00E750A1">
        <w:t>s</w:t>
      </w:r>
      <w:r w:rsidR="00517396">
        <w:t xml:space="preserve"> </w:t>
      </w:r>
      <w:r w:rsidR="00E750A1">
        <w:t xml:space="preserve">in issue </w:t>
      </w:r>
      <w:r w:rsidR="00517396">
        <w:t xml:space="preserve">was in </w:t>
      </w:r>
      <w:r w:rsidR="00F123EF">
        <w:t>conformity with</w:t>
      </w:r>
      <w:r w:rsidR="00517396">
        <w:t xml:space="preserve"> the Constitution. </w:t>
      </w:r>
      <w:r w:rsidR="00E77483">
        <w:t>While the Government c</w:t>
      </w:r>
      <w:r w:rsidR="0043782B">
        <w:t>onc</w:t>
      </w:r>
      <w:r w:rsidR="00E77483">
        <w:t xml:space="preserve">eded that there was no </w:t>
      </w:r>
      <w:r w:rsidR="00EA3D1A">
        <w:t>particular domestic case-law</w:t>
      </w:r>
      <w:r w:rsidR="00E77483">
        <w:t xml:space="preserve"> </w:t>
      </w:r>
      <w:r w:rsidR="00EB7987">
        <w:t>regarding transsexuals</w:t>
      </w:r>
      <w:r w:rsidR="00E77483">
        <w:t xml:space="preserve">, they argued that this factor alone was not sufficient to </w:t>
      </w:r>
      <w:r w:rsidR="00DA3709">
        <w:t>raise doubts about</w:t>
      </w:r>
      <w:r w:rsidR="00967779">
        <w:t xml:space="preserve"> </w:t>
      </w:r>
      <w:r w:rsidR="00E750A1">
        <w:t xml:space="preserve">the </w:t>
      </w:r>
      <w:r w:rsidR="00967779">
        <w:t xml:space="preserve">effectiveness of a civil action as a remedy or </w:t>
      </w:r>
      <w:r w:rsidR="00E750A1">
        <w:t xml:space="preserve">to </w:t>
      </w:r>
      <w:r w:rsidR="00EB7987">
        <w:t xml:space="preserve">presume the lack of </w:t>
      </w:r>
      <w:r w:rsidR="00E750A1">
        <w:t xml:space="preserve">any </w:t>
      </w:r>
      <w:r w:rsidR="00E77483">
        <w:t>prospects of success.</w:t>
      </w:r>
    </w:p>
    <w:p w:rsidR="0043782B" w:rsidRDefault="0043782B">
      <w:pPr>
        <w:pStyle w:val="JuPara"/>
      </w:pPr>
      <w:r>
        <w:fldChar w:fldCharType="begin"/>
      </w:r>
      <w:r>
        <w:instrText xml:space="preserve"> SEQ level0 \*arabic </w:instrText>
      </w:r>
      <w:r>
        <w:fldChar w:fldCharType="separate"/>
      </w:r>
      <w:r w:rsidR="00F03FB1">
        <w:rPr>
          <w:noProof/>
        </w:rPr>
        <w:t>34</w:t>
      </w:r>
      <w:r>
        <w:fldChar w:fldCharType="end"/>
      </w:r>
      <w:r>
        <w:t>.  The applicant contested the Government</w:t>
      </w:r>
      <w:r w:rsidR="00C86D12">
        <w:t>’</w:t>
      </w:r>
      <w:r>
        <w:t xml:space="preserve">s </w:t>
      </w:r>
      <w:r w:rsidR="00FD473A">
        <w:t>submissions</w:t>
      </w:r>
      <w:r>
        <w:t>.</w:t>
      </w:r>
    </w:p>
    <w:p w:rsidR="00FC6B2D" w:rsidP="00FC6B2D" w:rsidRDefault="004817A6">
      <w:pPr>
        <w:pStyle w:val="JuPara"/>
      </w:pPr>
      <w:r>
        <w:fldChar w:fldCharType="begin"/>
      </w:r>
      <w:r>
        <w:instrText xml:space="preserve"> SEQ level0 \*arabic </w:instrText>
      </w:r>
      <w:r>
        <w:fldChar w:fldCharType="separate"/>
      </w:r>
      <w:r w:rsidR="00F03FB1">
        <w:rPr>
          <w:noProof/>
        </w:rPr>
        <w:t>35</w:t>
      </w:r>
      <w:r>
        <w:fldChar w:fldCharType="end"/>
      </w:r>
      <w:r>
        <w:t>.  </w:t>
      </w:r>
      <w:r w:rsidR="00FC6B2D">
        <w:t xml:space="preserve">However, </w:t>
      </w:r>
      <w:r w:rsidR="00F276E8">
        <w:t xml:space="preserve">the Court </w:t>
      </w:r>
      <w:r w:rsidR="0053076B">
        <w:t xml:space="preserve">reiterates </w:t>
      </w:r>
      <w:r w:rsidR="00F276E8">
        <w:t xml:space="preserve">that </w:t>
      </w:r>
      <w:r w:rsidR="00FC6B2D">
        <w:t xml:space="preserve">Article 35 § 1 of the Convention </w:t>
      </w:r>
      <w:r w:rsidR="00F276E8">
        <w:t xml:space="preserve">only </w:t>
      </w:r>
      <w:r w:rsidR="00FC6B2D">
        <w:t xml:space="preserve">requires the exhaustion of remedies which are available and sufficient, in theory </w:t>
      </w:r>
      <w:r w:rsidR="00F276E8">
        <w:t>as well as</w:t>
      </w:r>
      <w:r w:rsidR="00FC6B2D">
        <w:t xml:space="preserve"> practice</w:t>
      </w:r>
      <w:r w:rsidR="006100D9">
        <w:t>,</w:t>
      </w:r>
      <w:r w:rsidR="00FC6B2D">
        <w:t xml:space="preserve"> </w:t>
      </w:r>
      <w:r w:rsidR="00F32C5F">
        <w:t xml:space="preserve">on </w:t>
      </w:r>
      <w:r w:rsidR="00FC6B2D">
        <w:t xml:space="preserve">the date </w:t>
      </w:r>
      <w:r w:rsidR="0053076B">
        <w:t>on which the</w:t>
      </w:r>
      <w:r w:rsidR="00FC6B2D">
        <w:t xml:space="preserve"> application </w:t>
      </w:r>
      <w:r w:rsidR="0053076B">
        <w:t>was lodged with it</w:t>
      </w:r>
      <w:r w:rsidR="00FC6B2D">
        <w:t xml:space="preserve"> (</w:t>
      </w:r>
      <w:r w:rsidR="0053076B">
        <w:t>see, among other authorities,</w:t>
      </w:r>
      <w:r w:rsidRPr="00FC6B2D" w:rsidR="00FC6B2D">
        <w:rPr>
          <w:i/>
        </w:rPr>
        <w:t xml:space="preserve"> </w:t>
      </w:r>
      <w:r w:rsidRPr="008059C0" w:rsidR="008059C0">
        <w:rPr>
          <w:i/>
        </w:rPr>
        <w:t>Stoeterij Zangersheide N.V. v.</w:t>
      </w:r>
      <w:r w:rsidR="00EE44EB">
        <w:rPr>
          <w:i/>
        </w:rPr>
        <w:t xml:space="preserve"> </w:t>
      </w:r>
      <w:r w:rsidRPr="008059C0" w:rsidR="008059C0">
        <w:rPr>
          <w:i/>
        </w:rPr>
        <w:t>Belgium</w:t>
      </w:r>
      <w:r w:rsidRPr="008059C0" w:rsidR="008059C0">
        <w:t xml:space="preserve"> </w:t>
      </w:r>
      <w:r w:rsidR="008059C0">
        <w:t>(d</w:t>
      </w:r>
      <w:r w:rsidR="0053076B">
        <w:t>e</w:t>
      </w:r>
      <w:r w:rsidR="008059C0">
        <w:t>c.),</w:t>
      </w:r>
      <w:r w:rsidR="0053076B">
        <w:t xml:space="preserve"> </w:t>
      </w:r>
      <w:r w:rsidRPr="008059C0" w:rsidR="008059C0">
        <w:t>no.</w:t>
      </w:r>
      <w:r w:rsidR="00EE44EB">
        <w:t xml:space="preserve"> </w:t>
      </w:r>
      <w:r w:rsidRPr="00E67F16" w:rsidR="008059C0">
        <w:t>47295/99</w:t>
      </w:r>
      <w:r w:rsidR="008059C0">
        <w:t>, 27 May 2004</w:t>
      </w:r>
      <w:r w:rsidR="0053076B">
        <w:t>, and, conversely,</w:t>
      </w:r>
      <w:r w:rsidDel="0053076B" w:rsidR="0053076B">
        <w:t xml:space="preserve"> </w:t>
      </w:r>
      <w:r w:rsidR="00FC6B2D">
        <w:rPr>
          <w:i/>
        </w:rPr>
        <w:t>Mifsud v.</w:t>
      </w:r>
      <w:r w:rsidR="00EE44EB">
        <w:rPr>
          <w:i/>
        </w:rPr>
        <w:t xml:space="preserve"> </w:t>
      </w:r>
      <w:r w:rsidR="00FC6B2D">
        <w:rPr>
          <w:i/>
        </w:rPr>
        <w:t>France</w:t>
      </w:r>
      <w:r w:rsidR="00FC6B2D">
        <w:t xml:space="preserve"> (d</w:t>
      </w:r>
      <w:r w:rsidR="0053076B">
        <w:t>e</w:t>
      </w:r>
      <w:r w:rsidR="00FC6B2D">
        <w:t>c.)</w:t>
      </w:r>
      <w:r w:rsidRPr="00EE44EB" w:rsidR="00EE44EB">
        <w:t xml:space="preserve"> </w:t>
      </w:r>
      <w:r w:rsidR="00EE44EB">
        <w:t>[GC]</w:t>
      </w:r>
      <w:r w:rsidR="00FC6B2D">
        <w:t>, n</w:t>
      </w:r>
      <w:r w:rsidR="0053076B">
        <w:t>o</w:t>
      </w:r>
      <w:r w:rsidR="00EE44EB">
        <w:t xml:space="preserve">. </w:t>
      </w:r>
      <w:r w:rsidR="00FC6B2D">
        <w:t xml:space="preserve">57220/00, </w:t>
      </w:r>
      <w:r w:rsidR="006100D9">
        <w:t xml:space="preserve">§§ 15-18, </w:t>
      </w:r>
      <w:r w:rsidR="009D7358">
        <w:t>ECHR</w:t>
      </w:r>
      <w:r w:rsidR="00FC6B2D">
        <w:t xml:space="preserve"> 2002</w:t>
      </w:r>
      <w:r w:rsidR="009D7358">
        <w:t>-VIII</w:t>
      </w:r>
      <w:r w:rsidR="00FC6B2D">
        <w:t>).</w:t>
      </w:r>
    </w:p>
    <w:p w:rsidR="0043782B" w:rsidRDefault="0043782B">
      <w:pPr>
        <w:pStyle w:val="JuPara"/>
      </w:pPr>
      <w:r>
        <w:fldChar w:fldCharType="begin"/>
      </w:r>
      <w:r>
        <w:instrText xml:space="preserve"> SEQ level0 \*arabic </w:instrText>
      </w:r>
      <w:r>
        <w:fldChar w:fldCharType="separate"/>
      </w:r>
      <w:r w:rsidR="00F03FB1">
        <w:rPr>
          <w:noProof/>
        </w:rPr>
        <w:t>36</w:t>
      </w:r>
      <w:r>
        <w:fldChar w:fldCharType="end"/>
      </w:r>
      <w:r>
        <w:t xml:space="preserve">.  The Court notes that </w:t>
      </w:r>
      <w:r w:rsidR="00963187">
        <w:t xml:space="preserve">it has already </w:t>
      </w:r>
      <w:r w:rsidR="009D7358">
        <w:t xml:space="preserve">dismissed </w:t>
      </w:r>
      <w:r w:rsidR="00963187">
        <w:t xml:space="preserve">this plea </w:t>
      </w:r>
      <w:r w:rsidR="00356B85">
        <w:t xml:space="preserve">by the Government </w:t>
      </w:r>
      <w:r w:rsidR="00963187">
        <w:t xml:space="preserve">in its decision on the admissibility of the present </w:t>
      </w:r>
      <w:r w:rsidR="009D7358">
        <w:t xml:space="preserve">application </w:t>
      </w:r>
      <w:r w:rsidR="009F30D2">
        <w:t>on 6 </w:t>
      </w:r>
      <w:r w:rsidR="00963187">
        <w:t>July 2006</w:t>
      </w:r>
      <w:r w:rsidR="00F276E8">
        <w:t>, because</w:t>
      </w:r>
      <w:r w:rsidR="001E77D6">
        <w:t xml:space="preserve"> the applicant</w:t>
      </w:r>
      <w:r w:rsidR="00C86D12">
        <w:t>’</w:t>
      </w:r>
      <w:r w:rsidR="001E77D6">
        <w:t>s complaint essentially concerns the state of the law</w:t>
      </w:r>
      <w:r w:rsidR="00963187">
        <w:t xml:space="preserve">. In </w:t>
      </w:r>
      <w:r w:rsidR="001E77D6">
        <w:t>this connection</w:t>
      </w:r>
      <w:r w:rsidR="00963187">
        <w:t xml:space="preserve">, it observes that </w:t>
      </w:r>
      <w:r>
        <w:t xml:space="preserve">the relevant provisions of the Civil Code concerning </w:t>
      </w:r>
      <w:r w:rsidR="00EE44EB">
        <w:t xml:space="preserve">gender </w:t>
      </w:r>
      <w:r w:rsidR="002E64A3">
        <w:t>reassignment</w:t>
      </w:r>
      <w:r>
        <w:t xml:space="preserve"> surgery require implementation by </w:t>
      </w:r>
      <w:r w:rsidR="00B804DF">
        <w:t>subsidiary legislation</w:t>
      </w:r>
      <w:r w:rsidR="009D7358">
        <w:t>,</w:t>
      </w:r>
      <w:r>
        <w:t xml:space="preserve"> which ha</w:t>
      </w:r>
      <w:r w:rsidR="00D15A31">
        <w:t>s</w:t>
      </w:r>
      <w:r>
        <w:t xml:space="preserve"> yet </w:t>
      </w:r>
      <w:r w:rsidR="00FD473A">
        <w:t xml:space="preserve">to </w:t>
      </w:r>
      <w:r w:rsidR="00192391">
        <w:t>be enacted</w:t>
      </w:r>
      <w:r>
        <w:t xml:space="preserve"> </w:t>
      </w:r>
      <w:r w:rsidRPr="00F54912">
        <w:t>(see</w:t>
      </w:r>
      <w:r w:rsidRPr="00A54170">
        <w:t xml:space="preserve"> par</w:t>
      </w:r>
      <w:r w:rsidR="009F30D2">
        <w:t>agraph </w:t>
      </w:r>
      <w:r w:rsidR="007E38D2">
        <w:t>25</w:t>
      </w:r>
      <w:r w:rsidRPr="00A54170">
        <w:t xml:space="preserve"> </w:t>
      </w:r>
      <w:r>
        <w:t xml:space="preserve">above). </w:t>
      </w:r>
      <w:r w:rsidR="002505F9">
        <w:t>I</w:t>
      </w:r>
      <w:r>
        <w:t xml:space="preserve">t would seem that such </w:t>
      </w:r>
      <w:r w:rsidR="00B804DF">
        <w:t>legislation</w:t>
      </w:r>
      <w:r>
        <w:t xml:space="preserve"> </w:t>
      </w:r>
      <w:r w:rsidR="009D7358">
        <w:t>is not a</w:t>
      </w:r>
      <w:r>
        <w:t xml:space="preserve"> priority for the legislature </w:t>
      </w:r>
      <w:r w:rsidRPr="00F54912">
        <w:t>(see</w:t>
      </w:r>
      <w:r w:rsidRPr="00A54170">
        <w:t xml:space="preserve"> par</w:t>
      </w:r>
      <w:r>
        <w:t xml:space="preserve">agraph </w:t>
      </w:r>
      <w:r w:rsidR="004D63E4">
        <w:t>30</w:t>
      </w:r>
      <w:r w:rsidRPr="00A54170">
        <w:t xml:space="preserve"> </w:t>
      </w:r>
      <w:r>
        <w:t xml:space="preserve">above). </w:t>
      </w:r>
      <w:r w:rsidR="002505F9">
        <w:t>Moreover, t</w:t>
      </w:r>
      <w:r>
        <w:t xml:space="preserve">he </w:t>
      </w:r>
      <w:smartTag w:uri="urn:schemas-microsoft-com:office:smarttags" w:element="Street">
        <w:smartTag w:uri="urn:schemas-microsoft-com:office:smarttags" w:element="address">
          <w:r>
            <w:t>Constitutional Court</w:t>
          </w:r>
        </w:smartTag>
      </w:smartTag>
      <w:r>
        <w:t xml:space="preserve"> judgment referred to by the Government </w:t>
      </w:r>
      <w:r w:rsidRPr="00F54912">
        <w:t>(</w:t>
      </w:r>
      <w:r w:rsidRPr="00A54170">
        <w:t>par</w:t>
      </w:r>
      <w:r>
        <w:t xml:space="preserve">agraph </w:t>
      </w:r>
      <w:r w:rsidR="007E38D2">
        <w:t>32</w:t>
      </w:r>
      <w:r w:rsidRPr="00A54170">
        <w:t xml:space="preserve"> </w:t>
      </w:r>
      <w:r>
        <w:t>above) was adopted well after the present application</w:t>
      </w:r>
      <w:r w:rsidRPr="0043782B">
        <w:t xml:space="preserve"> </w:t>
      </w:r>
      <w:r w:rsidR="009D7358">
        <w:t xml:space="preserve">was lodged with </w:t>
      </w:r>
      <w:r>
        <w:t xml:space="preserve">the Court. Accordingly, it cannot be </w:t>
      </w:r>
      <w:r w:rsidR="009D7358">
        <w:t xml:space="preserve">cited to </w:t>
      </w:r>
      <w:r w:rsidR="002505F9">
        <w:t>oppose</w:t>
      </w:r>
      <w:r>
        <w:t xml:space="preserve"> the applicant</w:t>
      </w:r>
      <w:r w:rsidR="00C86D12">
        <w:t>’</w:t>
      </w:r>
      <w:r>
        <w:t>s claim. In the</w:t>
      </w:r>
      <w:r w:rsidR="002505F9">
        <w:t xml:space="preserve">se circumstances, the Court </w:t>
      </w:r>
      <w:r w:rsidR="00B3617E">
        <w:t xml:space="preserve">confirms its original conclusion </w:t>
      </w:r>
      <w:r w:rsidR="002505F9">
        <w:t>that the applicant had no effective remedies available to him at the material time</w:t>
      </w:r>
      <w:r w:rsidR="004B6A55">
        <w:t xml:space="preserve"> </w:t>
      </w:r>
      <w:r w:rsidR="009D7358">
        <w:t xml:space="preserve">in respect of </w:t>
      </w:r>
      <w:r w:rsidR="004B6A55">
        <w:t>his specific complaint</w:t>
      </w:r>
      <w:r w:rsidR="00FD473A">
        <w:t>s</w:t>
      </w:r>
      <w:r w:rsidR="002505F9">
        <w:t xml:space="preserve">, and therefore </w:t>
      </w:r>
      <w:r w:rsidR="009D7358">
        <w:t xml:space="preserve">dismisses </w:t>
      </w:r>
      <w:r w:rsidR="002505F9">
        <w:t>the Government</w:t>
      </w:r>
      <w:r w:rsidR="00C86D12">
        <w:t>’</w:t>
      </w:r>
      <w:r w:rsidR="002505F9">
        <w:t>s preliminary objection.</w:t>
      </w:r>
    </w:p>
    <w:p w:rsidRPr="005725AF" w:rsidR="004C3CEB" w:rsidP="004C3CEB" w:rsidRDefault="004C3CEB">
      <w:pPr>
        <w:pStyle w:val="JuHIRoman"/>
      </w:pPr>
      <w:r>
        <w:t>II</w:t>
      </w:r>
      <w:r w:rsidRPr="005725AF">
        <w:t>.  </w:t>
      </w:r>
      <w:r>
        <w:t>ALLEGED VIOLATION</w:t>
      </w:r>
      <w:r w:rsidRPr="005725AF">
        <w:t xml:space="preserve"> OF ARTICLE </w:t>
      </w:r>
      <w:r>
        <w:t>3</w:t>
      </w:r>
      <w:r w:rsidRPr="005725AF">
        <w:t xml:space="preserve"> OF THE CONVENTION</w:t>
      </w:r>
    </w:p>
    <w:p w:rsidR="006853EE" w:rsidP="009D7358" w:rsidRDefault="00954AA9">
      <w:pPr>
        <w:pStyle w:val="JuPara"/>
      </w:pPr>
      <w:r>
        <w:fldChar w:fldCharType="begin"/>
      </w:r>
      <w:r>
        <w:instrText xml:space="preserve"> SEQ level0 \*arabic </w:instrText>
      </w:r>
      <w:r>
        <w:fldChar w:fldCharType="separate"/>
      </w:r>
      <w:r w:rsidR="00F03FB1">
        <w:rPr>
          <w:noProof/>
        </w:rPr>
        <w:t>37</w:t>
      </w:r>
      <w:r>
        <w:fldChar w:fldCharType="end"/>
      </w:r>
      <w:r>
        <w:t>.  </w:t>
      </w:r>
      <w:r w:rsidR="00D43F59">
        <w:t xml:space="preserve">The applicant complained </w:t>
      </w:r>
      <w:r w:rsidR="009D7358">
        <w:t>that he had been unable</w:t>
      </w:r>
      <w:r w:rsidR="006853EE">
        <w:t xml:space="preserve"> to complete </w:t>
      </w:r>
      <w:r w:rsidR="00EE44EB">
        <w:t xml:space="preserve">gender </w:t>
      </w:r>
      <w:r w:rsidR="002E64A3">
        <w:t>reassignment</w:t>
      </w:r>
      <w:r w:rsidR="006853EE">
        <w:t xml:space="preserve"> surgery </w:t>
      </w:r>
      <w:r w:rsidR="009D7358">
        <w:t xml:space="preserve">owing </w:t>
      </w:r>
      <w:r w:rsidR="006853EE">
        <w:t xml:space="preserve">to the lack of legal regulation </w:t>
      </w:r>
      <w:r w:rsidR="00C976FB">
        <w:t>on</w:t>
      </w:r>
      <w:r w:rsidR="003F5809">
        <w:t xml:space="preserve"> the subject</w:t>
      </w:r>
      <w:r w:rsidR="006853EE">
        <w:t xml:space="preserve">. He </w:t>
      </w:r>
      <w:r w:rsidR="009D7358">
        <w:t xml:space="preserve">relied on </w:t>
      </w:r>
      <w:r w:rsidR="006853EE">
        <w:t>Article 3 of the Convention</w:t>
      </w:r>
      <w:r w:rsidR="00E5099A">
        <w:t>,</w:t>
      </w:r>
      <w:r w:rsidR="006853EE">
        <w:t xml:space="preserve"> which provides:</w:t>
      </w:r>
    </w:p>
    <w:p w:rsidRPr="006853EE" w:rsidR="006853EE" w:rsidP="006853EE" w:rsidRDefault="006853EE">
      <w:pPr>
        <w:pStyle w:val="JuQuot"/>
      </w:pPr>
      <w:r>
        <w:t>“No one shall be subjected to torture or to inhuman or degrading treatment or punishment.”</w:t>
      </w:r>
    </w:p>
    <w:p w:rsidRPr="00E5099A" w:rsidR="00E5099A" w:rsidP="009D7358" w:rsidRDefault="00E5099A">
      <w:pPr>
        <w:pStyle w:val="JuHA"/>
      </w:pPr>
      <w:r w:rsidRPr="00E5099A">
        <w:t>A.  The parties</w:t>
      </w:r>
      <w:r w:rsidR="00C86D12">
        <w:t>’</w:t>
      </w:r>
      <w:r w:rsidRPr="00E5099A">
        <w:t xml:space="preserve"> submissions</w:t>
      </w:r>
    </w:p>
    <w:p w:rsidRPr="00502733" w:rsidR="00DB0E60" w:rsidP="00DB0E60" w:rsidRDefault="00DB0E60">
      <w:pPr>
        <w:pStyle w:val="JuH1"/>
      </w:pPr>
      <w:r>
        <w:t>1</w:t>
      </w:r>
      <w:r w:rsidRPr="00502733">
        <w:t>.  </w:t>
      </w:r>
      <w:r>
        <w:t xml:space="preserve">The </w:t>
      </w:r>
      <w:r w:rsidR="00614F2B">
        <w:t>applicant</w:t>
      </w:r>
    </w:p>
    <w:p w:rsidR="00F70688" w:rsidP="00F70688" w:rsidRDefault="00954AA9">
      <w:pPr>
        <w:pStyle w:val="JuPara"/>
      </w:pPr>
      <w:r>
        <w:fldChar w:fldCharType="begin"/>
      </w:r>
      <w:r>
        <w:instrText xml:space="preserve"> SEQ level0 \*arabic </w:instrText>
      </w:r>
      <w:r>
        <w:fldChar w:fldCharType="separate"/>
      </w:r>
      <w:r w:rsidR="00F03FB1">
        <w:rPr>
          <w:noProof/>
        </w:rPr>
        <w:t>38</w:t>
      </w:r>
      <w:r>
        <w:fldChar w:fldCharType="end"/>
      </w:r>
      <w:r>
        <w:t>.  </w:t>
      </w:r>
      <w:r w:rsidRPr="005725AF" w:rsidR="00DA3709">
        <w:t xml:space="preserve">The </w:t>
      </w:r>
      <w:r w:rsidR="00DA3709">
        <w:t xml:space="preserve">applicant alleged that his continuing inability to complete </w:t>
      </w:r>
      <w:r w:rsidR="00EE44EB">
        <w:t xml:space="preserve">gender </w:t>
      </w:r>
      <w:r w:rsidR="002E64A3">
        <w:t>reassignment</w:t>
      </w:r>
      <w:r w:rsidR="00DA3709">
        <w:t xml:space="preserve"> surgery </w:t>
      </w:r>
      <w:r w:rsidR="00923F80">
        <w:t xml:space="preserve">had </w:t>
      </w:r>
      <w:r w:rsidR="00BE7428">
        <w:t>left</w:t>
      </w:r>
      <w:r w:rsidR="00855A86">
        <w:t xml:space="preserve"> him </w:t>
      </w:r>
      <w:r w:rsidR="00BE7428">
        <w:t xml:space="preserve">with </w:t>
      </w:r>
      <w:r w:rsidR="00DA3709">
        <w:t xml:space="preserve">a permanent feeling of personal inadequacy and </w:t>
      </w:r>
      <w:r w:rsidR="00BE7428">
        <w:t xml:space="preserve">an </w:t>
      </w:r>
      <w:r w:rsidR="00DA3709">
        <w:t xml:space="preserve">inability to accept his body, leading to great anguish and frustration. Furthermore, </w:t>
      </w:r>
      <w:r w:rsidR="009D7358">
        <w:t xml:space="preserve">owing </w:t>
      </w:r>
      <w:r w:rsidR="00DA3709">
        <w:t xml:space="preserve">to the </w:t>
      </w:r>
      <w:r w:rsidR="009904A0">
        <w:t>lack of</w:t>
      </w:r>
      <w:r w:rsidR="00DA3709">
        <w:t xml:space="preserve"> recognition of his </w:t>
      </w:r>
      <w:r w:rsidR="00B50B43">
        <w:t>perceived</w:t>
      </w:r>
      <w:r w:rsidR="00EE44EB">
        <w:t>, albeit pre</w:t>
      </w:r>
      <w:r w:rsidR="00DA3709">
        <w:t>operati</w:t>
      </w:r>
      <w:r w:rsidR="004A6628">
        <w:t>ve, identity</w:t>
      </w:r>
      <w:r w:rsidR="009904A0">
        <w:t>,</w:t>
      </w:r>
      <w:r w:rsidR="004A6628">
        <w:t xml:space="preserve"> the applicant </w:t>
      </w:r>
      <w:r w:rsidR="00B50B43">
        <w:t>con</w:t>
      </w:r>
      <w:r w:rsidR="00FD473A">
        <w:t>s</w:t>
      </w:r>
      <w:r w:rsidR="00B50B43">
        <w:t>t</w:t>
      </w:r>
      <w:r w:rsidR="00FD473A">
        <w:t>ant</w:t>
      </w:r>
      <w:r w:rsidR="00B50B43">
        <w:t xml:space="preserve">ly </w:t>
      </w:r>
      <w:r w:rsidR="004A6628">
        <w:t>faced</w:t>
      </w:r>
      <w:r w:rsidR="00DA3709">
        <w:t xml:space="preserve"> anxiety, fe</w:t>
      </w:r>
      <w:r w:rsidR="009904A0">
        <w:t>ar, embarrassment</w:t>
      </w:r>
      <w:r w:rsidR="00DA3709">
        <w:t xml:space="preserve"> and humiliation in </w:t>
      </w:r>
      <w:r w:rsidR="009904A0">
        <w:t xml:space="preserve">his </w:t>
      </w:r>
      <w:r w:rsidR="00DA3709">
        <w:t>daily life</w:t>
      </w:r>
      <w:r w:rsidR="00A67D0A">
        <w:t>.</w:t>
      </w:r>
      <w:r w:rsidR="001B53C8">
        <w:t xml:space="preserve"> </w:t>
      </w:r>
      <w:r w:rsidR="0019786B">
        <w:t>He ha</w:t>
      </w:r>
      <w:r w:rsidR="009D7358">
        <w:t>d</w:t>
      </w:r>
      <w:r w:rsidR="0019786B">
        <w:t xml:space="preserve"> had to </w:t>
      </w:r>
      <w:r w:rsidR="00CD22E3">
        <w:t>face</w:t>
      </w:r>
      <w:r w:rsidR="0019786B">
        <w:t xml:space="preserve"> </w:t>
      </w:r>
      <w:r w:rsidR="001449F3">
        <w:t xml:space="preserve">severe </w:t>
      </w:r>
      <w:r w:rsidR="0019786B">
        <w:t>hostility and taunts</w:t>
      </w:r>
      <w:r w:rsidR="002145D8">
        <w:t xml:space="preserve"> in the light of the general public</w:t>
      </w:r>
      <w:r w:rsidR="00C86D12">
        <w:t>’</w:t>
      </w:r>
      <w:r w:rsidR="002145D8">
        <w:t>s strong opposition</w:t>
      </w:r>
      <w:r w:rsidR="00E723A1">
        <w:t>,</w:t>
      </w:r>
      <w:r w:rsidR="002145D8">
        <w:t xml:space="preserve"> rooted in </w:t>
      </w:r>
      <w:r w:rsidR="009D730B">
        <w:t xml:space="preserve">traditional </w:t>
      </w:r>
      <w:r w:rsidR="002145D8">
        <w:t>Catholicism</w:t>
      </w:r>
      <w:r w:rsidR="00E723A1">
        <w:t>, to gender disorders</w:t>
      </w:r>
      <w:r w:rsidR="0019786B">
        <w:t xml:space="preserve">. </w:t>
      </w:r>
      <w:r w:rsidR="00282F0D">
        <w:t>Consequently, h</w:t>
      </w:r>
      <w:r w:rsidR="00D40B4F">
        <w:t>e ha</w:t>
      </w:r>
      <w:r w:rsidR="00CD22E3">
        <w:t>d</w:t>
      </w:r>
      <w:r w:rsidR="00D40B4F">
        <w:t xml:space="preserve"> had to </w:t>
      </w:r>
      <w:r w:rsidR="00CD22E3">
        <w:t xml:space="preserve">pursue </w:t>
      </w:r>
      <w:r w:rsidR="00D40B4F">
        <w:t>an almost underground lifestyle, avoiding situations in which he might have to disclose his original identity</w:t>
      </w:r>
      <w:r w:rsidR="00D63225">
        <w:t>, particularly when having to provide h</w:t>
      </w:r>
      <w:r w:rsidR="009F30D2">
        <w:t>is personal code (see paragraph </w:t>
      </w:r>
      <w:r w:rsidR="007E38D2">
        <w:t>28</w:t>
      </w:r>
      <w:r w:rsidR="00D63225">
        <w:t xml:space="preserve"> above).</w:t>
      </w:r>
      <w:r w:rsidR="00D40B4F">
        <w:t xml:space="preserve"> </w:t>
      </w:r>
      <w:r w:rsidR="001B53C8">
        <w:t>This ha</w:t>
      </w:r>
      <w:r w:rsidR="00CD22E3">
        <w:t>d</w:t>
      </w:r>
      <w:r w:rsidR="001B53C8">
        <w:t xml:space="preserve"> </w:t>
      </w:r>
      <w:r w:rsidR="00FD473A">
        <w:t>left</w:t>
      </w:r>
      <w:r w:rsidR="008071FB">
        <w:t xml:space="preserve"> him</w:t>
      </w:r>
      <w:r w:rsidR="001B53C8">
        <w:t xml:space="preserve"> </w:t>
      </w:r>
      <w:r w:rsidR="00FD473A">
        <w:t xml:space="preserve">in </w:t>
      </w:r>
      <w:r w:rsidR="001B53C8">
        <w:t xml:space="preserve">a permanent state of depression </w:t>
      </w:r>
      <w:r w:rsidR="00FD473A">
        <w:t>with</w:t>
      </w:r>
      <w:r w:rsidR="001B53C8">
        <w:t xml:space="preserve"> suicidal </w:t>
      </w:r>
      <w:r w:rsidR="00FD473A">
        <w:t>tendencies</w:t>
      </w:r>
      <w:r w:rsidR="001B53C8">
        <w:t>.</w:t>
      </w:r>
    </w:p>
    <w:p w:rsidR="006A120B" w:rsidP="00F70688" w:rsidRDefault="00954AA9">
      <w:pPr>
        <w:pStyle w:val="JuPara"/>
      </w:pPr>
      <w:r w:rsidRPr="00F70688">
        <w:fldChar w:fldCharType="begin"/>
      </w:r>
      <w:r w:rsidRPr="00F70688">
        <w:instrText xml:space="preserve"> SEQ level0 \*arabic </w:instrText>
      </w:r>
      <w:r w:rsidRPr="00F70688">
        <w:fldChar w:fldCharType="separate"/>
      </w:r>
      <w:r w:rsidR="00F03FB1">
        <w:rPr>
          <w:noProof/>
        </w:rPr>
        <w:t>39</w:t>
      </w:r>
      <w:r w:rsidRPr="00F70688">
        <w:fldChar w:fldCharType="end"/>
      </w:r>
      <w:r w:rsidRPr="00F70688">
        <w:t>.  </w:t>
      </w:r>
      <w:r w:rsidRPr="00F70688" w:rsidR="00DA3709">
        <w:t>In the applicant</w:t>
      </w:r>
      <w:r w:rsidR="00C86D12">
        <w:t>’</w:t>
      </w:r>
      <w:r w:rsidRPr="00F70688" w:rsidR="00DA3709">
        <w:t>s view, the State</w:t>
      </w:r>
      <w:r w:rsidR="00C86D12">
        <w:t>’</w:t>
      </w:r>
      <w:r w:rsidRPr="00F70688" w:rsidR="00DA3709">
        <w:t xml:space="preserve">s inactivity was the main cause of his suffering. </w:t>
      </w:r>
      <w:r w:rsidR="00416F36">
        <w:t>S</w:t>
      </w:r>
      <w:r w:rsidRPr="00F70688" w:rsidR="00DA3709">
        <w:t>ince the entry into force of the new Civil Code, the applicant ha</w:t>
      </w:r>
      <w:r w:rsidR="00FD473A">
        <w:t>d</w:t>
      </w:r>
      <w:r w:rsidRPr="00F70688" w:rsidR="00DA3709">
        <w:t xml:space="preserve"> </w:t>
      </w:r>
      <w:r w:rsidRPr="00F70688" w:rsidR="00E20B33">
        <w:t xml:space="preserve">had </w:t>
      </w:r>
      <w:r w:rsidRPr="00F70688" w:rsidR="00DA3709">
        <w:t xml:space="preserve">reasonable hopes </w:t>
      </w:r>
      <w:r w:rsidRPr="00F70688" w:rsidR="0082360D">
        <w:t>of</w:t>
      </w:r>
      <w:r w:rsidRPr="00F70688" w:rsidR="00DA3709">
        <w:t xml:space="preserve"> complet</w:t>
      </w:r>
      <w:r w:rsidRPr="00F70688" w:rsidR="0082360D">
        <w:t>ing</w:t>
      </w:r>
      <w:r w:rsidRPr="00F70688" w:rsidR="00DA3709">
        <w:t xml:space="preserve"> </w:t>
      </w:r>
      <w:r w:rsidR="00FD473A">
        <w:t>t</w:t>
      </w:r>
      <w:r w:rsidRPr="00F70688" w:rsidR="00DA3709">
        <w:t>h</w:t>
      </w:r>
      <w:r w:rsidR="00FD473A">
        <w:t>e</w:t>
      </w:r>
      <w:r w:rsidRPr="00F70688" w:rsidR="00DA3709">
        <w:t xml:space="preserve"> treatment and register</w:t>
      </w:r>
      <w:r w:rsidRPr="00F70688" w:rsidR="0082360D">
        <w:t>ing</w:t>
      </w:r>
      <w:r w:rsidRPr="00F70688" w:rsidR="00DA3709">
        <w:t xml:space="preserve"> his new identity. By that </w:t>
      </w:r>
      <w:r w:rsidR="00416F36">
        <w:t xml:space="preserve">stage, </w:t>
      </w:r>
      <w:r w:rsidRPr="00F70688" w:rsidR="00DA3709">
        <w:t xml:space="preserve">he had already been duly diagnosed as </w:t>
      </w:r>
      <w:r w:rsidRPr="00F70688" w:rsidR="00A67D0A">
        <w:t xml:space="preserve">a </w:t>
      </w:r>
      <w:r w:rsidRPr="00F70688" w:rsidR="00DA3709">
        <w:t xml:space="preserve">transsexual, had been </w:t>
      </w:r>
      <w:r w:rsidR="00416F36">
        <w:t>following</w:t>
      </w:r>
      <w:r w:rsidRPr="00F70688" w:rsidR="00DA3709">
        <w:t xml:space="preserve"> hormon</w:t>
      </w:r>
      <w:r w:rsidRPr="00F70688" w:rsidR="0082360D">
        <w:t>e</w:t>
      </w:r>
      <w:r w:rsidRPr="00F70688" w:rsidR="00DA3709">
        <w:t xml:space="preserve"> treatment since 1998, and had undergone breast</w:t>
      </w:r>
      <w:r w:rsidR="00923F80">
        <w:t>-</w:t>
      </w:r>
      <w:r w:rsidRPr="00F70688" w:rsidR="00DA3709">
        <w:t xml:space="preserve">removal surgery. However, the </w:t>
      </w:r>
      <w:r w:rsidR="00EE44EB">
        <w:t xml:space="preserve">Gender </w:t>
      </w:r>
      <w:r w:rsidR="002E64A3">
        <w:t>Reassignment</w:t>
      </w:r>
      <w:r w:rsidRPr="00F70688" w:rsidR="00DA3709">
        <w:t xml:space="preserve"> </w:t>
      </w:r>
      <w:r w:rsidR="00FD473A">
        <w:t xml:space="preserve">Bill </w:t>
      </w:r>
      <w:r w:rsidRPr="00F70688" w:rsidR="00FD473A">
        <w:t>–</w:t>
      </w:r>
      <w:r w:rsidRPr="00F70688" w:rsidR="00DA3709">
        <w:t xml:space="preserve"> </w:t>
      </w:r>
      <w:r w:rsidRPr="00F70688" w:rsidR="0082360D">
        <w:t>put</w:t>
      </w:r>
      <w:r w:rsidRPr="00F70688" w:rsidR="00E20B33">
        <w:t xml:space="preserve"> before the legislature in June 2003</w:t>
      </w:r>
      <w:r w:rsidRPr="00F70688" w:rsidR="00DA3709">
        <w:t xml:space="preserve"> </w:t>
      </w:r>
      <w:r w:rsidRPr="00F70688" w:rsidR="00E20B33">
        <w:t>–</w:t>
      </w:r>
      <w:r w:rsidRPr="00F70688" w:rsidR="00DA3709">
        <w:t xml:space="preserve"> </w:t>
      </w:r>
      <w:r w:rsidRPr="00F70688" w:rsidR="00E20B33">
        <w:t>had been</w:t>
      </w:r>
      <w:r w:rsidRPr="00F70688" w:rsidR="00DA3709">
        <w:t xml:space="preserve"> withdrawn from the </w:t>
      </w:r>
      <w:r w:rsidR="00AC186F">
        <w:t xml:space="preserve">parliamentary </w:t>
      </w:r>
      <w:r w:rsidRPr="00F70688" w:rsidR="00DA3709">
        <w:t xml:space="preserve">agenda </w:t>
      </w:r>
      <w:r w:rsidR="00433CE2">
        <w:t>without</w:t>
      </w:r>
      <w:r w:rsidRPr="00F70688" w:rsidR="00DA3709">
        <w:t xml:space="preserve"> any </w:t>
      </w:r>
      <w:r w:rsidRPr="00F70688" w:rsidR="00E20B33">
        <w:t xml:space="preserve">objective reason or </w:t>
      </w:r>
      <w:r w:rsidRPr="00F70688" w:rsidR="00DA3709">
        <w:t>explanation</w:t>
      </w:r>
      <w:r w:rsidR="00433CE2">
        <w:t xml:space="preserve"> being given</w:t>
      </w:r>
      <w:r w:rsidRPr="00F70688" w:rsidR="00DA3709">
        <w:t xml:space="preserve">. </w:t>
      </w:r>
      <w:r w:rsidRPr="00F70688" w:rsidR="0047601A">
        <w:t>The Government ha</w:t>
      </w:r>
      <w:r w:rsidR="00CD22E3">
        <w:t>d therefore</w:t>
      </w:r>
      <w:r w:rsidRPr="00F70688" w:rsidR="0047601A">
        <w:t xml:space="preserve"> failed to fulfil their positive obligations under Article 3 of the Convention to protect the applicant from the impossible situation in which he </w:t>
      </w:r>
      <w:r w:rsidR="00CD22E3">
        <w:t>found</w:t>
      </w:r>
      <w:r w:rsidRPr="00F70688" w:rsidR="00CD22E3">
        <w:t xml:space="preserve"> </w:t>
      </w:r>
      <w:r w:rsidRPr="00F70688" w:rsidR="0047601A">
        <w:t xml:space="preserve">himself (described </w:t>
      </w:r>
      <w:r w:rsidR="007038BF">
        <w:t>in the preceding paragraph</w:t>
      </w:r>
      <w:r w:rsidRPr="00F70688" w:rsidR="0047601A">
        <w:t>).</w:t>
      </w:r>
    </w:p>
    <w:p w:rsidR="006A120B" w:rsidP="00DA3709" w:rsidRDefault="00954AA9">
      <w:pPr>
        <w:pStyle w:val="JuPara"/>
      </w:pPr>
      <w:r>
        <w:fldChar w:fldCharType="begin"/>
      </w:r>
      <w:r>
        <w:instrText xml:space="preserve"> SEQ level0 \*arabic </w:instrText>
      </w:r>
      <w:r>
        <w:fldChar w:fldCharType="separate"/>
      </w:r>
      <w:r w:rsidR="00F03FB1">
        <w:rPr>
          <w:noProof/>
        </w:rPr>
        <w:t>40</w:t>
      </w:r>
      <w:r>
        <w:fldChar w:fldCharType="end"/>
      </w:r>
      <w:r>
        <w:t>.  </w:t>
      </w:r>
      <w:r w:rsidR="00DA3709">
        <w:t>Referring to the Court</w:t>
      </w:r>
      <w:r w:rsidR="00C86D12">
        <w:t>’</w:t>
      </w:r>
      <w:r w:rsidR="00DA3709">
        <w:t>s case</w:t>
      </w:r>
      <w:r w:rsidR="0082360D">
        <w:t>-</w:t>
      </w:r>
      <w:r w:rsidR="00DA3709">
        <w:t xml:space="preserve">law, the applicant considered that </w:t>
      </w:r>
      <w:r w:rsidR="00E20B33">
        <w:t>Parliament</w:t>
      </w:r>
      <w:r w:rsidR="00C86D12">
        <w:t>’</w:t>
      </w:r>
      <w:r w:rsidR="00E20B33">
        <w:t>s</w:t>
      </w:r>
      <w:r w:rsidR="00DA3709">
        <w:t xml:space="preserve"> inaction was to be seen as a concession to the </w:t>
      </w:r>
      <w:r w:rsidR="00191774">
        <w:t>negative</w:t>
      </w:r>
      <w:r w:rsidR="00DA3709">
        <w:t xml:space="preserve"> attitude of the population, revealing </w:t>
      </w:r>
      <w:r w:rsidR="0082360D">
        <w:t>the</w:t>
      </w:r>
      <w:r w:rsidR="00DA3709">
        <w:t xml:space="preserve"> bias of a hostile majority </w:t>
      </w:r>
      <w:r w:rsidR="0082360D">
        <w:t>towards the</w:t>
      </w:r>
      <w:r w:rsidR="00DA3709">
        <w:t xml:space="preserve"> transsexual</w:t>
      </w:r>
      <w:r w:rsidR="0082360D">
        <w:t xml:space="preserve"> minority</w:t>
      </w:r>
      <w:r w:rsidR="00DA3709">
        <w:t>, which in itself should be seen as falling within the scope of Article 3. The applicant contended that the State</w:t>
      </w:r>
      <w:r w:rsidR="00C86D12">
        <w:t>’</w:t>
      </w:r>
      <w:r w:rsidR="00DA3709">
        <w:t xml:space="preserve">s </w:t>
      </w:r>
      <w:r w:rsidR="0082360D">
        <w:t xml:space="preserve">failure </w:t>
      </w:r>
      <w:r w:rsidR="00DA3709">
        <w:t xml:space="preserve">to adopt the </w:t>
      </w:r>
      <w:r w:rsidR="0082360D">
        <w:t>necessary</w:t>
      </w:r>
      <w:r w:rsidR="00DA3709">
        <w:t xml:space="preserve"> legislation </w:t>
      </w:r>
      <w:r w:rsidR="00E20B33">
        <w:t xml:space="preserve">on </w:t>
      </w:r>
      <w:r w:rsidR="00C976FB">
        <w:t xml:space="preserve">gender </w:t>
      </w:r>
      <w:r w:rsidR="002E64A3">
        <w:t>reassignment</w:t>
      </w:r>
      <w:r w:rsidR="00191774">
        <w:t xml:space="preserve"> surgery</w:t>
      </w:r>
      <w:r w:rsidR="0082360D">
        <w:t>,</w:t>
      </w:r>
      <w:r w:rsidR="00E20B33">
        <w:t xml:space="preserve"> </w:t>
      </w:r>
      <w:r w:rsidR="0082360D">
        <w:t>which</w:t>
      </w:r>
      <w:r w:rsidR="00DA3709">
        <w:t xml:space="preserve"> would allow him to complete his treatment and have his new gender legally recognised</w:t>
      </w:r>
      <w:r w:rsidR="0082360D">
        <w:t>,</w:t>
      </w:r>
      <w:r w:rsidR="00DA3709">
        <w:t xml:space="preserve"> amounted to inhuman and degrading treatment.</w:t>
      </w:r>
    </w:p>
    <w:p w:rsidR="006A120B" w:rsidP="00FA3B8B" w:rsidRDefault="00DA3709">
      <w:pPr>
        <w:pStyle w:val="JuH1"/>
        <w:keepNext w:val="0"/>
        <w:keepLines w:val="0"/>
      </w:pPr>
      <w:r>
        <w:t>2</w:t>
      </w:r>
      <w:r w:rsidRPr="00502733">
        <w:t>.  </w:t>
      </w:r>
      <w:r>
        <w:t>The Government</w:t>
      </w:r>
    </w:p>
    <w:p w:rsidR="006A120B" w:rsidP="00CD22E3" w:rsidRDefault="00954AA9">
      <w:pPr>
        <w:pStyle w:val="JuPara"/>
      </w:pPr>
      <w:r>
        <w:fldChar w:fldCharType="begin"/>
      </w:r>
      <w:r>
        <w:instrText xml:space="preserve"> SEQ level0 \*arabic </w:instrText>
      </w:r>
      <w:r>
        <w:fldChar w:fldCharType="separate"/>
      </w:r>
      <w:r w:rsidR="00F03FB1">
        <w:rPr>
          <w:noProof/>
        </w:rPr>
        <w:t>41</w:t>
      </w:r>
      <w:r>
        <w:fldChar w:fldCharType="end"/>
      </w:r>
      <w:r>
        <w:t>.  </w:t>
      </w:r>
      <w:r w:rsidR="00DA3709">
        <w:t>The Government</w:t>
      </w:r>
      <w:r w:rsidR="00DB0E60">
        <w:t xml:space="preserve"> argued that </w:t>
      </w:r>
      <w:r w:rsidR="005022C0">
        <w:t xml:space="preserve">neither the Convention in general nor </w:t>
      </w:r>
      <w:r w:rsidR="009F30D2">
        <w:t>Article </w:t>
      </w:r>
      <w:r w:rsidR="00DB0E60">
        <w:t xml:space="preserve">3 </w:t>
      </w:r>
      <w:r w:rsidR="005022C0">
        <w:t xml:space="preserve">in particular </w:t>
      </w:r>
      <w:r w:rsidR="00DB0E60">
        <w:t xml:space="preserve">could be interpreted as laying down a general obligation to provide </w:t>
      </w:r>
      <w:r w:rsidR="005022C0">
        <w:t xml:space="preserve">full </w:t>
      </w:r>
      <w:r w:rsidR="002E64A3">
        <w:t>gender</w:t>
      </w:r>
      <w:r w:rsidR="00EE44EB">
        <w:t xml:space="preserve"> </w:t>
      </w:r>
      <w:r w:rsidR="002E64A3">
        <w:t>reassignment</w:t>
      </w:r>
      <w:r w:rsidR="005022C0">
        <w:t xml:space="preserve"> </w:t>
      </w:r>
      <w:r w:rsidR="00191774">
        <w:t>surgery</w:t>
      </w:r>
      <w:r w:rsidR="005022C0">
        <w:t xml:space="preserve"> for transsexuals</w:t>
      </w:r>
      <w:r w:rsidR="00DB0E60">
        <w:t>. N</w:t>
      </w:r>
      <w:r w:rsidR="00E20B33">
        <w:t>or could it be maintained that</w:t>
      </w:r>
      <w:r w:rsidR="00DB0E60">
        <w:t xml:space="preserve"> </w:t>
      </w:r>
      <w:r w:rsidR="00191774">
        <w:t xml:space="preserve">such </w:t>
      </w:r>
      <w:r w:rsidR="00E20B33">
        <w:t>irreversible</w:t>
      </w:r>
      <w:r w:rsidR="00DB0E60">
        <w:t xml:space="preserve"> surgery was indispensable for </w:t>
      </w:r>
      <w:r w:rsidR="005022C0">
        <w:t xml:space="preserve">the </w:t>
      </w:r>
      <w:r w:rsidR="00DB0E60">
        <w:t>treat</w:t>
      </w:r>
      <w:r w:rsidR="005022C0">
        <w:t xml:space="preserve">ment of </w:t>
      </w:r>
      <w:r w:rsidR="00DB0E60">
        <w:t>gender</w:t>
      </w:r>
      <w:r w:rsidR="00191774">
        <w:t>-</w:t>
      </w:r>
      <w:r w:rsidR="00DB0E60">
        <w:t xml:space="preserve">identity disorders. </w:t>
      </w:r>
      <w:r w:rsidRPr="00B402C7" w:rsidR="00DB0E60">
        <w:t xml:space="preserve">In particular, general medical practice </w:t>
      </w:r>
      <w:r w:rsidR="005022C0">
        <w:t xml:space="preserve">had </w:t>
      </w:r>
      <w:r w:rsidRPr="00B402C7" w:rsidR="00DB0E60">
        <w:t>show</w:t>
      </w:r>
      <w:r w:rsidR="005022C0">
        <w:t>n</w:t>
      </w:r>
      <w:r w:rsidRPr="00B402C7" w:rsidR="00DB0E60">
        <w:t xml:space="preserve"> that hormone therapy and partial </w:t>
      </w:r>
      <w:r w:rsidR="00EE44EB">
        <w:t xml:space="preserve">gender </w:t>
      </w:r>
      <w:r w:rsidR="002E64A3">
        <w:t>reassignment</w:t>
      </w:r>
      <w:r w:rsidRPr="00B402C7" w:rsidR="00DB0E60">
        <w:t xml:space="preserve"> surgery, such as breast removal, </w:t>
      </w:r>
      <w:r w:rsidR="005022C0">
        <w:t>might</w:t>
      </w:r>
      <w:r w:rsidRPr="00B402C7" w:rsidR="00DB0E60">
        <w:t xml:space="preserve"> in certain cases be sufficient to help a female-to-male transsexual pursue his life experience in</w:t>
      </w:r>
      <w:r w:rsidR="00914C35">
        <w:t xml:space="preserve"> </w:t>
      </w:r>
      <w:r w:rsidR="005022C0">
        <w:t>the</w:t>
      </w:r>
      <w:r w:rsidRPr="00B402C7" w:rsidR="00DB0E60">
        <w:t xml:space="preserve"> role of the desired gender. </w:t>
      </w:r>
      <w:r w:rsidR="007A56EC">
        <w:t>The applicant had not substantiated his claim that he needed the full procedure.</w:t>
      </w:r>
    </w:p>
    <w:p w:rsidR="006A120B" w:rsidP="00CD22E3" w:rsidRDefault="00954AA9">
      <w:pPr>
        <w:pStyle w:val="JuPara"/>
      </w:pPr>
      <w:r>
        <w:fldChar w:fldCharType="begin"/>
      </w:r>
      <w:r>
        <w:instrText xml:space="preserve"> SEQ level0 \*arabic </w:instrText>
      </w:r>
      <w:r>
        <w:fldChar w:fldCharType="separate"/>
      </w:r>
      <w:r w:rsidR="00F03FB1">
        <w:rPr>
          <w:noProof/>
        </w:rPr>
        <w:t>42</w:t>
      </w:r>
      <w:r>
        <w:fldChar w:fldCharType="end"/>
      </w:r>
      <w:r>
        <w:t>.  </w:t>
      </w:r>
      <w:r w:rsidR="00DB0E60">
        <w:t xml:space="preserve">The Government </w:t>
      </w:r>
      <w:r w:rsidR="00237A6C">
        <w:t>pointed out that</w:t>
      </w:r>
      <w:r w:rsidRPr="0070525E" w:rsidR="00237A6C">
        <w:t xml:space="preserve"> </w:t>
      </w:r>
      <w:r w:rsidR="00237A6C">
        <w:t xml:space="preserve">transsexuality was a rare disorder, the scale of which </w:t>
      </w:r>
      <w:r w:rsidR="00CD22E3">
        <w:t xml:space="preserve">was </w:t>
      </w:r>
      <w:r w:rsidR="00237A6C">
        <w:t xml:space="preserve">difficult to assess, particularly since freedom of movement within the European Union had </w:t>
      </w:r>
      <w:r w:rsidR="00191774">
        <w:t>encouraged</w:t>
      </w:r>
      <w:r w:rsidR="00237A6C">
        <w:t xml:space="preserve"> </w:t>
      </w:r>
      <w:r w:rsidR="00922F03">
        <w:t xml:space="preserve">many </w:t>
      </w:r>
      <w:r w:rsidR="00237A6C">
        <w:t>people to leav</w:t>
      </w:r>
      <w:r w:rsidR="00191774">
        <w:t xml:space="preserve">e </w:t>
      </w:r>
      <w:r w:rsidR="00237A6C">
        <w:t>the country. T</w:t>
      </w:r>
      <w:r w:rsidR="00DB0E60">
        <w:t xml:space="preserve">here had </w:t>
      </w:r>
      <w:r w:rsidR="00237A6C">
        <w:t xml:space="preserve">certainly </w:t>
      </w:r>
      <w:r w:rsidR="00DB0E60">
        <w:t>been no intention on the part of the State to humiliate or debase transsexuals. They maintained tha</w:t>
      </w:r>
      <w:r w:rsidR="00721428">
        <w:t xml:space="preserve">t </w:t>
      </w:r>
      <w:r w:rsidR="005022C0">
        <w:t>transsexuality</w:t>
      </w:r>
      <w:r w:rsidR="00721428">
        <w:t xml:space="preserve"> as a disease was</w:t>
      </w:r>
      <w:r w:rsidR="00DB0E60">
        <w:t xml:space="preserve"> </w:t>
      </w:r>
      <w:r w:rsidR="00721428">
        <w:t>by no means</w:t>
      </w:r>
      <w:r w:rsidR="00DB0E60">
        <w:t xml:space="preserve"> neglected. </w:t>
      </w:r>
      <w:r w:rsidR="00721428">
        <w:t>Indeed, t</w:t>
      </w:r>
      <w:r w:rsidR="00DB0E60">
        <w:t>he applicant had been afforded due medical assistance in the form of medical consultations and hormon</w:t>
      </w:r>
      <w:r w:rsidR="005022C0">
        <w:t>e</w:t>
      </w:r>
      <w:r w:rsidR="00DB0E60">
        <w:t xml:space="preserve"> treatment</w:t>
      </w:r>
      <w:r w:rsidRPr="00665E73" w:rsidR="00721428">
        <w:t xml:space="preserve">. The applicant was </w:t>
      </w:r>
      <w:r w:rsidRPr="00665E73" w:rsidR="00074BD1">
        <w:t>also</w:t>
      </w:r>
      <w:r w:rsidRPr="00665E73" w:rsidR="00721428">
        <w:t xml:space="preserve"> entitled to seek confirmation of the medical necessity </w:t>
      </w:r>
      <w:r w:rsidR="00CD22E3">
        <w:t>of</w:t>
      </w:r>
      <w:r w:rsidRPr="00665E73" w:rsidR="00CD22E3">
        <w:t xml:space="preserve"> </w:t>
      </w:r>
      <w:r w:rsidRPr="00665E73" w:rsidR="00721428">
        <w:t xml:space="preserve">full </w:t>
      </w:r>
      <w:r w:rsidR="00EE44EB">
        <w:t xml:space="preserve">gender </w:t>
      </w:r>
      <w:r w:rsidR="002E64A3">
        <w:t>reassignment</w:t>
      </w:r>
      <w:r w:rsidRPr="00665E73" w:rsidR="00721428">
        <w:t xml:space="preserve"> surgery, which might h</w:t>
      </w:r>
      <w:r w:rsidR="005022C0">
        <w:t xml:space="preserve">ave enabled him to be </w:t>
      </w:r>
      <w:r w:rsidR="00CD22E3">
        <w:t xml:space="preserve">referred </w:t>
      </w:r>
      <w:r w:rsidR="005022C0">
        <w:t xml:space="preserve">for </w:t>
      </w:r>
      <w:r w:rsidR="00FA3B8B">
        <w:t xml:space="preserve">medical </w:t>
      </w:r>
      <w:r w:rsidRPr="00665E73" w:rsidR="00721428">
        <w:t>treatment abroad</w:t>
      </w:r>
      <w:r w:rsidR="00FA3B8B">
        <w:t xml:space="preserve">, </w:t>
      </w:r>
      <w:r w:rsidR="005022C0">
        <w:t xml:space="preserve">financed by the </w:t>
      </w:r>
      <w:r w:rsidR="00FA3B8B">
        <w:t xml:space="preserve">State </w:t>
      </w:r>
      <w:r w:rsidRPr="00665E73" w:rsidR="002A399D">
        <w:t>(</w:t>
      </w:r>
      <w:r w:rsidR="005022C0">
        <w:t>paragraph 3</w:t>
      </w:r>
      <w:r w:rsidR="004D63E4">
        <w:t>1</w:t>
      </w:r>
      <w:r w:rsidR="005022C0">
        <w:t xml:space="preserve"> </w:t>
      </w:r>
      <w:r w:rsidRPr="00665E73" w:rsidR="00665E73">
        <w:t>above).</w:t>
      </w:r>
    </w:p>
    <w:p w:rsidRPr="00665E73" w:rsidR="00721428" w:rsidP="00CD22E3" w:rsidRDefault="000119DA">
      <w:pPr>
        <w:pStyle w:val="JuPara"/>
      </w:pPr>
      <w:r>
        <w:fldChar w:fldCharType="begin"/>
      </w:r>
      <w:r>
        <w:instrText xml:space="preserve"> SEQ level0 \*arabic </w:instrText>
      </w:r>
      <w:r>
        <w:fldChar w:fldCharType="separate"/>
      </w:r>
      <w:r w:rsidR="00F03FB1">
        <w:rPr>
          <w:noProof/>
        </w:rPr>
        <w:t>43</w:t>
      </w:r>
      <w:r>
        <w:fldChar w:fldCharType="end"/>
      </w:r>
      <w:r>
        <w:t>.  </w:t>
      </w:r>
      <w:r w:rsidR="00DD11E3">
        <w:t xml:space="preserve">Whilst recognising that transsexuals might encounter some difficulties in their daily lives, </w:t>
      </w:r>
      <w:r w:rsidR="00CD22E3">
        <w:t xml:space="preserve">the Government asserted that </w:t>
      </w:r>
      <w:r w:rsidR="00DD11E3">
        <w:t>th</w:t>
      </w:r>
      <w:r w:rsidR="00191774">
        <w:t>o</w:t>
      </w:r>
      <w:r w:rsidR="00DD11E3">
        <w:t xml:space="preserve">se </w:t>
      </w:r>
      <w:r w:rsidR="00191774">
        <w:t>difficulties</w:t>
      </w:r>
      <w:r w:rsidR="00DD11E3">
        <w:t xml:space="preserve"> </w:t>
      </w:r>
      <w:r w:rsidR="007038BF">
        <w:t xml:space="preserve">were </w:t>
      </w:r>
      <w:r w:rsidR="00DD11E3">
        <w:t xml:space="preserve">not intentionally created </w:t>
      </w:r>
      <w:r w:rsidR="00C976FB">
        <w:t>n</w:t>
      </w:r>
      <w:r w:rsidR="00DD11E3">
        <w:t xml:space="preserve">or inflicted by the State. On the contrary, steps had been taken to alleviate the problems, such as allowing the applicant </w:t>
      </w:r>
      <w:r w:rsidR="009F7893">
        <w:t>to change his name.</w:t>
      </w:r>
      <w:r>
        <w:t xml:space="preserve"> A change in the entries f</w:t>
      </w:r>
      <w:r w:rsidR="00191774">
        <w:t>or</w:t>
      </w:r>
      <w:r>
        <w:t xml:space="preserve"> all official documents, including the personal code, </w:t>
      </w:r>
      <w:r w:rsidR="00CD22E3">
        <w:t xml:space="preserve">could </w:t>
      </w:r>
      <w:r>
        <w:t xml:space="preserve">be effected </w:t>
      </w:r>
      <w:r w:rsidR="00F530E7">
        <w:t>on completion of</w:t>
      </w:r>
      <w:r>
        <w:t xml:space="preserve"> </w:t>
      </w:r>
      <w:r w:rsidR="00CD22E3">
        <w:t xml:space="preserve">a </w:t>
      </w:r>
      <w:r w:rsidR="006C4B5B">
        <w:t>transsexual</w:t>
      </w:r>
      <w:r w:rsidR="00C86D12">
        <w:t>’</w:t>
      </w:r>
      <w:r w:rsidR="006C4B5B">
        <w:t xml:space="preserve">s </w:t>
      </w:r>
      <w:r w:rsidR="00EE44EB">
        <w:t xml:space="preserve">gender </w:t>
      </w:r>
      <w:r w:rsidR="002E64A3">
        <w:t>reassignment</w:t>
      </w:r>
      <w:r>
        <w:t xml:space="preserve"> surgery.</w:t>
      </w:r>
    </w:p>
    <w:p w:rsidR="006A120B" w:rsidP="00CD22E3" w:rsidRDefault="00954AA9">
      <w:pPr>
        <w:pStyle w:val="JuPara"/>
      </w:pPr>
      <w:r>
        <w:fldChar w:fldCharType="begin"/>
      </w:r>
      <w:r>
        <w:instrText xml:space="preserve"> SEQ level0 \*arabic </w:instrText>
      </w:r>
      <w:r>
        <w:fldChar w:fldCharType="separate"/>
      </w:r>
      <w:r w:rsidR="00F03FB1">
        <w:rPr>
          <w:noProof/>
        </w:rPr>
        <w:t>44</w:t>
      </w:r>
      <w:r>
        <w:fldChar w:fldCharType="end"/>
      </w:r>
      <w:r>
        <w:t>.  </w:t>
      </w:r>
      <w:r w:rsidR="00DB0E60">
        <w:t xml:space="preserve">Furthermore, the State could not be held responsible for the alleged deterioration </w:t>
      </w:r>
      <w:r w:rsidR="00C976FB">
        <w:t>of</w:t>
      </w:r>
      <w:r w:rsidR="00DB0E60">
        <w:t xml:space="preserve"> the applicant</w:t>
      </w:r>
      <w:r w:rsidR="00C86D12">
        <w:t>’</w:t>
      </w:r>
      <w:r w:rsidR="00DB0E60">
        <w:t xml:space="preserve">s health, as he </w:t>
      </w:r>
      <w:r w:rsidR="00CD22E3">
        <w:t xml:space="preserve">had </w:t>
      </w:r>
      <w:r w:rsidR="00DB0E60">
        <w:t>chose</w:t>
      </w:r>
      <w:r w:rsidR="00CD22E3">
        <w:t>n –</w:t>
      </w:r>
      <w:r w:rsidR="00DB0E60">
        <w:t xml:space="preserve"> on his own initiative and disregarding the warnings of doctors </w:t>
      </w:r>
      <w:r w:rsidR="00CD22E3">
        <w:t>–</w:t>
      </w:r>
      <w:r w:rsidR="00DB0E60">
        <w:t xml:space="preserve"> to continue his hormon</w:t>
      </w:r>
      <w:r w:rsidR="00C53CF6">
        <w:t>e</w:t>
      </w:r>
      <w:r w:rsidR="00DB0E60">
        <w:t xml:space="preserve"> treatment unofficially, beyond that prescribed for two months in 1998.</w:t>
      </w:r>
    </w:p>
    <w:p w:rsidR="006A120B" w:rsidP="00CD22E3" w:rsidRDefault="00B635C9">
      <w:pPr>
        <w:pStyle w:val="JuPara"/>
      </w:pPr>
      <w:r>
        <w:fldChar w:fldCharType="begin"/>
      </w:r>
      <w:r>
        <w:instrText xml:space="preserve"> SEQ level0 \*arabic </w:instrText>
      </w:r>
      <w:r>
        <w:fldChar w:fldCharType="separate"/>
      </w:r>
      <w:r w:rsidR="00F03FB1">
        <w:rPr>
          <w:noProof/>
        </w:rPr>
        <w:t>45</w:t>
      </w:r>
      <w:r>
        <w:fldChar w:fldCharType="end"/>
      </w:r>
      <w:r>
        <w:t>.  </w:t>
      </w:r>
      <w:r w:rsidR="00C53CF6">
        <w:t>In sum</w:t>
      </w:r>
      <w:r w:rsidR="00DB0E60">
        <w:t>, the Government maintained that the allege</w:t>
      </w:r>
      <w:r w:rsidR="00E9049C">
        <w:t>d ill-treatment did not attain the</w:t>
      </w:r>
      <w:r w:rsidR="00DB0E60">
        <w:t xml:space="preserve"> minimum level of severity in order to f</w:t>
      </w:r>
      <w:r w:rsidR="009F30D2">
        <w:t>all within the scope of Article </w:t>
      </w:r>
      <w:r w:rsidR="00DB0E60">
        <w:t xml:space="preserve">3. They considered that the issue of the regulation of </w:t>
      </w:r>
      <w:r w:rsidR="00EE44EB">
        <w:t xml:space="preserve">gender </w:t>
      </w:r>
      <w:r w:rsidR="002E64A3">
        <w:t>reassignment</w:t>
      </w:r>
      <w:r w:rsidR="00DB0E60">
        <w:t xml:space="preserve"> </w:t>
      </w:r>
      <w:r w:rsidR="00191774">
        <w:t xml:space="preserve">surgery </w:t>
      </w:r>
      <w:r w:rsidR="00DB0E60">
        <w:t xml:space="preserve">and the recognition of </w:t>
      </w:r>
      <w:r w:rsidR="00B5650A">
        <w:t>transsexuals</w:t>
      </w:r>
      <w:r w:rsidR="00C86D12">
        <w:t>’</w:t>
      </w:r>
      <w:r w:rsidR="00DB0E60">
        <w:t xml:space="preserve"> identity fell to be dealt with under Article 8 of the Convention</w:t>
      </w:r>
      <w:r w:rsidR="00052265">
        <w:t xml:space="preserve"> alone</w:t>
      </w:r>
      <w:r w:rsidR="00DB0E60">
        <w:t xml:space="preserve">. </w:t>
      </w:r>
      <w:r w:rsidR="00EE44EB">
        <w:t>In any case</w:t>
      </w:r>
      <w:r w:rsidR="00DB0E60">
        <w:t>, the Government asserted</w:t>
      </w:r>
      <w:r w:rsidR="00D413BE">
        <w:t>,</w:t>
      </w:r>
      <w:r w:rsidR="00DB0E60">
        <w:t xml:space="preserve"> the State ha</w:t>
      </w:r>
      <w:r w:rsidR="00C53CF6">
        <w:t>d</w:t>
      </w:r>
      <w:r w:rsidR="00DB0E60">
        <w:t xml:space="preserve"> fulfilled its positive obligation</w:t>
      </w:r>
      <w:r w:rsidR="00DE0FAE">
        <w:t xml:space="preserve">s under </w:t>
      </w:r>
      <w:r w:rsidR="00D413BE">
        <w:t xml:space="preserve">both </w:t>
      </w:r>
      <w:r w:rsidR="00DE0FAE">
        <w:t>Article</w:t>
      </w:r>
      <w:r w:rsidR="00B0552E">
        <w:t>s</w:t>
      </w:r>
      <w:r w:rsidR="00DE0FAE">
        <w:t xml:space="preserve"> 3</w:t>
      </w:r>
      <w:r w:rsidR="00D413BE">
        <w:t xml:space="preserve"> and 8 by providing adequate health care for the treatment of disease and avoidable death, including</w:t>
      </w:r>
      <w:r w:rsidR="00DB0E60">
        <w:t xml:space="preserve"> </w:t>
      </w:r>
      <w:r w:rsidR="00B5650A">
        <w:t>appropriate</w:t>
      </w:r>
      <w:r w:rsidR="00DB0E60">
        <w:t xml:space="preserve"> treatment f</w:t>
      </w:r>
      <w:r w:rsidR="00C53CF6">
        <w:t>or</w:t>
      </w:r>
      <w:r w:rsidR="00DB0E60">
        <w:t xml:space="preserve"> transsexuals</w:t>
      </w:r>
      <w:r w:rsidR="004046D3">
        <w:t xml:space="preserve"> </w:t>
      </w:r>
      <w:r w:rsidR="00CD22E3">
        <w:t>–</w:t>
      </w:r>
      <w:r w:rsidR="004046D3">
        <w:t xml:space="preserve"> psychiatric, surgical, </w:t>
      </w:r>
      <w:r w:rsidR="00172D41">
        <w:t>hormonal</w:t>
      </w:r>
      <w:r w:rsidR="004046D3">
        <w:t xml:space="preserve">, </w:t>
      </w:r>
      <w:r w:rsidR="00CD22E3">
        <w:t>and so on</w:t>
      </w:r>
      <w:r w:rsidR="004046D3">
        <w:t>.</w:t>
      </w:r>
    </w:p>
    <w:p w:rsidR="00FE090D" w:rsidP="00FA3B8B" w:rsidRDefault="00FE090D">
      <w:pPr>
        <w:pStyle w:val="JuHA"/>
        <w:keepNext w:val="0"/>
        <w:keepLines w:val="0"/>
      </w:pPr>
      <w:r w:rsidRPr="00502733">
        <w:t>B.  </w:t>
      </w:r>
      <w:r>
        <w:t>The Court</w:t>
      </w:r>
      <w:r w:rsidR="00C86D12">
        <w:t>’</w:t>
      </w:r>
      <w:r>
        <w:t>s assessment</w:t>
      </w:r>
    </w:p>
    <w:p w:rsidRPr="00AE0045" w:rsidR="00E06932" w:rsidP="00E06932" w:rsidRDefault="00D01084">
      <w:pPr>
        <w:pStyle w:val="JuPara"/>
      </w:pPr>
      <w:r>
        <w:fldChar w:fldCharType="begin"/>
      </w:r>
      <w:r>
        <w:instrText xml:space="preserve"> SEQ level0 \*arabic </w:instrText>
      </w:r>
      <w:r>
        <w:fldChar w:fldCharType="separate"/>
      </w:r>
      <w:r w:rsidR="00F03FB1">
        <w:rPr>
          <w:noProof/>
        </w:rPr>
        <w:t>46</w:t>
      </w:r>
      <w:r>
        <w:fldChar w:fldCharType="end"/>
      </w:r>
      <w:r>
        <w:t>.  </w:t>
      </w:r>
      <w:r w:rsidRPr="00D01084">
        <w:t xml:space="preserve">The Court observes that the prohibition </w:t>
      </w:r>
      <w:r>
        <w:t xml:space="preserve">under Article 3 of the Convention is of an absolute nature, but that the kind of treatment qualified as </w:t>
      </w:r>
      <w:r w:rsidRPr="00D01084">
        <w:t xml:space="preserve">inhuman and degrading </w:t>
      </w:r>
      <w:r>
        <w:t xml:space="preserve">will depend upon an examination of the facts of the </w:t>
      </w:r>
      <w:r w:rsidR="003E38C4">
        <w:t xml:space="preserve">specific </w:t>
      </w:r>
      <w:r>
        <w:t>case in order to establish whether the suffering caused was so severe as to fall within the ambit of this provision.</w:t>
      </w:r>
      <w:r w:rsidR="0000579F">
        <w:t xml:space="preserve"> </w:t>
      </w:r>
      <w:r w:rsidR="000B4E2D">
        <w:t xml:space="preserve">Moreover, according to its established case-law, Article 3 entails a positive obligation on the part of the State to protect the individual from </w:t>
      </w:r>
      <w:r w:rsidR="007C6568">
        <w:t>acute ill-</w:t>
      </w:r>
      <w:r w:rsidR="000B4E2D">
        <w:t xml:space="preserve">treatment, </w:t>
      </w:r>
      <w:r w:rsidR="007C6568">
        <w:t xml:space="preserve">whether physical or mental, </w:t>
      </w:r>
      <w:r w:rsidR="000B4E2D">
        <w:t>whatever its source</w:t>
      </w:r>
      <w:r w:rsidR="00C06952">
        <w:t>. Thus if the source is a</w:t>
      </w:r>
      <w:r w:rsidR="007D0FA3">
        <w:t xml:space="preserve"> naturally occurring </w:t>
      </w:r>
      <w:r w:rsidR="00C06952">
        <w:t>illness</w:t>
      </w:r>
      <w:r w:rsidR="00D00B8F">
        <w:t>,</w:t>
      </w:r>
      <w:r w:rsidR="00C06952">
        <w:t xml:space="preserve"> </w:t>
      </w:r>
      <w:r w:rsidR="00D00B8F">
        <w:t>the</w:t>
      </w:r>
      <w:r w:rsidR="00C06952">
        <w:t xml:space="preserve"> treatment </w:t>
      </w:r>
      <w:r w:rsidR="00D00B8F">
        <w:t xml:space="preserve">for which </w:t>
      </w:r>
      <w:r w:rsidR="00994FA8">
        <w:t>could involve</w:t>
      </w:r>
      <w:r w:rsidR="00C06952">
        <w:t xml:space="preserve"> the responsibility of the State but is not forthcoming or </w:t>
      </w:r>
      <w:r w:rsidR="00BB3140">
        <w:t xml:space="preserve">is </w:t>
      </w:r>
      <w:r w:rsidR="00C06952">
        <w:t>patently inadequate, an issue may arise under this provision</w:t>
      </w:r>
      <w:r w:rsidRPr="00E06932" w:rsidR="00E06932">
        <w:rPr>
          <w:i/>
        </w:rPr>
        <w:t xml:space="preserve"> </w:t>
      </w:r>
      <w:r w:rsidR="00E06932">
        <w:t>(</w:t>
      </w:r>
      <w:r w:rsidR="00CB4953">
        <w:t xml:space="preserve">see, for example, </w:t>
      </w:r>
      <w:r w:rsidRPr="00AE0045" w:rsidR="00E504BF">
        <w:rPr>
          <w:i/>
        </w:rPr>
        <w:t>D.</w:t>
      </w:r>
      <w:r w:rsidR="00EE44EB">
        <w:rPr>
          <w:i/>
        </w:rPr>
        <w:t xml:space="preserve"> </w:t>
      </w:r>
      <w:r w:rsidR="00E504BF">
        <w:rPr>
          <w:i/>
        </w:rPr>
        <w:t xml:space="preserve">v. </w:t>
      </w:r>
      <w:r w:rsidRPr="00AE0045" w:rsidR="00E504BF">
        <w:rPr>
          <w:i/>
        </w:rPr>
        <w:t>the United Kingdom</w:t>
      </w:r>
      <w:r w:rsidR="00930A97">
        <w:t>, 2</w:t>
      </w:r>
      <w:r w:rsidR="00EE44EB">
        <w:t xml:space="preserve"> </w:t>
      </w:r>
      <w:r w:rsidRPr="00AE0045" w:rsidR="00E504BF">
        <w:t>May 1997</w:t>
      </w:r>
      <w:r w:rsidR="00EE44EB">
        <w:t>, §§ 51-54</w:t>
      </w:r>
      <w:r w:rsidRPr="00AE0045" w:rsidR="00E504BF">
        <w:t xml:space="preserve">, </w:t>
      </w:r>
      <w:r w:rsidRPr="00AE0045" w:rsidR="00E504BF">
        <w:rPr>
          <w:i/>
        </w:rPr>
        <w:t>Reports of Judgments and Decisions</w:t>
      </w:r>
      <w:r w:rsidRPr="00AE0045" w:rsidR="00E504BF">
        <w:t xml:space="preserve"> </w:t>
      </w:r>
      <w:r w:rsidR="00CD22E3">
        <w:t>1997-III, and,</w:t>
      </w:r>
      <w:r w:rsidR="00E504BF">
        <w:t xml:space="preserve"> </w:t>
      </w:r>
      <w:r w:rsidR="00284A93">
        <w:rPr>
          <w:i/>
        </w:rPr>
        <w:t>mutatis mutandis</w:t>
      </w:r>
      <w:r w:rsidR="00CD22E3">
        <w:t>,</w:t>
      </w:r>
      <w:r w:rsidR="00284A93">
        <w:rPr>
          <w:i/>
        </w:rPr>
        <w:t xml:space="preserve"> </w:t>
      </w:r>
      <w:r w:rsidRPr="00AE0045" w:rsidR="00E06932">
        <w:rPr>
          <w:i/>
        </w:rPr>
        <w:t>Pretty</w:t>
      </w:r>
      <w:r w:rsidR="00930A97">
        <w:rPr>
          <w:i/>
        </w:rPr>
        <w:t xml:space="preserve"> </w:t>
      </w:r>
      <w:r w:rsidR="00E06932">
        <w:rPr>
          <w:i/>
        </w:rPr>
        <w:t xml:space="preserve">v. </w:t>
      </w:r>
      <w:r w:rsidRPr="00AE0045" w:rsidR="00E06932">
        <w:rPr>
          <w:i/>
        </w:rPr>
        <w:t>the United Kingdom</w:t>
      </w:r>
      <w:r w:rsidRPr="00AE0045" w:rsidR="00E06932">
        <w:t xml:space="preserve">, </w:t>
      </w:r>
      <w:r w:rsidR="00EE44EB">
        <w:t xml:space="preserve">no. </w:t>
      </w:r>
      <w:r w:rsidRPr="00AE0045" w:rsidR="00E06932">
        <w:t>2346/02, §</w:t>
      </w:r>
      <w:r w:rsidR="00E06932">
        <w:t>§</w:t>
      </w:r>
      <w:r w:rsidR="00E504BF">
        <w:t xml:space="preserve"> 4</w:t>
      </w:r>
      <w:r w:rsidR="00CB4953">
        <w:t xml:space="preserve">9-52, </w:t>
      </w:r>
      <w:r w:rsidRPr="00AE0045" w:rsidR="00E06932">
        <w:t>ECHR 2002</w:t>
      </w:r>
      <w:r w:rsidRPr="00AE0045" w:rsidR="00E06932">
        <w:noBreakHyphen/>
        <w:t>III</w:t>
      </w:r>
      <w:r w:rsidR="00E06932">
        <w:t>).</w:t>
      </w:r>
    </w:p>
    <w:p w:rsidRPr="00D01084" w:rsidR="00CE55EF" w:rsidP="00FA3B8B" w:rsidRDefault="00CE55EF">
      <w:pPr>
        <w:pStyle w:val="JuPara"/>
      </w:pPr>
      <w:r w:rsidRPr="00D01084">
        <w:fldChar w:fldCharType="begin"/>
      </w:r>
      <w:r w:rsidRPr="00D01084">
        <w:instrText xml:space="preserve"> SEQ level0 \*arabic </w:instrText>
      </w:r>
      <w:r w:rsidRPr="00D01084">
        <w:fldChar w:fldCharType="separate"/>
      </w:r>
      <w:r w:rsidR="00F03FB1">
        <w:rPr>
          <w:noProof/>
        </w:rPr>
        <w:t>47</w:t>
      </w:r>
      <w:r w:rsidRPr="00D01084">
        <w:fldChar w:fldCharType="end"/>
      </w:r>
      <w:r w:rsidRPr="00D01084">
        <w:t>.  </w:t>
      </w:r>
      <w:r w:rsidR="0080762D">
        <w:t>However, an examination of the facts of the present case, whilst</w:t>
      </w:r>
      <w:r w:rsidR="00C27E37">
        <w:t xml:space="preserve"> </w:t>
      </w:r>
      <w:r w:rsidR="00587066">
        <w:t>revealing</w:t>
      </w:r>
      <w:r w:rsidR="00C27E37">
        <w:t xml:space="preserve"> the applicant</w:t>
      </w:r>
      <w:r w:rsidR="00C86D12">
        <w:t>’</w:t>
      </w:r>
      <w:r w:rsidR="00C27E37">
        <w:t>s understandable distress and frustration, does not indicate circumstances of such an intense degree, involving the exceptional, life-threatening conditions found in the cases of Mr D. and Mrs Pretty cited above, a</w:t>
      </w:r>
      <w:r w:rsidR="00EE44EB">
        <w:t>s to fall</w:t>
      </w:r>
      <w:r w:rsidR="00C27E37">
        <w:t xml:space="preserve"> within the scope of Article 3 of the Convention. The Court </w:t>
      </w:r>
      <w:r w:rsidR="003831C3">
        <w:t>considers</w:t>
      </w:r>
      <w:r w:rsidR="00C27E37">
        <w:t xml:space="preserve"> </w:t>
      </w:r>
      <w:r w:rsidR="003831C3">
        <w:t xml:space="preserve">it more appropriate to analyse </w:t>
      </w:r>
      <w:r w:rsidR="00C27E37">
        <w:t>this aspect of the applicant</w:t>
      </w:r>
      <w:r w:rsidR="00C86D12">
        <w:t>’</w:t>
      </w:r>
      <w:r w:rsidR="00C27E37">
        <w:t xml:space="preserve">s complaint under Article 8 </w:t>
      </w:r>
      <w:r w:rsidR="003831C3">
        <w:t xml:space="preserve">(respect for private life) </w:t>
      </w:r>
      <w:r w:rsidR="00C27E37">
        <w:t>below.</w:t>
      </w:r>
    </w:p>
    <w:p w:rsidRPr="00D01084" w:rsidR="00CE55EF" w:rsidP="00FA3B8B" w:rsidRDefault="00CE55EF">
      <w:pPr>
        <w:pStyle w:val="JuPara"/>
      </w:pPr>
      <w:r w:rsidRPr="00D01084">
        <w:fldChar w:fldCharType="begin"/>
      </w:r>
      <w:r w:rsidRPr="00D01084">
        <w:instrText xml:space="preserve"> SEQ level0 \*arabic </w:instrText>
      </w:r>
      <w:r w:rsidRPr="00D01084">
        <w:fldChar w:fldCharType="separate"/>
      </w:r>
      <w:r w:rsidR="00F03FB1">
        <w:rPr>
          <w:noProof/>
        </w:rPr>
        <w:t>48</w:t>
      </w:r>
      <w:r w:rsidRPr="00D01084">
        <w:fldChar w:fldCharType="end"/>
      </w:r>
      <w:r w:rsidRPr="00D01084">
        <w:t>.  </w:t>
      </w:r>
      <w:r w:rsidR="00C27E37">
        <w:t>Consequently</w:t>
      </w:r>
      <w:r w:rsidR="007038BF">
        <w:t>,</w:t>
      </w:r>
      <w:r w:rsidR="00C27E37">
        <w:t xml:space="preserve"> the Court finds no violation of Article 3</w:t>
      </w:r>
      <w:r w:rsidRPr="00F84B66" w:rsidR="00F84B66">
        <w:t xml:space="preserve"> </w:t>
      </w:r>
      <w:r w:rsidR="00F84B66">
        <w:t>of the Convention</w:t>
      </w:r>
      <w:r w:rsidR="00C27E37">
        <w:t>.</w:t>
      </w:r>
    </w:p>
    <w:p w:rsidRPr="005725AF" w:rsidR="00E711DD" w:rsidP="00E711DD" w:rsidRDefault="00E711DD">
      <w:pPr>
        <w:pStyle w:val="JuHIRoman"/>
      </w:pPr>
      <w:r>
        <w:t>I</w:t>
      </w:r>
      <w:r w:rsidR="000165C7">
        <w:t>I</w:t>
      </w:r>
      <w:r>
        <w:t>I</w:t>
      </w:r>
      <w:r w:rsidRPr="005725AF">
        <w:t>.  </w:t>
      </w:r>
      <w:r>
        <w:t>ALLEGED VIOLATION</w:t>
      </w:r>
      <w:r w:rsidRPr="005725AF">
        <w:t xml:space="preserve"> OF ARTICLE </w:t>
      </w:r>
      <w:r>
        <w:t>8</w:t>
      </w:r>
      <w:r w:rsidRPr="005725AF">
        <w:t xml:space="preserve"> OF THE CONVENTION</w:t>
      </w:r>
    </w:p>
    <w:p w:rsidR="006A120B" w:rsidP="00CA3C43" w:rsidRDefault="00882321">
      <w:pPr>
        <w:pStyle w:val="JuPara"/>
      </w:pPr>
      <w:r>
        <w:fldChar w:fldCharType="begin"/>
      </w:r>
      <w:r>
        <w:instrText xml:space="preserve"> SEQ level0 \*arabic </w:instrText>
      </w:r>
      <w:r>
        <w:fldChar w:fldCharType="separate"/>
      </w:r>
      <w:r w:rsidR="00F03FB1">
        <w:rPr>
          <w:noProof/>
        </w:rPr>
        <w:t>49</w:t>
      </w:r>
      <w:r>
        <w:fldChar w:fldCharType="end"/>
      </w:r>
      <w:r>
        <w:t>.  </w:t>
      </w:r>
      <w:r w:rsidR="00CA3C43">
        <w:t xml:space="preserve">The applicant </w:t>
      </w:r>
      <w:r w:rsidR="002903A0">
        <w:t>alleged</w:t>
      </w:r>
      <w:r w:rsidR="00CA3C43">
        <w:t xml:space="preserve"> that </w:t>
      </w:r>
      <w:r w:rsidR="00C421D4">
        <w:t xml:space="preserve">the State </w:t>
      </w:r>
      <w:r w:rsidR="008C1AB3">
        <w:t>ha</w:t>
      </w:r>
      <w:r w:rsidR="00CD22E3">
        <w:t>d</w:t>
      </w:r>
      <w:r w:rsidR="008C1AB3">
        <w:t xml:space="preserve"> </w:t>
      </w:r>
      <w:r w:rsidR="00C421D4">
        <w:t xml:space="preserve">failed to </w:t>
      </w:r>
      <w:r w:rsidR="00CD22E3">
        <w:t xml:space="preserve">fulfil </w:t>
      </w:r>
      <w:r w:rsidR="00334442">
        <w:t>its positive obligation</w:t>
      </w:r>
      <w:r w:rsidR="008C1AB3">
        <w:t>s</w:t>
      </w:r>
      <w:r w:rsidR="00334442">
        <w:t xml:space="preserve"> under Article 8</w:t>
      </w:r>
      <w:r w:rsidR="003831C3">
        <w:t>,</w:t>
      </w:r>
      <w:r w:rsidR="00334442">
        <w:t xml:space="preserve"> which provides</w:t>
      </w:r>
      <w:r w:rsidR="00CD22E3">
        <w:t>,</w:t>
      </w:r>
      <w:r>
        <w:t xml:space="preserve"> in so far as relevant</w:t>
      </w:r>
      <w:r w:rsidR="00334442">
        <w:t>:</w:t>
      </w:r>
    </w:p>
    <w:p w:rsidR="00334442" w:rsidRDefault="00334442">
      <w:pPr>
        <w:pStyle w:val="JuQuot"/>
      </w:pPr>
      <w:r>
        <w:t xml:space="preserve">“1.  Everyone has the right to respect for his private </w:t>
      </w:r>
      <w:r w:rsidR="00797919">
        <w:t>...</w:t>
      </w:r>
      <w:r>
        <w:t xml:space="preserve"> life </w:t>
      </w:r>
      <w:r w:rsidR="00797919">
        <w:t>...</w:t>
      </w:r>
    </w:p>
    <w:p w:rsidRPr="005725AF" w:rsidR="00334442" w:rsidP="00334442" w:rsidRDefault="00334442">
      <w:pPr>
        <w:pStyle w:val="JuQuot"/>
      </w:pPr>
      <w:r>
        <w:t xml:space="preserve">2.  There shall be no interference by a public authority with the exercise of this right except such as is in accordance with the law and is necessary in a democratic society </w:t>
      </w:r>
      <w:r w:rsidR="00797919">
        <w:t>...</w:t>
      </w:r>
      <w:r>
        <w:t xml:space="preserve"> for the protection of health or morals, or for the protection of the rights and freedoms of others.”</w:t>
      </w:r>
    </w:p>
    <w:p w:rsidRPr="00E5099A" w:rsidR="00530BBC" w:rsidP="00CD22E3" w:rsidRDefault="00530BBC">
      <w:pPr>
        <w:pStyle w:val="JuHA"/>
      </w:pPr>
      <w:r w:rsidRPr="00E5099A">
        <w:t>A.  The parties</w:t>
      </w:r>
      <w:r w:rsidR="00C86D12">
        <w:t>’</w:t>
      </w:r>
      <w:r w:rsidRPr="00E5099A">
        <w:t xml:space="preserve"> submissions</w:t>
      </w:r>
    </w:p>
    <w:p w:rsidRPr="005725AF" w:rsidR="00CD49A7" w:rsidRDefault="00CD49A7">
      <w:pPr>
        <w:pStyle w:val="JuH1"/>
      </w:pPr>
      <w:r w:rsidRPr="005725AF">
        <w:t>1.  </w:t>
      </w:r>
      <w:r w:rsidR="00334442">
        <w:t>The applicant</w:t>
      </w:r>
    </w:p>
    <w:p w:rsidR="00882321" w:rsidRDefault="0026587C">
      <w:pPr>
        <w:pStyle w:val="JuPara"/>
      </w:pPr>
      <w:r>
        <w:fldChar w:fldCharType="begin"/>
      </w:r>
      <w:r>
        <w:instrText xml:space="preserve"> SEQ level0 \*arabic </w:instrText>
      </w:r>
      <w:r>
        <w:fldChar w:fldCharType="separate"/>
      </w:r>
      <w:r w:rsidR="00F03FB1">
        <w:rPr>
          <w:noProof/>
        </w:rPr>
        <w:t>50</w:t>
      </w:r>
      <w:r>
        <w:fldChar w:fldCharType="end"/>
      </w:r>
      <w:r>
        <w:t>.  </w:t>
      </w:r>
      <w:r w:rsidR="00CD22E3">
        <w:t xml:space="preserve">Referring to </w:t>
      </w:r>
      <w:r>
        <w:t>his arguments under Article 3 (</w:t>
      </w:r>
      <w:r w:rsidR="00CD22E3">
        <w:t xml:space="preserve">see </w:t>
      </w:r>
      <w:r>
        <w:t xml:space="preserve">paragraphs </w:t>
      </w:r>
      <w:r w:rsidR="00E12566">
        <w:t>38</w:t>
      </w:r>
      <w:r w:rsidR="00E12566">
        <w:noBreakHyphen/>
      </w:r>
      <w:r w:rsidR="004D63E4">
        <w:t>40</w:t>
      </w:r>
      <w:r w:rsidR="00CD22E3">
        <w:t xml:space="preserve"> above</w:t>
      </w:r>
      <w:r>
        <w:t>), t</w:t>
      </w:r>
      <w:r w:rsidR="0000455F">
        <w:t xml:space="preserve">he applicant </w:t>
      </w:r>
      <w:r>
        <w:t>repeated</w:t>
      </w:r>
      <w:r w:rsidR="0000455F">
        <w:t xml:space="preserve"> that the State had </w:t>
      </w:r>
      <w:r w:rsidR="002903A0">
        <w:t>failed</w:t>
      </w:r>
      <w:r w:rsidR="0000455F">
        <w:t xml:space="preserve"> to provide </w:t>
      </w:r>
      <w:r w:rsidR="0097062F">
        <w:t>him with</w:t>
      </w:r>
      <w:r w:rsidR="0000455F">
        <w:t xml:space="preserve"> a l</w:t>
      </w:r>
      <w:r w:rsidR="0035753F">
        <w:t>awful</w:t>
      </w:r>
      <w:r w:rsidR="0000455F">
        <w:t xml:space="preserve"> opportunity to complete his </w:t>
      </w:r>
      <w:r w:rsidR="002E64A3">
        <w:t>gender</w:t>
      </w:r>
      <w:r w:rsidR="00CD22E3">
        <w:t xml:space="preserve"> </w:t>
      </w:r>
      <w:r w:rsidR="002E64A3">
        <w:t>reassignment</w:t>
      </w:r>
      <w:r w:rsidR="0000455F">
        <w:t xml:space="preserve"> and obtain </w:t>
      </w:r>
      <w:r w:rsidR="0097062F">
        <w:t xml:space="preserve">full </w:t>
      </w:r>
      <w:r w:rsidR="0000455F">
        <w:t xml:space="preserve">recognition of </w:t>
      </w:r>
      <w:r w:rsidR="00BB3140">
        <w:t xml:space="preserve">his </w:t>
      </w:r>
      <w:r w:rsidRPr="002903A0" w:rsidR="002903A0">
        <w:t xml:space="preserve">post-operative </w:t>
      </w:r>
      <w:r w:rsidRPr="002903A0" w:rsidR="0000455F">
        <w:t>gender</w:t>
      </w:r>
      <w:r w:rsidR="002903A0">
        <w:t>.</w:t>
      </w:r>
      <w:r w:rsidR="0000455F">
        <w:t xml:space="preserve"> He reiterated that the </w:t>
      </w:r>
      <w:r w:rsidR="00C34FED">
        <w:t xml:space="preserve">right to </w:t>
      </w:r>
      <w:r w:rsidR="00EE44EB">
        <w:t xml:space="preserve">gender </w:t>
      </w:r>
      <w:r w:rsidR="002E64A3">
        <w:t>reassignment</w:t>
      </w:r>
      <w:r w:rsidR="00C34FED">
        <w:t xml:space="preserve"> </w:t>
      </w:r>
      <w:r w:rsidR="0035753F">
        <w:t xml:space="preserve">surgery </w:t>
      </w:r>
      <w:r w:rsidR="00C34FED">
        <w:t xml:space="preserve">had been </w:t>
      </w:r>
      <w:r w:rsidR="00CD22E3">
        <w:t xml:space="preserve">envisaged </w:t>
      </w:r>
      <w:r w:rsidR="0000455F">
        <w:t>b</w:t>
      </w:r>
      <w:r w:rsidR="00C34FED">
        <w:t>y the new Civil Code since 2003</w:t>
      </w:r>
      <w:r w:rsidR="0097062F">
        <w:t>, but</w:t>
      </w:r>
      <w:r w:rsidR="00C34FED">
        <w:t xml:space="preserve"> </w:t>
      </w:r>
      <w:r w:rsidR="0000455F">
        <w:t xml:space="preserve">no </w:t>
      </w:r>
      <w:r w:rsidR="00E96054">
        <w:rPr>
          <w:szCs w:val="24"/>
        </w:rPr>
        <w:t xml:space="preserve">subsidiary legislation </w:t>
      </w:r>
      <w:r w:rsidR="0097062F">
        <w:t>ha</w:t>
      </w:r>
      <w:r w:rsidR="0035753F">
        <w:t>d</w:t>
      </w:r>
      <w:r w:rsidR="0000455F">
        <w:t xml:space="preserve"> been </w:t>
      </w:r>
      <w:r w:rsidR="00930A97">
        <w:t>passed</w:t>
      </w:r>
      <w:r w:rsidR="00E96054">
        <w:t xml:space="preserve"> to implement that right</w:t>
      </w:r>
      <w:r w:rsidR="0000455F">
        <w:t xml:space="preserve">. </w:t>
      </w:r>
      <w:r w:rsidR="003778EA">
        <w:t>The applicant</w:t>
      </w:r>
      <w:r w:rsidR="00E61CD6">
        <w:t xml:space="preserve"> further </w:t>
      </w:r>
      <w:r w:rsidR="00CD22E3">
        <w:t xml:space="preserve">emphasised </w:t>
      </w:r>
      <w:r w:rsidR="00E61CD6">
        <w:t>that</w:t>
      </w:r>
      <w:r w:rsidR="00D6672B">
        <w:t>,</w:t>
      </w:r>
      <w:r w:rsidR="00E61CD6">
        <w:t xml:space="preserve"> </w:t>
      </w:r>
      <w:r w:rsidR="00F66485">
        <w:t xml:space="preserve">although he had been able to change his name to a gender-neutral </w:t>
      </w:r>
      <w:r w:rsidR="002F1575">
        <w:t>f</w:t>
      </w:r>
      <w:r w:rsidR="00F66485">
        <w:t>o</w:t>
      </w:r>
      <w:r w:rsidR="002F1575">
        <w:t>rm</w:t>
      </w:r>
      <w:r w:rsidR="00F66485">
        <w:t xml:space="preserve">, the law did not </w:t>
      </w:r>
      <w:r w:rsidR="00C34FED">
        <w:t xml:space="preserve">provide for </w:t>
      </w:r>
      <w:r w:rsidR="0035753F">
        <w:t xml:space="preserve">a change in the personal code of </w:t>
      </w:r>
      <w:r w:rsidR="00EE44EB">
        <w:t>pre</w:t>
      </w:r>
      <w:r w:rsidR="00F66485">
        <w:t>operative transsexuals</w:t>
      </w:r>
      <w:r w:rsidR="00D6672B">
        <w:t xml:space="preserve"> (see paragraph </w:t>
      </w:r>
      <w:r w:rsidR="004D63E4">
        <w:t>28</w:t>
      </w:r>
      <w:r w:rsidR="00D6672B">
        <w:t xml:space="preserve"> above)</w:t>
      </w:r>
      <w:r w:rsidR="003778EA">
        <w:t>.</w:t>
      </w:r>
      <w:r w:rsidR="00F66485">
        <w:t xml:space="preserve"> </w:t>
      </w:r>
      <w:r w:rsidR="00D6672B">
        <w:t>As a result he ha</w:t>
      </w:r>
      <w:r w:rsidR="00CD22E3">
        <w:t>d</w:t>
      </w:r>
      <w:r w:rsidR="00D6672B">
        <w:t xml:space="preserve"> forgone numer</w:t>
      </w:r>
      <w:r w:rsidR="00C976FB">
        <w:t>ous opportunities in many</w:t>
      </w:r>
      <w:r w:rsidR="00D6672B">
        <w:t xml:space="preserve"> areas</w:t>
      </w:r>
      <w:r w:rsidR="00C976FB">
        <w:t>, such as</w:t>
      </w:r>
      <w:r w:rsidR="00D6672B">
        <w:t>, employment, health care, social security, freedom of movement</w:t>
      </w:r>
      <w:r w:rsidR="00465F22">
        <w:t>, business transactions</w:t>
      </w:r>
      <w:r w:rsidR="0019786B">
        <w:t>, socialising</w:t>
      </w:r>
      <w:r w:rsidR="00D6672B">
        <w:t xml:space="preserve"> and personal development</w:t>
      </w:r>
      <w:r w:rsidR="00465F22">
        <w:t xml:space="preserve"> in order to avoid hostility and taunts</w:t>
      </w:r>
      <w:r w:rsidR="00D6672B">
        <w:t xml:space="preserve">. </w:t>
      </w:r>
      <w:r w:rsidR="00514C28">
        <w:t xml:space="preserve">He </w:t>
      </w:r>
      <w:r w:rsidR="00F8415F">
        <w:t>ha</w:t>
      </w:r>
      <w:r w:rsidR="00CD22E3">
        <w:t>d</w:t>
      </w:r>
      <w:r w:rsidR="00F8415F">
        <w:t xml:space="preserve"> </w:t>
      </w:r>
      <w:r w:rsidR="003964AE">
        <w:t xml:space="preserve">thus </w:t>
      </w:r>
      <w:r w:rsidR="00F8415F">
        <w:t>been</w:t>
      </w:r>
      <w:r w:rsidR="00514C28">
        <w:t xml:space="preserve"> condemned to legal and social ostracis</w:t>
      </w:r>
      <w:r w:rsidR="002F1575">
        <w:t>m</w:t>
      </w:r>
      <w:r w:rsidR="00514C28">
        <w:t xml:space="preserve"> because he look</w:t>
      </w:r>
      <w:r w:rsidR="00CD22E3">
        <w:t>ed</w:t>
      </w:r>
      <w:r w:rsidR="00C976FB">
        <w:t xml:space="preserve"> male</w:t>
      </w:r>
      <w:r w:rsidR="00514C28">
        <w:t xml:space="preserve"> but his </w:t>
      </w:r>
      <w:r w:rsidR="00CD22E3">
        <w:t xml:space="preserve">personal </w:t>
      </w:r>
      <w:r w:rsidR="00514C28">
        <w:t>documents identif</w:t>
      </w:r>
      <w:r w:rsidR="00CD22E3">
        <w:t>ied</w:t>
      </w:r>
      <w:r w:rsidR="00514C28">
        <w:t xml:space="preserve"> him as a woman.</w:t>
      </w:r>
    </w:p>
    <w:p w:rsidR="00C34FED" w:rsidRDefault="00882321">
      <w:pPr>
        <w:pStyle w:val="JuPara"/>
      </w:pPr>
      <w:r>
        <w:fldChar w:fldCharType="begin"/>
      </w:r>
      <w:r>
        <w:instrText xml:space="preserve"> SEQ level0 \*arabic </w:instrText>
      </w:r>
      <w:r>
        <w:fldChar w:fldCharType="separate"/>
      </w:r>
      <w:r w:rsidR="00F03FB1">
        <w:rPr>
          <w:noProof/>
        </w:rPr>
        <w:t>51</w:t>
      </w:r>
      <w:r>
        <w:fldChar w:fldCharType="end"/>
      </w:r>
      <w:r>
        <w:t>.  </w:t>
      </w:r>
      <w:r w:rsidR="002408CC">
        <w:t xml:space="preserve">The applicant </w:t>
      </w:r>
      <w:r w:rsidR="002903A0">
        <w:t>argued</w:t>
      </w:r>
      <w:r w:rsidR="00C34FED">
        <w:t xml:space="preserve"> that </w:t>
      </w:r>
      <w:r w:rsidR="002903A0">
        <w:t>there w</w:t>
      </w:r>
      <w:r w:rsidR="004E2C09">
        <w:t>as</w:t>
      </w:r>
      <w:r w:rsidR="002903A0">
        <w:t xml:space="preserve"> no public interest whatsoever </w:t>
      </w:r>
      <w:r w:rsidR="00CD22E3">
        <w:t xml:space="preserve">militating </w:t>
      </w:r>
      <w:r w:rsidR="002903A0">
        <w:t xml:space="preserve">against </w:t>
      </w:r>
      <w:r w:rsidR="004E2C09">
        <w:t>the interest</w:t>
      </w:r>
      <w:r w:rsidR="0097062F">
        <w:t>s</w:t>
      </w:r>
      <w:r w:rsidR="004E2C09">
        <w:t xml:space="preserve"> of </w:t>
      </w:r>
      <w:r w:rsidR="00885A42">
        <w:t xml:space="preserve">medically </w:t>
      </w:r>
      <w:r w:rsidR="003964AE">
        <w:t>recognised</w:t>
      </w:r>
      <w:r w:rsidR="00885A42">
        <w:t xml:space="preserve"> </w:t>
      </w:r>
      <w:r w:rsidR="004E2C09">
        <w:t xml:space="preserve">transsexuals </w:t>
      </w:r>
      <w:r w:rsidR="00CD22E3">
        <w:t xml:space="preserve">in </w:t>
      </w:r>
      <w:r w:rsidR="004E2C09">
        <w:t>complet</w:t>
      </w:r>
      <w:r w:rsidR="00CD22E3">
        <w:t>ing</w:t>
      </w:r>
      <w:r w:rsidR="004E2C09">
        <w:t xml:space="preserve"> their</w:t>
      </w:r>
      <w:r w:rsidR="002903A0">
        <w:t xml:space="preserve"> </w:t>
      </w:r>
      <w:r w:rsidR="0097062F">
        <w:t>gender</w:t>
      </w:r>
      <w:r w:rsidR="002903A0">
        <w:t xml:space="preserve"> </w:t>
      </w:r>
      <w:r w:rsidR="0097062F">
        <w:t xml:space="preserve">change </w:t>
      </w:r>
      <w:r w:rsidR="002903A0">
        <w:t>and hav</w:t>
      </w:r>
      <w:r w:rsidR="00CD22E3">
        <w:t>ing</w:t>
      </w:r>
      <w:r w:rsidR="002903A0">
        <w:t xml:space="preserve"> it legally </w:t>
      </w:r>
      <w:r w:rsidR="003964AE">
        <w:t>entrenched</w:t>
      </w:r>
      <w:r w:rsidR="002903A0">
        <w:t>. F</w:t>
      </w:r>
      <w:r w:rsidR="00C34FED">
        <w:t xml:space="preserve">urthermore, </w:t>
      </w:r>
      <w:r w:rsidR="002903A0">
        <w:t xml:space="preserve">the </w:t>
      </w:r>
      <w:r w:rsidR="008379C9">
        <w:t xml:space="preserve">absence of </w:t>
      </w:r>
      <w:r w:rsidR="005A0DC7">
        <w:t>necessary legislation</w:t>
      </w:r>
      <w:r w:rsidR="008379C9">
        <w:t xml:space="preserve"> </w:t>
      </w:r>
      <w:r w:rsidR="00C34FED">
        <w:t xml:space="preserve">was disproportionate </w:t>
      </w:r>
      <w:r w:rsidR="007C6583">
        <w:t xml:space="preserve">to </w:t>
      </w:r>
      <w:r w:rsidR="000148E6">
        <w:t>the</w:t>
      </w:r>
      <w:r w:rsidR="0097062F">
        <w:t xml:space="preserve"> protection of a</w:t>
      </w:r>
      <w:r w:rsidR="007C6583">
        <w:t>ny</w:t>
      </w:r>
      <w:r w:rsidR="0097062F">
        <w:t xml:space="preserve"> </w:t>
      </w:r>
      <w:r w:rsidR="000148E6">
        <w:t xml:space="preserve">purported </w:t>
      </w:r>
      <w:r w:rsidR="002903A0">
        <w:t>countervailing interest of the community</w:t>
      </w:r>
      <w:r w:rsidR="007C6583">
        <w:t xml:space="preserve"> as a whole</w:t>
      </w:r>
      <w:r w:rsidR="00C34FED">
        <w:t xml:space="preserve">. </w:t>
      </w:r>
      <w:r w:rsidR="0097062F">
        <w:t>Accordingly, the State had failed in its pos</w:t>
      </w:r>
      <w:r w:rsidR="00E12566">
        <w:t>itive obligations under Article </w:t>
      </w:r>
      <w:r w:rsidR="0097062F">
        <w:t xml:space="preserve">8 to complete the measures it had already envisaged to protect </w:t>
      </w:r>
      <w:r w:rsidR="000148E6">
        <w:t>the applicant</w:t>
      </w:r>
      <w:r w:rsidR="00C86D12">
        <w:t>’</w:t>
      </w:r>
      <w:r w:rsidR="000148E6">
        <w:t>s</w:t>
      </w:r>
      <w:r w:rsidR="0097062F">
        <w:t xml:space="preserve"> human dignity</w:t>
      </w:r>
      <w:r w:rsidR="0076498B">
        <w:t xml:space="preserve"> and prevent intrusion into his private life</w:t>
      </w:r>
      <w:r w:rsidR="0097062F">
        <w:t>.</w:t>
      </w:r>
    </w:p>
    <w:p w:rsidRPr="005725AF" w:rsidR="00CD49A7" w:rsidRDefault="00CD49A7">
      <w:pPr>
        <w:pStyle w:val="JuH1"/>
      </w:pPr>
      <w:r w:rsidRPr="005725AF">
        <w:t>2.  </w:t>
      </w:r>
      <w:r w:rsidR="00C05E6A">
        <w:t>The Government</w:t>
      </w:r>
    </w:p>
    <w:p w:rsidR="006A120B" w:rsidP="00CD22E3" w:rsidRDefault="006B1E60">
      <w:pPr>
        <w:pStyle w:val="JuPara"/>
      </w:pPr>
      <w:r>
        <w:fldChar w:fldCharType="begin"/>
      </w:r>
      <w:r>
        <w:instrText xml:space="preserve"> SEQ level0 \*arabic </w:instrText>
      </w:r>
      <w:r>
        <w:fldChar w:fldCharType="separate"/>
      </w:r>
      <w:r w:rsidR="00F03FB1">
        <w:rPr>
          <w:noProof/>
        </w:rPr>
        <w:t>52</w:t>
      </w:r>
      <w:r>
        <w:fldChar w:fldCharType="end"/>
      </w:r>
      <w:r>
        <w:t>.  </w:t>
      </w:r>
      <w:r w:rsidR="007038BF">
        <w:t xml:space="preserve">Further </w:t>
      </w:r>
      <w:r w:rsidR="00672796">
        <w:t>to their pleadings under Article 3 (</w:t>
      </w:r>
      <w:r w:rsidR="00CD22E3">
        <w:t xml:space="preserve">see </w:t>
      </w:r>
      <w:r w:rsidR="00672796">
        <w:t xml:space="preserve">paragraphs </w:t>
      </w:r>
      <w:r w:rsidRPr="007038BF" w:rsidR="008C1AB3">
        <w:t>4</w:t>
      </w:r>
      <w:r w:rsidRPr="007038BF" w:rsidR="004D63E4">
        <w:t>1</w:t>
      </w:r>
      <w:r w:rsidR="00E12566">
        <w:noBreakHyphen/>
      </w:r>
      <w:r w:rsidRPr="007038BF" w:rsidR="004D63E4">
        <w:t>4</w:t>
      </w:r>
      <w:r w:rsidRPr="007038BF" w:rsidR="008C1AB3">
        <w:t>5</w:t>
      </w:r>
      <w:r w:rsidR="00CD22E3">
        <w:t xml:space="preserve"> above</w:t>
      </w:r>
      <w:r w:rsidRPr="007038BF" w:rsidR="00672796">
        <w:t>)</w:t>
      </w:r>
      <w:r w:rsidRPr="007038BF" w:rsidR="00BF3BDD">
        <w:t>, t</w:t>
      </w:r>
      <w:r w:rsidRPr="007038BF" w:rsidR="00770462">
        <w:t xml:space="preserve">he </w:t>
      </w:r>
      <w:r w:rsidRPr="000F6DA6" w:rsidR="00770462">
        <w:t xml:space="preserve">Government maintained that a wide margin of appreciation should be afforded to States </w:t>
      </w:r>
      <w:r w:rsidR="00770462">
        <w:t>in regulating</w:t>
      </w:r>
      <w:r w:rsidR="008D78D5">
        <w:t xml:space="preserve"> </w:t>
      </w:r>
      <w:r w:rsidR="002E64A3">
        <w:t>gender</w:t>
      </w:r>
      <w:r w:rsidR="00CD22E3">
        <w:t xml:space="preserve"> </w:t>
      </w:r>
      <w:r w:rsidR="002E64A3">
        <w:t>reassignment</w:t>
      </w:r>
      <w:r w:rsidRPr="000F6DA6" w:rsidR="00770462">
        <w:t xml:space="preserve"> and </w:t>
      </w:r>
      <w:r w:rsidR="00770462">
        <w:t xml:space="preserve">deciding </w:t>
      </w:r>
      <w:r w:rsidRPr="000F6DA6" w:rsidR="00770462">
        <w:t xml:space="preserve">whether to recognise </w:t>
      </w:r>
      <w:r w:rsidR="00A90AC6">
        <w:t>a</w:t>
      </w:r>
      <w:r w:rsidR="0060266B">
        <w:t xml:space="preserve"> person</w:t>
      </w:r>
      <w:r w:rsidR="00C86D12">
        <w:t>’</w:t>
      </w:r>
      <w:r w:rsidR="0060266B">
        <w:t>s new identity where</w:t>
      </w:r>
      <w:r w:rsidRPr="000F6DA6" w:rsidR="00770462">
        <w:t xml:space="preserve"> </w:t>
      </w:r>
      <w:r w:rsidR="00FF1BC9">
        <w:t>the required</w:t>
      </w:r>
      <w:r w:rsidRPr="000F6DA6" w:rsidR="00770462">
        <w:t xml:space="preserve"> surgery </w:t>
      </w:r>
      <w:r w:rsidR="00CD22E3">
        <w:t xml:space="preserve">was </w:t>
      </w:r>
      <w:r w:rsidR="005A38EA">
        <w:t>incom</w:t>
      </w:r>
      <w:r w:rsidR="0060266B">
        <w:t xml:space="preserve">plete. In </w:t>
      </w:r>
      <w:r w:rsidR="00CD22E3">
        <w:t>that connection</w:t>
      </w:r>
      <w:r w:rsidRPr="000F6DA6" w:rsidR="00770462">
        <w:t xml:space="preserve"> they cited</w:t>
      </w:r>
      <w:r w:rsidR="00F25FAD">
        <w:t>,</w:t>
      </w:r>
      <w:r w:rsidRPr="000F6DA6" w:rsidR="00770462">
        <w:t xml:space="preserve"> </w:t>
      </w:r>
      <w:r w:rsidRPr="00F25FAD" w:rsidR="00F25FAD">
        <w:rPr>
          <w:i/>
        </w:rPr>
        <w:t>inter alia</w:t>
      </w:r>
      <w:r w:rsidR="00F25FAD">
        <w:t xml:space="preserve">, </w:t>
      </w:r>
      <w:r w:rsidR="00F41E88">
        <w:t xml:space="preserve">the </w:t>
      </w:r>
      <w:r w:rsidRPr="000F6DA6" w:rsidR="00770462">
        <w:t>cultural specific</w:t>
      </w:r>
      <w:r w:rsidR="00F41E88">
        <w:t>ities</w:t>
      </w:r>
      <w:r w:rsidRPr="000F6DA6" w:rsidR="00770462">
        <w:t xml:space="preserve"> and religious sensitivities of Lithuanian society regard</w:t>
      </w:r>
      <w:r w:rsidR="00A90AC6">
        <w:t>ing</w:t>
      </w:r>
      <w:r w:rsidRPr="000F6DA6" w:rsidR="00770462">
        <w:t xml:space="preserve"> </w:t>
      </w:r>
      <w:r w:rsidR="0060266B">
        <w:t xml:space="preserve">the </w:t>
      </w:r>
      <w:r w:rsidR="00EE44EB">
        <w:t xml:space="preserve">gender </w:t>
      </w:r>
      <w:r w:rsidR="002E64A3">
        <w:t>reassignment</w:t>
      </w:r>
      <w:r w:rsidR="00F41E88">
        <w:t xml:space="preserve"> debate</w:t>
      </w:r>
      <w:r w:rsidRPr="000F6DA6" w:rsidR="00770462">
        <w:t>.</w:t>
      </w:r>
    </w:p>
    <w:p w:rsidR="006A120B" w:rsidP="00CD22E3" w:rsidRDefault="006B1E60">
      <w:pPr>
        <w:pStyle w:val="JuPara"/>
      </w:pPr>
      <w:r>
        <w:fldChar w:fldCharType="begin"/>
      </w:r>
      <w:r>
        <w:instrText xml:space="preserve"> SEQ level0 \*arabic </w:instrText>
      </w:r>
      <w:r>
        <w:fldChar w:fldCharType="separate"/>
      </w:r>
      <w:r w:rsidR="00F03FB1">
        <w:rPr>
          <w:noProof/>
        </w:rPr>
        <w:t>53</w:t>
      </w:r>
      <w:r>
        <w:fldChar w:fldCharType="end"/>
      </w:r>
      <w:r>
        <w:t>.  </w:t>
      </w:r>
      <w:r w:rsidRPr="0017546F" w:rsidR="001921F2">
        <w:t>In</w:t>
      </w:r>
      <w:r w:rsidR="00CD22E3">
        <w:t xml:space="preserve"> </w:t>
      </w:r>
      <w:r w:rsidRPr="0017546F" w:rsidR="001921F2">
        <w:t>so</w:t>
      </w:r>
      <w:r w:rsidR="00CD22E3">
        <w:t xml:space="preserve"> </w:t>
      </w:r>
      <w:r w:rsidRPr="0017546F" w:rsidR="001921F2">
        <w:t xml:space="preserve">far as the </w:t>
      </w:r>
      <w:r w:rsidRPr="0017546F" w:rsidR="00F25FAD">
        <w:t xml:space="preserve">regulation of </w:t>
      </w:r>
      <w:r w:rsidR="00EE44EB">
        <w:t xml:space="preserve">gender </w:t>
      </w:r>
      <w:r w:rsidRPr="0017546F" w:rsidR="001921F2">
        <w:t xml:space="preserve">reassignment </w:t>
      </w:r>
      <w:r w:rsidRPr="0017546F" w:rsidR="00F25FAD">
        <w:t>surgery</w:t>
      </w:r>
      <w:r w:rsidRPr="0017546F" w:rsidR="001921F2">
        <w:t xml:space="preserve"> was concerned, the Government reiterated their </w:t>
      </w:r>
      <w:r w:rsidR="00B86EDA">
        <w:t>claim</w:t>
      </w:r>
      <w:r w:rsidRPr="0017546F" w:rsidR="001921F2">
        <w:t xml:space="preserve"> that </w:t>
      </w:r>
      <w:r w:rsidR="00B86EDA">
        <w:t xml:space="preserve">the </w:t>
      </w:r>
      <w:r w:rsidRPr="0017546F" w:rsidR="00BB59C0">
        <w:t xml:space="preserve">medical treatment afforded to transsexuals in </w:t>
      </w:r>
      <w:smartTag w:uri="urn:schemas-microsoft-com:office:smarttags" w:element="place">
        <w:smartTag w:uri="urn:schemas-microsoft-com:office:smarttags" w:element="country-region">
          <w:r w:rsidR="00BB59C0" w:rsidRPr="0017546F">
            <w:t>Lithuania</w:t>
          </w:r>
        </w:smartTag>
      </w:smartTag>
      <w:r w:rsidRPr="0017546F" w:rsidR="00BB59C0">
        <w:t xml:space="preserve"> was capable </w:t>
      </w:r>
      <w:r w:rsidRPr="0017546F" w:rsidR="0017546F">
        <w:t>of guaranteeing</w:t>
      </w:r>
      <w:r w:rsidRPr="0017546F" w:rsidR="00BB59C0">
        <w:t xml:space="preserve"> respect for private life.</w:t>
      </w:r>
      <w:r w:rsidR="00BB59C0">
        <w:t xml:space="preserve"> </w:t>
      </w:r>
      <w:r w:rsidR="00B86EDA">
        <w:t>Moreover,</w:t>
      </w:r>
      <w:r w:rsidR="008D78D5">
        <w:t xml:space="preserve"> Lithuanian law entitled </w:t>
      </w:r>
      <w:r w:rsidR="000D7D35">
        <w:t xml:space="preserve">transsexuals to </w:t>
      </w:r>
      <w:r w:rsidR="00A90AC6">
        <w:t xml:space="preserve">have the </w:t>
      </w:r>
      <w:r w:rsidRPr="00805EA5" w:rsidR="000D7D35">
        <w:t>entries in official documents</w:t>
      </w:r>
      <w:r w:rsidRPr="00A90AC6" w:rsidR="00A90AC6">
        <w:t xml:space="preserve"> </w:t>
      </w:r>
      <w:r w:rsidR="00A90AC6">
        <w:t>changed</w:t>
      </w:r>
      <w:r w:rsidR="000D7D35">
        <w:t xml:space="preserve">, including </w:t>
      </w:r>
      <w:r w:rsidR="00B86EDA">
        <w:t xml:space="preserve">their </w:t>
      </w:r>
      <w:r w:rsidR="000D7D35">
        <w:t xml:space="preserve">personal code, </w:t>
      </w:r>
      <w:r w:rsidR="00A90AC6">
        <w:t>after full</w:t>
      </w:r>
      <w:r w:rsidR="000D7D35">
        <w:t xml:space="preserve"> </w:t>
      </w:r>
      <w:r w:rsidR="002E64A3">
        <w:t>gender</w:t>
      </w:r>
      <w:r w:rsidR="00CD22E3">
        <w:t xml:space="preserve"> </w:t>
      </w:r>
      <w:r w:rsidR="002E64A3">
        <w:t>reassignment</w:t>
      </w:r>
      <w:r w:rsidR="000D7D35">
        <w:t>.</w:t>
      </w:r>
    </w:p>
    <w:p w:rsidR="006A120B" w:rsidP="00CD22E3" w:rsidRDefault="00B86EDA">
      <w:pPr>
        <w:pStyle w:val="JuPara"/>
      </w:pPr>
      <w:r>
        <w:fldChar w:fldCharType="begin"/>
      </w:r>
      <w:r>
        <w:instrText xml:space="preserve"> SEQ level0 \*arabic </w:instrText>
      </w:r>
      <w:r>
        <w:fldChar w:fldCharType="separate"/>
      </w:r>
      <w:r w:rsidR="00F03FB1">
        <w:rPr>
          <w:noProof/>
        </w:rPr>
        <w:t>54</w:t>
      </w:r>
      <w:r>
        <w:fldChar w:fldCharType="end"/>
      </w:r>
      <w:r>
        <w:t>.  </w:t>
      </w:r>
      <w:r w:rsidR="00F25FAD">
        <w:t>As regards</w:t>
      </w:r>
      <w:r w:rsidR="00EE44EB">
        <w:t xml:space="preserve"> the pre</w:t>
      </w:r>
      <w:r w:rsidRPr="00BB59C0" w:rsidR="008D78D5">
        <w:t>operative recognition of a diagnosed gender, the Government argued that there was an over</w:t>
      </w:r>
      <w:r w:rsidR="0070525E">
        <w:t>riding</w:t>
      </w:r>
      <w:r w:rsidRPr="00BB59C0" w:rsidR="008D78D5">
        <w:t xml:space="preserve"> </w:t>
      </w:r>
      <w:r w:rsidR="003252EB">
        <w:t xml:space="preserve">public </w:t>
      </w:r>
      <w:r w:rsidRPr="00BB59C0" w:rsidR="008D78D5">
        <w:t xml:space="preserve">interest </w:t>
      </w:r>
      <w:r w:rsidR="0070525E">
        <w:t xml:space="preserve">in </w:t>
      </w:r>
      <w:r w:rsidRPr="00BB59C0" w:rsidR="008D78D5">
        <w:t>ensur</w:t>
      </w:r>
      <w:r w:rsidR="0070525E">
        <w:t>ing</w:t>
      </w:r>
      <w:r w:rsidRPr="00BB59C0" w:rsidR="008D78D5">
        <w:t xml:space="preserve"> </w:t>
      </w:r>
      <w:r w:rsidR="00E714C7">
        <w:t xml:space="preserve">legal </w:t>
      </w:r>
      <w:r w:rsidRPr="00BB59C0" w:rsidR="008D78D5">
        <w:t>certain</w:t>
      </w:r>
      <w:r w:rsidR="00CD22E3">
        <w:t>t</w:t>
      </w:r>
      <w:r w:rsidRPr="00BB59C0" w:rsidR="008D78D5">
        <w:t>y as to a person</w:t>
      </w:r>
      <w:r w:rsidR="00C86D12">
        <w:t>’</w:t>
      </w:r>
      <w:r w:rsidRPr="00BB59C0" w:rsidR="008D78D5">
        <w:t>s gender</w:t>
      </w:r>
      <w:r w:rsidR="003252EB">
        <w:t xml:space="preserve"> and the various relations</w:t>
      </w:r>
      <w:r>
        <w:t>hips</w:t>
      </w:r>
      <w:r w:rsidR="003252EB">
        <w:t xml:space="preserve"> between people</w:t>
      </w:r>
      <w:r w:rsidRPr="00BB59C0" w:rsidR="008D78D5">
        <w:t xml:space="preserve">. </w:t>
      </w:r>
      <w:r w:rsidR="006419AF">
        <w:t>In this connection, t</w:t>
      </w:r>
      <w:r w:rsidRPr="00BB59C0" w:rsidR="008D78D5">
        <w:t>hey</w:t>
      </w:r>
      <w:r w:rsidR="008D78D5">
        <w:t xml:space="preserve"> </w:t>
      </w:r>
      <w:r w:rsidR="00CD22E3">
        <w:t xml:space="preserve">pointed out </w:t>
      </w:r>
      <w:r w:rsidR="008D78D5">
        <w:t xml:space="preserve">that the applicant </w:t>
      </w:r>
      <w:r w:rsidR="00E714C7">
        <w:t>had</w:t>
      </w:r>
      <w:r w:rsidR="008D78D5">
        <w:t xml:space="preserve"> indeed </w:t>
      </w:r>
      <w:r w:rsidR="00E714C7">
        <w:t xml:space="preserve">been able </w:t>
      </w:r>
      <w:r w:rsidR="008D78D5">
        <w:t xml:space="preserve">to </w:t>
      </w:r>
      <w:r w:rsidR="0070525E">
        <w:t xml:space="preserve">make a gender-neutral </w:t>
      </w:r>
      <w:r w:rsidR="008D78D5">
        <w:t xml:space="preserve">change </w:t>
      </w:r>
      <w:r w:rsidR="0070525E">
        <w:t xml:space="preserve">in </w:t>
      </w:r>
      <w:r w:rsidR="008D78D5">
        <w:t>his name.</w:t>
      </w:r>
    </w:p>
    <w:p w:rsidR="006A120B" w:rsidP="00CD22E3" w:rsidRDefault="00FD2197">
      <w:pPr>
        <w:pStyle w:val="JuPara"/>
      </w:pPr>
      <w:r>
        <w:fldChar w:fldCharType="begin"/>
      </w:r>
      <w:r>
        <w:instrText xml:space="preserve"> SEQ level0 \*arabic </w:instrText>
      </w:r>
      <w:r>
        <w:fldChar w:fldCharType="separate"/>
      </w:r>
      <w:r w:rsidR="00F03FB1">
        <w:rPr>
          <w:noProof/>
        </w:rPr>
        <w:t>55</w:t>
      </w:r>
      <w:r>
        <w:fldChar w:fldCharType="end"/>
      </w:r>
      <w:r>
        <w:t>.  </w:t>
      </w:r>
      <w:r w:rsidR="00566E25">
        <w:t>T</w:t>
      </w:r>
      <w:r>
        <w:t xml:space="preserve">he Government </w:t>
      </w:r>
      <w:r w:rsidR="00566E25">
        <w:t xml:space="preserve">again stressed that the applicant had failed to provide evidence as to the necessity and feasibility of full </w:t>
      </w:r>
      <w:r w:rsidR="00EE44EB">
        <w:t xml:space="preserve">gender </w:t>
      </w:r>
      <w:r w:rsidR="002E64A3">
        <w:t>reassignment</w:t>
      </w:r>
      <w:r w:rsidR="00566E25">
        <w:t xml:space="preserve"> surgery in his case. They had recently </w:t>
      </w:r>
      <w:r w:rsidR="00CD22E3">
        <w:t xml:space="preserve">suggested </w:t>
      </w:r>
      <w:r>
        <w:t xml:space="preserve">to the applicant that he undergo a </w:t>
      </w:r>
      <w:r w:rsidR="00566E25">
        <w:t>comprehensive</w:t>
      </w:r>
      <w:r>
        <w:t xml:space="preserve"> psychiatric and physical </w:t>
      </w:r>
      <w:r w:rsidR="00815440">
        <w:t>examination</w:t>
      </w:r>
      <w:r>
        <w:t xml:space="preserve"> of his current state of health with a view to assessing </w:t>
      </w:r>
      <w:r w:rsidR="00CD22E3">
        <w:t xml:space="preserve">his </w:t>
      </w:r>
      <w:r>
        <w:t>present possibilities and need</w:t>
      </w:r>
      <w:r w:rsidR="00566E25">
        <w:t>s</w:t>
      </w:r>
      <w:r>
        <w:t>, but the applicant ha</w:t>
      </w:r>
      <w:r w:rsidR="00CD22E3">
        <w:t>d</w:t>
      </w:r>
      <w:r>
        <w:t xml:space="preserve"> declined that </w:t>
      </w:r>
      <w:r w:rsidR="004310E1">
        <w:t>offer</w:t>
      </w:r>
      <w:r>
        <w:t>.</w:t>
      </w:r>
      <w:r w:rsidR="004310E1">
        <w:t xml:space="preserve"> The Government expressed a certain concern about the level of expertise available in </w:t>
      </w:r>
      <w:smartTag w:uri="urn:schemas-microsoft-com:office:smarttags" w:element="place">
        <w:smartTag w:uri="urn:schemas-microsoft-com:office:smarttags" w:element="country-region">
          <w:r w:rsidR="004310E1">
            <w:t>Lithuania</w:t>
          </w:r>
        </w:smartTag>
      </w:smartTag>
      <w:r w:rsidR="004310E1">
        <w:t xml:space="preserve"> for such </w:t>
      </w:r>
      <w:r w:rsidR="00CD22E3">
        <w:t xml:space="preserve">rare and </w:t>
      </w:r>
      <w:r w:rsidR="004310E1">
        <w:t>specialised surgery</w:t>
      </w:r>
      <w:r w:rsidR="00815440">
        <w:t xml:space="preserve"> at </w:t>
      </w:r>
      <w:r w:rsidR="00CD22E3">
        <w:t>pres</w:t>
      </w:r>
      <w:r w:rsidR="00815440">
        <w:t>ent</w:t>
      </w:r>
      <w:r w:rsidR="004310E1">
        <w:t xml:space="preserve">, whereas surgery performed by </w:t>
      </w:r>
      <w:r w:rsidR="00657741">
        <w:t>practising</w:t>
      </w:r>
      <w:r w:rsidR="00815440">
        <w:t xml:space="preserve"> </w:t>
      </w:r>
      <w:r w:rsidR="004310E1">
        <w:t>experts abroad might be an appropriate temporary solution to the problem</w:t>
      </w:r>
      <w:r w:rsidR="00657741">
        <w:t>s faced by transsexuals</w:t>
      </w:r>
      <w:r w:rsidR="00815440">
        <w:t>,</w:t>
      </w:r>
      <w:r w:rsidR="004310E1">
        <w:t xml:space="preserve"> for which the State </w:t>
      </w:r>
      <w:r w:rsidR="00CD22E3">
        <w:t xml:space="preserve">could </w:t>
      </w:r>
      <w:r w:rsidR="004310E1">
        <w:t>provide financial assistance (paragraph 3</w:t>
      </w:r>
      <w:r w:rsidR="00877350">
        <w:t>1</w:t>
      </w:r>
      <w:r w:rsidR="004310E1">
        <w:t xml:space="preserve"> above).</w:t>
      </w:r>
    </w:p>
    <w:p w:rsidR="00E17714" w:rsidP="00E17714" w:rsidRDefault="00E17714">
      <w:pPr>
        <w:pStyle w:val="JuHA"/>
      </w:pPr>
      <w:r w:rsidRPr="00502733">
        <w:t>B.  </w:t>
      </w:r>
      <w:r>
        <w:t>The Court</w:t>
      </w:r>
      <w:r w:rsidR="00C86D12">
        <w:t>’</w:t>
      </w:r>
      <w:r>
        <w:t>s assessment</w:t>
      </w:r>
    </w:p>
    <w:p w:rsidRPr="00AE0045" w:rsidR="003E1D07" w:rsidP="003E1D07" w:rsidRDefault="00393ADC">
      <w:pPr>
        <w:pStyle w:val="JuPara"/>
      </w:pPr>
      <w:r>
        <w:fldChar w:fldCharType="begin"/>
      </w:r>
      <w:r>
        <w:instrText xml:space="preserve"> SEQ level0 \*arabic </w:instrText>
      </w:r>
      <w:r>
        <w:fldChar w:fldCharType="separate"/>
      </w:r>
      <w:r w:rsidR="00F03FB1">
        <w:rPr>
          <w:noProof/>
        </w:rPr>
        <w:t>56</w:t>
      </w:r>
      <w:r>
        <w:fldChar w:fldCharType="end"/>
      </w:r>
      <w:r>
        <w:t xml:space="preserve">.  The Court </w:t>
      </w:r>
      <w:r w:rsidR="00CD22E3">
        <w:t xml:space="preserve">would emphasise </w:t>
      </w:r>
      <w:r>
        <w:t>the positive obligation upon States to ensure respect for private life, including respect for human dignity and the quality of life in certain respects (</w:t>
      </w:r>
      <w:r w:rsidR="00CD22E3">
        <w:t>see,</w:t>
      </w:r>
      <w:r w:rsidRPr="00C46DC0" w:rsidR="00C46DC0">
        <w:rPr>
          <w:i/>
        </w:rPr>
        <w:t xml:space="preserve"> </w:t>
      </w:r>
      <w:r w:rsidR="00C46DC0">
        <w:rPr>
          <w:i/>
        </w:rPr>
        <w:t>mutatis mutandis</w:t>
      </w:r>
      <w:r w:rsidR="00CD22E3">
        <w:t>,</w:t>
      </w:r>
      <w:r w:rsidR="00C46DC0">
        <w:rPr>
          <w:i/>
        </w:rPr>
        <w:t xml:space="preserve"> </w:t>
      </w:r>
      <w:r w:rsidRPr="00393ADC">
        <w:rPr>
          <w:i/>
        </w:rPr>
        <w:t>Pretty</w:t>
      </w:r>
      <w:r w:rsidR="00CD22E3">
        <w:t>, cited above</w:t>
      </w:r>
      <w:r>
        <w:t>, § 65)</w:t>
      </w:r>
      <w:r w:rsidR="007D668C">
        <w:t>.</w:t>
      </w:r>
      <w:r w:rsidR="006A120B">
        <w:t xml:space="preserve"> </w:t>
      </w:r>
      <w:r>
        <w:t xml:space="preserve">It has examined several cases involving the problems faced by transsexuals in </w:t>
      </w:r>
      <w:r w:rsidR="00EB7F90">
        <w:t>the light of present-day conditions</w:t>
      </w:r>
      <w:r>
        <w:t xml:space="preserve">, and has noted </w:t>
      </w:r>
      <w:r w:rsidR="002E5C44">
        <w:t>and endorsed</w:t>
      </w:r>
      <w:r>
        <w:t xml:space="preserve"> </w:t>
      </w:r>
      <w:r w:rsidR="002E5C44">
        <w:t>the</w:t>
      </w:r>
      <w:r>
        <w:t xml:space="preserve"> evolving improvement of State measures to ensure their recognition and protection </w:t>
      </w:r>
      <w:r w:rsidR="008E2454">
        <w:t xml:space="preserve">under Article 8 of the Convention </w:t>
      </w:r>
      <w:r>
        <w:t>(</w:t>
      </w:r>
      <w:r w:rsidR="00CD22E3">
        <w:t xml:space="preserve">see, for example, </w:t>
      </w:r>
      <w:r w:rsidRPr="00AE0045" w:rsidR="00396966">
        <w:rPr>
          <w:i/>
        </w:rPr>
        <w:t>Christine Goodwin</w:t>
      </w:r>
      <w:r w:rsidR="00F03FB1">
        <w:rPr>
          <w:i/>
        </w:rPr>
        <w:t xml:space="preserve"> </w:t>
      </w:r>
      <w:r w:rsidR="00396966">
        <w:rPr>
          <w:i/>
        </w:rPr>
        <w:t xml:space="preserve">v. </w:t>
      </w:r>
      <w:r w:rsidRPr="00AE0045" w:rsidR="00396966">
        <w:rPr>
          <w:i/>
        </w:rPr>
        <w:t xml:space="preserve">the </w:t>
      </w:r>
      <w:smartTag w:uri="urn:schemas-microsoft-com:office:smarttags" w:element="place">
        <w:smartTag w:uri="urn:schemas-microsoft-com:office:smarttags" w:element="country-region">
          <w:r w:rsidR="00396966" w:rsidRPr="00AE0045">
            <w:rPr>
              <w:i/>
            </w:rPr>
            <w:t>United Kingdom</w:t>
          </w:r>
        </w:smartTag>
      </w:smartTag>
      <w:r w:rsidRPr="00AE0045" w:rsidR="00396966">
        <w:t xml:space="preserve"> [GC], </w:t>
      </w:r>
      <w:r w:rsidR="00396966">
        <w:t>no.</w:t>
      </w:r>
      <w:r w:rsidR="00F03FB1">
        <w:t xml:space="preserve"> </w:t>
      </w:r>
      <w:r w:rsidRPr="00AE0045" w:rsidR="00396966">
        <w:t>28957/95, ECHR 2002</w:t>
      </w:r>
      <w:r w:rsidRPr="00AE0045" w:rsidR="00396966">
        <w:noBreakHyphen/>
        <w:t>VI</w:t>
      </w:r>
      <w:r w:rsidR="00396966">
        <w:t xml:space="preserve">; </w:t>
      </w:r>
      <w:r w:rsidRPr="00AE0045" w:rsidR="00396966">
        <w:rPr>
          <w:i/>
        </w:rPr>
        <w:t>Van Kück</w:t>
      </w:r>
      <w:r w:rsidR="00F03FB1">
        <w:rPr>
          <w:i/>
        </w:rPr>
        <w:t xml:space="preserve"> </w:t>
      </w:r>
      <w:r w:rsidR="00396966">
        <w:rPr>
          <w:i/>
        </w:rPr>
        <w:t xml:space="preserve">v. </w:t>
      </w:r>
      <w:r w:rsidRPr="00AE0045" w:rsidR="00396966">
        <w:rPr>
          <w:i/>
        </w:rPr>
        <w:t>Germany</w:t>
      </w:r>
      <w:r w:rsidRPr="00AE0045" w:rsidR="00396966">
        <w:t>,</w:t>
      </w:r>
      <w:r w:rsidRPr="00AE0045" w:rsidR="00396966">
        <w:rPr>
          <w:i/>
        </w:rPr>
        <w:t xml:space="preserve"> </w:t>
      </w:r>
      <w:r w:rsidR="00396966">
        <w:t>no.</w:t>
      </w:r>
      <w:r w:rsidR="00F03FB1">
        <w:t xml:space="preserve"> </w:t>
      </w:r>
      <w:r w:rsidRPr="00AE0045" w:rsidR="00396966">
        <w:t>35968/97, ECHR 2003</w:t>
      </w:r>
      <w:r w:rsidRPr="00AE0045" w:rsidR="00396966">
        <w:noBreakHyphen/>
        <w:t>VII</w:t>
      </w:r>
      <w:r w:rsidR="00396966">
        <w:t>;</w:t>
      </w:r>
      <w:r w:rsidR="009368D0">
        <w:t xml:space="preserve"> </w:t>
      </w:r>
      <w:r w:rsidR="00CD22E3">
        <w:t xml:space="preserve">and </w:t>
      </w:r>
      <w:r w:rsidRPr="00AE0045" w:rsidR="009B1139">
        <w:rPr>
          <w:i/>
          <w:szCs w:val="24"/>
        </w:rPr>
        <w:t>Gran</w:t>
      </w:r>
      <w:r w:rsidR="009B1139">
        <w:rPr>
          <w:i/>
          <w:szCs w:val="24"/>
        </w:rPr>
        <w:t>t v</w:t>
      </w:r>
      <w:r w:rsidR="009368D0">
        <w:rPr>
          <w:i/>
          <w:szCs w:val="24"/>
        </w:rPr>
        <w:t xml:space="preserve">. </w:t>
      </w:r>
      <w:r w:rsidRPr="00AE0045" w:rsidR="009368D0">
        <w:rPr>
          <w:i/>
          <w:szCs w:val="24"/>
        </w:rPr>
        <w:t>the United Kingdom</w:t>
      </w:r>
      <w:r w:rsidRPr="00AE0045" w:rsidR="009368D0">
        <w:rPr>
          <w:szCs w:val="24"/>
        </w:rPr>
        <w:t xml:space="preserve">, </w:t>
      </w:r>
      <w:r w:rsidR="00F03FB1">
        <w:rPr>
          <w:szCs w:val="24"/>
        </w:rPr>
        <w:t xml:space="preserve">no. </w:t>
      </w:r>
      <w:r w:rsidRPr="00AE0045" w:rsidR="009368D0">
        <w:rPr>
          <w:szCs w:val="24"/>
        </w:rPr>
        <w:t>32570/03, ECHR 2006</w:t>
      </w:r>
      <w:r w:rsidR="00CD22E3">
        <w:rPr>
          <w:szCs w:val="24"/>
        </w:rPr>
        <w:t>-VII</w:t>
      </w:r>
      <w:r w:rsidR="00AB3BF8">
        <w:rPr>
          <w:szCs w:val="24"/>
        </w:rPr>
        <w:t>).</w:t>
      </w:r>
      <w:r w:rsidR="00B6513E">
        <w:t xml:space="preserve"> </w:t>
      </w:r>
      <w:r w:rsidR="003E641A">
        <w:t>Whilst affording a certain margin of appreciation to States in this field, t</w:t>
      </w:r>
      <w:r w:rsidR="003C55D0">
        <w:t xml:space="preserve">he Court has </w:t>
      </w:r>
      <w:r w:rsidR="003E641A">
        <w:t xml:space="preserve">nevertheless held </w:t>
      </w:r>
      <w:r w:rsidR="003C55D0">
        <w:t>that</w:t>
      </w:r>
      <w:r w:rsidR="007D668C">
        <w:t xml:space="preserve"> States are required, by their positive obligation under Article 8, to implement the recognition of </w:t>
      </w:r>
      <w:r w:rsidR="00C93F8A">
        <w:t xml:space="preserve">the gender change in </w:t>
      </w:r>
      <w:r w:rsidR="007D668C">
        <w:t>post-operative transsexuals through</w:t>
      </w:r>
      <w:r w:rsidR="003E1D07">
        <w:t xml:space="preserve">, </w:t>
      </w:r>
      <w:r w:rsidRPr="003E1D07" w:rsidR="003E1D07">
        <w:rPr>
          <w:i/>
        </w:rPr>
        <w:t>inter alia</w:t>
      </w:r>
      <w:r w:rsidR="003E1D07">
        <w:t>,</w:t>
      </w:r>
      <w:r w:rsidR="007D668C">
        <w:t xml:space="preserve"> amendment</w:t>
      </w:r>
      <w:r w:rsidR="009839B8">
        <w:t>s</w:t>
      </w:r>
      <w:r w:rsidR="007D668C">
        <w:t xml:space="preserve"> to the</w:t>
      </w:r>
      <w:r w:rsidR="00FC3B80">
        <w:t>ir</w:t>
      </w:r>
      <w:r w:rsidR="007D668C">
        <w:t xml:space="preserve"> civil</w:t>
      </w:r>
      <w:r w:rsidR="00CD22E3">
        <w:t>-</w:t>
      </w:r>
      <w:r w:rsidR="007D668C">
        <w:t>status data</w:t>
      </w:r>
      <w:r w:rsidR="00C93F8A">
        <w:t>,</w:t>
      </w:r>
      <w:r w:rsidR="003E1D07">
        <w:t xml:space="preserve"> </w:t>
      </w:r>
      <w:r w:rsidR="00C93F8A">
        <w:t xml:space="preserve">with its ensuing consequences </w:t>
      </w:r>
      <w:r w:rsidR="003E1D07">
        <w:t>(</w:t>
      </w:r>
      <w:r w:rsidR="00CD22E3">
        <w:t xml:space="preserve">see, for example, </w:t>
      </w:r>
      <w:r w:rsidRPr="00AE0045" w:rsidR="003E1D07">
        <w:rPr>
          <w:i/>
        </w:rPr>
        <w:t>Christine Goodwin</w:t>
      </w:r>
      <w:r w:rsidR="003E1D07">
        <w:t>,</w:t>
      </w:r>
      <w:r w:rsidR="003E1D07">
        <w:rPr>
          <w:i/>
        </w:rPr>
        <w:t xml:space="preserve"> </w:t>
      </w:r>
      <w:r w:rsidR="00E12566">
        <w:t>§§ </w:t>
      </w:r>
      <w:r w:rsidR="00EE44EB">
        <w:t>71-</w:t>
      </w:r>
      <w:r w:rsidRPr="003E1D07" w:rsidR="003E1D07">
        <w:t>93</w:t>
      </w:r>
      <w:r w:rsidR="003E1D07">
        <w:t xml:space="preserve">, and </w:t>
      </w:r>
      <w:r w:rsidRPr="00AE0045" w:rsidR="003E1D07">
        <w:rPr>
          <w:i/>
          <w:szCs w:val="24"/>
        </w:rPr>
        <w:t>Grant</w:t>
      </w:r>
      <w:r w:rsidR="00CD22E3">
        <w:rPr>
          <w:szCs w:val="24"/>
        </w:rPr>
        <w:t>,</w:t>
      </w:r>
      <w:r w:rsidR="00EE44EB">
        <w:rPr>
          <w:i/>
          <w:szCs w:val="24"/>
        </w:rPr>
        <w:t xml:space="preserve"> </w:t>
      </w:r>
      <w:r w:rsidRPr="003E1D07" w:rsidR="003E1D07">
        <w:t xml:space="preserve">§§ </w:t>
      </w:r>
      <w:r w:rsidR="00C93F8A">
        <w:t>39-44</w:t>
      </w:r>
      <w:r w:rsidR="00CD22E3">
        <w:t>, both cited above</w:t>
      </w:r>
      <w:r w:rsidR="003E1D07">
        <w:rPr>
          <w:szCs w:val="24"/>
        </w:rPr>
        <w:t>).</w:t>
      </w:r>
    </w:p>
    <w:p w:rsidRPr="005725AF" w:rsidR="00CD49A7" w:rsidP="003C55D0" w:rsidRDefault="00C93F8A">
      <w:pPr>
        <w:pStyle w:val="JuPara"/>
        <w:tabs>
          <w:tab w:val="left" w:pos="1843"/>
        </w:tabs>
      </w:pPr>
      <w:r>
        <w:fldChar w:fldCharType="begin"/>
      </w:r>
      <w:r>
        <w:instrText xml:space="preserve"> SEQ level0 \*arabic </w:instrText>
      </w:r>
      <w:r>
        <w:fldChar w:fldCharType="separate"/>
      </w:r>
      <w:r w:rsidR="00F03FB1">
        <w:rPr>
          <w:noProof/>
        </w:rPr>
        <w:t>57</w:t>
      </w:r>
      <w:r>
        <w:fldChar w:fldCharType="end"/>
      </w:r>
      <w:r>
        <w:t xml:space="preserve">.  The present case </w:t>
      </w:r>
      <w:r w:rsidR="00571343">
        <w:t>involves</w:t>
      </w:r>
      <w:r>
        <w:t xml:space="preserve"> another aspect of the problems faced by transsexuals</w:t>
      </w:r>
      <w:r w:rsidR="001054DE">
        <w:t>:</w:t>
      </w:r>
      <w:r>
        <w:t xml:space="preserve"> Lithuanian law recognises their right to change not only their gender but also their civil status (paragraphs </w:t>
      </w:r>
      <w:r w:rsidR="001054DE">
        <w:t>25</w:t>
      </w:r>
      <w:r w:rsidR="00657741">
        <w:t>,</w:t>
      </w:r>
      <w:r w:rsidR="001054DE">
        <w:t xml:space="preserve"> 27</w:t>
      </w:r>
      <w:r w:rsidR="00657741">
        <w:t>, and 29</w:t>
      </w:r>
      <w:r w:rsidR="001054DE">
        <w:t xml:space="preserve"> above). However, there is a gap in the </w:t>
      </w:r>
      <w:r w:rsidR="00CD22E3">
        <w:t xml:space="preserve">relevant </w:t>
      </w:r>
      <w:r w:rsidR="001054DE">
        <w:t>legislation; there i</w:t>
      </w:r>
      <w:r w:rsidR="00EE44EB">
        <w:t xml:space="preserve">s no law regulating full gender </w:t>
      </w:r>
      <w:r w:rsidR="001054DE">
        <w:t xml:space="preserve">reassignment surgery. Until </w:t>
      </w:r>
      <w:r w:rsidR="00CD22E3">
        <w:t xml:space="preserve">such a </w:t>
      </w:r>
      <w:r w:rsidR="001054DE">
        <w:t xml:space="preserve">law is </w:t>
      </w:r>
      <w:r w:rsidR="00CD22E3">
        <w:t>enacted, no</w:t>
      </w:r>
      <w:r w:rsidR="001054DE">
        <w:t xml:space="preserve"> suitable medical facilities </w:t>
      </w:r>
      <w:r w:rsidR="00CD22E3">
        <w:t xml:space="preserve">appear to be </w:t>
      </w:r>
      <w:r w:rsidR="00627D04">
        <w:t>reasonably</w:t>
      </w:r>
      <w:r w:rsidR="001054DE">
        <w:t xml:space="preserve"> accessible or available </w:t>
      </w:r>
      <w:r w:rsidR="009350D6">
        <w:t xml:space="preserve">in </w:t>
      </w:r>
      <w:smartTag w:uri="urn:schemas-microsoft-com:office:smarttags" w:element="country-region">
        <w:smartTag w:uri="urn:schemas-microsoft-com:office:smarttags" w:element="place">
          <w:r w:rsidR="009350D6">
            <w:t>Lithuania</w:t>
          </w:r>
        </w:smartTag>
      </w:smartTag>
      <w:r w:rsidR="00C976FB">
        <w:t xml:space="preserve"> </w:t>
      </w:r>
      <w:r w:rsidR="001054DE">
        <w:t xml:space="preserve">(paragraphs </w:t>
      </w:r>
      <w:r w:rsidR="004D782A">
        <w:t>13, 16, 19, 2</w:t>
      </w:r>
      <w:r w:rsidR="00FC3B80">
        <w:t>2</w:t>
      </w:r>
      <w:r w:rsidR="004D782A">
        <w:t>, 25, 30 and 55 above).</w:t>
      </w:r>
      <w:r w:rsidR="004932B7">
        <w:t xml:space="preserve"> Consequently, the applicant finds himself in </w:t>
      </w:r>
      <w:r w:rsidR="00025FE7">
        <w:t>the</w:t>
      </w:r>
      <w:r w:rsidR="004932B7">
        <w:t xml:space="preserve"> intermediate position </w:t>
      </w:r>
      <w:r w:rsidR="00477F01">
        <w:t>of</w:t>
      </w:r>
      <w:r w:rsidR="00EE44EB">
        <w:t xml:space="preserve"> a pre</w:t>
      </w:r>
      <w:r w:rsidR="004932B7">
        <w:t>operative transsexual, having undergone partial surgery, with certain important civil</w:t>
      </w:r>
      <w:r w:rsidR="00CD22E3">
        <w:t>-</w:t>
      </w:r>
      <w:r w:rsidR="004932B7">
        <w:t xml:space="preserve">status documents having been changed. However, until he undergoes the full surgery, his personal code will not be amended and, therefore, in </w:t>
      </w:r>
      <w:r w:rsidR="00CD22E3">
        <w:t>certain</w:t>
      </w:r>
      <w:r w:rsidR="004932B7">
        <w:t xml:space="preserve"> </w:t>
      </w:r>
      <w:r w:rsidR="00FC3B80">
        <w:t xml:space="preserve">significant </w:t>
      </w:r>
      <w:r w:rsidR="004932B7">
        <w:t>situations</w:t>
      </w:r>
      <w:r w:rsidRPr="00CD22E3" w:rsidR="00CD22E3">
        <w:t xml:space="preserve"> </w:t>
      </w:r>
      <w:r w:rsidR="009E7BD0">
        <w:t>in</w:t>
      </w:r>
      <w:r w:rsidR="00CD22E3">
        <w:t xml:space="preserve"> </w:t>
      </w:r>
      <w:r w:rsidR="004932B7">
        <w:t>his private life, such as his employment opportunities</w:t>
      </w:r>
      <w:r w:rsidR="005D1D71">
        <w:t xml:space="preserve"> or travel abroad</w:t>
      </w:r>
      <w:r w:rsidR="004932B7">
        <w:t>, he remains a woman</w:t>
      </w:r>
      <w:r w:rsidR="00E12566">
        <w:t xml:space="preserve"> (paragraphs 19</w:t>
      </w:r>
      <w:r w:rsidR="00E12566">
        <w:noBreakHyphen/>
      </w:r>
      <w:r w:rsidR="00CB3C82">
        <w:t>21 above)</w:t>
      </w:r>
      <w:r w:rsidR="004932B7">
        <w:t>.</w:t>
      </w:r>
    </w:p>
    <w:p w:rsidR="006A120B" w:rsidP="005A35E0" w:rsidRDefault="005725AF">
      <w:pPr>
        <w:pStyle w:val="JuPara"/>
        <w:tabs>
          <w:tab w:val="left" w:pos="1843"/>
        </w:tabs>
      </w:pPr>
      <w:r w:rsidRPr="005725AF">
        <w:fldChar w:fldCharType="begin"/>
      </w:r>
      <w:r w:rsidRPr="005725AF">
        <w:instrText xml:space="preserve"> SEQ level0 \*arabic </w:instrText>
      </w:r>
      <w:r w:rsidRPr="005725AF">
        <w:fldChar w:fldCharType="separate"/>
      </w:r>
      <w:r w:rsidR="00F03FB1">
        <w:rPr>
          <w:noProof/>
        </w:rPr>
        <w:t>58</w:t>
      </w:r>
      <w:r w:rsidRPr="005725AF">
        <w:fldChar w:fldCharType="end"/>
      </w:r>
      <w:r w:rsidRPr="005725AF" w:rsidR="00CD49A7">
        <w:t>.  </w:t>
      </w:r>
      <w:r w:rsidR="00785177">
        <w:t xml:space="preserve">The Court notes that the applicant has </w:t>
      </w:r>
      <w:r w:rsidR="00CD22E3">
        <w:t xml:space="preserve">undergone </w:t>
      </w:r>
      <w:r w:rsidR="00785177">
        <w:t xml:space="preserve">partial </w:t>
      </w:r>
      <w:r w:rsidR="00EE44EB">
        <w:t xml:space="preserve">gender </w:t>
      </w:r>
      <w:r w:rsidR="00477F01">
        <w:t xml:space="preserve">reassignment </w:t>
      </w:r>
      <w:r w:rsidR="00785177">
        <w:t>surgery</w:t>
      </w:r>
      <w:r w:rsidR="00477F01">
        <w:t xml:space="preserve">. It is </w:t>
      </w:r>
      <w:r w:rsidR="0037413B">
        <w:t xml:space="preserve">not </w:t>
      </w:r>
      <w:r w:rsidR="005A35E0">
        <w:t xml:space="preserve">entirely </w:t>
      </w:r>
      <w:r w:rsidR="00477F01">
        <w:t xml:space="preserve">clear to what extent he </w:t>
      </w:r>
      <w:r w:rsidR="00EE44EB">
        <w:t>would be able to</w:t>
      </w:r>
      <w:r w:rsidR="00477F01">
        <w:t xml:space="preserve"> complete the procedure privately in </w:t>
      </w:r>
      <w:smartTag w:uri="urn:schemas-microsoft-com:office:smarttags" w:element="place">
        <w:smartTag w:uri="urn:schemas-microsoft-com:office:smarttags" w:element="country-region">
          <w:r w:rsidR="00477F01">
            <w:t>Lithuania</w:t>
          </w:r>
        </w:smartTag>
      </w:smartTag>
      <w:r w:rsidR="005A35E0">
        <w:t xml:space="preserve"> (</w:t>
      </w:r>
      <w:r w:rsidR="00CD22E3">
        <w:t>see</w:t>
      </w:r>
      <w:r w:rsidR="0037413B">
        <w:t xml:space="preserve"> the newspaper </w:t>
      </w:r>
      <w:r w:rsidR="00EE44EB">
        <w:t>article referred to</w:t>
      </w:r>
      <w:r w:rsidR="0037413B">
        <w:t xml:space="preserve"> </w:t>
      </w:r>
      <w:r w:rsidR="00CD22E3">
        <w:t xml:space="preserve">in </w:t>
      </w:r>
      <w:r w:rsidR="005A35E0">
        <w:t xml:space="preserve">paragraph 22 above). However, </w:t>
      </w:r>
      <w:r w:rsidR="00EE44EB">
        <w:t>this</w:t>
      </w:r>
      <w:r w:rsidR="005A35E0">
        <w:t xml:space="preserve"> </w:t>
      </w:r>
      <w:r w:rsidR="0037413B">
        <w:t xml:space="preserve">consideration </w:t>
      </w:r>
      <w:r w:rsidR="005A35E0">
        <w:t>has not been put forward by either party to the present case</w:t>
      </w:r>
      <w:r w:rsidR="0037413B">
        <w:t xml:space="preserve"> so, presumably, it is to be </w:t>
      </w:r>
      <w:r w:rsidR="00CD22E3">
        <w:t>ruled out</w:t>
      </w:r>
      <w:r w:rsidR="005A35E0">
        <w:t>. As a short</w:t>
      </w:r>
      <w:r w:rsidR="00CD22E3">
        <w:t>-</w:t>
      </w:r>
      <w:r w:rsidR="005A35E0">
        <w:t xml:space="preserve">term solution, it may be possible for the applicant to have the remaining operation abroad, financed in whole or in part by the State (paragraphs </w:t>
      </w:r>
      <w:r w:rsidR="00E87849">
        <w:t>3</w:t>
      </w:r>
      <w:r w:rsidR="005A35E0">
        <w:t>1</w:t>
      </w:r>
      <w:r w:rsidR="00E87849">
        <w:t>, 4</w:t>
      </w:r>
      <w:r w:rsidR="00257764">
        <w:t>2</w:t>
      </w:r>
      <w:r w:rsidR="00E87849">
        <w:t xml:space="preserve"> and </w:t>
      </w:r>
      <w:r w:rsidR="00257764">
        <w:t>55</w:t>
      </w:r>
      <w:r w:rsidR="005A35E0">
        <w:t xml:space="preserve"> above).</w:t>
      </w:r>
    </w:p>
    <w:p w:rsidR="009F37D2" w:rsidP="005A35E0" w:rsidRDefault="009F37D2">
      <w:pPr>
        <w:pStyle w:val="JuPara"/>
        <w:tabs>
          <w:tab w:val="left" w:pos="1843"/>
        </w:tabs>
      </w:pPr>
      <w:r>
        <w:fldChar w:fldCharType="begin"/>
      </w:r>
      <w:r>
        <w:instrText xml:space="preserve"> SEQ level0 \*arabic </w:instrText>
      </w:r>
      <w:r>
        <w:fldChar w:fldCharType="separate"/>
      </w:r>
      <w:r w:rsidR="00F03FB1">
        <w:rPr>
          <w:noProof/>
        </w:rPr>
        <w:t>59</w:t>
      </w:r>
      <w:r>
        <w:fldChar w:fldCharType="end"/>
      </w:r>
      <w:r>
        <w:t>.  The Court finds that the circumstances of the case reveal a li</w:t>
      </w:r>
      <w:r w:rsidR="00EE44EB">
        <w:t xml:space="preserve">mited legislative gap in gender </w:t>
      </w:r>
      <w:r>
        <w:t>reassignment surgery</w:t>
      </w:r>
      <w:r w:rsidR="00CD22E3">
        <w:t>,</w:t>
      </w:r>
      <w:r>
        <w:t xml:space="preserve"> which leaves the applicant in a situation of distressing uncertainty </w:t>
      </w:r>
      <w:r w:rsidRPr="00CD22E3">
        <w:rPr>
          <w:i/>
        </w:rPr>
        <w:t>vis-à-vis</w:t>
      </w:r>
      <w:r>
        <w:t xml:space="preserve"> his private life and the recognition of his true identity. Whilst budgetary restraints in the public health service might have justified some </w:t>
      </w:r>
      <w:r w:rsidR="00712FEE">
        <w:t xml:space="preserve">initial </w:t>
      </w:r>
      <w:r>
        <w:t>delays in implementing the rights of transsexuals u</w:t>
      </w:r>
      <w:r w:rsidR="00191E29">
        <w:t>nder the Civil Code, over</w:t>
      </w:r>
      <w:r w:rsidR="005D1D71">
        <w:t xml:space="preserve"> four</w:t>
      </w:r>
      <w:r>
        <w:t xml:space="preserve"> years have elapsed since the </w:t>
      </w:r>
      <w:r w:rsidR="00F6477D">
        <w:t xml:space="preserve">relevant </w:t>
      </w:r>
      <w:r w:rsidR="004A17E3">
        <w:t>provisions</w:t>
      </w:r>
      <w:r>
        <w:t xml:space="preserve"> came into force and the necessary legislation, although drafted, has </w:t>
      </w:r>
      <w:r w:rsidR="00257764">
        <w:t>yet to</w:t>
      </w:r>
      <w:r w:rsidR="00192391">
        <w:t xml:space="preserve"> be enacted</w:t>
      </w:r>
      <w:r w:rsidRPr="009F37D2">
        <w:t xml:space="preserve"> </w:t>
      </w:r>
      <w:r>
        <w:t>(paragraph 30 above).</w:t>
      </w:r>
      <w:r w:rsidR="00712FEE">
        <w:t xml:space="preserve"> Given the few individuals involved (some </w:t>
      </w:r>
      <w:r w:rsidR="00EE44EB">
        <w:t>fifty</w:t>
      </w:r>
      <w:r w:rsidR="00712FEE">
        <w:t xml:space="preserve"> people</w:t>
      </w:r>
      <w:r w:rsidR="00560562">
        <w:t>,</w:t>
      </w:r>
      <w:r w:rsidR="005D1D71">
        <w:t xml:space="preserve"> according to unofficial estimates</w:t>
      </w:r>
      <w:r w:rsidR="00F6477D">
        <w:t xml:space="preserve"> – see</w:t>
      </w:r>
      <w:r w:rsidR="00712FEE">
        <w:t xml:space="preserve"> paragraph 22 above), the budgetary burden on the State would not be expected to be unduly heavy. Consequently, the Court con</w:t>
      </w:r>
      <w:r w:rsidR="003E641A">
        <w:t>siders</w:t>
      </w:r>
      <w:r w:rsidR="00712FEE">
        <w:t xml:space="preserve"> that a fair balance has not been struck</w:t>
      </w:r>
      <w:r w:rsidR="003E641A">
        <w:t xml:space="preserve"> between the public interest and the rights of the applicant.</w:t>
      </w:r>
    </w:p>
    <w:p w:rsidRPr="005725AF" w:rsidR="003E641A" w:rsidP="005A35E0" w:rsidRDefault="003E641A">
      <w:pPr>
        <w:pStyle w:val="JuPara"/>
        <w:tabs>
          <w:tab w:val="left" w:pos="1843"/>
        </w:tabs>
      </w:pPr>
      <w:r>
        <w:fldChar w:fldCharType="begin"/>
      </w:r>
      <w:r>
        <w:instrText xml:space="preserve"> SEQ level0 \*arabic </w:instrText>
      </w:r>
      <w:r>
        <w:fldChar w:fldCharType="separate"/>
      </w:r>
      <w:r w:rsidR="00F03FB1">
        <w:rPr>
          <w:noProof/>
        </w:rPr>
        <w:t>60</w:t>
      </w:r>
      <w:r>
        <w:fldChar w:fldCharType="end"/>
      </w:r>
      <w:r>
        <w:t>.  </w:t>
      </w:r>
      <w:r w:rsidR="00257764">
        <w:t>In the light of the above considerations, t</w:t>
      </w:r>
      <w:r>
        <w:t>he Court concludes that t</w:t>
      </w:r>
      <w:r w:rsidR="00736449">
        <w:t>h</w:t>
      </w:r>
      <w:r>
        <w:t>ere has been a violation of Article 8 of the Convention.</w:t>
      </w:r>
    </w:p>
    <w:p w:rsidRPr="005725AF" w:rsidR="002877A3" w:rsidP="002877A3" w:rsidRDefault="002877A3">
      <w:pPr>
        <w:pStyle w:val="JuHIRoman"/>
      </w:pPr>
      <w:r>
        <w:t>I</w:t>
      </w:r>
      <w:r w:rsidR="000165C7">
        <w:t>V</w:t>
      </w:r>
      <w:r w:rsidRPr="005725AF">
        <w:t>.  </w:t>
      </w:r>
      <w:r>
        <w:t>ALLEGED VIOLATION</w:t>
      </w:r>
      <w:r w:rsidRPr="005725AF">
        <w:t xml:space="preserve"> OF ARTICLE </w:t>
      </w:r>
      <w:r w:rsidR="00D51A60">
        <w:t>12</w:t>
      </w:r>
      <w:r w:rsidRPr="005725AF">
        <w:t xml:space="preserve"> OF THE CONVENTION</w:t>
      </w:r>
    </w:p>
    <w:p w:rsidR="002877A3" w:rsidRDefault="006B1E60">
      <w:pPr>
        <w:pStyle w:val="JuPara"/>
      </w:pPr>
      <w:r>
        <w:fldChar w:fldCharType="begin"/>
      </w:r>
      <w:r>
        <w:instrText xml:space="preserve"> SEQ level0 \*arabic </w:instrText>
      </w:r>
      <w:r>
        <w:fldChar w:fldCharType="separate"/>
      </w:r>
      <w:r w:rsidR="00F03FB1">
        <w:rPr>
          <w:noProof/>
        </w:rPr>
        <w:t>61</w:t>
      </w:r>
      <w:r>
        <w:fldChar w:fldCharType="end"/>
      </w:r>
      <w:r>
        <w:t>.  </w:t>
      </w:r>
      <w:r w:rsidR="00D008FB">
        <w:t>The</w:t>
      </w:r>
      <w:r w:rsidR="00242D13">
        <w:t xml:space="preserve"> applicant complained</w:t>
      </w:r>
      <w:r w:rsidR="00D008FB">
        <w:t xml:space="preserve"> </w:t>
      </w:r>
      <w:r w:rsidR="0008351A">
        <w:t xml:space="preserve">that his inability to complete </w:t>
      </w:r>
      <w:r>
        <w:t xml:space="preserve">his </w:t>
      </w:r>
      <w:r w:rsidR="002E64A3">
        <w:t>gender</w:t>
      </w:r>
      <w:r w:rsidR="00F6477D">
        <w:t xml:space="preserve"> </w:t>
      </w:r>
      <w:r w:rsidR="002E64A3">
        <w:t>reassignment</w:t>
      </w:r>
      <w:r w:rsidR="0008351A">
        <w:t xml:space="preserve"> </w:t>
      </w:r>
      <w:r>
        <w:t>ha</w:t>
      </w:r>
      <w:r w:rsidR="004D207D">
        <w:t>d</w:t>
      </w:r>
      <w:r>
        <w:t xml:space="preserve"> </w:t>
      </w:r>
      <w:r w:rsidR="0008351A">
        <w:t>prevent</w:t>
      </w:r>
      <w:r w:rsidR="00242D13">
        <w:t>ed</w:t>
      </w:r>
      <w:r w:rsidR="0008351A">
        <w:t xml:space="preserve"> him from marrying and founding </w:t>
      </w:r>
      <w:r w:rsidR="00D008FB">
        <w:t>a family, in violation of Article 12 of the Convention, which reads as follows:</w:t>
      </w:r>
    </w:p>
    <w:p w:rsidR="00EB4396" w:rsidP="00D008FB" w:rsidRDefault="00D008FB">
      <w:pPr>
        <w:pStyle w:val="JuQuot"/>
      </w:pPr>
      <w:r>
        <w:t>“Men and women of marriageable age have the right to marry and to found a family, according to the national laws governing the exercise of this right.”</w:t>
      </w:r>
    </w:p>
    <w:p w:rsidRPr="00E5099A" w:rsidR="00F64467" w:rsidP="00092310" w:rsidRDefault="00F64467">
      <w:pPr>
        <w:pStyle w:val="JuHA"/>
      </w:pPr>
      <w:r w:rsidRPr="00E5099A">
        <w:t>A.  The parties</w:t>
      </w:r>
      <w:r w:rsidR="00C86D12">
        <w:t>’</w:t>
      </w:r>
      <w:r w:rsidRPr="00E5099A">
        <w:t xml:space="preserve"> submissions</w:t>
      </w:r>
    </w:p>
    <w:p w:rsidR="00DE71A1" w:rsidP="00F6477D" w:rsidRDefault="006B1E60">
      <w:pPr>
        <w:pStyle w:val="JuPara"/>
      </w:pPr>
      <w:r>
        <w:fldChar w:fldCharType="begin"/>
      </w:r>
      <w:r>
        <w:instrText xml:space="preserve"> SEQ level0 \*arabic </w:instrText>
      </w:r>
      <w:r>
        <w:fldChar w:fldCharType="separate"/>
      </w:r>
      <w:r w:rsidR="00F03FB1">
        <w:rPr>
          <w:noProof/>
        </w:rPr>
        <w:t>62</w:t>
      </w:r>
      <w:r>
        <w:fldChar w:fldCharType="end"/>
      </w:r>
      <w:r>
        <w:t xml:space="preserve">.  The applicant </w:t>
      </w:r>
      <w:r w:rsidR="00F6477D">
        <w:t xml:space="preserve">submitted that he </w:t>
      </w:r>
      <w:r w:rsidR="00C976FB">
        <w:t xml:space="preserve">had </w:t>
      </w:r>
      <w:r w:rsidR="00DE71A1">
        <w:t xml:space="preserve">been living as a man for some </w:t>
      </w:r>
      <w:r w:rsidR="00290DB5">
        <w:t>ten</w:t>
      </w:r>
      <w:r w:rsidR="00DE71A1">
        <w:t xml:space="preserve"> years now and </w:t>
      </w:r>
      <w:r w:rsidR="003E1F2E">
        <w:t xml:space="preserve">had been </w:t>
      </w:r>
      <w:r w:rsidR="00DE71A1">
        <w:t xml:space="preserve">diagnosed with </w:t>
      </w:r>
      <w:r w:rsidR="004D207D">
        <w:t xml:space="preserve">a </w:t>
      </w:r>
      <w:r w:rsidR="00290DB5">
        <w:t>gender-</w:t>
      </w:r>
      <w:r w:rsidR="00DE71A1">
        <w:t xml:space="preserve">identity disorder </w:t>
      </w:r>
      <w:r w:rsidR="00290DB5">
        <w:t>nine</w:t>
      </w:r>
      <w:r w:rsidR="001E05D1">
        <w:t> </w:t>
      </w:r>
      <w:r w:rsidR="00DE71A1">
        <w:t>years ago. He ha</w:t>
      </w:r>
      <w:r w:rsidR="003E1F2E">
        <w:t>d</w:t>
      </w:r>
      <w:r w:rsidR="00DE71A1">
        <w:t xml:space="preserve"> been in a stable relationship with a woman since 1998 and they ha</w:t>
      </w:r>
      <w:r w:rsidR="003E1F2E">
        <w:t>d</w:t>
      </w:r>
      <w:r w:rsidR="00DE71A1">
        <w:t xml:space="preserve"> been living together since 1999</w:t>
      </w:r>
      <w:r w:rsidR="0022413C">
        <w:t xml:space="preserve"> (paragraph 2</w:t>
      </w:r>
      <w:r w:rsidR="00B46C98">
        <w:t>4</w:t>
      </w:r>
      <w:r w:rsidR="0022413C">
        <w:t xml:space="preserve"> above)</w:t>
      </w:r>
      <w:r w:rsidR="00DE71A1">
        <w:t>. They wish</w:t>
      </w:r>
      <w:r w:rsidR="003E1F2E">
        <w:t>ed</w:t>
      </w:r>
      <w:r w:rsidR="00DE71A1">
        <w:t xml:space="preserve"> to legalise their long-lasting relationship, marr</w:t>
      </w:r>
      <w:r w:rsidR="003A2814">
        <w:t>y</w:t>
      </w:r>
      <w:r w:rsidR="00DE71A1">
        <w:t xml:space="preserve"> and </w:t>
      </w:r>
      <w:r w:rsidR="00E92EE1">
        <w:t>establish</w:t>
      </w:r>
      <w:r w:rsidR="003E1F2E">
        <w:t xml:space="preserve"> </w:t>
      </w:r>
      <w:r w:rsidR="00DE71A1">
        <w:t>a family through adoption.</w:t>
      </w:r>
    </w:p>
    <w:p w:rsidR="00930E56" w:rsidP="00F6477D" w:rsidRDefault="006B1E60">
      <w:pPr>
        <w:pStyle w:val="JuPara"/>
        <w:rPr>
          <w:szCs w:val="24"/>
        </w:rPr>
      </w:pPr>
      <w:r>
        <w:fldChar w:fldCharType="begin"/>
      </w:r>
      <w:r>
        <w:instrText xml:space="preserve"> SEQ level0 \*arabic </w:instrText>
      </w:r>
      <w:r>
        <w:fldChar w:fldCharType="separate"/>
      </w:r>
      <w:r w:rsidR="00F03FB1">
        <w:rPr>
          <w:noProof/>
        </w:rPr>
        <w:t>63</w:t>
      </w:r>
      <w:r>
        <w:fldChar w:fldCharType="end"/>
      </w:r>
      <w:r>
        <w:t>.  </w:t>
      </w:r>
      <w:r w:rsidR="008A4D1F">
        <w:t xml:space="preserve">The Government argued that the applicant </w:t>
      </w:r>
      <w:r w:rsidR="00500943">
        <w:t>could not</w:t>
      </w:r>
      <w:r w:rsidR="008A4D1F">
        <w:t xml:space="preserve"> be considered a victim </w:t>
      </w:r>
      <w:r w:rsidR="00930E56">
        <w:t xml:space="preserve">or even a potential victim of </w:t>
      </w:r>
      <w:r w:rsidR="008A4D1F">
        <w:t>the</w:t>
      </w:r>
      <w:r w:rsidR="00500943">
        <w:t xml:space="preserve"> alleged violation, </w:t>
      </w:r>
      <w:r w:rsidRPr="002A67BC" w:rsidR="00930E56">
        <w:rPr>
          <w:szCs w:val="24"/>
        </w:rPr>
        <w:t xml:space="preserve">in that the </w:t>
      </w:r>
      <w:r w:rsidR="00930E56">
        <w:rPr>
          <w:szCs w:val="24"/>
        </w:rPr>
        <w:t xml:space="preserve">relevant </w:t>
      </w:r>
      <w:r w:rsidRPr="002A67BC" w:rsidR="003E1F2E">
        <w:rPr>
          <w:szCs w:val="24"/>
        </w:rPr>
        <w:t xml:space="preserve">rules </w:t>
      </w:r>
      <w:r w:rsidR="003E1F2E">
        <w:rPr>
          <w:szCs w:val="24"/>
        </w:rPr>
        <w:t xml:space="preserve">of </w:t>
      </w:r>
      <w:r w:rsidRPr="002A67BC" w:rsidR="00930E56">
        <w:rPr>
          <w:szCs w:val="24"/>
        </w:rPr>
        <w:t xml:space="preserve">civil </w:t>
      </w:r>
      <w:r w:rsidR="003E1F2E">
        <w:rPr>
          <w:szCs w:val="24"/>
        </w:rPr>
        <w:t xml:space="preserve">law </w:t>
      </w:r>
      <w:r w:rsidRPr="002A67BC" w:rsidR="00930E56">
        <w:rPr>
          <w:szCs w:val="24"/>
        </w:rPr>
        <w:t>d</w:t>
      </w:r>
      <w:r w:rsidR="00242D13">
        <w:rPr>
          <w:szCs w:val="24"/>
        </w:rPr>
        <w:t>id</w:t>
      </w:r>
      <w:r w:rsidRPr="002A67BC" w:rsidR="00930E56">
        <w:rPr>
          <w:szCs w:val="24"/>
        </w:rPr>
        <w:t xml:space="preserve"> not prevent a transsexual from marrying in his new identity following </w:t>
      </w:r>
      <w:r w:rsidR="00290DB5">
        <w:rPr>
          <w:szCs w:val="24"/>
        </w:rPr>
        <w:t xml:space="preserve">gender </w:t>
      </w:r>
      <w:r w:rsidR="002E64A3">
        <w:rPr>
          <w:szCs w:val="24"/>
        </w:rPr>
        <w:t>reassignment</w:t>
      </w:r>
      <w:r w:rsidRPr="002A67BC" w:rsidR="00930E56">
        <w:rPr>
          <w:szCs w:val="24"/>
        </w:rPr>
        <w:t xml:space="preserve"> surgery</w:t>
      </w:r>
      <w:r w:rsidR="00242D13">
        <w:rPr>
          <w:szCs w:val="24"/>
        </w:rPr>
        <w:t>.</w:t>
      </w:r>
      <w:r w:rsidR="00855092">
        <w:rPr>
          <w:szCs w:val="24"/>
        </w:rPr>
        <w:t xml:space="preserve"> The key issue was still that of gender recognition and, as such,</w:t>
      </w:r>
      <w:r w:rsidR="003E1F2E">
        <w:rPr>
          <w:szCs w:val="24"/>
        </w:rPr>
        <w:t xml:space="preserve"> it was more appropriately </w:t>
      </w:r>
      <w:r w:rsidR="00855092">
        <w:rPr>
          <w:szCs w:val="24"/>
        </w:rPr>
        <w:t>dealt with under Article 8 of the Convention.</w:t>
      </w:r>
    </w:p>
    <w:p w:rsidR="00F64467" w:rsidP="00F64467" w:rsidRDefault="00F64467">
      <w:pPr>
        <w:pStyle w:val="JuHA"/>
      </w:pPr>
      <w:r w:rsidRPr="00502733">
        <w:t>B.  </w:t>
      </w:r>
      <w:r>
        <w:t>The Court</w:t>
      </w:r>
      <w:r w:rsidR="00C86D12">
        <w:t>’</w:t>
      </w:r>
      <w:r>
        <w:t>s assessment</w:t>
      </w:r>
    </w:p>
    <w:p w:rsidR="00F64467" w:rsidP="003E1F2E" w:rsidRDefault="00F64467">
      <w:pPr>
        <w:pStyle w:val="JuPara"/>
      </w:pPr>
      <w:r>
        <w:fldChar w:fldCharType="begin"/>
      </w:r>
      <w:r>
        <w:instrText xml:space="preserve"> SEQ level0 \*arabic </w:instrText>
      </w:r>
      <w:r>
        <w:fldChar w:fldCharType="separate"/>
      </w:r>
      <w:r w:rsidR="00F03FB1">
        <w:rPr>
          <w:noProof/>
        </w:rPr>
        <w:t>64</w:t>
      </w:r>
      <w:r>
        <w:fldChar w:fldCharType="end"/>
      </w:r>
      <w:r>
        <w:t>. </w:t>
      </w:r>
      <w:r w:rsidR="003E1F2E">
        <w:t> </w:t>
      </w:r>
      <w:r w:rsidR="00B42A07">
        <w:t>The Court observes that the applicant</w:t>
      </w:r>
      <w:r w:rsidR="00C86D12">
        <w:t>’</w:t>
      </w:r>
      <w:r w:rsidR="00B42A07">
        <w:t>s complaint under Article 12 is premature in that, should he complete ful</w:t>
      </w:r>
      <w:r w:rsidR="00290DB5">
        <w:t xml:space="preserve">l gender </w:t>
      </w:r>
      <w:r w:rsidR="00B42A07">
        <w:t>reassignment surgery,</w:t>
      </w:r>
      <w:r w:rsidR="00290DB5">
        <w:t xml:space="preserve"> </w:t>
      </w:r>
      <w:r w:rsidR="00B42A07">
        <w:t>his status as a man would be recognised together with the right to marry a woman. In thes</w:t>
      </w:r>
      <w:r w:rsidRPr="003E1F2E" w:rsidR="00B42A07">
        <w:t>e circumstances, the Court agrees with the Government that the key issue is</w:t>
      </w:r>
      <w:r w:rsidR="00B42A07">
        <w:t xml:space="preserve"> still that of the </w:t>
      </w:r>
      <w:r w:rsidR="003E1F2E">
        <w:t xml:space="preserve">gap in </w:t>
      </w:r>
      <w:r w:rsidR="00B42A07">
        <w:t>legislati</w:t>
      </w:r>
      <w:r w:rsidR="003E1F2E">
        <w:t>on,</w:t>
      </w:r>
      <w:r w:rsidR="00B42A07">
        <w:t xml:space="preserve"> which has been analysed under Article 8 above. </w:t>
      </w:r>
      <w:r w:rsidR="00D4174D">
        <w:t>Consequently, it finds it unnecessary to examine this aspect of the case separately under Article 12 of the Convention.</w:t>
      </w:r>
    </w:p>
    <w:p w:rsidRPr="005725AF" w:rsidR="00850F3F" w:rsidP="00850F3F" w:rsidRDefault="000165C7">
      <w:pPr>
        <w:pStyle w:val="JuHIRoman"/>
      </w:pPr>
      <w:r>
        <w:t>V</w:t>
      </w:r>
      <w:r w:rsidRPr="005725AF" w:rsidR="00850F3F">
        <w:t>.  </w:t>
      </w:r>
      <w:r w:rsidR="00850F3F">
        <w:t>ALLEGED VIOLATION</w:t>
      </w:r>
      <w:r w:rsidRPr="005725AF" w:rsidR="00850F3F">
        <w:t xml:space="preserve"> OF ARTICLE </w:t>
      </w:r>
      <w:r w:rsidR="00850F3F">
        <w:t>14</w:t>
      </w:r>
      <w:r w:rsidR="00290DB5">
        <w:t xml:space="preserve"> </w:t>
      </w:r>
      <w:r w:rsidR="00C976FB">
        <w:t xml:space="preserve">OF THE CONVENTION </w:t>
      </w:r>
      <w:r w:rsidR="00290DB5">
        <w:t>TAKEN</w:t>
      </w:r>
      <w:r w:rsidRPr="005725AF" w:rsidR="00850F3F">
        <w:t xml:space="preserve"> </w:t>
      </w:r>
      <w:r w:rsidR="001D733D">
        <w:t>IN CONJUNCTION WITH ARTICLES 3 AND</w:t>
      </w:r>
      <w:r w:rsidR="004A68C4">
        <w:t xml:space="preserve"> 8</w:t>
      </w:r>
    </w:p>
    <w:p w:rsidR="006C1496" w:rsidP="003E1F2E" w:rsidRDefault="00094865">
      <w:pPr>
        <w:pStyle w:val="JuPara"/>
      </w:pPr>
      <w:r>
        <w:fldChar w:fldCharType="begin"/>
      </w:r>
      <w:r>
        <w:instrText xml:space="preserve"> SEQ level0 \*arabic </w:instrText>
      </w:r>
      <w:r>
        <w:fldChar w:fldCharType="separate"/>
      </w:r>
      <w:r w:rsidR="00F03FB1">
        <w:rPr>
          <w:noProof/>
        </w:rPr>
        <w:t>65</w:t>
      </w:r>
      <w:r>
        <w:fldChar w:fldCharType="end"/>
      </w:r>
      <w:r>
        <w:t>.  </w:t>
      </w:r>
      <w:r w:rsidR="00487AC2">
        <w:t>The applicant argued</w:t>
      </w:r>
      <w:r w:rsidR="00930E56">
        <w:t xml:space="preserve"> that the lack of legal regulation in </w:t>
      </w:r>
      <w:smartTag w:uri="urn:schemas-microsoft-com:office:smarttags" w:element="place">
        <w:smartTag w:uri="urn:schemas-microsoft-com:office:smarttags" w:element="country-region">
          <w:r w:rsidR="00930E56">
            <w:t>Lithuania</w:t>
          </w:r>
        </w:smartTag>
      </w:smartTag>
      <w:r w:rsidR="00930E56">
        <w:t xml:space="preserve"> </w:t>
      </w:r>
      <w:r w:rsidR="006C1496">
        <w:t xml:space="preserve">regarding </w:t>
      </w:r>
      <w:r w:rsidR="006103DE">
        <w:t xml:space="preserve">the </w:t>
      </w:r>
      <w:r w:rsidR="006C1496">
        <w:t>treatment an</w:t>
      </w:r>
      <w:r w:rsidR="00487AC2">
        <w:t>d status of transsexuals</w:t>
      </w:r>
      <w:r w:rsidR="003E1F2E">
        <w:t xml:space="preserve"> disclosed a </w:t>
      </w:r>
      <w:r w:rsidR="006C1496">
        <w:t xml:space="preserve">discriminatory attitude </w:t>
      </w:r>
      <w:r w:rsidR="003E1F2E">
        <w:t xml:space="preserve">on the part </w:t>
      </w:r>
      <w:r w:rsidR="006C1496">
        <w:t xml:space="preserve">of </w:t>
      </w:r>
      <w:r w:rsidR="006103DE">
        <w:t xml:space="preserve">the </w:t>
      </w:r>
      <w:r w:rsidR="006C1496">
        <w:t>Lithuanian authorities, in breach of Article 14 of the Convention</w:t>
      </w:r>
      <w:r w:rsidR="00487AC2">
        <w:t>,</w:t>
      </w:r>
      <w:r w:rsidR="006C1496">
        <w:t xml:space="preserve"> which provides</w:t>
      </w:r>
      <w:r w:rsidR="006103DE">
        <w:t xml:space="preserve"> as follows</w:t>
      </w:r>
      <w:r w:rsidR="006C1496">
        <w:t>:</w:t>
      </w:r>
    </w:p>
    <w:p w:rsidR="006C1496" w:rsidP="006C1496" w:rsidRDefault="006C1496">
      <w:pPr>
        <w:pStyle w:val="JuQuot"/>
      </w:pPr>
      <w:r>
        <w:t>“The enjoyment of the ri</w:t>
      </w:r>
      <w:r w:rsidR="001D733D">
        <w:t xml:space="preserve">ghts and freedoms set forth in </w:t>
      </w:r>
      <w:r w:rsidR="00290DB5">
        <w:t>[</w:t>
      </w:r>
      <w:r w:rsidR="001D733D">
        <w:t>the</w:t>
      </w:r>
      <w:r w:rsidR="00290DB5">
        <w:t>]</w:t>
      </w:r>
      <w:r>
        <w:t xml:space="preserve"> Convention shall be secured without discrimination on any ground such as sex, race, colour, language, religion, political or other opinion, national or social origin, association with a national minority, property, birth or other status.”</w:t>
      </w:r>
    </w:p>
    <w:p w:rsidRPr="00E5099A" w:rsidR="00F64467" w:rsidP="00092310" w:rsidRDefault="00F64467">
      <w:pPr>
        <w:pStyle w:val="JuHA"/>
      </w:pPr>
      <w:r w:rsidRPr="00E5099A">
        <w:t>A.  The parties</w:t>
      </w:r>
      <w:r w:rsidR="00C86D12">
        <w:t>’</w:t>
      </w:r>
      <w:r w:rsidRPr="00E5099A">
        <w:t xml:space="preserve"> submissions</w:t>
      </w:r>
    </w:p>
    <w:p w:rsidR="006A120B" w:rsidP="00930E56" w:rsidRDefault="00094865">
      <w:pPr>
        <w:ind w:firstLine="284"/>
        <w:jc w:val="both"/>
        <w:rPr>
          <w:szCs w:val="24"/>
        </w:rPr>
      </w:pPr>
      <w:r>
        <w:rPr>
          <w:szCs w:val="24"/>
        </w:rPr>
        <w:fldChar w:fldCharType="begin"/>
      </w:r>
      <w:r>
        <w:rPr>
          <w:szCs w:val="24"/>
        </w:rPr>
        <w:instrText xml:space="preserve"> SEQ level0 \*arabic </w:instrText>
      </w:r>
      <w:r>
        <w:rPr>
          <w:szCs w:val="24"/>
        </w:rPr>
        <w:fldChar w:fldCharType="separate"/>
      </w:r>
      <w:r w:rsidR="00F03FB1">
        <w:rPr>
          <w:noProof/>
          <w:szCs w:val="24"/>
        </w:rPr>
        <w:t>66</w:t>
      </w:r>
      <w:r>
        <w:rPr>
          <w:szCs w:val="24"/>
        </w:rPr>
        <w:fldChar w:fldCharType="end"/>
      </w:r>
      <w:r>
        <w:rPr>
          <w:szCs w:val="24"/>
        </w:rPr>
        <w:t>.  </w:t>
      </w:r>
      <w:r w:rsidR="00785FFB">
        <w:rPr>
          <w:szCs w:val="24"/>
        </w:rPr>
        <w:t>The applicant allege</w:t>
      </w:r>
      <w:r w:rsidR="009347C6">
        <w:rPr>
          <w:szCs w:val="24"/>
        </w:rPr>
        <w:t>d</w:t>
      </w:r>
      <w:r w:rsidR="00785FFB">
        <w:rPr>
          <w:szCs w:val="24"/>
        </w:rPr>
        <w:t xml:space="preserve"> that the </w:t>
      </w:r>
      <w:r w:rsidR="00A55B1E">
        <w:rPr>
          <w:szCs w:val="24"/>
        </w:rPr>
        <w:t xml:space="preserve">failure of the State to </w:t>
      </w:r>
      <w:r w:rsidR="00A259AF">
        <w:rPr>
          <w:szCs w:val="24"/>
        </w:rPr>
        <w:t xml:space="preserve">pass </w:t>
      </w:r>
      <w:r w:rsidR="00675C5E">
        <w:rPr>
          <w:szCs w:val="24"/>
        </w:rPr>
        <w:t xml:space="preserve">the necessary </w:t>
      </w:r>
      <w:r w:rsidR="002400CD">
        <w:rPr>
          <w:szCs w:val="24"/>
        </w:rPr>
        <w:t>legislation on gender</w:t>
      </w:r>
      <w:r w:rsidR="003E1F2E">
        <w:rPr>
          <w:szCs w:val="24"/>
        </w:rPr>
        <w:t xml:space="preserve"> </w:t>
      </w:r>
      <w:r w:rsidR="002400CD">
        <w:rPr>
          <w:szCs w:val="24"/>
        </w:rPr>
        <w:t>reassignment</w:t>
      </w:r>
      <w:r w:rsidR="00A55B1E">
        <w:rPr>
          <w:szCs w:val="24"/>
        </w:rPr>
        <w:t xml:space="preserve"> was </w:t>
      </w:r>
      <w:r w:rsidR="00487AC2">
        <w:rPr>
          <w:szCs w:val="24"/>
        </w:rPr>
        <w:t>essentially</w:t>
      </w:r>
      <w:r w:rsidR="003E1F2E">
        <w:rPr>
          <w:szCs w:val="24"/>
        </w:rPr>
        <w:t xml:space="preserve"> due to</w:t>
      </w:r>
      <w:r w:rsidR="00DE0C95">
        <w:rPr>
          <w:szCs w:val="24"/>
        </w:rPr>
        <w:t xml:space="preserve"> the prejudices </w:t>
      </w:r>
      <w:r w:rsidR="00814B37">
        <w:rPr>
          <w:szCs w:val="24"/>
        </w:rPr>
        <w:t xml:space="preserve">and hostile attitudes </w:t>
      </w:r>
      <w:r w:rsidR="00DE0C95">
        <w:rPr>
          <w:szCs w:val="24"/>
        </w:rPr>
        <w:t xml:space="preserve">of the majority </w:t>
      </w:r>
      <w:r w:rsidR="007778D1">
        <w:rPr>
          <w:szCs w:val="24"/>
        </w:rPr>
        <w:t xml:space="preserve">of the Lithuanian population </w:t>
      </w:r>
      <w:r w:rsidR="002400CD">
        <w:rPr>
          <w:szCs w:val="24"/>
        </w:rPr>
        <w:t xml:space="preserve">towards transsexuals as a minority group, </w:t>
      </w:r>
      <w:r w:rsidR="00DE0C95">
        <w:rPr>
          <w:szCs w:val="24"/>
        </w:rPr>
        <w:t>and served no legitimate aim</w:t>
      </w:r>
      <w:r w:rsidRPr="00487AC2" w:rsidR="00DE0C95">
        <w:rPr>
          <w:szCs w:val="24"/>
        </w:rPr>
        <w:t xml:space="preserve">. </w:t>
      </w:r>
      <w:r>
        <w:rPr>
          <w:szCs w:val="24"/>
        </w:rPr>
        <w:t xml:space="preserve">No objective and reasonable justification had been put forward by the Government for the indefinite postponement of the </w:t>
      </w:r>
      <w:r w:rsidR="003E1F2E">
        <w:rPr>
          <w:szCs w:val="24"/>
        </w:rPr>
        <w:t xml:space="preserve">enactment </w:t>
      </w:r>
      <w:r w:rsidR="009839B8">
        <w:rPr>
          <w:szCs w:val="24"/>
        </w:rPr>
        <w:t xml:space="preserve">of the </w:t>
      </w:r>
      <w:r w:rsidR="00E96054">
        <w:rPr>
          <w:szCs w:val="24"/>
        </w:rPr>
        <w:t>subsidiary</w:t>
      </w:r>
      <w:r>
        <w:rPr>
          <w:szCs w:val="24"/>
        </w:rPr>
        <w:t xml:space="preserve"> legislation required</w:t>
      </w:r>
      <w:r w:rsidR="005E3F69">
        <w:rPr>
          <w:szCs w:val="24"/>
        </w:rPr>
        <w:t xml:space="preserve"> by the Civil Code</w:t>
      </w:r>
      <w:r>
        <w:rPr>
          <w:szCs w:val="24"/>
        </w:rPr>
        <w:t xml:space="preserve">. </w:t>
      </w:r>
      <w:r w:rsidRPr="00487AC2" w:rsidR="00814B37">
        <w:rPr>
          <w:szCs w:val="24"/>
        </w:rPr>
        <w:t xml:space="preserve">As a result, the applicant </w:t>
      </w:r>
      <w:r w:rsidR="00B55AAB">
        <w:rPr>
          <w:szCs w:val="24"/>
        </w:rPr>
        <w:t>had been</w:t>
      </w:r>
      <w:r w:rsidRPr="00487AC2" w:rsidR="00814B37">
        <w:rPr>
          <w:szCs w:val="24"/>
        </w:rPr>
        <w:t xml:space="preserve"> denied </w:t>
      </w:r>
      <w:r w:rsidR="00B55AAB">
        <w:rPr>
          <w:szCs w:val="24"/>
        </w:rPr>
        <w:t>vital</w:t>
      </w:r>
      <w:r w:rsidRPr="00487AC2" w:rsidR="00814B37">
        <w:rPr>
          <w:szCs w:val="24"/>
        </w:rPr>
        <w:t xml:space="preserve"> </w:t>
      </w:r>
      <w:r w:rsidRPr="00487AC2" w:rsidR="00487AC2">
        <w:rPr>
          <w:szCs w:val="24"/>
        </w:rPr>
        <w:t>opportunities</w:t>
      </w:r>
      <w:r w:rsidRPr="00487AC2" w:rsidR="00814B37">
        <w:rPr>
          <w:szCs w:val="24"/>
        </w:rPr>
        <w:t xml:space="preserve"> </w:t>
      </w:r>
      <w:r w:rsidR="00487AC2">
        <w:rPr>
          <w:szCs w:val="24"/>
        </w:rPr>
        <w:t xml:space="preserve">as a transsexual, </w:t>
      </w:r>
      <w:r w:rsidR="002400CD">
        <w:rPr>
          <w:szCs w:val="24"/>
        </w:rPr>
        <w:t>p</w:t>
      </w:r>
      <w:r w:rsidR="00487AC2">
        <w:rPr>
          <w:szCs w:val="24"/>
        </w:rPr>
        <w:t>articular</w:t>
      </w:r>
      <w:r w:rsidR="002400CD">
        <w:rPr>
          <w:szCs w:val="24"/>
        </w:rPr>
        <w:t>ly as regards</w:t>
      </w:r>
      <w:r w:rsidR="00487AC2">
        <w:rPr>
          <w:szCs w:val="24"/>
        </w:rPr>
        <w:t xml:space="preserve"> </w:t>
      </w:r>
      <w:r>
        <w:rPr>
          <w:szCs w:val="24"/>
        </w:rPr>
        <w:t xml:space="preserve">the </w:t>
      </w:r>
      <w:r w:rsidRPr="00487AC2" w:rsidR="00814B37">
        <w:rPr>
          <w:szCs w:val="24"/>
        </w:rPr>
        <w:t>treatment</w:t>
      </w:r>
      <w:r w:rsidR="00487AC2">
        <w:rPr>
          <w:szCs w:val="24"/>
        </w:rPr>
        <w:t xml:space="preserve"> of </w:t>
      </w:r>
      <w:r>
        <w:rPr>
          <w:szCs w:val="24"/>
        </w:rPr>
        <w:t xml:space="preserve">his </w:t>
      </w:r>
      <w:r w:rsidR="00487AC2">
        <w:rPr>
          <w:szCs w:val="24"/>
        </w:rPr>
        <w:t>gender</w:t>
      </w:r>
      <w:r w:rsidR="00290DB5">
        <w:rPr>
          <w:szCs w:val="24"/>
        </w:rPr>
        <w:t>-</w:t>
      </w:r>
      <w:r w:rsidR="00487AC2">
        <w:rPr>
          <w:szCs w:val="24"/>
        </w:rPr>
        <w:t>identity disorder</w:t>
      </w:r>
      <w:r w:rsidRPr="00487AC2" w:rsidR="00814B37">
        <w:rPr>
          <w:szCs w:val="24"/>
        </w:rPr>
        <w:t xml:space="preserve"> </w:t>
      </w:r>
      <w:r w:rsidR="00487AC2">
        <w:rPr>
          <w:szCs w:val="24"/>
        </w:rPr>
        <w:t xml:space="preserve">and </w:t>
      </w:r>
      <w:r w:rsidR="004D207D">
        <w:rPr>
          <w:szCs w:val="24"/>
        </w:rPr>
        <w:t xml:space="preserve">the </w:t>
      </w:r>
      <w:r w:rsidR="008A571F">
        <w:rPr>
          <w:szCs w:val="24"/>
        </w:rPr>
        <w:t>effective</w:t>
      </w:r>
      <w:r>
        <w:rPr>
          <w:szCs w:val="24"/>
        </w:rPr>
        <w:t xml:space="preserve"> </w:t>
      </w:r>
      <w:r w:rsidR="00487AC2">
        <w:rPr>
          <w:szCs w:val="24"/>
        </w:rPr>
        <w:t>legal recognition</w:t>
      </w:r>
      <w:r w:rsidR="00AA1F95">
        <w:rPr>
          <w:szCs w:val="24"/>
        </w:rPr>
        <w:t xml:space="preserve"> of his status</w:t>
      </w:r>
      <w:r w:rsidR="00487AC2">
        <w:rPr>
          <w:szCs w:val="24"/>
        </w:rPr>
        <w:t>.</w:t>
      </w:r>
    </w:p>
    <w:p w:rsidR="00785FFB" w:rsidP="00930E56" w:rsidRDefault="00094865">
      <w:pPr>
        <w:ind w:firstLine="284"/>
        <w:jc w:val="both"/>
        <w:rPr>
          <w:szCs w:val="24"/>
        </w:rPr>
      </w:pPr>
      <w:r>
        <w:rPr>
          <w:szCs w:val="24"/>
        </w:rPr>
        <w:fldChar w:fldCharType="begin"/>
      </w:r>
      <w:r>
        <w:rPr>
          <w:szCs w:val="24"/>
        </w:rPr>
        <w:instrText xml:space="preserve"> SEQ level0 \*arabic </w:instrText>
      </w:r>
      <w:r>
        <w:rPr>
          <w:szCs w:val="24"/>
        </w:rPr>
        <w:fldChar w:fldCharType="separate"/>
      </w:r>
      <w:r w:rsidR="00F03FB1">
        <w:rPr>
          <w:noProof/>
          <w:szCs w:val="24"/>
        </w:rPr>
        <w:t>67</w:t>
      </w:r>
      <w:r>
        <w:rPr>
          <w:szCs w:val="24"/>
        </w:rPr>
        <w:fldChar w:fldCharType="end"/>
      </w:r>
      <w:r>
        <w:rPr>
          <w:szCs w:val="24"/>
        </w:rPr>
        <w:t>.  </w:t>
      </w:r>
      <w:r w:rsidR="00814B37">
        <w:rPr>
          <w:szCs w:val="24"/>
        </w:rPr>
        <w:t xml:space="preserve">The Government </w:t>
      </w:r>
      <w:r w:rsidR="00FC30B8">
        <w:rPr>
          <w:szCs w:val="24"/>
        </w:rPr>
        <w:t>contested th</w:t>
      </w:r>
      <w:r w:rsidR="003E1F2E">
        <w:rPr>
          <w:szCs w:val="24"/>
        </w:rPr>
        <w:t>o</w:t>
      </w:r>
      <w:r w:rsidR="00FC30B8">
        <w:rPr>
          <w:szCs w:val="24"/>
        </w:rPr>
        <w:t xml:space="preserve">se </w:t>
      </w:r>
      <w:r>
        <w:rPr>
          <w:szCs w:val="24"/>
        </w:rPr>
        <w:t>allegations</w:t>
      </w:r>
      <w:r w:rsidR="00FC30B8">
        <w:rPr>
          <w:szCs w:val="24"/>
        </w:rPr>
        <w:t xml:space="preserve">. </w:t>
      </w:r>
      <w:r w:rsidR="008A571F">
        <w:rPr>
          <w:szCs w:val="24"/>
        </w:rPr>
        <w:t xml:space="preserve">They claimed that no separate issue arose under this provision </w:t>
      </w:r>
      <w:r w:rsidR="003E1F2E">
        <w:rPr>
          <w:szCs w:val="24"/>
        </w:rPr>
        <w:t xml:space="preserve">that </w:t>
      </w:r>
      <w:r w:rsidR="008A571F">
        <w:rPr>
          <w:szCs w:val="24"/>
        </w:rPr>
        <w:t>had not already been dealt with under Article</w:t>
      </w:r>
      <w:r w:rsidR="00AA1F95">
        <w:rPr>
          <w:szCs w:val="24"/>
        </w:rPr>
        <w:t>s</w:t>
      </w:r>
      <w:r w:rsidR="008A571F">
        <w:rPr>
          <w:szCs w:val="24"/>
        </w:rPr>
        <w:t xml:space="preserve"> 3 and 8.</w:t>
      </w:r>
    </w:p>
    <w:p w:rsidR="00F64467" w:rsidP="00F64467" w:rsidRDefault="00F64467">
      <w:pPr>
        <w:pStyle w:val="JuHA"/>
      </w:pPr>
      <w:r w:rsidRPr="00502733">
        <w:t>B.  </w:t>
      </w:r>
      <w:r>
        <w:t>The Court</w:t>
      </w:r>
      <w:r w:rsidR="00C86D12">
        <w:t>’</w:t>
      </w:r>
      <w:r>
        <w:t>s assessment</w:t>
      </w:r>
    </w:p>
    <w:p w:rsidR="00F729AF" w:rsidP="003E1F2E" w:rsidRDefault="00A76C50">
      <w:pPr>
        <w:pStyle w:val="JuPara"/>
        <w:rPr>
          <w:szCs w:val="24"/>
        </w:rPr>
      </w:pPr>
      <w:r>
        <w:fldChar w:fldCharType="begin"/>
      </w:r>
      <w:r>
        <w:instrText xml:space="preserve"> SEQ level0 \*arabic </w:instrText>
      </w:r>
      <w:r>
        <w:fldChar w:fldCharType="separate"/>
      </w:r>
      <w:r w:rsidR="00F03FB1">
        <w:rPr>
          <w:noProof/>
        </w:rPr>
        <w:t>68</w:t>
      </w:r>
      <w:r>
        <w:fldChar w:fldCharType="end"/>
      </w:r>
      <w:r>
        <w:t>.</w:t>
      </w:r>
      <w:r w:rsidR="003E1F2E">
        <w:t>  T</w:t>
      </w:r>
      <w:r w:rsidR="00F729AF">
        <w:t>h</w:t>
      </w:r>
      <w:r w:rsidRPr="003E1F2E" w:rsidR="00F729AF">
        <w:t xml:space="preserve">e Court </w:t>
      </w:r>
      <w:r w:rsidR="003E1F2E">
        <w:t xml:space="preserve">again </w:t>
      </w:r>
      <w:r w:rsidRPr="003E1F2E" w:rsidR="00F729AF">
        <w:t>finds that, in the circumstances of the present case, the applicant</w:t>
      </w:r>
      <w:r w:rsidR="00C86D12">
        <w:t>’</w:t>
      </w:r>
      <w:r w:rsidRPr="003E1F2E" w:rsidR="00F729AF">
        <w:t xml:space="preserve">s complaint of discrimination is essentially the same, albeit seen from a different angle, </w:t>
      </w:r>
      <w:r w:rsidRPr="003E1F2E" w:rsidR="004D207D">
        <w:t xml:space="preserve">as </w:t>
      </w:r>
      <w:r w:rsidRPr="003E1F2E" w:rsidR="00F729AF">
        <w:t xml:space="preserve">that </w:t>
      </w:r>
      <w:r w:rsidRPr="003E1F2E" w:rsidR="004D207D">
        <w:t xml:space="preserve">which </w:t>
      </w:r>
      <w:r w:rsidR="003E1F2E">
        <w:t>i</w:t>
      </w:r>
      <w:r w:rsidRPr="003E1F2E" w:rsidR="00F729AF">
        <w:t>t has considered above under Articles 3 and 8 of the Convention (</w:t>
      </w:r>
      <w:r w:rsidR="003E1F2E">
        <w:t>see</w:t>
      </w:r>
      <w:r w:rsidRPr="003E1F2E" w:rsidR="00F729AF">
        <w:t xml:space="preserve"> </w:t>
      </w:r>
      <w:r w:rsidRPr="003E1F2E" w:rsidR="00F729AF">
        <w:rPr>
          <w:i/>
        </w:rPr>
        <w:t>Van Kück</w:t>
      </w:r>
      <w:r w:rsidR="003E1F2E">
        <w:t>,</w:t>
      </w:r>
      <w:r w:rsidRPr="003E1F2E" w:rsidR="00F729AF">
        <w:t xml:space="preserve"> cited above, §</w:t>
      </w:r>
      <w:r w:rsidR="00F03FB1">
        <w:t xml:space="preserve"> </w:t>
      </w:r>
      <w:r w:rsidRPr="003E1F2E" w:rsidR="00F729AF">
        <w:t>91).</w:t>
      </w:r>
      <w:r w:rsidR="003E1F2E">
        <w:t xml:space="preserve"> </w:t>
      </w:r>
      <w:r w:rsidRPr="003E1F2E" w:rsidR="00F729AF">
        <w:t>Consequently, it finds it unnecessary to examine this aspect of the case separately under Article 14 of t</w:t>
      </w:r>
      <w:r w:rsidR="00F729AF">
        <w:rPr>
          <w:szCs w:val="24"/>
        </w:rPr>
        <w:t>he Convention.</w:t>
      </w:r>
    </w:p>
    <w:p w:rsidRPr="005725AF" w:rsidR="00CD49A7" w:rsidRDefault="000165C7">
      <w:pPr>
        <w:pStyle w:val="JuHIRoman"/>
      </w:pPr>
      <w:r>
        <w:t>VI</w:t>
      </w:r>
      <w:r w:rsidRPr="005725AF" w:rsidR="00CD49A7">
        <w:t>.  APPLICATION OF ARTICLE 41 OF THE CONVENTION</w:t>
      </w:r>
    </w:p>
    <w:p w:rsidRPr="005725AF" w:rsidR="00CD49A7" w:rsidRDefault="00A76C50">
      <w:pPr>
        <w:pStyle w:val="JuPara"/>
        <w:keepNext/>
        <w:keepLines/>
      </w:pPr>
      <w:r>
        <w:fldChar w:fldCharType="begin"/>
      </w:r>
      <w:r>
        <w:instrText xml:space="preserve"> SEQ level0 \*arabic </w:instrText>
      </w:r>
      <w:r>
        <w:fldChar w:fldCharType="separate"/>
      </w:r>
      <w:r w:rsidR="00F03FB1">
        <w:rPr>
          <w:noProof/>
        </w:rPr>
        <w:t>69</w:t>
      </w:r>
      <w:r>
        <w:fldChar w:fldCharType="end"/>
      </w:r>
      <w:r>
        <w:t>.  </w:t>
      </w:r>
      <w:r w:rsidRPr="005725AF" w:rsidR="00CD49A7">
        <w:t>Article 41 of the Convention provides:</w:t>
      </w:r>
    </w:p>
    <w:p w:rsidRPr="005725AF" w:rsidR="00CD49A7" w:rsidRDefault="00CD49A7">
      <w:pPr>
        <w:pStyle w:val="JuQuot"/>
        <w:keepNext/>
        <w:keepLines/>
      </w:pPr>
      <w:r w:rsidRPr="005725A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725AF" w:rsidR="00CD49A7" w:rsidRDefault="00CD49A7">
      <w:pPr>
        <w:pStyle w:val="JuHA"/>
      </w:pPr>
      <w:r w:rsidRPr="005725AF">
        <w:t>A.  Damage</w:t>
      </w:r>
    </w:p>
    <w:p w:rsidR="006A120B" w:rsidRDefault="005725AF">
      <w:pPr>
        <w:pStyle w:val="JuPara"/>
      </w:pPr>
      <w:r w:rsidRPr="005725AF">
        <w:fldChar w:fldCharType="begin"/>
      </w:r>
      <w:r w:rsidRPr="005725AF">
        <w:instrText xml:space="preserve"> SEQ level0 \*arabic </w:instrText>
      </w:r>
      <w:r w:rsidRPr="005725AF">
        <w:fldChar w:fldCharType="separate"/>
      </w:r>
      <w:r w:rsidR="00F03FB1">
        <w:rPr>
          <w:noProof/>
        </w:rPr>
        <w:t>70</w:t>
      </w:r>
      <w:r w:rsidRPr="005725AF">
        <w:fldChar w:fldCharType="end"/>
      </w:r>
      <w:r w:rsidRPr="005725AF" w:rsidR="00CD49A7">
        <w:t>.  </w:t>
      </w:r>
      <w:r w:rsidR="00973247">
        <w:t xml:space="preserve">The applicant claimed </w:t>
      </w:r>
      <w:r w:rsidR="00B11E7C">
        <w:t>33,589.46</w:t>
      </w:r>
      <w:r w:rsidR="00C35A3B">
        <w:t xml:space="preserve"> </w:t>
      </w:r>
      <w:r w:rsidR="00290DB5">
        <w:t xml:space="preserve">Lithuanian litai (LTL) </w:t>
      </w:r>
      <w:r w:rsidR="00C35A3B">
        <w:t xml:space="preserve">(approximately </w:t>
      </w:r>
      <w:r w:rsidRPr="006950C1" w:rsidR="00B11E7C">
        <w:t>9,</w:t>
      </w:r>
      <w:r w:rsidRPr="006950C1" w:rsidR="007B689A">
        <w:t>728</w:t>
      </w:r>
      <w:r w:rsidRPr="00290DB5" w:rsidR="00290DB5">
        <w:t xml:space="preserve"> </w:t>
      </w:r>
      <w:r w:rsidR="00290DB5">
        <w:t>euros (EUR)</w:t>
      </w:r>
      <w:r w:rsidRPr="00356B2D" w:rsidR="00B11E7C">
        <w:t>)</w:t>
      </w:r>
      <w:r w:rsidRPr="00C35A3B" w:rsidR="00C35A3B">
        <w:t xml:space="preserve"> </w:t>
      </w:r>
      <w:r w:rsidR="00C35A3B">
        <w:t>for pecuniary damage</w:t>
      </w:r>
      <w:r w:rsidR="00977464">
        <w:t>,</w:t>
      </w:r>
      <w:r w:rsidRPr="00C35A3B" w:rsidR="00C35A3B">
        <w:t xml:space="preserve"> </w:t>
      </w:r>
      <w:r w:rsidR="002D3A23">
        <w:t>which represented:</w:t>
      </w:r>
    </w:p>
    <w:p w:rsidR="006A120B" w:rsidRDefault="00C35A3B">
      <w:pPr>
        <w:pStyle w:val="JuPara"/>
      </w:pPr>
      <w:r>
        <w:t>(</w:t>
      </w:r>
      <w:r w:rsidR="00290DB5">
        <w:t>a)  </w:t>
      </w:r>
      <w:r w:rsidR="002A268E">
        <w:t xml:space="preserve">his loss of </w:t>
      </w:r>
      <w:r w:rsidR="006E4980">
        <w:t>earnings</w:t>
      </w:r>
      <w:r w:rsidR="002A268E">
        <w:t xml:space="preserve">, given his limited employment </w:t>
      </w:r>
      <w:r>
        <w:t xml:space="preserve">prospects </w:t>
      </w:r>
      <w:r w:rsidR="002A268E">
        <w:t xml:space="preserve">in order to avoid drawing </w:t>
      </w:r>
      <w:r w:rsidR="0090434C">
        <w:t>attention to his status</w:t>
      </w:r>
      <w:r w:rsidR="00443735">
        <w:t xml:space="preserve"> (LTL 26,391);</w:t>
      </w:r>
    </w:p>
    <w:p w:rsidR="006A120B" w:rsidRDefault="00C35A3B">
      <w:pPr>
        <w:pStyle w:val="JuPara"/>
      </w:pPr>
      <w:r>
        <w:t>(</w:t>
      </w:r>
      <w:r w:rsidR="00290DB5">
        <w:t>b)  </w:t>
      </w:r>
      <w:r w:rsidR="00B47948">
        <w:t xml:space="preserve">compensation for private </w:t>
      </w:r>
      <w:r>
        <w:t>and</w:t>
      </w:r>
      <w:r w:rsidR="00B47948">
        <w:t xml:space="preserve"> unofficial </w:t>
      </w:r>
      <w:r w:rsidR="002A268E">
        <w:t xml:space="preserve">medical </w:t>
      </w:r>
      <w:r w:rsidR="00B47948">
        <w:t>treatment</w:t>
      </w:r>
      <w:r w:rsidR="00977464">
        <w:t xml:space="preserve">, which was more costly than State health </w:t>
      </w:r>
      <w:r w:rsidR="002A268E">
        <w:t>care,</w:t>
      </w:r>
      <w:r w:rsidR="00977464">
        <w:t xml:space="preserve"> but did not require him to reveal his identity </w:t>
      </w:r>
      <w:r w:rsidR="00B47948">
        <w:t>(LTL 4,318</w:t>
      </w:r>
      <w:r w:rsidR="00EF6C04">
        <w:t>.46</w:t>
      </w:r>
      <w:r w:rsidR="00B47948">
        <w:t>)</w:t>
      </w:r>
      <w:r w:rsidR="002A268E">
        <w:t>;</w:t>
      </w:r>
      <w:r w:rsidR="006433CA">
        <w:t xml:space="preserve"> </w:t>
      </w:r>
      <w:r w:rsidR="00C52184">
        <w:t>and</w:t>
      </w:r>
    </w:p>
    <w:p w:rsidR="006A120B" w:rsidRDefault="00C35A3B">
      <w:pPr>
        <w:pStyle w:val="JuPara"/>
      </w:pPr>
      <w:r>
        <w:t>(</w:t>
      </w:r>
      <w:r w:rsidR="00290DB5">
        <w:t>c)  </w:t>
      </w:r>
      <w:r w:rsidR="006433CA">
        <w:t>compensation for his prolonged hormon</w:t>
      </w:r>
      <w:r w:rsidR="002A268E">
        <w:t>e</w:t>
      </w:r>
      <w:r w:rsidR="006433CA">
        <w:t xml:space="preserve"> treatment</w:t>
      </w:r>
      <w:r w:rsidR="00D72911">
        <w:t xml:space="preserve">, while </w:t>
      </w:r>
      <w:r w:rsidR="006433CA">
        <w:t xml:space="preserve">awaiting the legal possibility </w:t>
      </w:r>
      <w:r>
        <w:t xml:space="preserve">of </w:t>
      </w:r>
      <w:r w:rsidR="006433CA">
        <w:t>complet</w:t>
      </w:r>
      <w:r>
        <w:t>ing</w:t>
      </w:r>
      <w:r w:rsidR="00977464">
        <w:t xml:space="preserve"> </w:t>
      </w:r>
      <w:r w:rsidR="002A268E">
        <w:t xml:space="preserve">the </w:t>
      </w:r>
      <w:r w:rsidR="00290DB5">
        <w:t xml:space="preserve">gender </w:t>
      </w:r>
      <w:r w:rsidR="002E64A3">
        <w:t>reassignment</w:t>
      </w:r>
      <w:r w:rsidR="00D72911">
        <w:t xml:space="preserve"> </w:t>
      </w:r>
      <w:r w:rsidR="002A268E">
        <w:t xml:space="preserve">procedure </w:t>
      </w:r>
      <w:r w:rsidR="00D72911">
        <w:t>(LTL</w:t>
      </w:r>
      <w:r>
        <w:t> </w:t>
      </w:r>
      <w:r w:rsidR="00D72911">
        <w:t>2</w:t>
      </w:r>
      <w:r w:rsidR="002A268E">
        <w:t>,</w:t>
      </w:r>
      <w:r w:rsidR="00D72911">
        <w:t>880).</w:t>
      </w:r>
    </w:p>
    <w:p w:rsidR="006A120B" w:rsidRDefault="00FF19A6">
      <w:pPr>
        <w:pStyle w:val="JuPara"/>
      </w:pPr>
      <w:r>
        <w:fldChar w:fldCharType="begin"/>
      </w:r>
      <w:r>
        <w:instrText xml:space="preserve"> SEQ level0 \*arabic </w:instrText>
      </w:r>
      <w:r>
        <w:fldChar w:fldCharType="separate"/>
      </w:r>
      <w:r w:rsidR="00F03FB1">
        <w:rPr>
          <w:noProof/>
        </w:rPr>
        <w:t>71</w:t>
      </w:r>
      <w:r>
        <w:fldChar w:fldCharType="end"/>
      </w:r>
      <w:r>
        <w:t>.  </w:t>
      </w:r>
      <w:r w:rsidR="00C52184">
        <w:t>The applicant</w:t>
      </w:r>
      <w:r w:rsidR="00D72911">
        <w:t xml:space="preserve"> </w:t>
      </w:r>
      <w:r w:rsidR="00443735">
        <w:t>further</w:t>
      </w:r>
      <w:r w:rsidR="00D72911">
        <w:t xml:space="preserve"> claimed EUR 47,680 to cover</w:t>
      </w:r>
      <w:r w:rsidR="00C52184">
        <w:t xml:space="preserve"> the</w:t>
      </w:r>
      <w:r w:rsidR="00C976FB">
        <w:t xml:space="preserve"> cost of</w:t>
      </w:r>
      <w:r w:rsidR="00D72911">
        <w:t xml:space="preserve"> </w:t>
      </w:r>
      <w:r w:rsidR="002A268E">
        <w:t>the eventual completion of</w:t>
      </w:r>
      <w:r w:rsidR="00D72911">
        <w:t xml:space="preserve"> </w:t>
      </w:r>
      <w:r w:rsidR="00290DB5">
        <w:t xml:space="preserve">gender </w:t>
      </w:r>
      <w:r w:rsidR="002E64A3">
        <w:t>reassignment</w:t>
      </w:r>
      <w:r w:rsidR="00D72911">
        <w:t xml:space="preserve"> surgery. In this </w:t>
      </w:r>
      <w:r w:rsidR="00C35A3B">
        <w:t>connection</w:t>
      </w:r>
      <w:r w:rsidR="00D72911">
        <w:t>, the applicant argued that</w:t>
      </w:r>
      <w:r w:rsidR="004D207D">
        <w:t>,</w:t>
      </w:r>
      <w:r w:rsidR="00D72911">
        <w:t xml:space="preserve"> </w:t>
      </w:r>
      <w:r w:rsidR="00C52184">
        <w:t xml:space="preserve">even if the </w:t>
      </w:r>
      <w:r w:rsidR="00977464">
        <w:t>legal gaps in Lithuanian law were eventually filled</w:t>
      </w:r>
      <w:r w:rsidR="00C52184">
        <w:t xml:space="preserve">, there </w:t>
      </w:r>
      <w:r w:rsidR="00977464">
        <w:t xml:space="preserve">would </w:t>
      </w:r>
      <w:r w:rsidR="00463AC1">
        <w:t xml:space="preserve">still </w:t>
      </w:r>
      <w:r w:rsidR="00977464">
        <w:t>be</w:t>
      </w:r>
      <w:r w:rsidR="00C52184">
        <w:t xml:space="preserve"> no prospect o</w:t>
      </w:r>
      <w:r w:rsidR="009839B8">
        <w:t>f</w:t>
      </w:r>
      <w:r w:rsidR="00C52184">
        <w:t xml:space="preserve"> </w:t>
      </w:r>
      <w:r w:rsidR="00463AC1">
        <w:t>complet</w:t>
      </w:r>
      <w:r w:rsidR="009839B8">
        <w:t>ing</w:t>
      </w:r>
      <w:r w:rsidR="00C52184">
        <w:t xml:space="preserve"> </w:t>
      </w:r>
      <w:r w:rsidR="004D207D">
        <w:t>the</w:t>
      </w:r>
      <w:r w:rsidR="00C52184">
        <w:t xml:space="preserve"> </w:t>
      </w:r>
      <w:r w:rsidR="004D207D">
        <w:t>g</w:t>
      </w:r>
      <w:r w:rsidR="00C52184">
        <w:t>ender</w:t>
      </w:r>
      <w:r w:rsidR="00290DB5">
        <w:t xml:space="preserve"> </w:t>
      </w:r>
      <w:r w:rsidR="00C52184">
        <w:t xml:space="preserve">reassignment surgery in </w:t>
      </w:r>
      <w:smartTag w:uri="urn:schemas-microsoft-com:office:smarttags" w:element="place">
        <w:smartTag w:uri="urn:schemas-microsoft-com:office:smarttags" w:element="country-region">
          <w:r w:rsidR="00C52184">
            <w:t>Lithuania</w:t>
          </w:r>
        </w:smartTag>
      </w:smartTag>
      <w:r w:rsidR="00C52184">
        <w:t xml:space="preserve"> within </w:t>
      </w:r>
      <w:r w:rsidR="00443735">
        <w:t>a</w:t>
      </w:r>
      <w:r w:rsidR="00C52184">
        <w:t xml:space="preserve"> reasonable time. He therefore </w:t>
      </w:r>
      <w:r w:rsidR="00C85ACF">
        <w:t xml:space="preserve">contended </w:t>
      </w:r>
      <w:r w:rsidR="00C52184">
        <w:t>that th</w:t>
      </w:r>
      <w:r w:rsidR="00C85ACF">
        <w:t>is</w:t>
      </w:r>
      <w:r w:rsidR="00C52184">
        <w:t xml:space="preserve"> sum was needed to </w:t>
      </w:r>
      <w:r w:rsidR="00463AC1">
        <w:t>carry out</w:t>
      </w:r>
      <w:r w:rsidR="00C52184">
        <w:t xml:space="preserve"> the surgery abroad.</w:t>
      </w:r>
    </w:p>
    <w:p w:rsidR="006A120B" w:rsidRDefault="00FF19A6">
      <w:pPr>
        <w:pStyle w:val="JuPara"/>
      </w:pPr>
      <w:r>
        <w:fldChar w:fldCharType="begin"/>
      </w:r>
      <w:r>
        <w:instrText xml:space="preserve"> SEQ level0 \*arabic </w:instrText>
      </w:r>
      <w:r>
        <w:fldChar w:fldCharType="separate"/>
      </w:r>
      <w:r w:rsidR="00F03FB1">
        <w:rPr>
          <w:noProof/>
        </w:rPr>
        <w:t>72</w:t>
      </w:r>
      <w:r>
        <w:fldChar w:fldCharType="end"/>
      </w:r>
      <w:r>
        <w:t>.  </w:t>
      </w:r>
      <w:r w:rsidR="00DA55A1">
        <w:t>Finally, t</w:t>
      </w:r>
      <w:r w:rsidR="008179ED">
        <w:t xml:space="preserve">he applicant </w:t>
      </w:r>
      <w:r w:rsidR="00C35A3B">
        <w:t>claimed</w:t>
      </w:r>
      <w:r w:rsidRPr="00C35A3B" w:rsidR="00C35A3B">
        <w:t xml:space="preserve"> </w:t>
      </w:r>
      <w:r w:rsidR="00C35A3B">
        <w:t xml:space="preserve">EUR 200,000 </w:t>
      </w:r>
      <w:r w:rsidR="00DA55A1">
        <w:t>for</w:t>
      </w:r>
      <w:r w:rsidR="00C35A3B">
        <w:t xml:space="preserve"> the</w:t>
      </w:r>
      <w:r w:rsidR="008179ED">
        <w:t xml:space="preserve"> non-pecuniary damage </w:t>
      </w:r>
      <w:r w:rsidR="00C35A3B">
        <w:t>resulting from</w:t>
      </w:r>
      <w:r w:rsidR="008179ED">
        <w:t xml:space="preserve"> </w:t>
      </w:r>
      <w:r w:rsidR="005B77F9">
        <w:t xml:space="preserve">the </w:t>
      </w:r>
      <w:r w:rsidR="008179ED">
        <w:t>stress, anxiety, fear</w:t>
      </w:r>
      <w:r w:rsidR="005B77F9">
        <w:t xml:space="preserve"> and</w:t>
      </w:r>
      <w:r w:rsidR="008179ED">
        <w:t xml:space="preserve"> humiliation</w:t>
      </w:r>
      <w:r w:rsidR="00C85ACF">
        <w:t xml:space="preserve"> </w:t>
      </w:r>
      <w:r w:rsidR="005B77F9">
        <w:t>which he ha</w:t>
      </w:r>
      <w:r w:rsidR="00C35A3B">
        <w:t>d</w:t>
      </w:r>
      <w:r w:rsidR="005B77F9">
        <w:t xml:space="preserve"> suffered, as well as</w:t>
      </w:r>
      <w:r w:rsidR="00C85ACF">
        <w:t xml:space="preserve"> </w:t>
      </w:r>
      <w:r w:rsidR="00C35A3B">
        <w:t xml:space="preserve">his </w:t>
      </w:r>
      <w:r w:rsidR="00C85ACF">
        <w:t>inability to enjoy his rights</w:t>
      </w:r>
      <w:r w:rsidR="008179ED">
        <w:t>.</w:t>
      </w:r>
    </w:p>
    <w:p w:rsidR="006A120B" w:rsidP="00A43580" w:rsidRDefault="00FF19A6">
      <w:pPr>
        <w:pStyle w:val="JuPara"/>
      </w:pPr>
      <w:r>
        <w:fldChar w:fldCharType="begin"/>
      </w:r>
      <w:r>
        <w:instrText xml:space="preserve"> SEQ level0 \*arabic </w:instrText>
      </w:r>
      <w:r>
        <w:fldChar w:fldCharType="separate"/>
      </w:r>
      <w:r w:rsidR="00F03FB1">
        <w:rPr>
          <w:noProof/>
        </w:rPr>
        <w:t>73</w:t>
      </w:r>
      <w:r>
        <w:fldChar w:fldCharType="end"/>
      </w:r>
      <w:r>
        <w:t>.  </w:t>
      </w:r>
      <w:r w:rsidRPr="00356B2D" w:rsidR="00740F91">
        <w:t>The Government considered the</w:t>
      </w:r>
      <w:r w:rsidR="00463AC1">
        <w:t>se</w:t>
      </w:r>
      <w:r w:rsidRPr="00356B2D" w:rsidR="00740F91">
        <w:t xml:space="preserve"> claims to be unsubstantiated</w:t>
      </w:r>
      <w:r w:rsidR="00532E2B">
        <w:t xml:space="preserve"> and speculative</w:t>
      </w:r>
      <w:r w:rsidRPr="00356B2D" w:rsidR="00740F91">
        <w:t>.</w:t>
      </w:r>
      <w:r w:rsidRPr="00A43580" w:rsidR="00A43580">
        <w:t xml:space="preserve"> </w:t>
      </w:r>
      <w:r w:rsidR="00A43580">
        <w:t xml:space="preserve">They noted that, </w:t>
      </w:r>
      <w:r w:rsidR="00C35A3B">
        <w:t xml:space="preserve">before </w:t>
      </w:r>
      <w:r w:rsidR="00A43580">
        <w:t xml:space="preserve">the Civil Code </w:t>
      </w:r>
      <w:r w:rsidR="00C35A3B">
        <w:t xml:space="preserve">had come </w:t>
      </w:r>
      <w:r w:rsidR="00A43580">
        <w:t>into force on 1</w:t>
      </w:r>
      <w:r w:rsidR="00C35A3B">
        <w:t> </w:t>
      </w:r>
      <w:r w:rsidR="00A43580">
        <w:t>July 2003, the applicant had</w:t>
      </w:r>
      <w:r w:rsidR="005B77F9">
        <w:t xml:space="preserve"> had</w:t>
      </w:r>
      <w:r w:rsidR="00A43580">
        <w:t xml:space="preserve"> no right to treatment for his disorder under domestic law. Moreover, </w:t>
      </w:r>
      <w:r w:rsidR="00290DB5">
        <w:t xml:space="preserve">in relation to further surgery, </w:t>
      </w:r>
      <w:r w:rsidR="00A43580">
        <w:t xml:space="preserve">the applicant had not </w:t>
      </w:r>
      <w:r w:rsidR="00C35A3B">
        <w:t xml:space="preserve">submitted </w:t>
      </w:r>
      <w:r w:rsidR="00A43580">
        <w:t>any evidence of his cu</w:t>
      </w:r>
      <w:r w:rsidR="00290DB5">
        <w:t>rrent needs and state of health</w:t>
      </w:r>
      <w:r w:rsidR="00A43580">
        <w:t>.</w:t>
      </w:r>
    </w:p>
    <w:p w:rsidR="00FF19A6" w:rsidP="00A43580" w:rsidRDefault="00FF19A6">
      <w:pPr>
        <w:pStyle w:val="JuPara"/>
      </w:pPr>
      <w:r>
        <w:fldChar w:fldCharType="begin"/>
      </w:r>
      <w:r>
        <w:instrText xml:space="preserve"> SEQ level0 \*arabic </w:instrText>
      </w:r>
      <w:r>
        <w:fldChar w:fldCharType="separate"/>
      </w:r>
      <w:r w:rsidR="00F03FB1">
        <w:rPr>
          <w:noProof/>
        </w:rPr>
        <w:t>74</w:t>
      </w:r>
      <w:r>
        <w:fldChar w:fldCharType="end"/>
      </w:r>
      <w:r>
        <w:t xml:space="preserve">.  The Court </w:t>
      </w:r>
      <w:r w:rsidR="00C35A3B">
        <w:t xml:space="preserve">notes </w:t>
      </w:r>
      <w:r>
        <w:t>the limited nature of the violation which it has found (</w:t>
      </w:r>
      <w:r w:rsidR="00C35A3B">
        <w:t xml:space="preserve">see </w:t>
      </w:r>
      <w:r>
        <w:t>paragraphs 59-60 above). It considers that the applicant</w:t>
      </w:r>
      <w:r w:rsidR="00C86D12">
        <w:t>’</w:t>
      </w:r>
      <w:r>
        <w:t xml:space="preserve">s claim for </w:t>
      </w:r>
      <w:r w:rsidR="0055517F">
        <w:t>pecuniary</w:t>
      </w:r>
      <w:r>
        <w:t xml:space="preserve"> damage would be </w:t>
      </w:r>
      <w:r w:rsidR="00C35A3B">
        <w:t xml:space="preserve">satisfied </w:t>
      </w:r>
      <w:r>
        <w:t xml:space="preserve">by the </w:t>
      </w:r>
      <w:r w:rsidR="00C35A3B">
        <w:t xml:space="preserve">enactment </w:t>
      </w:r>
      <w:r>
        <w:t xml:space="preserve">of the subsidiary legislation </w:t>
      </w:r>
      <w:r w:rsidR="00290DB5">
        <w:t>at issue in the present case</w:t>
      </w:r>
      <w:r>
        <w:t xml:space="preserve"> within </w:t>
      </w:r>
      <w:r w:rsidR="0066179C">
        <w:t>three</w:t>
      </w:r>
      <w:r>
        <w:t xml:space="preserve"> months of the present judgment</w:t>
      </w:r>
      <w:r w:rsidR="00C976FB">
        <w:t xml:space="preserve"> becoming final in accordance with</w:t>
      </w:r>
      <w:r w:rsidR="00290DB5">
        <w:t xml:space="preserve"> Article 44 § </w:t>
      </w:r>
      <w:r w:rsidR="0066179C">
        <w:t>2 of the Convention</w:t>
      </w:r>
      <w:r>
        <w:t>. However, should that prove impossible,</w:t>
      </w:r>
      <w:r w:rsidR="002D7C5F">
        <w:t xml:space="preserve"> and</w:t>
      </w:r>
      <w:r>
        <w:t xml:space="preserve"> in view of the uncertainty about the medical expertise currently available in Lithuania, the Court </w:t>
      </w:r>
      <w:r w:rsidR="002D7C5F">
        <w:t>is of the view</w:t>
      </w:r>
      <w:r>
        <w:t xml:space="preserve"> that this aspect of the applicant</w:t>
      </w:r>
      <w:r w:rsidR="00C86D12">
        <w:t>’</w:t>
      </w:r>
      <w:r>
        <w:t xml:space="preserve">s claim </w:t>
      </w:r>
      <w:r w:rsidR="005B77F9">
        <w:t>c</w:t>
      </w:r>
      <w:r>
        <w:t xml:space="preserve">ould be </w:t>
      </w:r>
      <w:r w:rsidR="00C35A3B">
        <w:t xml:space="preserve">satisfied </w:t>
      </w:r>
      <w:r>
        <w:t>by hi</w:t>
      </w:r>
      <w:r w:rsidR="00C35A3B">
        <w:t>s</w:t>
      </w:r>
      <w:r>
        <w:t xml:space="preserve"> having the final stages of the necessary surgery performed abroad</w:t>
      </w:r>
      <w:r w:rsidR="00C35A3B">
        <w:t xml:space="preserve"> and</w:t>
      </w:r>
      <w:r>
        <w:t xml:space="preserve"> financed, at least in part, by the respondent State. </w:t>
      </w:r>
      <w:r w:rsidR="007A6457">
        <w:t>Consequently, as an alternative i</w:t>
      </w:r>
      <w:r>
        <w:t xml:space="preserve">n the absence of </w:t>
      </w:r>
      <w:r w:rsidR="00C35A3B">
        <w:t>any such</w:t>
      </w:r>
      <w:r>
        <w:t xml:space="preserve"> subsidiary legislation, the Court would award</w:t>
      </w:r>
      <w:r w:rsidR="007A6457">
        <w:t xml:space="preserve"> the applicant </w:t>
      </w:r>
      <w:r>
        <w:t xml:space="preserve">EUR 40,000 in </w:t>
      </w:r>
      <w:r w:rsidR="0055517F">
        <w:t>pecuniary</w:t>
      </w:r>
      <w:r>
        <w:t xml:space="preserve"> damage.</w:t>
      </w:r>
    </w:p>
    <w:p w:rsidR="002D7C5F" w:rsidP="00A43580" w:rsidRDefault="002D7C5F">
      <w:pPr>
        <w:pStyle w:val="JuPara"/>
      </w:pPr>
      <w:r>
        <w:fldChar w:fldCharType="begin"/>
      </w:r>
      <w:r>
        <w:instrText xml:space="preserve"> SEQ level0 \*arabic </w:instrText>
      </w:r>
      <w:r>
        <w:fldChar w:fldCharType="separate"/>
      </w:r>
      <w:r w:rsidR="00F03FB1">
        <w:rPr>
          <w:noProof/>
        </w:rPr>
        <w:t>75</w:t>
      </w:r>
      <w:r>
        <w:fldChar w:fldCharType="end"/>
      </w:r>
      <w:r>
        <w:t>.  As regards the applicant</w:t>
      </w:r>
      <w:r w:rsidR="00C86D12">
        <w:t>’</w:t>
      </w:r>
      <w:r>
        <w:t xml:space="preserve">s claim for </w:t>
      </w:r>
      <w:r w:rsidR="0055517F">
        <w:t>non-pecuniary damage</w:t>
      </w:r>
      <w:r>
        <w:t>, the Court, deciding on an equitable ba</w:t>
      </w:r>
      <w:r w:rsidR="005B77F9">
        <w:t>sis as required by Article 41 o</w:t>
      </w:r>
      <w:r>
        <w:t>f the Convention, awards the applicant</w:t>
      </w:r>
      <w:r w:rsidR="005605DE">
        <w:t xml:space="preserve"> EUR 5</w:t>
      </w:r>
      <w:r w:rsidR="00733305">
        <w:t>,000.</w:t>
      </w:r>
    </w:p>
    <w:p w:rsidRPr="005725AF" w:rsidR="00CD49A7" w:rsidRDefault="00CD49A7">
      <w:pPr>
        <w:pStyle w:val="JuHA"/>
      </w:pPr>
      <w:r w:rsidRPr="005725AF">
        <w:t>B.  Costs and expenses</w:t>
      </w:r>
    </w:p>
    <w:p w:rsidR="006A120B" w:rsidRDefault="005725AF">
      <w:pPr>
        <w:pStyle w:val="JuPara"/>
      </w:pPr>
      <w:r w:rsidRPr="005725AF">
        <w:fldChar w:fldCharType="begin"/>
      </w:r>
      <w:r w:rsidRPr="005725AF">
        <w:instrText xml:space="preserve"> SEQ level0 \*arabic </w:instrText>
      </w:r>
      <w:r w:rsidRPr="005725AF">
        <w:fldChar w:fldCharType="separate"/>
      </w:r>
      <w:r w:rsidR="00F03FB1">
        <w:rPr>
          <w:noProof/>
        </w:rPr>
        <w:t>76</w:t>
      </w:r>
      <w:r w:rsidRPr="005725AF">
        <w:fldChar w:fldCharType="end"/>
      </w:r>
      <w:r w:rsidRPr="005725AF" w:rsidR="00CD49A7">
        <w:t>.  </w:t>
      </w:r>
      <w:r w:rsidR="0010008A">
        <w:t>The applicant claimed EUR 9,403</w:t>
      </w:r>
      <w:r w:rsidR="00033332">
        <w:t xml:space="preserve"> for legal costs and expenses incurred in the proceedings before the Court. </w:t>
      </w:r>
      <w:r w:rsidR="00733305">
        <w:t>The c</w:t>
      </w:r>
      <w:r w:rsidR="00FB3707">
        <w:t>ost</w:t>
      </w:r>
      <w:r w:rsidR="0025109B">
        <w:t>s</w:t>
      </w:r>
      <w:r w:rsidR="00FB3707">
        <w:t xml:space="preserve"> of travel to the Court hearing, together with accommodation and other related expenses</w:t>
      </w:r>
      <w:r w:rsidR="00FE50E8">
        <w:t>,</w:t>
      </w:r>
      <w:r w:rsidR="00FB3707">
        <w:t xml:space="preserve"> were claimed in the </w:t>
      </w:r>
      <w:r w:rsidR="00C35A3B">
        <w:t xml:space="preserve">amount </w:t>
      </w:r>
      <w:r w:rsidR="00FB3707">
        <w:t>of EUR 603.</w:t>
      </w:r>
    </w:p>
    <w:p w:rsidR="00491E2B" w:rsidRDefault="00A43580">
      <w:pPr>
        <w:pStyle w:val="JuPara"/>
      </w:pPr>
      <w:r>
        <w:fldChar w:fldCharType="begin"/>
      </w:r>
      <w:r>
        <w:instrText xml:space="preserve"> SEQ level0 \*arabic </w:instrText>
      </w:r>
      <w:r>
        <w:fldChar w:fldCharType="separate"/>
      </w:r>
      <w:r w:rsidR="00F03FB1">
        <w:rPr>
          <w:noProof/>
        </w:rPr>
        <w:t>77</w:t>
      </w:r>
      <w:r>
        <w:fldChar w:fldCharType="end"/>
      </w:r>
      <w:r>
        <w:t>.  </w:t>
      </w:r>
      <w:r w:rsidR="00FB3707">
        <w:t xml:space="preserve">The Government submitted that the </w:t>
      </w:r>
      <w:r w:rsidR="00F94B21">
        <w:t>claim</w:t>
      </w:r>
      <w:r w:rsidR="00FB3707">
        <w:t xml:space="preserve"> </w:t>
      </w:r>
      <w:r w:rsidR="00F16513">
        <w:t>f</w:t>
      </w:r>
      <w:r w:rsidR="00FE50E8">
        <w:t>or</w:t>
      </w:r>
      <w:r w:rsidR="00F16513">
        <w:t xml:space="preserve"> legal costs and expenses appeared excessive</w:t>
      </w:r>
      <w:r w:rsidR="00F94B21">
        <w:t xml:space="preserve"> and unjustified</w:t>
      </w:r>
      <w:r>
        <w:t xml:space="preserve">, particularly as </w:t>
      </w:r>
      <w:r w:rsidR="002D5740">
        <w:t>t</w:t>
      </w:r>
      <w:r>
        <w:t xml:space="preserve">he </w:t>
      </w:r>
      <w:r w:rsidR="002D5740">
        <w:t xml:space="preserve">applicant </w:t>
      </w:r>
      <w:r>
        <w:t>had received legal aid from the Council of Europe.</w:t>
      </w:r>
    </w:p>
    <w:p w:rsidRPr="007B2319" w:rsidR="00733305" w:rsidRDefault="00733305">
      <w:pPr>
        <w:pStyle w:val="JuPara"/>
        <w:rPr>
          <w:rFonts w:ascii="Times New (W1)" w:hAnsi="Times New (W1)"/>
        </w:rPr>
      </w:pPr>
      <w:r>
        <w:fldChar w:fldCharType="begin"/>
      </w:r>
      <w:r>
        <w:instrText xml:space="preserve"> SEQ level0 \*arabic </w:instrText>
      </w:r>
      <w:r>
        <w:fldChar w:fldCharType="separate"/>
      </w:r>
      <w:r w:rsidR="00F03FB1">
        <w:rPr>
          <w:noProof/>
        </w:rPr>
        <w:t>78</w:t>
      </w:r>
      <w:r>
        <w:fldChar w:fldCharType="end"/>
      </w:r>
      <w:r>
        <w:t xml:space="preserve">.  The Court notes that the applicant had the benefit of legal aid from the Council of Europe </w:t>
      </w:r>
      <w:r w:rsidR="007B2319">
        <w:t xml:space="preserve">for his representation </w:t>
      </w:r>
      <w:r>
        <w:t xml:space="preserve">in the total </w:t>
      </w:r>
      <w:r w:rsidRPr="007B2319">
        <w:rPr>
          <w:rFonts w:ascii="Times New (W1)" w:hAnsi="Times New (W1)"/>
        </w:rPr>
        <w:t>amount</w:t>
      </w:r>
      <w:r>
        <w:t xml:space="preserve"> of </w:t>
      </w:r>
      <w:r w:rsidR="007B2319">
        <w:t>EUR</w:t>
      </w:r>
      <w:r w:rsidR="00C35A3B">
        <w:t> </w:t>
      </w:r>
      <w:r w:rsidRPr="007B2319" w:rsidR="007B2319">
        <w:rPr>
          <w:rFonts w:ascii="Times New (W1)" w:hAnsi="Times New (W1)" w:cs="Arial"/>
        </w:rPr>
        <w:t>2</w:t>
      </w:r>
      <w:r w:rsidR="005605DE">
        <w:rPr>
          <w:rFonts w:ascii="Times New (W1)" w:hAnsi="Times New (W1)" w:cs="Arial"/>
        </w:rPr>
        <w:t>,</w:t>
      </w:r>
      <w:r w:rsidRPr="007B2319" w:rsidR="007B2319">
        <w:rPr>
          <w:rFonts w:ascii="Times New (W1)" w:hAnsi="Times New (W1)" w:cs="Arial"/>
        </w:rPr>
        <w:t>071.81</w:t>
      </w:r>
      <w:r w:rsidRPr="00C35A3B" w:rsidR="00C35A3B">
        <w:t xml:space="preserve"> </w:t>
      </w:r>
      <w:r w:rsidR="00C35A3B">
        <w:t>in the present case</w:t>
      </w:r>
      <w:r w:rsidR="007B2319">
        <w:rPr>
          <w:rFonts w:ascii="Times New (W1)" w:hAnsi="Times New (W1)" w:cs="Arial"/>
        </w:rPr>
        <w:t>. It con</w:t>
      </w:r>
      <w:r w:rsidR="00FE50E8">
        <w:rPr>
          <w:rFonts w:ascii="Times New (W1)" w:hAnsi="Times New (W1)" w:cs="Arial"/>
        </w:rPr>
        <w:t>cludes that</w:t>
      </w:r>
      <w:r w:rsidR="007B2319">
        <w:rPr>
          <w:rFonts w:ascii="Times New (W1)" w:hAnsi="Times New (W1)" w:cs="Arial"/>
        </w:rPr>
        <w:t xml:space="preserve"> this </w:t>
      </w:r>
      <w:r w:rsidR="0012572E">
        <w:rPr>
          <w:rFonts w:ascii="Times New (W1)" w:hAnsi="Times New (W1)" w:cs="Arial"/>
        </w:rPr>
        <w:t xml:space="preserve">amount </w:t>
      </w:r>
      <w:r w:rsidR="00FE50E8">
        <w:rPr>
          <w:rFonts w:ascii="Times New (W1)" w:hAnsi="Times New (W1)" w:cs="Arial"/>
        </w:rPr>
        <w:t>is</w:t>
      </w:r>
      <w:r w:rsidR="0012572E">
        <w:rPr>
          <w:rFonts w:ascii="Times New (W1)" w:hAnsi="Times New (W1)" w:cs="Arial"/>
        </w:rPr>
        <w:t xml:space="preserve"> </w:t>
      </w:r>
      <w:r w:rsidR="007B2319">
        <w:rPr>
          <w:rFonts w:ascii="Times New (W1)" w:hAnsi="Times New (W1)" w:cs="Arial"/>
        </w:rPr>
        <w:t>sufficient in the</w:t>
      </w:r>
      <w:r w:rsidR="0012572E">
        <w:rPr>
          <w:rFonts w:ascii="Times New (W1)" w:hAnsi="Times New (W1)" w:cs="Arial"/>
        </w:rPr>
        <w:t xml:space="preserve"> </w:t>
      </w:r>
      <w:r w:rsidR="007B2319">
        <w:rPr>
          <w:rFonts w:ascii="Times New (W1)" w:hAnsi="Times New (W1)" w:cs="Arial"/>
        </w:rPr>
        <w:t>circumstances</w:t>
      </w:r>
      <w:r w:rsidR="0012572E">
        <w:rPr>
          <w:rFonts w:ascii="Times New (W1)" w:hAnsi="Times New (W1)" w:cs="Arial"/>
        </w:rPr>
        <w:t>.</w:t>
      </w:r>
    </w:p>
    <w:p w:rsidRPr="005725AF" w:rsidR="00CD49A7" w:rsidRDefault="00CD49A7">
      <w:pPr>
        <w:pStyle w:val="JuHA"/>
      </w:pPr>
      <w:r w:rsidRPr="005725AF">
        <w:t>C.  Default interest</w:t>
      </w:r>
    </w:p>
    <w:p w:rsidRPr="005725AF" w:rsidR="00CD49A7" w:rsidRDefault="005725AF">
      <w:pPr>
        <w:pStyle w:val="JuPara"/>
      </w:pPr>
      <w:r w:rsidRPr="005725AF">
        <w:fldChar w:fldCharType="begin"/>
      </w:r>
      <w:r w:rsidRPr="005725AF">
        <w:instrText xml:space="preserve"> SEQ level0 \*arabic </w:instrText>
      </w:r>
      <w:r w:rsidRPr="005725AF">
        <w:fldChar w:fldCharType="separate"/>
      </w:r>
      <w:r w:rsidR="00F03FB1">
        <w:rPr>
          <w:noProof/>
        </w:rPr>
        <w:t>79</w:t>
      </w:r>
      <w:r w:rsidRPr="005725AF">
        <w:fldChar w:fldCharType="end"/>
      </w:r>
      <w:r w:rsidRPr="005725AF" w:rsidR="00CD49A7">
        <w:t>.  The Court considers it appropriate that the default interest should be based on the marginal lending rate of the European Central Bank, to which should be added three percentage points.</w:t>
      </w:r>
    </w:p>
    <w:p w:rsidR="006A120B" w:rsidRDefault="00CD49A7">
      <w:pPr>
        <w:pStyle w:val="JuHHead"/>
      </w:pPr>
      <w:r w:rsidRPr="005725AF">
        <w:t>FOR THESE REASONS, THE COURT</w:t>
      </w:r>
    </w:p>
    <w:p w:rsidRPr="005725AF" w:rsidR="00152E80" w:rsidP="00152E80" w:rsidRDefault="00152E80">
      <w:pPr>
        <w:pStyle w:val="JuList"/>
      </w:pPr>
      <w:r w:rsidRPr="005725AF">
        <w:t>1.  </w:t>
      </w:r>
      <w:r w:rsidRPr="005725AF">
        <w:rPr>
          <w:i/>
        </w:rPr>
        <w:t>Dismisse</w:t>
      </w:r>
      <w:r w:rsidR="002D282F">
        <w:rPr>
          <w:i/>
        </w:rPr>
        <w:t>s</w:t>
      </w:r>
      <w:r>
        <w:t xml:space="preserve"> </w:t>
      </w:r>
      <w:r w:rsidRPr="005725AF">
        <w:t xml:space="preserve">by </w:t>
      </w:r>
      <w:r w:rsidR="00C35A3B">
        <w:t>six</w:t>
      </w:r>
      <w:r w:rsidRPr="005725AF">
        <w:t xml:space="preserve"> votes to </w:t>
      </w:r>
      <w:r w:rsidR="00C35A3B">
        <w:t>one</w:t>
      </w:r>
      <w:r w:rsidRPr="005725AF">
        <w:t xml:space="preserve"> the Government</w:t>
      </w:r>
      <w:r w:rsidR="00C86D12">
        <w:t>’</w:t>
      </w:r>
      <w:r w:rsidRPr="005725AF">
        <w:t>s preliminary objection;</w:t>
      </w:r>
    </w:p>
    <w:p w:rsidRPr="005725AF" w:rsidR="00152E80" w:rsidP="00152E80" w:rsidRDefault="00152E80">
      <w:pPr>
        <w:pStyle w:val="JuList"/>
      </w:pPr>
    </w:p>
    <w:p w:rsidRPr="005725AF" w:rsidR="00152E80" w:rsidP="00152E80" w:rsidRDefault="00152E80">
      <w:pPr>
        <w:pStyle w:val="JuList"/>
      </w:pPr>
      <w:r>
        <w:t>2.</w:t>
      </w:r>
      <w:r w:rsidRPr="005725AF">
        <w:t>  </w:t>
      </w:r>
      <w:r>
        <w:rPr>
          <w:i/>
        </w:rPr>
        <w:t>Holds</w:t>
      </w:r>
      <w:r>
        <w:t xml:space="preserve"> </w:t>
      </w:r>
      <w:r w:rsidRPr="005725AF">
        <w:t xml:space="preserve">by </w:t>
      </w:r>
      <w:r w:rsidR="00C35A3B">
        <w:t>six</w:t>
      </w:r>
      <w:r w:rsidRPr="005725AF">
        <w:t xml:space="preserve"> votes to </w:t>
      </w:r>
      <w:r w:rsidR="00C35A3B">
        <w:t>one</w:t>
      </w:r>
      <w:r>
        <w:t xml:space="preserve"> </w:t>
      </w:r>
      <w:r w:rsidRPr="005725AF">
        <w:t>that the</w:t>
      </w:r>
      <w:r>
        <w:t>re has been no violation of Article 3 of the Convention</w:t>
      </w:r>
      <w:r w:rsidRPr="005725AF">
        <w:t>;</w:t>
      </w:r>
    </w:p>
    <w:p w:rsidRPr="005725AF" w:rsidR="00152E80" w:rsidP="00152E80" w:rsidRDefault="00152E80">
      <w:pPr>
        <w:pStyle w:val="JuList"/>
      </w:pPr>
    </w:p>
    <w:p w:rsidRPr="005725AF" w:rsidR="00152E80" w:rsidP="00152E80" w:rsidRDefault="00152E80">
      <w:pPr>
        <w:pStyle w:val="JuList"/>
      </w:pPr>
      <w:r>
        <w:t>3</w:t>
      </w:r>
      <w:r w:rsidRPr="005725AF">
        <w:t>.  </w:t>
      </w:r>
      <w:r>
        <w:rPr>
          <w:i/>
        </w:rPr>
        <w:t>Holds</w:t>
      </w:r>
      <w:r>
        <w:t xml:space="preserve"> </w:t>
      </w:r>
      <w:r w:rsidRPr="005725AF">
        <w:t xml:space="preserve">by </w:t>
      </w:r>
      <w:r w:rsidR="00C35A3B">
        <w:t>six</w:t>
      </w:r>
      <w:r w:rsidRPr="005725AF">
        <w:t xml:space="preserve"> votes to </w:t>
      </w:r>
      <w:r w:rsidR="00C35A3B">
        <w:t>one</w:t>
      </w:r>
      <w:r>
        <w:t xml:space="preserve"> </w:t>
      </w:r>
      <w:r w:rsidRPr="005725AF">
        <w:t>that the</w:t>
      </w:r>
      <w:r>
        <w:t>re has been a violation of Article 8 of the Convention</w:t>
      </w:r>
      <w:r w:rsidRPr="005725AF">
        <w:t>;</w:t>
      </w:r>
    </w:p>
    <w:p w:rsidRPr="005725AF" w:rsidR="00152E80" w:rsidP="00152E80" w:rsidRDefault="00152E80">
      <w:pPr>
        <w:pStyle w:val="JuList"/>
      </w:pPr>
    </w:p>
    <w:p w:rsidRPr="005725AF" w:rsidR="00152E80" w:rsidP="00152E80" w:rsidRDefault="00152E80">
      <w:pPr>
        <w:pStyle w:val="JuList"/>
      </w:pPr>
      <w:r>
        <w:t>4</w:t>
      </w:r>
      <w:r w:rsidRPr="005725AF">
        <w:t>.  </w:t>
      </w:r>
      <w:r>
        <w:rPr>
          <w:i/>
        </w:rPr>
        <w:t>Holds</w:t>
      </w:r>
      <w:r>
        <w:t xml:space="preserve"> </w:t>
      </w:r>
      <w:r w:rsidRPr="005725AF">
        <w:t xml:space="preserve">by </w:t>
      </w:r>
      <w:r w:rsidR="00C35A3B">
        <w:t>six</w:t>
      </w:r>
      <w:r w:rsidRPr="005725AF">
        <w:t xml:space="preserve"> votes to </w:t>
      </w:r>
      <w:r w:rsidR="00C35A3B">
        <w:t>one</w:t>
      </w:r>
      <w:r>
        <w:t xml:space="preserve"> </w:t>
      </w:r>
      <w:r w:rsidRPr="005725AF">
        <w:t>that the</w:t>
      </w:r>
      <w:r>
        <w:t>re is no need to examine separately the applicant</w:t>
      </w:r>
      <w:r w:rsidR="00C86D12">
        <w:t>’</w:t>
      </w:r>
      <w:r>
        <w:t>s complaints under Articles 12 and 14 of the Convention</w:t>
      </w:r>
      <w:r w:rsidRPr="005725AF">
        <w:t>;</w:t>
      </w:r>
    </w:p>
    <w:p w:rsidRPr="005725AF" w:rsidR="00152E80" w:rsidP="00152E80" w:rsidRDefault="00152E80">
      <w:pPr>
        <w:pStyle w:val="JuList"/>
      </w:pPr>
    </w:p>
    <w:p w:rsidR="00152E80" w:rsidP="00152E80" w:rsidRDefault="00152E80">
      <w:pPr>
        <w:pStyle w:val="JuList"/>
      </w:pPr>
      <w:r w:rsidRPr="006B284A">
        <w:t>5.  </w:t>
      </w:r>
      <w:r w:rsidRPr="006B284A">
        <w:rPr>
          <w:i/>
        </w:rPr>
        <w:t>H</w:t>
      </w:r>
      <w:r>
        <w:rPr>
          <w:i/>
        </w:rPr>
        <w:t>o</w:t>
      </w:r>
      <w:r w:rsidRPr="006B284A">
        <w:rPr>
          <w:i/>
        </w:rPr>
        <w:t>ld</w:t>
      </w:r>
      <w:r>
        <w:rPr>
          <w:i/>
        </w:rPr>
        <w:t>s</w:t>
      </w:r>
      <w:r w:rsidRPr="00607C21">
        <w:t xml:space="preserve"> </w:t>
      </w:r>
      <w:r w:rsidRPr="006B284A">
        <w:t xml:space="preserve">by </w:t>
      </w:r>
      <w:r w:rsidR="00C35A3B">
        <w:t>five</w:t>
      </w:r>
      <w:r w:rsidRPr="006B284A" w:rsidR="00C35A3B">
        <w:t xml:space="preserve"> </w:t>
      </w:r>
      <w:r w:rsidRPr="006B284A">
        <w:t xml:space="preserve">votes to </w:t>
      </w:r>
      <w:r w:rsidR="00C35A3B">
        <w:t>two</w:t>
      </w:r>
      <w:r w:rsidR="00A4325C">
        <w:t xml:space="preserve"> </w:t>
      </w:r>
      <w:r w:rsidRPr="005725AF">
        <w:t>that the respondent State</w:t>
      </w:r>
      <w:r>
        <w:t xml:space="preserve">, in order to </w:t>
      </w:r>
      <w:r w:rsidR="00A4325C">
        <w:t xml:space="preserve">satisfy </w:t>
      </w:r>
      <w:r>
        <w:t>the applicant</w:t>
      </w:r>
      <w:r w:rsidR="00C86D12">
        <w:t>’</w:t>
      </w:r>
      <w:r>
        <w:t xml:space="preserve">s claim for pecuniary damage, is </w:t>
      </w:r>
      <w:r w:rsidRPr="005725AF">
        <w:t xml:space="preserve">to </w:t>
      </w:r>
      <w:r w:rsidR="00A4325C">
        <w:t xml:space="preserve">pass </w:t>
      </w:r>
      <w:r>
        <w:t xml:space="preserve">the required subsidiary legislation to </w:t>
      </w:r>
      <w:r w:rsidRPr="00A54170">
        <w:t xml:space="preserve">Article 2.27 </w:t>
      </w:r>
      <w:r>
        <w:t>of its Civil</w:t>
      </w:r>
      <w:r w:rsidRPr="00A54170">
        <w:t xml:space="preserve"> Code</w:t>
      </w:r>
      <w:r>
        <w:t xml:space="preserve"> on gender</w:t>
      </w:r>
      <w:r w:rsidR="00A4325C">
        <w:t xml:space="preserve"> </w:t>
      </w:r>
      <w:r w:rsidR="00290DB5">
        <w:t>reassignment of transsexuals</w:t>
      </w:r>
      <w:r>
        <w:t xml:space="preserve"> within three months of the present judgment becoming </w:t>
      </w:r>
      <w:r w:rsidR="00290DB5">
        <w:t>final</w:t>
      </w:r>
      <w:r>
        <w:t xml:space="preserve"> in accordance with </w:t>
      </w:r>
      <w:r w:rsidR="00290DB5">
        <w:t xml:space="preserve">Article 44 § </w:t>
      </w:r>
      <w:r w:rsidRPr="005725AF">
        <w:t>2 of the Convention</w:t>
      </w:r>
      <w:r>
        <w:t>;</w:t>
      </w:r>
    </w:p>
    <w:p w:rsidR="00152E80" w:rsidP="00152E80" w:rsidRDefault="00152E80">
      <w:pPr>
        <w:pStyle w:val="JuLista"/>
        <w:ind w:left="706"/>
      </w:pPr>
    </w:p>
    <w:p w:rsidR="00152E80" w:rsidP="00152E80" w:rsidRDefault="00152E80">
      <w:pPr>
        <w:pStyle w:val="JuList"/>
      </w:pPr>
      <w:r>
        <w:t>6</w:t>
      </w:r>
      <w:r w:rsidRPr="006B284A">
        <w:t>.  </w:t>
      </w:r>
      <w:r w:rsidRPr="006B284A">
        <w:rPr>
          <w:i/>
        </w:rPr>
        <w:t>H</w:t>
      </w:r>
      <w:r>
        <w:rPr>
          <w:i/>
        </w:rPr>
        <w:t>o</w:t>
      </w:r>
      <w:r w:rsidRPr="006B284A">
        <w:rPr>
          <w:i/>
        </w:rPr>
        <w:t>ld</w:t>
      </w:r>
      <w:r>
        <w:rPr>
          <w:i/>
        </w:rPr>
        <w:t>s</w:t>
      </w:r>
      <w:r w:rsidRPr="00607C21">
        <w:t xml:space="preserve"> </w:t>
      </w:r>
      <w:r w:rsidRPr="006B284A">
        <w:t xml:space="preserve">by </w:t>
      </w:r>
      <w:r w:rsidR="00C35A3B">
        <w:t>six</w:t>
      </w:r>
      <w:r w:rsidRPr="006B284A">
        <w:t xml:space="preserve"> votes to </w:t>
      </w:r>
      <w:r w:rsidR="00C35A3B">
        <w:t>one</w:t>
      </w:r>
      <w:r w:rsidR="00A4325C">
        <w:t xml:space="preserve"> that</w:t>
      </w:r>
      <w:r w:rsidR="00290DB5">
        <w:t>,</w:t>
      </w:r>
      <w:r>
        <w:t xml:space="preserve"> alternatively, should those legislative measures prove impossible to adopt within three months of the present judgment becoming final in accordance with </w:t>
      </w:r>
      <w:r w:rsidRPr="005725AF">
        <w:t>Article</w:t>
      </w:r>
      <w:r w:rsidR="00F03FB1">
        <w:t xml:space="preserve"> 44 </w:t>
      </w:r>
      <w:r w:rsidRPr="005725AF">
        <w:t>§</w:t>
      </w:r>
      <w:r w:rsidR="00F03FB1">
        <w:t xml:space="preserve"> </w:t>
      </w:r>
      <w:r w:rsidRPr="005725AF">
        <w:t>2 of the Convention</w:t>
      </w:r>
      <w:r>
        <w:t xml:space="preserve">, </w:t>
      </w:r>
      <w:r w:rsidRPr="005725AF" w:rsidR="002C052B">
        <w:t xml:space="preserve">the respondent State is to pay </w:t>
      </w:r>
      <w:r w:rsidRPr="005725AF">
        <w:t xml:space="preserve">the applicant EUR </w:t>
      </w:r>
      <w:r>
        <w:t xml:space="preserve">40,000 </w:t>
      </w:r>
      <w:r w:rsidRPr="005725AF">
        <w:t>(</w:t>
      </w:r>
      <w:r>
        <w:t xml:space="preserve">forty thousand </w:t>
      </w:r>
      <w:r w:rsidRPr="005725AF">
        <w:t>euros) in respect of pecuniary damage</w:t>
      </w:r>
      <w:r>
        <w:t>;</w:t>
      </w:r>
    </w:p>
    <w:p w:rsidR="00152E80" w:rsidP="00152E80" w:rsidRDefault="00152E80">
      <w:pPr>
        <w:pStyle w:val="JuList"/>
      </w:pPr>
    </w:p>
    <w:p w:rsidR="00152E80" w:rsidP="002C052B" w:rsidRDefault="00152E80">
      <w:pPr>
        <w:pStyle w:val="JuList"/>
      </w:pPr>
      <w:r>
        <w:t>7</w:t>
      </w:r>
      <w:r w:rsidRPr="006B284A">
        <w:t>.  </w:t>
      </w:r>
      <w:r w:rsidRPr="006B284A">
        <w:rPr>
          <w:i/>
        </w:rPr>
        <w:t>H</w:t>
      </w:r>
      <w:r>
        <w:rPr>
          <w:i/>
        </w:rPr>
        <w:t>o</w:t>
      </w:r>
      <w:r w:rsidRPr="006B284A">
        <w:rPr>
          <w:i/>
        </w:rPr>
        <w:t>ld</w:t>
      </w:r>
      <w:r>
        <w:rPr>
          <w:i/>
        </w:rPr>
        <w:t>s</w:t>
      </w:r>
      <w:r w:rsidRPr="00607C21">
        <w:t xml:space="preserve"> </w:t>
      </w:r>
      <w:r w:rsidRPr="006B284A">
        <w:t xml:space="preserve">by </w:t>
      </w:r>
      <w:r w:rsidR="00C35A3B">
        <w:t>six</w:t>
      </w:r>
      <w:r w:rsidRPr="006B284A">
        <w:t xml:space="preserve"> votes to </w:t>
      </w:r>
      <w:r w:rsidR="00C35A3B">
        <w:t>one</w:t>
      </w:r>
      <w:r w:rsidR="00A4325C">
        <w:t xml:space="preserve"> </w:t>
      </w:r>
      <w:r w:rsidRPr="005725AF">
        <w:t xml:space="preserve">that the respondent State is to pay the applicant, within </w:t>
      </w:r>
      <w:r>
        <w:t>the a</w:t>
      </w:r>
      <w:r w:rsidR="003D6F8A">
        <w:t>bove-</w:t>
      </w:r>
      <w:r>
        <w:t xml:space="preserve">mentioned </w:t>
      </w:r>
      <w:r w:rsidRPr="005725AF">
        <w:t>three</w:t>
      </w:r>
      <w:r w:rsidR="00A4325C">
        <w:t>-</w:t>
      </w:r>
      <w:r w:rsidRPr="005725AF">
        <w:t>month</w:t>
      </w:r>
      <w:r>
        <w:t xml:space="preserve"> period</w:t>
      </w:r>
      <w:r w:rsidRPr="005725AF">
        <w:t xml:space="preserve">, EUR </w:t>
      </w:r>
      <w:r>
        <w:t>5,000</w:t>
      </w:r>
      <w:r w:rsidRPr="005725AF">
        <w:t xml:space="preserve"> (</w:t>
      </w:r>
      <w:r>
        <w:t>five thousand e</w:t>
      </w:r>
      <w:r w:rsidRPr="005725AF">
        <w:t>uros) in r</w:t>
      </w:r>
      <w:r>
        <w:t>espect of non-pecuniary damage;</w:t>
      </w:r>
    </w:p>
    <w:p w:rsidR="002C052B" w:rsidP="002C052B" w:rsidRDefault="002C052B">
      <w:pPr>
        <w:pStyle w:val="JuList"/>
      </w:pPr>
    </w:p>
    <w:p w:rsidR="006A120B" w:rsidP="002C052B" w:rsidRDefault="002C052B">
      <w:pPr>
        <w:pStyle w:val="JuList"/>
      </w:pPr>
      <w:r>
        <w:t>8.</w:t>
      </w:r>
      <w:r w:rsidR="00290DB5">
        <w:t>  </w:t>
      </w:r>
      <w:r w:rsidRPr="006B284A">
        <w:rPr>
          <w:i/>
        </w:rPr>
        <w:t>H</w:t>
      </w:r>
      <w:r>
        <w:rPr>
          <w:i/>
        </w:rPr>
        <w:t>o</w:t>
      </w:r>
      <w:r w:rsidRPr="006B284A">
        <w:rPr>
          <w:i/>
        </w:rPr>
        <w:t>ld</w:t>
      </w:r>
      <w:r>
        <w:rPr>
          <w:i/>
        </w:rPr>
        <w:t>s</w:t>
      </w:r>
      <w:r w:rsidRPr="00607C21">
        <w:t xml:space="preserve"> </w:t>
      </w:r>
      <w:r w:rsidRPr="006B284A">
        <w:t xml:space="preserve">by </w:t>
      </w:r>
      <w:r w:rsidR="00C35A3B">
        <w:t>six</w:t>
      </w:r>
      <w:r w:rsidRPr="006B284A">
        <w:t xml:space="preserve"> votes to </w:t>
      </w:r>
      <w:r w:rsidR="00C35A3B">
        <w:t>one</w:t>
      </w:r>
    </w:p>
    <w:p w:rsidR="006A120B" w:rsidP="00A4325C" w:rsidRDefault="002C052B">
      <w:pPr>
        <w:pStyle w:val="JuLista"/>
      </w:pPr>
      <w:r>
        <w:t>(a)</w:t>
      </w:r>
      <w:r w:rsidR="00A4325C">
        <w:t>  </w:t>
      </w:r>
      <w:r w:rsidRPr="005725AF">
        <w:t xml:space="preserve">that the respondent State is to pay the applicant, within </w:t>
      </w:r>
      <w:r>
        <w:t>the a</w:t>
      </w:r>
      <w:r w:rsidR="00F2633B">
        <w:t>bove-</w:t>
      </w:r>
      <w:r>
        <w:t xml:space="preserve">mentioned </w:t>
      </w:r>
      <w:r w:rsidRPr="005725AF">
        <w:t>three</w:t>
      </w:r>
      <w:r w:rsidR="00A4325C">
        <w:t>-</w:t>
      </w:r>
      <w:r w:rsidRPr="005725AF">
        <w:t>month</w:t>
      </w:r>
      <w:r>
        <w:t xml:space="preserve"> period</w:t>
      </w:r>
      <w:r w:rsidRPr="005725AF">
        <w:t>,</w:t>
      </w:r>
      <w:r>
        <w:t xml:space="preserve"> </w:t>
      </w:r>
      <w:r w:rsidRPr="005725AF" w:rsidR="00152E80">
        <w:t xml:space="preserve">any tax </w:t>
      </w:r>
      <w:r>
        <w:t>which</w:t>
      </w:r>
      <w:r w:rsidRPr="005725AF" w:rsidR="00152E80">
        <w:t xml:space="preserve"> may be chargeable on the above amounts</w:t>
      </w:r>
      <w:r>
        <w:t>, and that</w:t>
      </w:r>
      <w:r w:rsidR="00152E80">
        <w:t xml:space="preserve"> the </w:t>
      </w:r>
      <w:r>
        <w:t>sums due</w:t>
      </w:r>
      <w:r w:rsidR="00152E80">
        <w:t xml:space="preserve"> are to be converted into </w:t>
      </w:r>
      <w:r w:rsidR="00290DB5">
        <w:t>Lithuanian litai</w:t>
      </w:r>
      <w:r w:rsidR="00152E80">
        <w:t xml:space="preserve"> at the rate applicable at the date of settlement;</w:t>
      </w:r>
    </w:p>
    <w:p w:rsidRPr="005725AF" w:rsidR="00152E80" w:rsidP="00152E80" w:rsidRDefault="00152E80">
      <w:pPr>
        <w:pStyle w:val="JuLista"/>
      </w:pPr>
      <w:r w:rsidRPr="005725AF">
        <w:t>(</w:t>
      </w:r>
      <w:r w:rsidR="002C052B">
        <w:t>b</w:t>
      </w:r>
      <w:r w:rsidRPr="005725AF">
        <w:t>)  that from the expiry of the above-mentioned three months until settlement simple interest shall be payable on the above amounts at a rate equal to the marginal lending rate of the European Central Bank during the default period plus three percentage points;</w:t>
      </w:r>
    </w:p>
    <w:p w:rsidRPr="005725AF" w:rsidR="00152E80" w:rsidP="00152E80" w:rsidRDefault="00152E80">
      <w:pPr>
        <w:pStyle w:val="JuList"/>
      </w:pPr>
    </w:p>
    <w:p w:rsidRPr="005725AF" w:rsidR="00152E80" w:rsidP="00152E80" w:rsidRDefault="002C052B">
      <w:pPr>
        <w:pStyle w:val="JuList"/>
      </w:pPr>
      <w:r>
        <w:t>9</w:t>
      </w:r>
      <w:r w:rsidRPr="005725AF" w:rsidR="00152E80">
        <w:t>.  </w:t>
      </w:r>
      <w:r w:rsidRPr="005725AF" w:rsidR="00152E80">
        <w:rPr>
          <w:i/>
        </w:rPr>
        <w:t>Dismisse</w:t>
      </w:r>
      <w:r w:rsidR="00152E80">
        <w:rPr>
          <w:i/>
        </w:rPr>
        <w:t>s</w:t>
      </w:r>
      <w:r w:rsidR="00152E80">
        <w:t xml:space="preserve"> unanimously</w:t>
      </w:r>
      <w:r w:rsidRPr="005725AF" w:rsidR="00152E80">
        <w:t xml:space="preserve"> the remainder of the applicant</w:t>
      </w:r>
      <w:r w:rsidR="00C86D12">
        <w:t>’</w:t>
      </w:r>
      <w:r w:rsidRPr="005725AF" w:rsidR="00152E80">
        <w:t>s claim for just satisfaction.</w:t>
      </w:r>
    </w:p>
    <w:p w:rsidR="000C5228" w:rsidP="00E045F2" w:rsidRDefault="00CD49A7">
      <w:pPr>
        <w:pStyle w:val="JuParaLast"/>
        <w:keepNext/>
      </w:pPr>
      <w:r w:rsidRPr="005725AF">
        <w:t xml:space="preserve">Done in English, and notified in writing on </w:t>
      </w:r>
      <w:r w:rsidR="00152E80">
        <w:t>11 September 2007</w:t>
      </w:r>
      <w:r w:rsidRPr="005725AF">
        <w:t>, pursuant to Rule 77 §§ 2 and 3 of the Rules of Court.</w:t>
      </w:r>
    </w:p>
    <w:p w:rsidR="00152E80" w:rsidP="00E045F2" w:rsidRDefault="000C5228">
      <w:pPr>
        <w:pStyle w:val="JuSigned"/>
        <w:keepNext/>
        <w:keepLines/>
        <w:rPr>
          <w:lang w:val="es-ES_tradnl"/>
        </w:rPr>
      </w:pPr>
      <w:r w:rsidRPr="005725AF">
        <w:tab/>
      </w:r>
      <w:r w:rsidRPr="001F01A0" w:rsidR="005725AF">
        <w:rPr>
          <w:lang w:val="es-ES_tradnl"/>
        </w:rPr>
        <w:t>S</w:t>
      </w:r>
      <w:r w:rsidR="00290DB5">
        <w:rPr>
          <w:lang w:val="es-ES_tradnl"/>
        </w:rPr>
        <w:t>ally Dollé</w:t>
      </w:r>
      <w:r w:rsidRPr="001F01A0" w:rsidR="005725AF">
        <w:rPr>
          <w:rStyle w:val="JuNames"/>
          <w:lang w:val="es-ES_tradnl"/>
        </w:rPr>
        <w:tab/>
      </w:r>
      <w:r w:rsidRPr="001F01A0" w:rsidR="005725AF">
        <w:rPr>
          <w:lang w:val="es-ES_tradnl"/>
        </w:rPr>
        <w:t>J</w:t>
      </w:r>
      <w:r w:rsidR="00290DB5">
        <w:rPr>
          <w:lang w:val="es-ES_tradnl"/>
        </w:rPr>
        <w:t>ean</w:t>
      </w:r>
      <w:r w:rsidRPr="001F01A0" w:rsidR="005725AF">
        <w:rPr>
          <w:lang w:val="es-ES_tradnl"/>
        </w:rPr>
        <w:t>-P</w:t>
      </w:r>
      <w:r w:rsidR="00290DB5">
        <w:rPr>
          <w:lang w:val="es-ES_tradnl"/>
        </w:rPr>
        <w:t>aul</w:t>
      </w:r>
      <w:r w:rsidRPr="001F01A0" w:rsidR="005725AF">
        <w:rPr>
          <w:lang w:val="es-ES_tradnl"/>
        </w:rPr>
        <w:t xml:space="preserve"> </w:t>
      </w:r>
      <w:r w:rsidR="00290DB5">
        <w:rPr>
          <w:lang w:val="es-ES_tradnl"/>
        </w:rPr>
        <w:t>Costa</w:t>
      </w:r>
      <w:r w:rsidRPr="001F01A0" w:rsidR="005725AF">
        <w:rPr>
          <w:lang w:val="es-ES_tradnl"/>
        </w:rPr>
        <w:br/>
      </w:r>
      <w:r w:rsidRPr="001F01A0" w:rsidR="005725AF">
        <w:rPr>
          <w:lang w:val="es-ES_tradnl"/>
        </w:rPr>
        <w:tab/>
      </w:r>
      <w:r w:rsidRPr="00B97FAB" w:rsidR="005725AF">
        <w:t>Registrar</w:t>
      </w:r>
      <w:r w:rsidRPr="00B97FAB" w:rsidR="005725AF">
        <w:tab/>
        <w:t>President</w:t>
      </w:r>
    </w:p>
    <w:p w:rsidR="006A120B" w:rsidP="00E045F2" w:rsidRDefault="00152E80">
      <w:pPr>
        <w:pStyle w:val="JuParaLast"/>
        <w:keepNext/>
      </w:pPr>
      <w:r w:rsidRPr="00152E80">
        <w:rPr>
          <w:rStyle w:val="JuParaLastChar"/>
        </w:rPr>
        <w:t xml:space="preserve">In accordance with Article </w:t>
      </w:r>
      <w:r>
        <w:rPr>
          <w:rStyle w:val="JuParaLastChar"/>
        </w:rPr>
        <w:t xml:space="preserve">45 </w:t>
      </w:r>
      <w:r w:rsidRPr="005725AF">
        <w:t>§</w:t>
      </w:r>
      <w:r>
        <w:t xml:space="preserve"> 2 of the </w:t>
      </w:r>
      <w:r w:rsidR="00E045F2">
        <w:t>Convention</w:t>
      </w:r>
      <w:r>
        <w:t xml:space="preserve"> and Rule 74 </w:t>
      </w:r>
      <w:r w:rsidRPr="005725AF">
        <w:t>§</w:t>
      </w:r>
      <w:r>
        <w:t xml:space="preserve"> 2 of the Rules of the Court, </w:t>
      </w:r>
      <w:r w:rsidR="002C052B">
        <w:t>the</w:t>
      </w:r>
      <w:r w:rsidRPr="002C052B" w:rsidR="002C052B">
        <w:t xml:space="preserve"> </w:t>
      </w:r>
      <w:r w:rsidR="00290DB5">
        <w:t xml:space="preserve">following </w:t>
      </w:r>
      <w:r w:rsidR="002C052B">
        <w:t xml:space="preserve">separate opinions </w:t>
      </w:r>
      <w:r>
        <w:t>are annexed to this judgment</w:t>
      </w:r>
      <w:r w:rsidR="00290DB5">
        <w:t>:</w:t>
      </w:r>
    </w:p>
    <w:p w:rsidR="00290DB5" w:rsidP="00290DB5" w:rsidRDefault="00290DB5">
      <w:pPr>
        <w:pStyle w:val="JuPara"/>
      </w:pPr>
    </w:p>
    <w:p w:rsidR="00290DB5" w:rsidP="00290DB5" w:rsidRDefault="00290DB5">
      <w:pPr>
        <w:pStyle w:val="JuPara"/>
      </w:pPr>
      <w:r>
        <w:t>(a)  partly dissenting opnion of Judge</w:t>
      </w:r>
      <w:r w:rsidRPr="006B284A">
        <w:t xml:space="preserve"> Fura-Sandström</w:t>
      </w:r>
      <w:r>
        <w:t>;</w:t>
      </w:r>
    </w:p>
    <w:p w:rsidRPr="00290DB5" w:rsidR="00290DB5" w:rsidP="00290DB5" w:rsidRDefault="00290DB5">
      <w:pPr>
        <w:pStyle w:val="JuPara"/>
      </w:pPr>
      <w:r>
        <w:t xml:space="preserve">(b)  dissenting opinion of Judge </w:t>
      </w:r>
      <w:r w:rsidRPr="006B284A">
        <w:t>Popović</w:t>
      </w:r>
      <w:r>
        <w:t>.</w:t>
      </w:r>
    </w:p>
    <w:p w:rsidR="00172D41" w:rsidP="00E045F2" w:rsidRDefault="00E045F2">
      <w:pPr>
        <w:pStyle w:val="JuInitialled"/>
        <w:rPr>
          <w:rStyle w:val="JuNames"/>
          <w:lang w:val="es-ES_tradnl"/>
        </w:rPr>
        <w:sectPr w:rsidR="00172D41" w:rsidSect="00797919">
          <w:headerReference w:type="even" r:id="rId8"/>
          <w:headerReference w:type="default" r:id="rId9"/>
          <w:footerReference w:type="default" r:id="rId10"/>
          <w:footnotePr>
            <w:numRestart w:val="eachPage"/>
          </w:footnotePr>
          <w:pgSz w:w="11906" w:h="16838" w:code="9"/>
          <w:pgMar w:top="2274" w:right="2274" w:bottom="2274" w:left="2274" w:header="1701" w:footer="720" w:gutter="0"/>
          <w:pgNumType w:start="1"/>
          <w:cols w:space="720"/>
          <w:docGrid w:linePitch="78"/>
        </w:sectPr>
      </w:pPr>
      <w:r w:rsidRPr="001F01A0">
        <w:rPr>
          <w:lang w:val="es-ES_tradnl"/>
        </w:rPr>
        <w:t>J.-P.</w:t>
      </w:r>
      <w:r w:rsidRPr="001F01A0">
        <w:rPr>
          <w:rStyle w:val="JuNames"/>
          <w:lang w:val="es-ES_tradnl"/>
        </w:rPr>
        <w:t>C</w:t>
      </w:r>
      <w:r w:rsidR="001A61E4">
        <w:rPr>
          <w:rStyle w:val="JuNames"/>
          <w:lang w:val="es-ES_tradnl"/>
        </w:rPr>
        <w:t>.</w:t>
      </w:r>
      <w:r w:rsidR="001A61E4">
        <w:rPr>
          <w:rStyle w:val="JuNames"/>
          <w:lang w:val="es-ES_tradnl"/>
        </w:rPr>
        <w:br/>
      </w:r>
      <w:r>
        <w:rPr>
          <w:rStyle w:val="JuNames"/>
          <w:lang w:val="es-ES_tradnl"/>
        </w:rPr>
        <w:t>S.D.</w:t>
      </w:r>
    </w:p>
    <w:p w:rsidRPr="00451F85" w:rsidR="00903E98" w:rsidP="00903E98" w:rsidRDefault="00903E98">
      <w:pPr>
        <w:pStyle w:val="OpiHHead"/>
        <w:ind w:left="720"/>
      </w:pPr>
      <w:r>
        <w:t>PARTLY DISSENTING</w:t>
      </w:r>
      <w:r w:rsidRPr="00451F85">
        <w:t xml:space="preserve"> OPINION </w:t>
      </w:r>
      <w:r w:rsidR="00290DB5">
        <w:br/>
      </w:r>
      <w:r w:rsidRPr="00451F85">
        <w:t xml:space="preserve">OF JUDGE </w:t>
      </w:r>
      <w:r>
        <w:t>FURA-SANDSTR</w:t>
      </w:r>
      <w:r w:rsidRPr="00451F85">
        <w:t>Ö</w:t>
      </w:r>
      <w:r>
        <w:t>M</w:t>
      </w:r>
    </w:p>
    <w:p w:rsidR="00903E98" w:rsidP="00903E98" w:rsidRDefault="00903E98">
      <w:pPr>
        <w:pStyle w:val="OpiPara"/>
      </w:pPr>
      <w:r>
        <w:t>I voted against holding that the respondent State, in order to satisfy the applicant</w:t>
      </w:r>
      <w:r w:rsidR="00C86D12">
        <w:t>’</w:t>
      </w:r>
      <w:r>
        <w:t xml:space="preserve">s claim for pecuniary damage, should pass the required subsidiary legislation, pursuant to Article 2.27 of its Civil Code on the gender reassignment of transsexuals, within three months of the judgment becoming final (see paragraph 74 and point 5 of the operative </w:t>
      </w:r>
      <w:r w:rsidR="00290DB5">
        <w:t>provisions</w:t>
      </w:r>
      <w:r>
        <w:t>). In all other aspects I agree with the majority.</w:t>
      </w:r>
    </w:p>
    <w:p w:rsidR="00903E98" w:rsidP="00903E98" w:rsidRDefault="00903E98">
      <w:pPr>
        <w:pStyle w:val="OpiPara"/>
      </w:pPr>
      <w:r>
        <w:t xml:space="preserve">My principal concern is that, by adopting such a solution, the Court risks acting </w:t>
      </w:r>
      <w:r>
        <w:rPr>
          <w:i/>
        </w:rPr>
        <w:t>ultra vires</w:t>
      </w:r>
      <w:r>
        <w:t>. The Convention clearly sets out a division of competences. Under Article 41 of the Convention, it falls to the Court, when a violation of the Convention or its Protocols has been found, and if the internal law of the High Contracting Party concerned allows only partial reparation to be made, to afford just satisfaction to the injured party, if necessary. Article 46 § 2 of the Convention states that “</w:t>
      </w:r>
      <w:r w:rsidR="00290DB5">
        <w:t>[</w:t>
      </w:r>
      <w:r>
        <w:t>t</w:t>
      </w:r>
      <w:r w:rsidR="00290DB5">
        <w:t>]</w:t>
      </w:r>
      <w:r>
        <w:t>he final judgment of the Court shall be transmitted to the Committee of Ministers, which shall supervise its execution”.</w:t>
      </w:r>
    </w:p>
    <w:p w:rsidR="00903E98" w:rsidP="00903E98" w:rsidRDefault="00903E98">
      <w:pPr>
        <w:pStyle w:val="OpiPara"/>
      </w:pPr>
      <w:r>
        <w:t xml:space="preserve">Looking at the case at hand, I would make the following observations. The applicant claimed the amount of 57,408 </w:t>
      </w:r>
      <w:r w:rsidR="00290DB5">
        <w:t xml:space="preserve">euros (EUR) </w:t>
      </w:r>
      <w:r>
        <w:t>for pecuniary damage in respect of medical fees, loss of earnings, ho</w:t>
      </w:r>
      <w:r w:rsidR="001140A1">
        <w:t xml:space="preserve">rmone treatment and the cost </w:t>
      </w:r>
      <w:r>
        <w:t>o</w:t>
      </w:r>
      <w:r w:rsidR="00290DB5">
        <w:t>f</w:t>
      </w:r>
      <w:r w:rsidR="001140A1">
        <w:t xml:space="preserve"> the</w:t>
      </w:r>
      <w:r w:rsidR="00290DB5">
        <w:t xml:space="preserve"> eventual completion of gender </w:t>
      </w:r>
      <w:r>
        <w:t>reassignment surgery abroad (see paragraphs 70-71 of the judgment). The applicant further alleged that, even if the legal gaps in Lithuanian law were eventually filled, there would still be no pr</w:t>
      </w:r>
      <w:r w:rsidR="00290DB5">
        <w:t xml:space="preserve">ospect of completing the gender </w:t>
      </w:r>
      <w:r>
        <w:t xml:space="preserve">reassignment surgery in </w:t>
      </w:r>
      <w:smartTag w:uri="urn:schemas-microsoft-com:office:smarttags" w:element="country-region">
        <w:smartTag w:uri="urn:schemas-microsoft-com:office:smarttags" w:element="place">
          <w:r>
            <w:t>Lithuania</w:t>
          </w:r>
        </w:smartTag>
      </w:smartTag>
      <w:r>
        <w:t xml:space="preserve"> within a reasonable time (see paragraph 71 of the judgment). So I wonder whether the imposition of an obligation upon the respondent Government to pass the required legislation would be “affording just satisfaction to the injured party”, strictly speaking. The applicant does not seem to believe this to be the case.</w:t>
      </w:r>
    </w:p>
    <w:p w:rsidR="00903E98" w:rsidP="00903E98" w:rsidRDefault="00903E98">
      <w:pPr>
        <w:pStyle w:val="OpiPara"/>
      </w:pPr>
      <w:r>
        <w:t xml:space="preserve">I am aware of the possibility for the Court to prescribe general measures in order to prevent the recurrence of similar violations in the future (see, for example, </w:t>
      </w:r>
      <w:r w:rsidR="00290DB5">
        <w:rPr>
          <w:i/>
        </w:rPr>
        <w:t xml:space="preserve">Broniowski </w:t>
      </w:r>
      <w:r w:rsidRPr="00E67D2D">
        <w:rPr>
          <w:i/>
        </w:rPr>
        <w:t xml:space="preserve">v. Poland </w:t>
      </w:r>
      <w:r w:rsidR="00290DB5">
        <w:t xml:space="preserve">[GC], no. </w:t>
      </w:r>
      <w:r w:rsidRPr="00E67D2D">
        <w:t>31443/96,</w:t>
      </w:r>
      <w:r>
        <w:t xml:space="preserve"> </w:t>
      </w:r>
      <w:r w:rsidRPr="00E67D2D">
        <w:t>ECHR 2004</w:t>
      </w:r>
      <w:r w:rsidRPr="00E67D2D">
        <w:noBreakHyphen/>
        <w:t>V</w:t>
      </w:r>
      <w:r>
        <w:t xml:space="preserve">, and </w:t>
      </w:r>
      <w:r w:rsidR="00290DB5">
        <w:rPr>
          <w:i/>
        </w:rPr>
        <w:t xml:space="preserve">Hutten-Czapska </w:t>
      </w:r>
      <w:r w:rsidRPr="00E67D2D">
        <w:rPr>
          <w:i/>
        </w:rPr>
        <w:t>v. Poland</w:t>
      </w:r>
      <w:r w:rsidR="00290DB5">
        <w:t xml:space="preserve"> [GC], no. </w:t>
      </w:r>
      <w:r w:rsidRPr="00E67D2D">
        <w:t>35014/97,</w:t>
      </w:r>
      <w:r>
        <w:t xml:space="preserve"> </w:t>
      </w:r>
      <w:r w:rsidRPr="00E67D2D">
        <w:t>ECHR 2006</w:t>
      </w:r>
      <w:r>
        <w:t xml:space="preserve">-VIII, where the violations originated in a systemic problem connected with the malfunctioning of domestic legislation, and there were many other similar cases pending before the Court as well as a great number of potential applicants). However, the present application can be distinguished from such cases, as here the Court prescribes a general measure to redress an individual complaint. </w:t>
      </w:r>
      <w:r w:rsidRPr="008766B2">
        <w:t>Only</w:t>
      </w:r>
      <w:r>
        <w:t xml:space="preserve"> as an </w:t>
      </w:r>
      <w:r w:rsidRPr="00206369">
        <w:t>alternative,</w:t>
      </w:r>
      <w:r>
        <w:t xml:space="preserve"> should those legislative measures prove impossible to adopt within the said time-limit, is the respondent State ordered to pay EUR 40,000 in respect of pecuniary damage (see paragraph 74 and point 6 of the operative </w:t>
      </w:r>
      <w:r w:rsidR="00290DB5">
        <w:t>provisions</w:t>
      </w:r>
      <w:r>
        <w:t>). For me, this does not afford just satisfaction to the applicant, as required by Article 41.</w:t>
      </w:r>
    </w:p>
    <w:p w:rsidRPr="00451F85" w:rsidR="00903E98" w:rsidP="00903E98" w:rsidRDefault="00903E98">
      <w:pPr>
        <w:pStyle w:val="OpiPara"/>
      </w:pPr>
      <w:r>
        <w:t>For these reasons I would have preferred the Court simply to order a payment in respect of pecuniary damage, and only as a secondary measure to indicate the need to pass new legislation.</w:t>
      </w:r>
    </w:p>
    <w:p w:rsidR="00B76E0F" w:rsidP="002B48AD" w:rsidRDefault="00B76E0F">
      <w:pPr>
        <w:pStyle w:val="OpiPara"/>
        <w:sectPr w:rsidR="00B76E0F" w:rsidSect="009A1A38">
          <w:headerReference w:type="even" r:id="rId11"/>
          <w:headerReference w:type="default" r:id="rId12"/>
          <w:footerReference w:type="default" r:id="rId13"/>
          <w:headerReference w:type="first" r:id="rId14"/>
          <w:footnotePr>
            <w:numRestart w:val="eachPage"/>
          </w:footnotePr>
          <w:pgSz w:w="11906" w:h="16838" w:code="9"/>
          <w:pgMar w:top="2274" w:right="2274" w:bottom="2274" w:left="2274" w:header="1701" w:footer="720" w:gutter="0"/>
          <w:cols w:space="720"/>
          <w:titlePg/>
          <w:docGrid w:linePitch="78"/>
        </w:sectPr>
      </w:pPr>
    </w:p>
    <w:p w:rsidRPr="00A55BAD" w:rsidR="00903E98" w:rsidP="00903E98" w:rsidRDefault="00903E98">
      <w:pPr>
        <w:pStyle w:val="OpiHHead"/>
      </w:pPr>
      <w:r>
        <w:t>DISSENTING</w:t>
      </w:r>
      <w:r w:rsidRPr="0066608C">
        <w:t xml:space="preserve"> OPINION OF JUDGE </w:t>
      </w:r>
      <w:r w:rsidRPr="00BE49B0">
        <w:t>POPOVIĆ</w:t>
      </w:r>
    </w:p>
    <w:p w:rsidR="00903E98" w:rsidP="00903E98" w:rsidRDefault="00903E98">
      <w:pPr>
        <w:pStyle w:val="OpiPara"/>
      </w:pPr>
      <w:r w:rsidRPr="00BE49B0">
        <w:t xml:space="preserve">I respectfully disagree with the opinion of the majority of </w:t>
      </w:r>
      <w:r>
        <w:t xml:space="preserve">the </w:t>
      </w:r>
      <w:r w:rsidRPr="00BE49B0">
        <w:t>judges, for the</w:t>
      </w:r>
      <w:r w:rsidR="00F03FB1">
        <w:t xml:space="preserve"> </w:t>
      </w:r>
      <w:r w:rsidRPr="00BE49B0">
        <w:t>following reasons.</w:t>
      </w:r>
    </w:p>
    <w:p w:rsidR="00903E98" w:rsidP="00903E98" w:rsidRDefault="00903E98">
      <w:pPr>
        <w:pStyle w:val="OpiPara"/>
      </w:pPr>
      <w:r>
        <w:t xml:space="preserve">Although I </w:t>
      </w:r>
      <w:r w:rsidRPr="00BE49B0">
        <w:t>voted along with my colleagues in favour of</w:t>
      </w:r>
      <w:r>
        <w:t xml:space="preserve"> </w:t>
      </w:r>
      <w:r w:rsidRPr="00BE49B0">
        <w:t>the admissibility of the application in this case</w:t>
      </w:r>
      <w:r>
        <w:t>,</w:t>
      </w:r>
      <w:r w:rsidRPr="00BE49B0">
        <w:t xml:space="preserve"> I</w:t>
      </w:r>
      <w:r>
        <w:t xml:space="preserve"> </w:t>
      </w:r>
      <w:r w:rsidRPr="00BE49B0">
        <w:t>have</w:t>
      </w:r>
      <w:r>
        <w:t xml:space="preserve"> </w:t>
      </w:r>
      <w:r w:rsidRPr="00BE49B0">
        <w:t>subsequently reconsidered my opinion in the light of the parties</w:t>
      </w:r>
      <w:r w:rsidR="00C86D12">
        <w:t>’</w:t>
      </w:r>
      <w:r w:rsidRPr="00BE49B0">
        <w:t xml:space="preserve"> submissions at the oral hearing.</w:t>
      </w:r>
    </w:p>
    <w:p w:rsidRPr="00BE49B0" w:rsidR="00903E98" w:rsidP="00903E98" w:rsidRDefault="00903E98">
      <w:pPr>
        <w:pStyle w:val="OpiPara"/>
      </w:pPr>
      <w:r w:rsidRPr="00BE49B0">
        <w:t>On the one hand, the applicant submitted</w:t>
      </w:r>
      <w:r>
        <w:t xml:space="preserve"> </w:t>
      </w:r>
      <w:r w:rsidRPr="00BE49B0">
        <w:t xml:space="preserve">that he had never </w:t>
      </w:r>
      <w:r>
        <w:t>availed himself of</w:t>
      </w:r>
      <w:r w:rsidRPr="00BE49B0">
        <w:t xml:space="preserve"> any domestic remed</w:t>
      </w:r>
      <w:r>
        <w:t>ies</w:t>
      </w:r>
      <w:r w:rsidRPr="00BE49B0">
        <w:t xml:space="preserve"> because of their alleged ineff</w:t>
      </w:r>
      <w:r>
        <w:t>ectiveness</w:t>
      </w:r>
      <w:r w:rsidRPr="00BE49B0">
        <w:t>. On the other hand, the Government submitted that there ha</w:t>
      </w:r>
      <w:r>
        <w:t>d</w:t>
      </w:r>
      <w:r w:rsidRPr="00BE49B0">
        <w:t xml:space="preserve"> been a recent</w:t>
      </w:r>
      <w:r>
        <w:t xml:space="preserve">, convincing </w:t>
      </w:r>
      <w:r w:rsidRPr="00BE49B0">
        <w:t>ruling</w:t>
      </w:r>
      <w:r>
        <w:t xml:space="preserve"> </w:t>
      </w:r>
      <w:r w:rsidRPr="00BE49B0">
        <w:t>of the Const</w:t>
      </w:r>
      <w:r>
        <w:t>itutional Court of Lithuania on national judicial remedies.</w:t>
      </w:r>
    </w:p>
    <w:p w:rsidRPr="00BE49B0" w:rsidR="00903E98" w:rsidP="00903E98" w:rsidRDefault="00903E98">
      <w:pPr>
        <w:pStyle w:val="OpiPara"/>
      </w:pPr>
      <w:r w:rsidRPr="00BE49B0">
        <w:t>Faced with such facts</w:t>
      </w:r>
      <w:r>
        <w:t xml:space="preserve">, my </w:t>
      </w:r>
      <w:r w:rsidRPr="00BE49B0">
        <w:t>approach is twofold: either one</w:t>
      </w:r>
      <w:r>
        <w:t xml:space="preserve"> </w:t>
      </w:r>
      <w:r w:rsidRPr="00BE49B0">
        <w:t>returns to the question of admissibility, or</w:t>
      </w:r>
      <w:r>
        <w:t xml:space="preserve"> one </w:t>
      </w:r>
      <w:r w:rsidRPr="00BE49B0">
        <w:t xml:space="preserve">raises </w:t>
      </w:r>
      <w:r>
        <w:t>of one</w:t>
      </w:r>
      <w:r w:rsidR="00C86D12">
        <w:t>’</w:t>
      </w:r>
      <w:r>
        <w:t>s own motion</w:t>
      </w:r>
      <w:r w:rsidRPr="00BE49B0">
        <w:t xml:space="preserve"> the issue</w:t>
      </w:r>
      <w:r w:rsidR="00E12566">
        <w:t xml:space="preserve"> under Article </w:t>
      </w:r>
      <w:r w:rsidRPr="00BE49B0">
        <w:t>13 of the Convention</w:t>
      </w:r>
      <w:r>
        <w:t xml:space="preserve"> </w:t>
      </w:r>
      <w:r w:rsidRPr="00BE49B0">
        <w:t>read in conjunction</w:t>
      </w:r>
      <w:r>
        <w:t xml:space="preserve"> </w:t>
      </w:r>
      <w:r w:rsidRPr="00BE49B0">
        <w:t>with either Article</w:t>
      </w:r>
      <w:r w:rsidR="00E12566">
        <w:t xml:space="preserve"> 8 or Article </w:t>
      </w:r>
      <w:r>
        <w:t xml:space="preserve">3, </w:t>
      </w:r>
      <w:r w:rsidRPr="00BE49B0">
        <w:t>thus thoroughly</w:t>
      </w:r>
      <w:r>
        <w:t xml:space="preserve"> </w:t>
      </w:r>
      <w:r w:rsidRPr="00BE49B0">
        <w:t>reconsidering</w:t>
      </w:r>
      <w:r>
        <w:t xml:space="preserve"> </w:t>
      </w:r>
      <w:r w:rsidRPr="00BE49B0">
        <w:t>the matter and</w:t>
      </w:r>
      <w:r>
        <w:t xml:space="preserve"> determining whether there is </w:t>
      </w:r>
      <w:r w:rsidRPr="00BE49B0">
        <w:t>an effective remedy under domestic law.</w:t>
      </w:r>
    </w:p>
    <w:p w:rsidRPr="00BE49B0" w:rsidR="00903E98" w:rsidP="00903E98" w:rsidRDefault="00903E98">
      <w:pPr>
        <w:pStyle w:val="OpiPara"/>
      </w:pPr>
      <w:r w:rsidRPr="00BE49B0">
        <w:t>My preference would be to return to the admissibility issue</w:t>
      </w:r>
      <w:r>
        <w:t xml:space="preserve"> </w:t>
      </w:r>
      <w:r w:rsidRPr="00BE49B0">
        <w:t>with reference to</w:t>
      </w:r>
      <w:r>
        <w:t xml:space="preserve"> </w:t>
      </w:r>
      <w:r w:rsidRPr="00BE49B0">
        <w:t xml:space="preserve">paragraph 1 of </w:t>
      </w:r>
      <w:r w:rsidR="00290DB5">
        <w:t>“T</w:t>
      </w:r>
      <w:r w:rsidRPr="00BE49B0">
        <w:t xml:space="preserve">he </w:t>
      </w:r>
      <w:r w:rsidR="00290DB5">
        <w:t>L</w:t>
      </w:r>
      <w:r w:rsidRPr="00BE49B0">
        <w:t>aw</w:t>
      </w:r>
      <w:r w:rsidR="00290DB5">
        <w:t>”</w:t>
      </w:r>
      <w:r w:rsidRPr="00BE49B0">
        <w:t xml:space="preserve"> part of the admissibility decision in this case, taken on 6 July 2006, which refers to the decision in </w:t>
      </w:r>
      <w:r w:rsidRPr="00BE49B0">
        <w:rPr>
          <w:i/>
          <w:iCs/>
        </w:rPr>
        <w:t>Vala</w:t>
      </w:r>
      <w:r w:rsidRPr="001228BE">
        <w:rPr>
          <w:i/>
          <w:iCs/>
        </w:rPr>
        <w:t>š</w:t>
      </w:r>
      <w:r w:rsidRPr="00BE49B0">
        <w:rPr>
          <w:i/>
          <w:iCs/>
        </w:rPr>
        <w:t>inas v.</w:t>
      </w:r>
      <w:r w:rsidR="00290DB5">
        <w:rPr>
          <w:i/>
          <w:iCs/>
        </w:rPr>
        <w:t xml:space="preserve"> </w:t>
      </w:r>
      <w:r w:rsidRPr="00BE49B0">
        <w:rPr>
          <w:i/>
          <w:iCs/>
        </w:rPr>
        <w:t xml:space="preserve">Lithuania </w:t>
      </w:r>
      <w:r w:rsidRPr="00BE49B0">
        <w:t>(</w:t>
      </w:r>
      <w:r w:rsidR="00290DB5">
        <w:t xml:space="preserve">(dec.), </w:t>
      </w:r>
      <w:r>
        <w:t xml:space="preserve">no. </w:t>
      </w:r>
      <w:r w:rsidRPr="00BE49B0">
        <w:t>44558/98</w:t>
      </w:r>
      <w:r>
        <w:t>, 14 March 2000</w:t>
      </w:r>
      <w:r w:rsidRPr="00BE49B0">
        <w:t>) as the only authority.</w:t>
      </w:r>
      <w:r>
        <w:t xml:space="preserve"> </w:t>
      </w:r>
      <w:r w:rsidRPr="00BE49B0">
        <w:t>However, this precedent</w:t>
      </w:r>
      <w:r>
        <w:t xml:space="preserve"> </w:t>
      </w:r>
      <w:r w:rsidRPr="00BE49B0">
        <w:t xml:space="preserve">is clearly distinguishable from the present case. The decision on admissibility in </w:t>
      </w:r>
      <w:r w:rsidRPr="00BE49B0">
        <w:rPr>
          <w:i/>
          <w:iCs/>
        </w:rPr>
        <w:t>Vala</w:t>
      </w:r>
      <w:r>
        <w:rPr>
          <w:i/>
          <w:iCs/>
        </w:rPr>
        <w:t>š</w:t>
      </w:r>
      <w:r w:rsidRPr="00BE49B0">
        <w:rPr>
          <w:i/>
          <w:iCs/>
        </w:rPr>
        <w:t>inas</w:t>
      </w:r>
      <w:r w:rsidRPr="00BE49B0">
        <w:t xml:space="preserve"> in favour of an applicant who had not exhausted domestic remedies was taken after the Court had made an on-</w:t>
      </w:r>
      <w:r>
        <w:t xml:space="preserve">the-spot investigation </w:t>
      </w:r>
      <w:r w:rsidRPr="00BE49B0">
        <w:t>into the applicant</w:t>
      </w:r>
      <w:r w:rsidR="00C86D12">
        <w:t>’</w:t>
      </w:r>
      <w:r w:rsidRPr="00BE49B0">
        <w:t>s conditions of detention. In the present case the Court</w:t>
      </w:r>
      <w:r>
        <w:t xml:space="preserve"> </w:t>
      </w:r>
      <w:r w:rsidRPr="00BE49B0">
        <w:t>has</w:t>
      </w:r>
      <w:r>
        <w:t xml:space="preserve"> </w:t>
      </w:r>
      <w:r w:rsidRPr="00BE49B0">
        <w:t>merely agreed with the applicant</w:t>
      </w:r>
      <w:r w:rsidR="00C86D12">
        <w:t>’</w:t>
      </w:r>
      <w:r w:rsidRPr="00BE49B0">
        <w:t>s</w:t>
      </w:r>
      <w:r>
        <w:t xml:space="preserve"> </w:t>
      </w:r>
      <w:r w:rsidRPr="00BE49B0">
        <w:t>allegation</w:t>
      </w:r>
      <w:r>
        <w:t xml:space="preserve"> </w:t>
      </w:r>
      <w:r w:rsidRPr="00BE49B0">
        <w:t>that no effecti</w:t>
      </w:r>
      <w:r>
        <w:t xml:space="preserve">ve domestic remedy existed. The </w:t>
      </w:r>
      <w:r w:rsidRPr="00BE49B0">
        <w:t>present</w:t>
      </w:r>
      <w:r>
        <w:t xml:space="preserve"> </w:t>
      </w:r>
      <w:r w:rsidRPr="00BE49B0">
        <w:t>applicant</w:t>
      </w:r>
      <w:r w:rsidR="00C86D12">
        <w:t>’</w:t>
      </w:r>
      <w:r w:rsidRPr="00BE49B0">
        <w:t>s only argu</w:t>
      </w:r>
      <w:r>
        <w:t xml:space="preserve">ment was founded on a legal gap </w:t>
      </w:r>
      <w:r w:rsidRPr="00BE49B0">
        <w:t>in the national legal system, stemming</w:t>
      </w:r>
      <w:r w:rsidR="00290DB5">
        <w:t xml:space="preserve"> either from a failure of the g</w:t>
      </w:r>
      <w:r w:rsidRPr="00BE49B0">
        <w:t>overnment to</w:t>
      </w:r>
      <w:r>
        <w:t xml:space="preserve"> pass subsidiary legislation or to </w:t>
      </w:r>
      <w:r w:rsidRPr="00BE49B0">
        <w:t>introduce a bill</w:t>
      </w:r>
      <w:r>
        <w:t xml:space="preserve"> </w:t>
      </w:r>
      <w:r w:rsidRPr="00BE49B0">
        <w:t>to that end</w:t>
      </w:r>
      <w:r>
        <w:t xml:space="preserve">. However, there was, and </w:t>
      </w:r>
      <w:r w:rsidRPr="00BE49B0">
        <w:t>still is, under Lithuanian law primary legislation (Article 2.27</w:t>
      </w:r>
      <w:r>
        <w:t xml:space="preserve"> </w:t>
      </w:r>
      <w:r w:rsidRPr="00BE49B0">
        <w:t>§ 1 of the Civil Code</w:t>
      </w:r>
      <w:r w:rsidR="001228BE">
        <w:t xml:space="preserve"> </w:t>
      </w:r>
      <w:r w:rsidRPr="00BE49B0">
        <w:t>2001)</w:t>
      </w:r>
      <w:r>
        <w:t xml:space="preserve"> </w:t>
      </w:r>
      <w:r w:rsidRPr="00BE49B0">
        <w:t>which unequivocally</w:t>
      </w:r>
      <w:r>
        <w:t xml:space="preserve"> </w:t>
      </w:r>
      <w:r w:rsidRPr="00BE49B0">
        <w:t>meets the</w:t>
      </w:r>
      <w:r>
        <w:t xml:space="preserve"> </w:t>
      </w:r>
      <w:r w:rsidRPr="00BE49B0">
        <w:t>applicant</w:t>
      </w:r>
      <w:r w:rsidR="00C86D12">
        <w:t>’</w:t>
      </w:r>
      <w:r w:rsidRPr="00BE49B0">
        <w:t>s aspirations.</w:t>
      </w:r>
    </w:p>
    <w:p w:rsidRPr="00BE49B0" w:rsidR="00903E98" w:rsidP="00903E98" w:rsidRDefault="00903E98">
      <w:pPr>
        <w:pStyle w:val="OpiPara"/>
      </w:pPr>
      <w:r w:rsidRPr="00BE49B0">
        <w:t>The applicant</w:t>
      </w:r>
      <w:r>
        <w:t xml:space="preserve"> appears to have sought redress </w:t>
      </w:r>
      <w:r w:rsidRPr="00BE49B0">
        <w:t>from the Ministry of Health, which failed to</w:t>
      </w:r>
      <w:r>
        <w:t xml:space="preserve"> </w:t>
      </w:r>
      <w:r w:rsidRPr="00BE49B0">
        <w:t>respond. In such circumstances,</w:t>
      </w:r>
      <w:r>
        <w:t xml:space="preserve"> </w:t>
      </w:r>
      <w:r w:rsidRPr="00BE49B0">
        <w:t>the applicant should have tried t</w:t>
      </w:r>
      <w:r>
        <w:t>o bring an action against the a</w:t>
      </w:r>
      <w:r w:rsidRPr="00BE49B0">
        <w:t xml:space="preserve">dministration for failure to act, </w:t>
      </w:r>
      <w:r>
        <w:t>but despite being</w:t>
      </w:r>
      <w:r w:rsidRPr="00BE49B0">
        <w:t xml:space="preserve"> represented by a lawyer, </w:t>
      </w:r>
      <w:r>
        <w:t xml:space="preserve">he </w:t>
      </w:r>
      <w:r w:rsidRPr="00BE49B0">
        <w:t>failed to do</w:t>
      </w:r>
      <w:r>
        <w:t xml:space="preserve"> so</w:t>
      </w:r>
      <w:r w:rsidRPr="00BE49B0">
        <w:t>.</w:t>
      </w:r>
    </w:p>
    <w:p w:rsidRPr="00BE49B0" w:rsidR="00903E98" w:rsidP="00903E98" w:rsidRDefault="00903E98">
      <w:pPr>
        <w:pStyle w:val="OpiPara"/>
      </w:pPr>
      <w:r>
        <w:t xml:space="preserve">Alleging </w:t>
      </w:r>
      <w:r w:rsidRPr="00BE49B0">
        <w:t>the ineff</w:t>
      </w:r>
      <w:r>
        <w:t xml:space="preserve">ectiveness of domestic remedies, without </w:t>
      </w:r>
      <w:r w:rsidRPr="00BE49B0">
        <w:t>any attempt</w:t>
      </w:r>
      <w:r>
        <w:t xml:space="preserve"> to turn to the domestic judiciary, the applicant </w:t>
      </w:r>
      <w:r w:rsidRPr="00BE49B0">
        <w:t>apparently relies on the idea that the</w:t>
      </w:r>
      <w:r>
        <w:t xml:space="preserve"> </w:t>
      </w:r>
      <w:r w:rsidRPr="00BE49B0">
        <w:t>courts</w:t>
      </w:r>
      <w:r>
        <w:t xml:space="preserve"> would somehow </w:t>
      </w:r>
      <w:r w:rsidRPr="00BE49B0">
        <w:t>be unwilling to find in</w:t>
      </w:r>
      <w:r>
        <w:t xml:space="preserve"> </w:t>
      </w:r>
      <w:r w:rsidRPr="00BE49B0">
        <w:t>his favour</w:t>
      </w:r>
      <w:r>
        <w:t xml:space="preserve"> </w:t>
      </w:r>
      <w:r w:rsidRPr="00BE49B0">
        <w:t>despite the existence of a clear legal provision in the Civil Code.</w:t>
      </w:r>
    </w:p>
    <w:p w:rsidR="00903E98" w:rsidP="00903E98" w:rsidRDefault="00903E98">
      <w:pPr>
        <w:pStyle w:val="OpiPara"/>
      </w:pPr>
      <w:r w:rsidRPr="00BE49B0">
        <w:t>One can only speculate</w:t>
      </w:r>
      <w:r>
        <w:t xml:space="preserve"> </w:t>
      </w:r>
      <w:r w:rsidRPr="00BE49B0">
        <w:t>that</w:t>
      </w:r>
      <w:r>
        <w:t xml:space="preserve"> </w:t>
      </w:r>
      <w:r w:rsidRPr="00BE49B0">
        <w:t>this submission is borne of the view that</w:t>
      </w:r>
      <w:r>
        <w:t xml:space="preserve"> </w:t>
      </w:r>
      <w:r w:rsidRPr="00BE49B0">
        <w:t>the judiciary</w:t>
      </w:r>
      <w:r>
        <w:t xml:space="preserve"> </w:t>
      </w:r>
      <w:r w:rsidRPr="00BE49B0">
        <w:t>is still a relic of</w:t>
      </w:r>
      <w:r>
        <w:t xml:space="preserve"> </w:t>
      </w:r>
      <w:r w:rsidRPr="00BE49B0">
        <w:t>the former</w:t>
      </w:r>
      <w:r>
        <w:t xml:space="preserve"> </w:t>
      </w:r>
      <w:r w:rsidRPr="00BE49B0">
        <w:t>authoritarian</w:t>
      </w:r>
      <w:r>
        <w:t xml:space="preserve"> </w:t>
      </w:r>
      <w:r w:rsidRPr="00BE49B0">
        <w:t>communist regime.</w:t>
      </w:r>
      <w:r>
        <w:t xml:space="preserve"> </w:t>
      </w:r>
      <w:r w:rsidRPr="00BE49B0">
        <w:t>Such c</w:t>
      </w:r>
      <w:r>
        <w:t xml:space="preserve">ourts would </w:t>
      </w:r>
      <w:r w:rsidRPr="00BE49B0">
        <w:t>refuse to take a constructive approach to a legal provisi</w:t>
      </w:r>
      <w:r>
        <w:t xml:space="preserve">on, because of the mentality of the </w:t>
      </w:r>
      <w:r w:rsidRPr="00BE49B0">
        <w:t>judges,</w:t>
      </w:r>
      <w:r>
        <w:t xml:space="preserve"> </w:t>
      </w:r>
      <w:r w:rsidR="001140A1">
        <w:t>who</w:t>
      </w:r>
      <w:r w:rsidRPr="00BE49B0">
        <w:t xml:space="preserve"> work</w:t>
      </w:r>
      <w:r w:rsidR="001140A1">
        <w:t>ed</w:t>
      </w:r>
      <w:r w:rsidRPr="00BE49B0">
        <w:t xml:space="preserve"> in</w:t>
      </w:r>
      <w:r>
        <w:t xml:space="preserve"> </w:t>
      </w:r>
      <w:r w:rsidRPr="00BE49B0">
        <w:t>fear</w:t>
      </w:r>
      <w:r>
        <w:t xml:space="preserve"> </w:t>
      </w:r>
      <w:r w:rsidRPr="00BE49B0">
        <w:t>of the</w:t>
      </w:r>
      <w:r>
        <w:t xml:space="preserve"> </w:t>
      </w:r>
      <w:r w:rsidRPr="00BE49B0">
        <w:t>political authorities for decades. They would therefore tend to stick to a strictly literal interpretation of</w:t>
      </w:r>
      <w:r>
        <w:t xml:space="preserve"> </w:t>
      </w:r>
      <w:r w:rsidRPr="00BE49B0">
        <w:t>the</w:t>
      </w:r>
      <w:r>
        <w:t xml:space="preserve"> text of the </w:t>
      </w:r>
      <w:r w:rsidRPr="00BE49B0">
        <w:t>written law. The</w:t>
      </w:r>
      <w:r>
        <w:t xml:space="preserve"> applicant therefore apparently </w:t>
      </w:r>
      <w:r w:rsidRPr="00BE49B0">
        <w:t>fear</w:t>
      </w:r>
      <w:r>
        <w:t>ed</w:t>
      </w:r>
      <w:r w:rsidRPr="00BE49B0">
        <w:t xml:space="preserve"> that,</w:t>
      </w:r>
      <w:r>
        <w:t xml:space="preserve"> in the absence of </w:t>
      </w:r>
      <w:r w:rsidRPr="00BE49B0">
        <w:t>specific subsidiary legislation, the national courts of law might</w:t>
      </w:r>
      <w:r>
        <w:t xml:space="preserve"> refuse to apply primary </w:t>
      </w:r>
      <w:r w:rsidRPr="00BE49B0">
        <w:t>legislation.</w:t>
      </w:r>
    </w:p>
    <w:p w:rsidRPr="00BE49B0" w:rsidR="00903E98" w:rsidP="00903E98" w:rsidRDefault="00903E98">
      <w:pPr>
        <w:pStyle w:val="OpiPara"/>
      </w:pPr>
      <w:r w:rsidRPr="00BE49B0">
        <w:t>However, although social develop</w:t>
      </w:r>
      <w:r>
        <w:t>ments and adjustment take time,</w:t>
      </w:r>
      <w:r w:rsidRPr="00BE49B0">
        <w:t xml:space="preserve"> there is nothing to support the </w:t>
      </w:r>
      <w:r>
        <w:t>view</w:t>
      </w:r>
      <w:r w:rsidRPr="00BE49B0">
        <w:t xml:space="preserve"> </w:t>
      </w:r>
      <w:r>
        <w:t xml:space="preserve">that, nowadays, an applicant should be allowed by this Court </w:t>
      </w:r>
      <w:r w:rsidRPr="00BE49B0">
        <w:t>to neglect the judiciary of a High Contracting Part</w:t>
      </w:r>
      <w:r>
        <w:t>y to the Convention by claiming</w:t>
      </w:r>
      <w:r w:rsidRPr="00BE49B0">
        <w:t xml:space="preserve"> its </w:t>
      </w:r>
      <w:r w:rsidRPr="00290DB5">
        <w:rPr>
          <w:iCs/>
        </w:rPr>
        <w:t>prima facie</w:t>
      </w:r>
      <w:r w:rsidRPr="00BE49B0">
        <w:t xml:space="preserve"> ineff</w:t>
      </w:r>
      <w:r>
        <w:t>ectiveness</w:t>
      </w:r>
      <w:r w:rsidRPr="00BE49B0">
        <w:t>.</w:t>
      </w:r>
      <w:r>
        <w:t xml:space="preserve"> </w:t>
      </w:r>
      <w:r w:rsidRPr="00BE49B0">
        <w:t>Such an approach is wholly unjustified.</w:t>
      </w:r>
      <w:r>
        <w:t xml:space="preserve"> </w:t>
      </w:r>
      <w:r w:rsidRPr="00BE49B0">
        <w:t>On the contrary, national judges should be en</w:t>
      </w:r>
      <w:r>
        <w:t xml:space="preserve">couraged to take a bolder stand </w:t>
      </w:r>
      <w:r w:rsidRPr="00BE49B0">
        <w:t>in interpreting domestic l</w:t>
      </w:r>
      <w:r>
        <w:t xml:space="preserve">egal provisions, and applicants should not be allowed to circumvent </w:t>
      </w:r>
      <w:r w:rsidRPr="00BE49B0">
        <w:t xml:space="preserve">their </w:t>
      </w:r>
      <w:r>
        <w:t xml:space="preserve">national courts. Applicants </w:t>
      </w:r>
      <w:r w:rsidRPr="00BE49B0">
        <w:t xml:space="preserve">must </w:t>
      </w:r>
      <w:r>
        <w:t xml:space="preserve">apply to the </w:t>
      </w:r>
      <w:r w:rsidRPr="00BE49B0">
        <w:t xml:space="preserve">domestic </w:t>
      </w:r>
      <w:r>
        <w:t>courts</w:t>
      </w:r>
      <w:r w:rsidRPr="00BE49B0">
        <w:t xml:space="preserve"> before</w:t>
      </w:r>
      <w:r>
        <w:t xml:space="preserve"> </w:t>
      </w:r>
      <w:r w:rsidRPr="00BE49B0">
        <w:t>lodg</w:t>
      </w:r>
      <w:r>
        <w:t xml:space="preserve">ing </w:t>
      </w:r>
      <w:r w:rsidRPr="00BE49B0">
        <w:t>an application with this Court.</w:t>
      </w:r>
    </w:p>
    <w:p w:rsidR="00903E98" w:rsidP="00903E98" w:rsidRDefault="00903E98">
      <w:pPr>
        <w:pStyle w:val="OpiPara"/>
      </w:pPr>
      <w:r w:rsidRPr="00BE49B0">
        <w:t>Moreover, the Government submitted that there had been some evolutio</w:t>
      </w:r>
      <w:r>
        <w:t xml:space="preserve">n in the domestic case-law. It </w:t>
      </w:r>
      <w:r w:rsidRPr="00BE49B0">
        <w:t>was to be found in the ruling of the Co</w:t>
      </w:r>
      <w:r>
        <w:t xml:space="preserve">nstitutional Court of Lithuania as regards the general issue </w:t>
      </w:r>
      <w:r w:rsidRPr="00BE49B0">
        <w:t>of remedies before</w:t>
      </w:r>
      <w:r>
        <w:t xml:space="preserve"> </w:t>
      </w:r>
      <w:r w:rsidRPr="00BE49B0">
        <w:t>domestic courts of law. The Constitutional Court stated</w:t>
      </w:r>
      <w:r>
        <w:t>,</w:t>
      </w:r>
      <w:r w:rsidRPr="00BE49B0">
        <w:rPr>
          <w:i/>
          <w:iCs/>
        </w:rPr>
        <w:t xml:space="preserve"> inter alia</w:t>
      </w:r>
      <w:r w:rsidRPr="00BE49B0">
        <w:t>: “</w:t>
      </w:r>
      <w:r>
        <w:t xml:space="preserve">... </w:t>
      </w:r>
      <w:r w:rsidRPr="00BE49B0">
        <w:t xml:space="preserve">the courts </w:t>
      </w:r>
      <w:r>
        <w:t>...</w:t>
      </w:r>
      <w:r w:rsidRPr="00BE49B0">
        <w:t xml:space="preserve"> which administer justice </w:t>
      </w:r>
      <w:r>
        <w:t>...</w:t>
      </w:r>
      <w:r w:rsidRPr="00BE49B0">
        <w:t xml:space="preserve"> have to construe law so that they</w:t>
      </w:r>
      <w:r>
        <w:t xml:space="preserve"> </w:t>
      </w:r>
      <w:r w:rsidRPr="00BE49B0">
        <w:t>are able to apply it.” Further on, the Constitutional Court found that if the courts of law were not to</w:t>
      </w:r>
      <w:r>
        <w:t xml:space="preserve"> </w:t>
      </w:r>
      <w:r w:rsidRPr="00BE49B0">
        <w:t xml:space="preserve">interpret the law “it would mean that law is treated only </w:t>
      </w:r>
      <w:r>
        <w:t>in</w:t>
      </w:r>
      <w:r w:rsidRPr="00BE49B0">
        <w:t xml:space="preserve"> its textual form and is identified with the latter” (Constitutional Court of Lithuania, case 34</w:t>
      </w:r>
      <w:r>
        <w:t xml:space="preserve">/03, </w:t>
      </w:r>
      <w:r w:rsidR="00290DB5">
        <w:t>d</w:t>
      </w:r>
      <w:r>
        <w:t xml:space="preserve">ecision of 8 August 2006, </w:t>
      </w:r>
      <w:r w:rsidR="00290DB5">
        <w:t>§ </w:t>
      </w:r>
      <w:r w:rsidRPr="00BE49B0">
        <w:t>6.2.3.3)</w:t>
      </w:r>
      <w:r>
        <w:t>.</w:t>
      </w:r>
    </w:p>
    <w:p w:rsidR="00903E98" w:rsidP="00903E98" w:rsidRDefault="00903E98">
      <w:pPr>
        <w:pStyle w:val="OpiPara"/>
      </w:pPr>
      <w:r w:rsidRPr="00BE49B0">
        <w:t>The majority of judges seem to be c</w:t>
      </w:r>
      <w:r>
        <w:t xml:space="preserve">onvinced, in the absence of any </w:t>
      </w:r>
      <w:r w:rsidRPr="00BE49B0">
        <w:t>evidence whatsoever, that</w:t>
      </w:r>
      <w:r>
        <w:t xml:space="preserve"> the courts </w:t>
      </w:r>
      <w:r w:rsidRPr="00BE49B0">
        <w:t xml:space="preserve">in </w:t>
      </w:r>
      <w:smartTag w:uri="urn:schemas-microsoft-com:office:smarttags" w:element="country-region">
        <w:smartTag w:uri="urn:schemas-microsoft-com:office:smarttags" w:element="place">
          <w:r w:rsidRPr="00BE49B0">
            <w:t>Lithuania</w:t>
          </w:r>
        </w:smartTag>
      </w:smartTag>
      <w:r w:rsidRPr="00BE49B0">
        <w:t xml:space="preserve"> would be willing to apply </w:t>
      </w:r>
      <w:r>
        <w:t xml:space="preserve">future legislation, if enacted after the introduction of </w:t>
      </w:r>
      <w:r w:rsidR="00290DB5">
        <w:t>the g</w:t>
      </w:r>
      <w:r>
        <w:t>overnment</w:t>
      </w:r>
      <w:r w:rsidR="00C86D12">
        <w:t>’</w:t>
      </w:r>
      <w:r>
        <w:t xml:space="preserve">s bill, although they </w:t>
      </w:r>
      <w:r w:rsidRPr="00BE49B0">
        <w:t>might fail to apply the exis</w:t>
      </w:r>
      <w:r>
        <w:t xml:space="preserve">ting law. Such a belief appears groundless, especially if one takes </w:t>
      </w:r>
      <w:r w:rsidRPr="00BE49B0">
        <w:t>account of the fact that the applic</w:t>
      </w:r>
      <w:r>
        <w:t xml:space="preserve">ant has never tried to apply to the </w:t>
      </w:r>
      <w:r w:rsidRPr="00BE49B0">
        <w:t xml:space="preserve">domestic </w:t>
      </w:r>
      <w:r>
        <w:t>courts</w:t>
      </w:r>
      <w:r w:rsidRPr="00BE49B0">
        <w:t>.</w:t>
      </w:r>
    </w:p>
    <w:p w:rsidR="00903E98" w:rsidP="00903E98" w:rsidRDefault="00903E98">
      <w:pPr>
        <w:pStyle w:val="OpiPara"/>
      </w:pPr>
      <w:r>
        <w:t>The position of the parties is as follows: t</w:t>
      </w:r>
      <w:r w:rsidRPr="00BE49B0">
        <w:t>he applicant failed to exhaus</w:t>
      </w:r>
      <w:r>
        <w:t xml:space="preserve">t domestic remedies, preferring merely to </w:t>
      </w:r>
      <w:r w:rsidRPr="00BE49B0">
        <w:t xml:space="preserve">allege their </w:t>
      </w:r>
      <w:r>
        <w:t>ineffectiveness</w:t>
      </w:r>
      <w:r w:rsidRPr="00BE49B0">
        <w:t xml:space="preserve">, although he </w:t>
      </w:r>
      <w:r>
        <w:t xml:space="preserve">was unable to substantiate </w:t>
      </w:r>
      <w:r w:rsidRPr="00BE49B0">
        <w:t>that all</w:t>
      </w:r>
      <w:r>
        <w:t>egation, whereas the Government relied on</w:t>
      </w:r>
      <w:r w:rsidRPr="00BE49B0">
        <w:t xml:space="preserve"> the evol</w:t>
      </w:r>
      <w:r>
        <w:t>ution of the domestic case-law concerning</w:t>
      </w:r>
      <w:r w:rsidRPr="00BE49B0">
        <w:t xml:space="preserve"> remedies.</w:t>
      </w:r>
    </w:p>
    <w:p w:rsidR="004E60A6" w:rsidP="00313FB2" w:rsidRDefault="00903E98">
      <w:pPr>
        <w:pStyle w:val="OpiPara"/>
      </w:pPr>
      <w:r w:rsidRPr="00BE49B0">
        <w:t>I</w:t>
      </w:r>
      <w:r>
        <w:t xml:space="preserve"> </w:t>
      </w:r>
      <w:r w:rsidRPr="00BE49B0">
        <w:t>agree with the Government</w:t>
      </w:r>
      <w:r w:rsidR="00C86D12">
        <w:t>’</w:t>
      </w:r>
      <w:r w:rsidRPr="00BE49B0">
        <w:t>s preliminary objection of non-e</w:t>
      </w:r>
      <w:r>
        <w:t xml:space="preserve">xhaustion of domestic remedies, and consider the application </w:t>
      </w:r>
      <w:r w:rsidRPr="00BE49B0">
        <w:t>premature</w:t>
      </w:r>
      <w:r>
        <w:t xml:space="preserve"> and</w:t>
      </w:r>
      <w:r w:rsidRPr="00BE49B0">
        <w:t>,</w:t>
      </w:r>
      <w:r>
        <w:t xml:space="preserve"> therefore, </w:t>
      </w:r>
      <w:r w:rsidRPr="00BE49B0">
        <w:t>inadmis</w:t>
      </w:r>
      <w:r>
        <w:t xml:space="preserve">sible pursuant to Article 35 §§ 1 and 4 </w:t>
      </w:r>
      <w:r w:rsidRPr="00BE49B0">
        <w:t>of the Convention.</w:t>
      </w:r>
    </w:p>
    <w:sectPr w:rsidR="004E60A6" w:rsidSect="009A1A38">
      <w:headerReference w:type="default" r:id="rId15"/>
      <w:headerReference w:type="first" r:id="rId16"/>
      <w:footerReference w:type="first" r:id="rId17"/>
      <w:footnotePr>
        <w:numRestart w:val="eachPage"/>
      </w:footnotePr>
      <w:pgSz w:w="11906" w:h="16838" w:code="9"/>
      <w:pgMar w:top="2274" w:right="2274" w:bottom="2274" w:left="2274" w:header="1701"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91" w:rsidRDefault="00192391">
      <w:r>
        <w:separator/>
      </w:r>
    </w:p>
  </w:endnote>
  <w:endnote w:type="continuationSeparator" w:id="0">
    <w:p w:rsidR="00192391" w:rsidRDefault="0019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91" w:rsidRDefault="00192391">
      <w:r>
        <w:separator/>
      </w:r>
    </w:p>
  </w:footnote>
  <w:footnote w:type="continuationSeparator" w:id="0">
    <w:p w:rsidR="00192391" w:rsidRDefault="0019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192391" w:rsidRPr="00797919" w:rsidRDefault="00192391" w:rsidP="00797919">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JuHeader"/>
    </w:pPr>
    <w:r>
      <w:rPr>
        <w:rStyle w:val="PageNumber"/>
      </w:rPr>
      <w:fldChar w:fldCharType="begin"/>
    </w:r>
    <w:r>
      <w:rPr>
        <w:rStyle w:val="PageNumber"/>
      </w:rPr>
      <w:instrText xml:space="preserve"> PAGE </w:instrText>
    </w:r>
    <w:r>
      <w:rPr>
        <w:rStyle w:val="PageNumber"/>
      </w:rPr>
      <w:fldChar w:fldCharType="separate"/>
    </w:r>
    <w:r w:rsidR="00C86D12">
      <w:rPr>
        <w:rStyle w:val="PageNumber"/>
        <w:noProof/>
      </w:rPr>
      <w:t>16</w:t>
    </w:r>
    <w:r>
      <w:rPr>
        <w:rStyle w:val="PageNumber"/>
      </w:rPr>
      <w:fldChar w:fldCharType="end"/>
    </w:r>
    <w:r>
      <w:tab/>
      <w:t xml:space="preserve">L. v. </w:t>
    </w:r>
    <w:smartTag w:uri="urn:schemas-microsoft-com:office:smarttags" w:element="place">
      <w:smartTag w:uri="urn:schemas-microsoft-com:office:smarttags" w:element="country-region">
        <w:r>
          <w:t>LITHUANIA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pPr>
      <w:pStyle w:val="JuHeader"/>
      <w:rPr>
        <w:rStyle w:val="PageNumber"/>
      </w:rPr>
    </w:pPr>
    <w:r>
      <w:tab/>
      <w:t xml:space="preserve">L. v. </w:t>
    </w:r>
    <w:smartTag w:uri="urn:schemas-microsoft-com:office:smarttags" w:element="country-region">
      <w:smartTag w:uri="urn:schemas-microsoft-com:office:smarttags" w:element="place">
        <w:r>
          <w:t>LITHUANIA</w:t>
        </w:r>
      </w:smartTag>
    </w:smartTag>
    <w:r>
      <w:t xml:space="preserve"> JUDGMENT </w:t>
    </w:r>
    <w:r>
      <w:tab/>
    </w:r>
    <w:r>
      <w:rPr>
        <w:rStyle w:val="PageNumber"/>
      </w:rPr>
      <w:fldChar w:fldCharType="begin"/>
    </w:r>
    <w:r>
      <w:rPr>
        <w:rStyle w:val="PageNumber"/>
      </w:rPr>
      <w:instrText xml:space="preserve"> PAGE </w:instrText>
    </w:r>
    <w:r>
      <w:rPr>
        <w:rStyle w:val="PageNumber"/>
      </w:rPr>
      <w:fldChar w:fldCharType="separate"/>
    </w:r>
    <w:r w:rsidR="00C86D12">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rsidP="009A1A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92391" w:rsidRPr="00172D41" w:rsidRDefault="00192391" w:rsidP="00F04635">
    <w:pPr>
      <w:pStyle w:val="JuHeader"/>
      <w:ind w:right="360" w:firstLine="360"/>
      <w:jc w:val="center"/>
      <w:rPr>
        <w:rStyle w:val="PageNumber"/>
        <w:caps/>
      </w:rPr>
    </w:pPr>
    <w:r>
      <w:t xml:space="preserve">L. v. </w:t>
    </w:r>
    <w:smartTag w:uri="urn:schemas-microsoft-com:office:smarttags" w:element="place">
      <w:smartTag w:uri="urn:schemas-microsoft-com:office:smarttags" w:element="country-region">
        <w:r>
          <w:t>LITHUANIA</w:t>
        </w:r>
      </w:smartTag>
    </w:smartTag>
    <w:r>
      <w:t xml:space="preserve"> JUDGMENT – DISSENTING OPINION                        </w:t>
    </w:r>
    <w:r>
      <w:br/>
      <w:t xml:space="preserve"> OF JUDGE </w:t>
    </w:r>
    <w:r>
      <w:rPr>
        <w:caps/>
      </w:rPr>
      <w:t>POPOVIĆ</w:t>
    </w:r>
  </w:p>
  <w:p w:rsidR="00192391" w:rsidRDefault="00192391" w:rsidP="009A1A38">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rsidP="009A1A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6D12">
      <w:rPr>
        <w:rStyle w:val="PageNumber"/>
        <w:noProof/>
      </w:rPr>
      <w:t>19</w:t>
    </w:r>
    <w:r>
      <w:rPr>
        <w:rStyle w:val="PageNumber"/>
      </w:rPr>
      <w:fldChar w:fldCharType="end"/>
    </w:r>
  </w:p>
  <w:p w:rsidR="00192391" w:rsidRPr="00172D41" w:rsidRDefault="00192391" w:rsidP="009A1A38">
    <w:pPr>
      <w:pStyle w:val="JuHeader"/>
      <w:ind w:right="360" w:firstLine="360"/>
      <w:jc w:val="center"/>
      <w:rPr>
        <w:rStyle w:val="PageNumber"/>
        <w:caps/>
      </w:rPr>
    </w:pPr>
    <w:r>
      <w:t xml:space="preserve">L. v. </w:t>
    </w:r>
    <w:smartTag w:uri="urn:schemas-microsoft-com:office:smarttags" w:element="country-region">
      <w:smartTag w:uri="urn:schemas-microsoft-com:office:smarttags" w:element="place">
        <w:r>
          <w:t>LITHUANIA</w:t>
        </w:r>
      </w:smartTag>
    </w:smartTag>
    <w:r>
      <w:t xml:space="preserve"> JUDGMENT – </w:t>
    </w:r>
    <w:r>
      <w:br/>
      <w:t xml:space="preserve">PARTLY DISSENTING OPINION OF JUDGE </w:t>
    </w:r>
    <w:r w:rsidRPr="00172D41">
      <w:rPr>
        <w:caps/>
      </w:rPr>
      <w:t>Fura-Sandström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rsidP="0055428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6D12">
      <w:rPr>
        <w:rStyle w:val="PageNumber"/>
        <w:noProof/>
      </w:rPr>
      <w:t>18</w:t>
    </w:r>
    <w:r>
      <w:rPr>
        <w:rStyle w:val="PageNumber"/>
      </w:rPr>
      <w:fldChar w:fldCharType="end"/>
    </w:r>
  </w:p>
  <w:p w:rsidR="00192391" w:rsidRDefault="00192391" w:rsidP="00D24F12">
    <w:pPr>
      <w:pStyle w:val="JuHeader"/>
      <w:jc w:val="center"/>
    </w:pPr>
    <w:r>
      <w:t xml:space="preserve">L. v. </w:t>
    </w:r>
    <w:smartTag w:uri="urn:schemas-microsoft-com:office:smarttags" w:element="country-region">
      <w:smartTag w:uri="urn:schemas-microsoft-com:office:smarttags" w:element="place">
        <w:r>
          <w:t>LITHUANIA</w:t>
        </w:r>
      </w:smartTag>
    </w:smartTag>
    <w:r>
      <w:t xml:space="preserve"> 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rsidP="009A1A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6D12">
      <w:rPr>
        <w:rStyle w:val="PageNumber"/>
        <w:noProof/>
      </w:rPr>
      <w:t>21</w:t>
    </w:r>
    <w:r>
      <w:rPr>
        <w:rStyle w:val="PageNumber"/>
      </w:rPr>
      <w:fldChar w:fldCharType="end"/>
    </w:r>
  </w:p>
  <w:p w:rsidR="00192391" w:rsidRPr="00172D41" w:rsidRDefault="00192391" w:rsidP="009A1A38">
    <w:pPr>
      <w:pStyle w:val="JuHeader"/>
      <w:ind w:right="360" w:firstLine="360"/>
      <w:jc w:val="center"/>
      <w:rPr>
        <w:rStyle w:val="PageNumber"/>
        <w:caps/>
      </w:rPr>
    </w:pPr>
    <w:r>
      <w:t xml:space="preserve">L. v. </w:t>
    </w:r>
    <w:smartTag w:uri="urn:schemas-microsoft-com:office:smarttags" w:element="country-region">
      <w:smartTag w:uri="urn:schemas-microsoft-com:office:smarttags" w:element="place">
        <w:r>
          <w:t>LITHUANIA</w:t>
        </w:r>
      </w:smartTag>
    </w:smartTag>
    <w:r>
      <w:t xml:space="preserve"> JUDGMENT – </w:t>
    </w:r>
    <w:r>
      <w:br/>
      <w:t xml:space="preserve">DISSENTING OPINION OF JUDGE </w:t>
    </w:r>
    <w:r>
      <w:rPr>
        <w:caps/>
      </w:rPr>
      <w:t>POPOVIĆ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1" w:rsidRDefault="00192391" w:rsidP="0055428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6D12">
      <w:rPr>
        <w:rStyle w:val="PageNumber"/>
        <w:noProof/>
      </w:rPr>
      <w:t>20</w:t>
    </w:r>
    <w:r>
      <w:rPr>
        <w:rStyle w:val="PageNumber"/>
      </w:rPr>
      <w:fldChar w:fldCharType="end"/>
    </w:r>
  </w:p>
  <w:p w:rsidR="00192391" w:rsidRDefault="00192391" w:rsidP="00D24F12">
    <w:pPr>
      <w:pStyle w:val="JuHeader"/>
      <w:jc w:val="center"/>
    </w:pPr>
    <w:r>
      <w:t xml:space="preserve">L. v. </w:t>
    </w:r>
    <w:smartTag w:uri="urn:schemas-microsoft-com:office:smarttags" w:element="place">
      <w:smartTag w:uri="urn:schemas-microsoft-com:office:smarttags" w:element="country-region">
        <w:r>
          <w:t>LITHUANIA</w:t>
        </w:r>
      </w:smartTag>
    </w:smartTag>
    <w:r>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AF"/>
    <w:rsid w:val="000012DA"/>
    <w:rsid w:val="0000381A"/>
    <w:rsid w:val="0000455F"/>
    <w:rsid w:val="0000579F"/>
    <w:rsid w:val="00006FAD"/>
    <w:rsid w:val="000119DA"/>
    <w:rsid w:val="00013D98"/>
    <w:rsid w:val="000148E6"/>
    <w:rsid w:val="000165C7"/>
    <w:rsid w:val="000206A6"/>
    <w:rsid w:val="000216A1"/>
    <w:rsid w:val="00025FE7"/>
    <w:rsid w:val="00026CFD"/>
    <w:rsid w:val="000306A3"/>
    <w:rsid w:val="000325CA"/>
    <w:rsid w:val="00033332"/>
    <w:rsid w:val="000413F4"/>
    <w:rsid w:val="0004197C"/>
    <w:rsid w:val="00041D2C"/>
    <w:rsid w:val="00043FCF"/>
    <w:rsid w:val="00045807"/>
    <w:rsid w:val="00045B1B"/>
    <w:rsid w:val="000463BC"/>
    <w:rsid w:val="00052265"/>
    <w:rsid w:val="00056D6B"/>
    <w:rsid w:val="000649BD"/>
    <w:rsid w:val="000743EC"/>
    <w:rsid w:val="00074BD1"/>
    <w:rsid w:val="0008351A"/>
    <w:rsid w:val="00084069"/>
    <w:rsid w:val="00084B56"/>
    <w:rsid w:val="00085109"/>
    <w:rsid w:val="00091431"/>
    <w:rsid w:val="00092310"/>
    <w:rsid w:val="00094865"/>
    <w:rsid w:val="000A2C04"/>
    <w:rsid w:val="000A60AA"/>
    <w:rsid w:val="000B09A0"/>
    <w:rsid w:val="000B4E2D"/>
    <w:rsid w:val="000B6F63"/>
    <w:rsid w:val="000C2CB8"/>
    <w:rsid w:val="000C5228"/>
    <w:rsid w:val="000C7277"/>
    <w:rsid w:val="000C761B"/>
    <w:rsid w:val="000D2858"/>
    <w:rsid w:val="000D5CF0"/>
    <w:rsid w:val="000D7721"/>
    <w:rsid w:val="000D7D35"/>
    <w:rsid w:val="000F5861"/>
    <w:rsid w:val="000F6DA6"/>
    <w:rsid w:val="000F7D13"/>
    <w:rsid w:val="0010008A"/>
    <w:rsid w:val="00101899"/>
    <w:rsid w:val="00101A4F"/>
    <w:rsid w:val="001054DE"/>
    <w:rsid w:val="00113380"/>
    <w:rsid w:val="001140A1"/>
    <w:rsid w:val="001228BE"/>
    <w:rsid w:val="00124DE8"/>
    <w:rsid w:val="0012572E"/>
    <w:rsid w:val="00127664"/>
    <w:rsid w:val="00132E38"/>
    <w:rsid w:val="00136071"/>
    <w:rsid w:val="00143401"/>
    <w:rsid w:val="00144364"/>
    <w:rsid w:val="001449F3"/>
    <w:rsid w:val="00152E80"/>
    <w:rsid w:val="00155B88"/>
    <w:rsid w:val="001567E1"/>
    <w:rsid w:val="00157C41"/>
    <w:rsid w:val="00157C7F"/>
    <w:rsid w:val="00172D41"/>
    <w:rsid w:val="0017546F"/>
    <w:rsid w:val="001765B6"/>
    <w:rsid w:val="00182B99"/>
    <w:rsid w:val="00182F14"/>
    <w:rsid w:val="00184380"/>
    <w:rsid w:val="00186C76"/>
    <w:rsid w:val="00191774"/>
    <w:rsid w:val="001919C9"/>
    <w:rsid w:val="00191E29"/>
    <w:rsid w:val="001921F2"/>
    <w:rsid w:val="00192391"/>
    <w:rsid w:val="00193F2D"/>
    <w:rsid w:val="00197716"/>
    <w:rsid w:val="0019786B"/>
    <w:rsid w:val="001A508C"/>
    <w:rsid w:val="001A61E4"/>
    <w:rsid w:val="001B0D42"/>
    <w:rsid w:val="001B1ED1"/>
    <w:rsid w:val="001B3B71"/>
    <w:rsid w:val="001B53C8"/>
    <w:rsid w:val="001B6384"/>
    <w:rsid w:val="001B727D"/>
    <w:rsid w:val="001D054F"/>
    <w:rsid w:val="001D733D"/>
    <w:rsid w:val="001E05D1"/>
    <w:rsid w:val="001E16FC"/>
    <w:rsid w:val="001E44AA"/>
    <w:rsid w:val="001E77D6"/>
    <w:rsid w:val="001F01A0"/>
    <w:rsid w:val="00200453"/>
    <w:rsid w:val="002051B2"/>
    <w:rsid w:val="00206436"/>
    <w:rsid w:val="002145D8"/>
    <w:rsid w:val="00217F76"/>
    <w:rsid w:val="002200AB"/>
    <w:rsid w:val="0022413C"/>
    <w:rsid w:val="00237A6C"/>
    <w:rsid w:val="002400CD"/>
    <w:rsid w:val="002408CC"/>
    <w:rsid w:val="00242D13"/>
    <w:rsid w:val="00250556"/>
    <w:rsid w:val="002505F9"/>
    <w:rsid w:val="0025109B"/>
    <w:rsid w:val="00254928"/>
    <w:rsid w:val="00257764"/>
    <w:rsid w:val="00262291"/>
    <w:rsid w:val="0026457D"/>
    <w:rsid w:val="00264F7D"/>
    <w:rsid w:val="0026587C"/>
    <w:rsid w:val="00265F45"/>
    <w:rsid w:val="00267BF8"/>
    <w:rsid w:val="00273CE9"/>
    <w:rsid w:val="00281EE5"/>
    <w:rsid w:val="00282F0D"/>
    <w:rsid w:val="00283F8B"/>
    <w:rsid w:val="00284A93"/>
    <w:rsid w:val="00286A7C"/>
    <w:rsid w:val="002877A3"/>
    <w:rsid w:val="002903A0"/>
    <w:rsid w:val="00290DB5"/>
    <w:rsid w:val="002910C7"/>
    <w:rsid w:val="00291C17"/>
    <w:rsid w:val="002A268E"/>
    <w:rsid w:val="002A399D"/>
    <w:rsid w:val="002B1608"/>
    <w:rsid w:val="002B48AD"/>
    <w:rsid w:val="002C052B"/>
    <w:rsid w:val="002C1DE0"/>
    <w:rsid w:val="002C605E"/>
    <w:rsid w:val="002C737F"/>
    <w:rsid w:val="002D282F"/>
    <w:rsid w:val="002D3A23"/>
    <w:rsid w:val="002D47BF"/>
    <w:rsid w:val="002D5258"/>
    <w:rsid w:val="002D5740"/>
    <w:rsid w:val="002D7C5F"/>
    <w:rsid w:val="002E0EA3"/>
    <w:rsid w:val="002E17B6"/>
    <w:rsid w:val="002E1DF1"/>
    <w:rsid w:val="002E421A"/>
    <w:rsid w:val="002E5C44"/>
    <w:rsid w:val="002E64A3"/>
    <w:rsid w:val="002F1181"/>
    <w:rsid w:val="002F1241"/>
    <w:rsid w:val="002F1575"/>
    <w:rsid w:val="003068CF"/>
    <w:rsid w:val="00310A22"/>
    <w:rsid w:val="00313FB2"/>
    <w:rsid w:val="00314D9E"/>
    <w:rsid w:val="003252EB"/>
    <w:rsid w:val="0032554A"/>
    <w:rsid w:val="00327472"/>
    <w:rsid w:val="00327DED"/>
    <w:rsid w:val="00327FC2"/>
    <w:rsid w:val="0033176F"/>
    <w:rsid w:val="00334442"/>
    <w:rsid w:val="0034657D"/>
    <w:rsid w:val="00352356"/>
    <w:rsid w:val="003536AC"/>
    <w:rsid w:val="00356593"/>
    <w:rsid w:val="00356B85"/>
    <w:rsid w:val="0035753F"/>
    <w:rsid w:val="00364066"/>
    <w:rsid w:val="003644B3"/>
    <w:rsid w:val="00365672"/>
    <w:rsid w:val="0037413B"/>
    <w:rsid w:val="0037622E"/>
    <w:rsid w:val="0037691B"/>
    <w:rsid w:val="003778EA"/>
    <w:rsid w:val="003831C3"/>
    <w:rsid w:val="0039117A"/>
    <w:rsid w:val="00393ADC"/>
    <w:rsid w:val="00393D9B"/>
    <w:rsid w:val="003952AA"/>
    <w:rsid w:val="003964AE"/>
    <w:rsid w:val="00396966"/>
    <w:rsid w:val="003A07D4"/>
    <w:rsid w:val="003A2814"/>
    <w:rsid w:val="003B10B8"/>
    <w:rsid w:val="003B29B7"/>
    <w:rsid w:val="003B4E72"/>
    <w:rsid w:val="003C2E16"/>
    <w:rsid w:val="003C55D0"/>
    <w:rsid w:val="003D1A17"/>
    <w:rsid w:val="003D6A02"/>
    <w:rsid w:val="003D6F8A"/>
    <w:rsid w:val="003E1D07"/>
    <w:rsid w:val="003E1F2E"/>
    <w:rsid w:val="003E38C4"/>
    <w:rsid w:val="003E3C39"/>
    <w:rsid w:val="003E4C6A"/>
    <w:rsid w:val="003E5B66"/>
    <w:rsid w:val="003E641A"/>
    <w:rsid w:val="003F174A"/>
    <w:rsid w:val="003F5809"/>
    <w:rsid w:val="00401BC8"/>
    <w:rsid w:val="004046D3"/>
    <w:rsid w:val="00416F36"/>
    <w:rsid w:val="004310E1"/>
    <w:rsid w:val="00432916"/>
    <w:rsid w:val="00433CE2"/>
    <w:rsid w:val="00434CE6"/>
    <w:rsid w:val="0043782B"/>
    <w:rsid w:val="00443735"/>
    <w:rsid w:val="00445C67"/>
    <w:rsid w:val="00452832"/>
    <w:rsid w:val="00454383"/>
    <w:rsid w:val="00460CE2"/>
    <w:rsid w:val="00463AC1"/>
    <w:rsid w:val="0046401D"/>
    <w:rsid w:val="0046490D"/>
    <w:rsid w:val="00465F22"/>
    <w:rsid w:val="0047601A"/>
    <w:rsid w:val="004769B6"/>
    <w:rsid w:val="00477F01"/>
    <w:rsid w:val="004817A6"/>
    <w:rsid w:val="004821FC"/>
    <w:rsid w:val="00485E93"/>
    <w:rsid w:val="00487AC2"/>
    <w:rsid w:val="00491E2B"/>
    <w:rsid w:val="004932B7"/>
    <w:rsid w:val="004A0EA6"/>
    <w:rsid w:val="004A17E3"/>
    <w:rsid w:val="004A6628"/>
    <w:rsid w:val="004A68C4"/>
    <w:rsid w:val="004B4D35"/>
    <w:rsid w:val="004B54D0"/>
    <w:rsid w:val="004B6A55"/>
    <w:rsid w:val="004B6B7D"/>
    <w:rsid w:val="004C34BD"/>
    <w:rsid w:val="004C3CEB"/>
    <w:rsid w:val="004C7BA1"/>
    <w:rsid w:val="004D207D"/>
    <w:rsid w:val="004D3783"/>
    <w:rsid w:val="004D4F4E"/>
    <w:rsid w:val="004D63E4"/>
    <w:rsid w:val="004D782A"/>
    <w:rsid w:val="004E2C09"/>
    <w:rsid w:val="004E60A6"/>
    <w:rsid w:val="004F1FB8"/>
    <w:rsid w:val="004F58B9"/>
    <w:rsid w:val="00500943"/>
    <w:rsid w:val="00501CE9"/>
    <w:rsid w:val="005022C0"/>
    <w:rsid w:val="0050395E"/>
    <w:rsid w:val="00514C28"/>
    <w:rsid w:val="00516C80"/>
    <w:rsid w:val="00517396"/>
    <w:rsid w:val="005254E3"/>
    <w:rsid w:val="0053076B"/>
    <w:rsid w:val="00530BBC"/>
    <w:rsid w:val="00531E7D"/>
    <w:rsid w:val="00532E2B"/>
    <w:rsid w:val="00535E4F"/>
    <w:rsid w:val="00536874"/>
    <w:rsid w:val="00541841"/>
    <w:rsid w:val="00547EC6"/>
    <w:rsid w:val="005519E3"/>
    <w:rsid w:val="00553DBB"/>
    <w:rsid w:val="00554286"/>
    <w:rsid w:val="0055517F"/>
    <w:rsid w:val="00560562"/>
    <w:rsid w:val="005605DE"/>
    <w:rsid w:val="00561F35"/>
    <w:rsid w:val="00566E25"/>
    <w:rsid w:val="00571343"/>
    <w:rsid w:val="005725AF"/>
    <w:rsid w:val="005803E1"/>
    <w:rsid w:val="00580A33"/>
    <w:rsid w:val="005810C4"/>
    <w:rsid w:val="00582374"/>
    <w:rsid w:val="00587066"/>
    <w:rsid w:val="00587536"/>
    <w:rsid w:val="005877BE"/>
    <w:rsid w:val="00590D71"/>
    <w:rsid w:val="005925AF"/>
    <w:rsid w:val="00593A02"/>
    <w:rsid w:val="005A0DC7"/>
    <w:rsid w:val="005A35E0"/>
    <w:rsid w:val="005A38EA"/>
    <w:rsid w:val="005B2318"/>
    <w:rsid w:val="005B2562"/>
    <w:rsid w:val="005B77F9"/>
    <w:rsid w:val="005C65CB"/>
    <w:rsid w:val="005C6FF8"/>
    <w:rsid w:val="005D1D71"/>
    <w:rsid w:val="005D4341"/>
    <w:rsid w:val="005D7609"/>
    <w:rsid w:val="005E0818"/>
    <w:rsid w:val="005E3F69"/>
    <w:rsid w:val="005F3007"/>
    <w:rsid w:val="005F573A"/>
    <w:rsid w:val="0060220C"/>
    <w:rsid w:val="0060266B"/>
    <w:rsid w:val="006100D9"/>
    <w:rsid w:val="006103DE"/>
    <w:rsid w:val="006107B2"/>
    <w:rsid w:val="006124F4"/>
    <w:rsid w:val="00614F2B"/>
    <w:rsid w:val="00621DD2"/>
    <w:rsid w:val="0062248F"/>
    <w:rsid w:val="00626C0A"/>
    <w:rsid w:val="00627367"/>
    <w:rsid w:val="00627D04"/>
    <w:rsid w:val="00634187"/>
    <w:rsid w:val="00635F36"/>
    <w:rsid w:val="006419AF"/>
    <w:rsid w:val="006433CA"/>
    <w:rsid w:val="0065128E"/>
    <w:rsid w:val="00655261"/>
    <w:rsid w:val="006576F7"/>
    <w:rsid w:val="00657741"/>
    <w:rsid w:val="0066179C"/>
    <w:rsid w:val="00665E73"/>
    <w:rsid w:val="00665F6A"/>
    <w:rsid w:val="00672796"/>
    <w:rsid w:val="0067358D"/>
    <w:rsid w:val="00675545"/>
    <w:rsid w:val="00675C5E"/>
    <w:rsid w:val="00676A4E"/>
    <w:rsid w:val="00682202"/>
    <w:rsid w:val="006843CD"/>
    <w:rsid w:val="006853EE"/>
    <w:rsid w:val="006950C1"/>
    <w:rsid w:val="00695718"/>
    <w:rsid w:val="00697317"/>
    <w:rsid w:val="00697C99"/>
    <w:rsid w:val="006A120B"/>
    <w:rsid w:val="006A17FD"/>
    <w:rsid w:val="006A24FA"/>
    <w:rsid w:val="006B1E60"/>
    <w:rsid w:val="006B3330"/>
    <w:rsid w:val="006B4FE9"/>
    <w:rsid w:val="006B6537"/>
    <w:rsid w:val="006C1496"/>
    <w:rsid w:val="006C2182"/>
    <w:rsid w:val="006C4B5B"/>
    <w:rsid w:val="006D0DF5"/>
    <w:rsid w:val="006D3951"/>
    <w:rsid w:val="006E4980"/>
    <w:rsid w:val="006E4C45"/>
    <w:rsid w:val="006E5350"/>
    <w:rsid w:val="006F66DB"/>
    <w:rsid w:val="007038BF"/>
    <w:rsid w:val="0070525E"/>
    <w:rsid w:val="00712946"/>
    <w:rsid w:val="00712D82"/>
    <w:rsid w:val="00712FEE"/>
    <w:rsid w:val="00716079"/>
    <w:rsid w:val="00721428"/>
    <w:rsid w:val="0072703B"/>
    <w:rsid w:val="007300FD"/>
    <w:rsid w:val="00733305"/>
    <w:rsid w:val="00736449"/>
    <w:rsid w:val="00737589"/>
    <w:rsid w:val="00740F91"/>
    <w:rsid w:val="00743075"/>
    <w:rsid w:val="00763796"/>
    <w:rsid w:val="0076498B"/>
    <w:rsid w:val="007663F7"/>
    <w:rsid w:val="00770462"/>
    <w:rsid w:val="00770931"/>
    <w:rsid w:val="00775D70"/>
    <w:rsid w:val="007777A7"/>
    <w:rsid w:val="007778D1"/>
    <w:rsid w:val="007815D2"/>
    <w:rsid w:val="00783346"/>
    <w:rsid w:val="0078353E"/>
    <w:rsid w:val="00784463"/>
    <w:rsid w:val="00785177"/>
    <w:rsid w:val="00785434"/>
    <w:rsid w:val="0078594C"/>
    <w:rsid w:val="00785FFB"/>
    <w:rsid w:val="00793750"/>
    <w:rsid w:val="0079559F"/>
    <w:rsid w:val="00797919"/>
    <w:rsid w:val="007A3CE8"/>
    <w:rsid w:val="007A56EC"/>
    <w:rsid w:val="007A6457"/>
    <w:rsid w:val="007B2319"/>
    <w:rsid w:val="007B5EC3"/>
    <w:rsid w:val="007B689A"/>
    <w:rsid w:val="007B75CF"/>
    <w:rsid w:val="007B794E"/>
    <w:rsid w:val="007C6568"/>
    <w:rsid w:val="007C6583"/>
    <w:rsid w:val="007D0C21"/>
    <w:rsid w:val="007D0FA3"/>
    <w:rsid w:val="007D2983"/>
    <w:rsid w:val="007D3D2D"/>
    <w:rsid w:val="007D668C"/>
    <w:rsid w:val="007E10F3"/>
    <w:rsid w:val="007E38D2"/>
    <w:rsid w:val="007E77F4"/>
    <w:rsid w:val="007F3F7C"/>
    <w:rsid w:val="007F4E6A"/>
    <w:rsid w:val="008029CD"/>
    <w:rsid w:val="00804042"/>
    <w:rsid w:val="00804A13"/>
    <w:rsid w:val="008059C0"/>
    <w:rsid w:val="00805EA5"/>
    <w:rsid w:val="008071FB"/>
    <w:rsid w:val="0080762D"/>
    <w:rsid w:val="00813777"/>
    <w:rsid w:val="00814B37"/>
    <w:rsid w:val="00815440"/>
    <w:rsid w:val="008179ED"/>
    <w:rsid w:val="0082360D"/>
    <w:rsid w:val="00823BFA"/>
    <w:rsid w:val="00827578"/>
    <w:rsid w:val="00832F14"/>
    <w:rsid w:val="008379C9"/>
    <w:rsid w:val="008379CA"/>
    <w:rsid w:val="008439FF"/>
    <w:rsid w:val="00845E2C"/>
    <w:rsid w:val="00850F3F"/>
    <w:rsid w:val="00855092"/>
    <w:rsid w:val="00855A86"/>
    <w:rsid w:val="00860423"/>
    <w:rsid w:val="00870608"/>
    <w:rsid w:val="0087095C"/>
    <w:rsid w:val="008712EC"/>
    <w:rsid w:val="00875E2B"/>
    <w:rsid w:val="00877350"/>
    <w:rsid w:val="00880F59"/>
    <w:rsid w:val="00882321"/>
    <w:rsid w:val="00885A42"/>
    <w:rsid w:val="00885DE3"/>
    <w:rsid w:val="00886F3A"/>
    <w:rsid w:val="00890E2B"/>
    <w:rsid w:val="0089275C"/>
    <w:rsid w:val="00897573"/>
    <w:rsid w:val="008A4D1F"/>
    <w:rsid w:val="008A571F"/>
    <w:rsid w:val="008A5E54"/>
    <w:rsid w:val="008A7D28"/>
    <w:rsid w:val="008C1AB3"/>
    <w:rsid w:val="008C2610"/>
    <w:rsid w:val="008C4B4C"/>
    <w:rsid w:val="008D5528"/>
    <w:rsid w:val="008D78D5"/>
    <w:rsid w:val="008E1279"/>
    <w:rsid w:val="008E2454"/>
    <w:rsid w:val="008E36F2"/>
    <w:rsid w:val="008F2464"/>
    <w:rsid w:val="00903E98"/>
    <w:rsid w:val="0090434C"/>
    <w:rsid w:val="00911F3D"/>
    <w:rsid w:val="00914C35"/>
    <w:rsid w:val="00917FA5"/>
    <w:rsid w:val="00920BC2"/>
    <w:rsid w:val="009210B5"/>
    <w:rsid w:val="00922F03"/>
    <w:rsid w:val="00923F80"/>
    <w:rsid w:val="00927011"/>
    <w:rsid w:val="00930A97"/>
    <w:rsid w:val="00930E56"/>
    <w:rsid w:val="00931190"/>
    <w:rsid w:val="009347C6"/>
    <w:rsid w:val="009350D6"/>
    <w:rsid w:val="00935F06"/>
    <w:rsid w:val="009368D0"/>
    <w:rsid w:val="00944091"/>
    <w:rsid w:val="00947907"/>
    <w:rsid w:val="00947A93"/>
    <w:rsid w:val="00954AA9"/>
    <w:rsid w:val="009607CB"/>
    <w:rsid w:val="00963187"/>
    <w:rsid w:val="009664C8"/>
    <w:rsid w:val="00967779"/>
    <w:rsid w:val="0097062F"/>
    <w:rsid w:val="00973247"/>
    <w:rsid w:val="00974FC3"/>
    <w:rsid w:val="00977464"/>
    <w:rsid w:val="009839B8"/>
    <w:rsid w:val="00986C30"/>
    <w:rsid w:val="009904A0"/>
    <w:rsid w:val="00991EB5"/>
    <w:rsid w:val="00994FA8"/>
    <w:rsid w:val="009A0233"/>
    <w:rsid w:val="009A1A38"/>
    <w:rsid w:val="009B1139"/>
    <w:rsid w:val="009B298D"/>
    <w:rsid w:val="009C7C27"/>
    <w:rsid w:val="009D624C"/>
    <w:rsid w:val="009D730B"/>
    <w:rsid w:val="009D7358"/>
    <w:rsid w:val="009D769A"/>
    <w:rsid w:val="009E699B"/>
    <w:rsid w:val="009E7BD0"/>
    <w:rsid w:val="009F0653"/>
    <w:rsid w:val="009F30D2"/>
    <w:rsid w:val="009F37D2"/>
    <w:rsid w:val="009F4C41"/>
    <w:rsid w:val="009F61DD"/>
    <w:rsid w:val="009F7893"/>
    <w:rsid w:val="00A13306"/>
    <w:rsid w:val="00A16468"/>
    <w:rsid w:val="00A16917"/>
    <w:rsid w:val="00A17BA1"/>
    <w:rsid w:val="00A259AF"/>
    <w:rsid w:val="00A25C86"/>
    <w:rsid w:val="00A27D16"/>
    <w:rsid w:val="00A37EBD"/>
    <w:rsid w:val="00A41C5F"/>
    <w:rsid w:val="00A4325C"/>
    <w:rsid w:val="00A43580"/>
    <w:rsid w:val="00A4482A"/>
    <w:rsid w:val="00A53A1D"/>
    <w:rsid w:val="00A5569F"/>
    <w:rsid w:val="00A55B1E"/>
    <w:rsid w:val="00A67D0A"/>
    <w:rsid w:val="00A67E68"/>
    <w:rsid w:val="00A76C50"/>
    <w:rsid w:val="00A76F5E"/>
    <w:rsid w:val="00A840A2"/>
    <w:rsid w:val="00A8438F"/>
    <w:rsid w:val="00A85CDA"/>
    <w:rsid w:val="00A869CB"/>
    <w:rsid w:val="00A86F38"/>
    <w:rsid w:val="00A90AC6"/>
    <w:rsid w:val="00A91EA9"/>
    <w:rsid w:val="00AA13DC"/>
    <w:rsid w:val="00AA1F95"/>
    <w:rsid w:val="00AA3DCB"/>
    <w:rsid w:val="00AA6845"/>
    <w:rsid w:val="00AB193C"/>
    <w:rsid w:val="00AB3BF8"/>
    <w:rsid w:val="00AC186F"/>
    <w:rsid w:val="00AC5ADC"/>
    <w:rsid w:val="00AD04A6"/>
    <w:rsid w:val="00AD5337"/>
    <w:rsid w:val="00AF139E"/>
    <w:rsid w:val="00AF28D1"/>
    <w:rsid w:val="00B04A07"/>
    <w:rsid w:val="00B0552E"/>
    <w:rsid w:val="00B070D8"/>
    <w:rsid w:val="00B11E7C"/>
    <w:rsid w:val="00B16593"/>
    <w:rsid w:val="00B17EC7"/>
    <w:rsid w:val="00B3617E"/>
    <w:rsid w:val="00B401C6"/>
    <w:rsid w:val="00B402C7"/>
    <w:rsid w:val="00B41B92"/>
    <w:rsid w:val="00B42A07"/>
    <w:rsid w:val="00B46C98"/>
    <w:rsid w:val="00B47948"/>
    <w:rsid w:val="00B50B43"/>
    <w:rsid w:val="00B55AAB"/>
    <w:rsid w:val="00B5650A"/>
    <w:rsid w:val="00B62C27"/>
    <w:rsid w:val="00B635C9"/>
    <w:rsid w:val="00B6513E"/>
    <w:rsid w:val="00B71C55"/>
    <w:rsid w:val="00B72A08"/>
    <w:rsid w:val="00B76E0F"/>
    <w:rsid w:val="00B804DF"/>
    <w:rsid w:val="00B8140D"/>
    <w:rsid w:val="00B81C4B"/>
    <w:rsid w:val="00B86EDA"/>
    <w:rsid w:val="00B87150"/>
    <w:rsid w:val="00B97214"/>
    <w:rsid w:val="00B97FAB"/>
    <w:rsid w:val="00BA30DB"/>
    <w:rsid w:val="00BA7271"/>
    <w:rsid w:val="00BA7BE8"/>
    <w:rsid w:val="00BB3140"/>
    <w:rsid w:val="00BB59C0"/>
    <w:rsid w:val="00BC34DA"/>
    <w:rsid w:val="00BE7428"/>
    <w:rsid w:val="00BF3BDD"/>
    <w:rsid w:val="00BF6FB2"/>
    <w:rsid w:val="00C05E6A"/>
    <w:rsid w:val="00C06952"/>
    <w:rsid w:val="00C10EDE"/>
    <w:rsid w:val="00C118C9"/>
    <w:rsid w:val="00C12A2C"/>
    <w:rsid w:val="00C1345B"/>
    <w:rsid w:val="00C27E37"/>
    <w:rsid w:val="00C34FED"/>
    <w:rsid w:val="00C35A3B"/>
    <w:rsid w:val="00C35EA9"/>
    <w:rsid w:val="00C376DE"/>
    <w:rsid w:val="00C421D4"/>
    <w:rsid w:val="00C46245"/>
    <w:rsid w:val="00C46DC0"/>
    <w:rsid w:val="00C51932"/>
    <w:rsid w:val="00C52184"/>
    <w:rsid w:val="00C53CF6"/>
    <w:rsid w:val="00C66EF2"/>
    <w:rsid w:val="00C67851"/>
    <w:rsid w:val="00C85217"/>
    <w:rsid w:val="00C85ACF"/>
    <w:rsid w:val="00C86D12"/>
    <w:rsid w:val="00C91819"/>
    <w:rsid w:val="00C93B15"/>
    <w:rsid w:val="00C93F8A"/>
    <w:rsid w:val="00C96A0A"/>
    <w:rsid w:val="00C976FB"/>
    <w:rsid w:val="00CA0BD4"/>
    <w:rsid w:val="00CA0C93"/>
    <w:rsid w:val="00CA1452"/>
    <w:rsid w:val="00CA22E7"/>
    <w:rsid w:val="00CA3C43"/>
    <w:rsid w:val="00CA65D7"/>
    <w:rsid w:val="00CB3C82"/>
    <w:rsid w:val="00CB4953"/>
    <w:rsid w:val="00CC215E"/>
    <w:rsid w:val="00CC789D"/>
    <w:rsid w:val="00CD1F3A"/>
    <w:rsid w:val="00CD22E3"/>
    <w:rsid w:val="00CD42D3"/>
    <w:rsid w:val="00CD49A7"/>
    <w:rsid w:val="00CD789B"/>
    <w:rsid w:val="00CE293A"/>
    <w:rsid w:val="00CE55EF"/>
    <w:rsid w:val="00CF33CA"/>
    <w:rsid w:val="00D008FB"/>
    <w:rsid w:val="00D00B8F"/>
    <w:rsid w:val="00D01084"/>
    <w:rsid w:val="00D02611"/>
    <w:rsid w:val="00D04A9D"/>
    <w:rsid w:val="00D067FE"/>
    <w:rsid w:val="00D13EF3"/>
    <w:rsid w:val="00D15A31"/>
    <w:rsid w:val="00D24F12"/>
    <w:rsid w:val="00D25EE8"/>
    <w:rsid w:val="00D2676B"/>
    <w:rsid w:val="00D35E1B"/>
    <w:rsid w:val="00D40B4F"/>
    <w:rsid w:val="00D413BE"/>
    <w:rsid w:val="00D4174D"/>
    <w:rsid w:val="00D418F9"/>
    <w:rsid w:val="00D43F59"/>
    <w:rsid w:val="00D50E6B"/>
    <w:rsid w:val="00D51A60"/>
    <w:rsid w:val="00D52B55"/>
    <w:rsid w:val="00D53C00"/>
    <w:rsid w:val="00D55646"/>
    <w:rsid w:val="00D63225"/>
    <w:rsid w:val="00D64433"/>
    <w:rsid w:val="00D6672B"/>
    <w:rsid w:val="00D71FB9"/>
    <w:rsid w:val="00D72911"/>
    <w:rsid w:val="00D751F4"/>
    <w:rsid w:val="00D76AD2"/>
    <w:rsid w:val="00D855D7"/>
    <w:rsid w:val="00D87F83"/>
    <w:rsid w:val="00D90F55"/>
    <w:rsid w:val="00D91219"/>
    <w:rsid w:val="00D9414C"/>
    <w:rsid w:val="00D95B37"/>
    <w:rsid w:val="00D96320"/>
    <w:rsid w:val="00DA3709"/>
    <w:rsid w:val="00DA55A1"/>
    <w:rsid w:val="00DA5E85"/>
    <w:rsid w:val="00DA6101"/>
    <w:rsid w:val="00DB0E60"/>
    <w:rsid w:val="00DC20FF"/>
    <w:rsid w:val="00DC6938"/>
    <w:rsid w:val="00DD11E3"/>
    <w:rsid w:val="00DE0C95"/>
    <w:rsid w:val="00DE0FAE"/>
    <w:rsid w:val="00DE2A62"/>
    <w:rsid w:val="00DE2DB9"/>
    <w:rsid w:val="00DE3410"/>
    <w:rsid w:val="00DE56EC"/>
    <w:rsid w:val="00DE5D14"/>
    <w:rsid w:val="00DE71A1"/>
    <w:rsid w:val="00DF5BE3"/>
    <w:rsid w:val="00E045F2"/>
    <w:rsid w:val="00E06932"/>
    <w:rsid w:val="00E118C9"/>
    <w:rsid w:val="00E12566"/>
    <w:rsid w:val="00E158B4"/>
    <w:rsid w:val="00E17714"/>
    <w:rsid w:val="00E20B33"/>
    <w:rsid w:val="00E21253"/>
    <w:rsid w:val="00E21EFE"/>
    <w:rsid w:val="00E262F3"/>
    <w:rsid w:val="00E265B6"/>
    <w:rsid w:val="00E40ACC"/>
    <w:rsid w:val="00E421F7"/>
    <w:rsid w:val="00E446D5"/>
    <w:rsid w:val="00E504BF"/>
    <w:rsid w:val="00E5099A"/>
    <w:rsid w:val="00E56DBE"/>
    <w:rsid w:val="00E61CD6"/>
    <w:rsid w:val="00E711DD"/>
    <w:rsid w:val="00E714C7"/>
    <w:rsid w:val="00E722EB"/>
    <w:rsid w:val="00E723A1"/>
    <w:rsid w:val="00E750A1"/>
    <w:rsid w:val="00E77483"/>
    <w:rsid w:val="00E8300D"/>
    <w:rsid w:val="00E834E4"/>
    <w:rsid w:val="00E84AD4"/>
    <w:rsid w:val="00E87849"/>
    <w:rsid w:val="00E9049C"/>
    <w:rsid w:val="00E92EE1"/>
    <w:rsid w:val="00E9311D"/>
    <w:rsid w:val="00E95550"/>
    <w:rsid w:val="00E96054"/>
    <w:rsid w:val="00E97159"/>
    <w:rsid w:val="00EA3B2F"/>
    <w:rsid w:val="00EA3D1A"/>
    <w:rsid w:val="00EA479E"/>
    <w:rsid w:val="00EA482B"/>
    <w:rsid w:val="00EB4396"/>
    <w:rsid w:val="00EB4C2D"/>
    <w:rsid w:val="00EB6FD4"/>
    <w:rsid w:val="00EB7987"/>
    <w:rsid w:val="00EB7F90"/>
    <w:rsid w:val="00EC568A"/>
    <w:rsid w:val="00ED113C"/>
    <w:rsid w:val="00ED5250"/>
    <w:rsid w:val="00EE44EB"/>
    <w:rsid w:val="00EE4CA0"/>
    <w:rsid w:val="00EF0DBA"/>
    <w:rsid w:val="00EF667F"/>
    <w:rsid w:val="00EF6C04"/>
    <w:rsid w:val="00F01472"/>
    <w:rsid w:val="00F03FB1"/>
    <w:rsid w:val="00F04635"/>
    <w:rsid w:val="00F123EF"/>
    <w:rsid w:val="00F15F93"/>
    <w:rsid w:val="00F16513"/>
    <w:rsid w:val="00F1685A"/>
    <w:rsid w:val="00F2148B"/>
    <w:rsid w:val="00F234F6"/>
    <w:rsid w:val="00F25FAD"/>
    <w:rsid w:val="00F2633B"/>
    <w:rsid w:val="00F276E8"/>
    <w:rsid w:val="00F32C5F"/>
    <w:rsid w:val="00F41E88"/>
    <w:rsid w:val="00F42695"/>
    <w:rsid w:val="00F43833"/>
    <w:rsid w:val="00F4645F"/>
    <w:rsid w:val="00F47D0F"/>
    <w:rsid w:val="00F530E7"/>
    <w:rsid w:val="00F54912"/>
    <w:rsid w:val="00F63829"/>
    <w:rsid w:val="00F64467"/>
    <w:rsid w:val="00F6477D"/>
    <w:rsid w:val="00F66485"/>
    <w:rsid w:val="00F70688"/>
    <w:rsid w:val="00F729AF"/>
    <w:rsid w:val="00F75075"/>
    <w:rsid w:val="00F81A35"/>
    <w:rsid w:val="00F8415F"/>
    <w:rsid w:val="00F843B7"/>
    <w:rsid w:val="00F84B66"/>
    <w:rsid w:val="00F87F77"/>
    <w:rsid w:val="00F92A55"/>
    <w:rsid w:val="00F94B21"/>
    <w:rsid w:val="00F97C9D"/>
    <w:rsid w:val="00FA1A3C"/>
    <w:rsid w:val="00FA3B8B"/>
    <w:rsid w:val="00FA439A"/>
    <w:rsid w:val="00FB3707"/>
    <w:rsid w:val="00FB4A91"/>
    <w:rsid w:val="00FB6DBE"/>
    <w:rsid w:val="00FC30B8"/>
    <w:rsid w:val="00FC3B80"/>
    <w:rsid w:val="00FC6B2D"/>
    <w:rsid w:val="00FD2197"/>
    <w:rsid w:val="00FD39E5"/>
    <w:rsid w:val="00FD473A"/>
    <w:rsid w:val="00FD4B66"/>
    <w:rsid w:val="00FE090D"/>
    <w:rsid w:val="00FE3956"/>
    <w:rsid w:val="00FE50E8"/>
    <w:rsid w:val="00FF19A6"/>
    <w:rsid w:val="00FF1BC9"/>
    <w:rsid w:val="00FF7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link w:val="JuParaLastChar"/>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link w:val="JuH1Char"/>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5725AF"/>
    <w:rPr>
      <w:color w:val="0000FF"/>
      <w:u w:val="single"/>
    </w:rPr>
  </w:style>
  <w:style w:type="paragraph" w:customStyle="1" w:styleId="ju-005fh-005fa">
    <w:name w:val="ju-005fh-005fa"/>
    <w:basedOn w:val="Normal"/>
    <w:rsid w:val="006A17FD"/>
    <w:pPr>
      <w:suppressAutoHyphens w:val="0"/>
      <w:spacing w:before="100" w:beforeAutospacing="1" w:after="100" w:afterAutospacing="1"/>
    </w:pPr>
    <w:rPr>
      <w:szCs w:val="24"/>
      <w:lang w:eastAsia="en-GB"/>
    </w:rPr>
  </w:style>
  <w:style w:type="character" w:customStyle="1" w:styleId="JuH1Char">
    <w:name w:val="Ju_H_1. Char"/>
    <w:basedOn w:val="DefaultParagraphFont"/>
    <w:link w:val="JuH1"/>
    <w:rsid w:val="00DB0E60"/>
    <w:rPr>
      <w:i/>
      <w:sz w:val="24"/>
      <w:lang w:val="en-GB" w:eastAsia="fr-FR" w:bidi="ar-SA"/>
    </w:rPr>
  </w:style>
  <w:style w:type="character" w:customStyle="1" w:styleId="JuHAChar">
    <w:name w:val="Ju_H_A Char"/>
    <w:basedOn w:val="DefaultParagraphFont"/>
    <w:link w:val="JuHA"/>
    <w:rsid w:val="00FE090D"/>
    <w:rPr>
      <w:b/>
      <w:sz w:val="24"/>
      <w:lang w:val="en-GB" w:eastAsia="fr-FR" w:bidi="ar-SA"/>
    </w:rPr>
  </w:style>
  <w:style w:type="paragraph" w:styleId="HTMLPreformatted">
    <w:name w:val="HTML Preformatted"/>
    <w:basedOn w:val="Normal"/>
    <w:rsid w:val="0088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JuParaCar">
    <w:name w:val="Ju_Para Car"/>
    <w:basedOn w:val="DefaultParagraphFont"/>
    <w:link w:val="JuPara"/>
    <w:rsid w:val="00FC6B2D"/>
    <w:rPr>
      <w:sz w:val="24"/>
      <w:lang w:val="en-GB" w:eastAsia="fr-FR" w:bidi="ar-SA"/>
    </w:rPr>
  </w:style>
  <w:style w:type="character" w:customStyle="1" w:styleId="JuParaLastChar">
    <w:name w:val="Ju_Para_Last Char"/>
    <w:basedOn w:val="JuParaCar"/>
    <w:link w:val="JuParaLast"/>
    <w:rsid w:val="00152E80"/>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6949">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4F47B-E2AC-4D71-A56F-7CE9162070C1}"/>
</file>

<file path=customXml/itemProps2.xml><?xml version="1.0" encoding="utf-8"?>
<ds:datastoreItem xmlns:ds="http://schemas.openxmlformats.org/officeDocument/2006/customXml" ds:itemID="{15FFA193-728A-4016-B8DF-E01ACC4A6F46}"/>
</file>

<file path=customXml/itemProps3.xml><?xml version="1.0" encoding="utf-8"?>
<ds:datastoreItem xmlns:ds="http://schemas.openxmlformats.org/officeDocument/2006/customXml" ds:itemID="{8B0ED3E7-CE36-47FB-83F4-46455AB8B3ED}"/>
</file>

<file path=docProps/app.xml><?xml version="1.0" encoding="utf-8"?>
<Properties xmlns="http://schemas.openxmlformats.org/officeDocument/2006/extended-properties" xmlns:vt="http://schemas.openxmlformats.org/officeDocument/2006/docPropsVTypes">
  <Template>Normal.dotm</Template>
  <TotalTime>135</TotalTime>
  <Pages>1</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20</cp:revision>
  <cp:lastPrinted>2011-09-28T08:15:00Z</cp:lastPrinted>
  <dcterms:created xsi:type="dcterms:W3CDTF">2019-02-20T10:55:00Z</dcterms:created>
  <dcterms:modified xsi:type="dcterms:W3CDTF">2019-02-20T10:55:00Z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